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footer1.xml" ContentType="application/vnd.openxmlformats-officedocument.wordprocessingml.footer+xml"/>
  <Override PartName="/word/endnotes.xml" ContentType="application/vnd.openxmlformats-officedocument.wordprocessingml.endnotes+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5.xml" ContentType="application/vnd.openxmlformats-officedocument.customXmlProperties+xml"/>
  <Override PartName="/customXml/itemProps6.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Override PartName="/customXml/itemProps7.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0A0707" w14:textId="3B1B83D0" w:rsidR="00E4054F" w:rsidRDefault="00E4054F">
      <w:bookmarkStart w:id="0" w:name="Annex1"/>
    </w:p>
    <w:tbl>
      <w:tblPr>
        <w:tblW w:w="9576" w:type="dxa"/>
        <w:tblLook w:val="04A0" w:firstRow="1" w:lastRow="0" w:firstColumn="1" w:lastColumn="0" w:noHBand="0" w:noVBand="1"/>
      </w:tblPr>
      <w:tblGrid>
        <w:gridCol w:w="1638"/>
        <w:gridCol w:w="6480"/>
        <w:gridCol w:w="1458"/>
      </w:tblGrid>
      <w:tr w:rsidR="00665F06" w:rsidRPr="005267F4" w14:paraId="5C2A04BF" w14:textId="77777777" w:rsidTr="00F92D3B">
        <w:tc>
          <w:tcPr>
            <w:tcW w:w="9576" w:type="dxa"/>
            <w:gridSpan w:val="3"/>
            <w:vAlign w:val="center"/>
          </w:tcPr>
          <w:p w14:paraId="0224E320" w14:textId="50C3FE92" w:rsidR="00665F06" w:rsidRPr="005267F4" w:rsidRDefault="00665F06" w:rsidP="00F92D3B">
            <w:pPr>
              <w:spacing w:after="0"/>
              <w:jc w:val="center"/>
              <w:rPr>
                <w:rFonts w:asciiTheme="minorHAnsi" w:hAnsiTheme="minorHAnsi" w:cstheme="minorHAnsi"/>
                <w:b/>
                <w:szCs w:val="22"/>
                <w:lang w:val="en-GB"/>
              </w:rPr>
            </w:pPr>
          </w:p>
        </w:tc>
      </w:tr>
      <w:tr w:rsidR="00C30637" w:rsidRPr="003B6A69" w14:paraId="1EFEF27A" w14:textId="77777777" w:rsidTr="001723DA">
        <w:tc>
          <w:tcPr>
            <w:tcW w:w="1638" w:type="dxa"/>
            <w:vAlign w:val="center"/>
          </w:tcPr>
          <w:p w14:paraId="5138D9A8" w14:textId="741BDC5E" w:rsidR="00C30637" w:rsidRPr="003B6A69" w:rsidRDefault="00C30637" w:rsidP="001723DA">
            <w:pPr>
              <w:pStyle w:val="Bullets"/>
              <w:numPr>
                <w:ilvl w:val="0"/>
                <w:numId w:val="0"/>
              </w:numPr>
              <w:spacing w:before="0"/>
              <w:jc w:val="center"/>
              <w:rPr>
                <w:rFonts w:asciiTheme="minorHAnsi" w:hAnsiTheme="minorHAnsi" w:cstheme="minorHAnsi"/>
                <w:lang w:val="en-GB" w:eastAsia="en-GB"/>
              </w:rPr>
            </w:pPr>
            <w:r w:rsidRPr="003B6A69">
              <w:rPr>
                <w:rFonts w:asciiTheme="minorHAnsi" w:hAnsiTheme="minorHAnsi" w:cstheme="minorHAnsi"/>
              </w:rPr>
              <w:drawing>
                <wp:inline distT="0" distB="0" distL="0" distR="0" wp14:anchorId="6BE1FE4D" wp14:editId="57E5CF6D">
                  <wp:extent cx="561340" cy="120840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1340" cy="1208405"/>
                          </a:xfrm>
                          <a:prstGeom prst="rect">
                            <a:avLst/>
                          </a:prstGeom>
                          <a:noFill/>
                          <a:ln>
                            <a:noFill/>
                          </a:ln>
                        </pic:spPr>
                      </pic:pic>
                    </a:graphicData>
                  </a:graphic>
                </wp:inline>
              </w:drawing>
            </w:r>
          </w:p>
        </w:tc>
        <w:tc>
          <w:tcPr>
            <w:tcW w:w="6480" w:type="dxa"/>
            <w:vAlign w:val="center"/>
          </w:tcPr>
          <w:p w14:paraId="0D02F174" w14:textId="470C4E4F" w:rsidR="00C30637" w:rsidRPr="003B6A69" w:rsidRDefault="00237E83" w:rsidP="001723DA">
            <w:pPr>
              <w:spacing w:after="0"/>
              <w:jc w:val="center"/>
              <w:rPr>
                <w:rFonts w:asciiTheme="minorHAnsi" w:hAnsiTheme="minorHAnsi" w:cstheme="minorHAnsi"/>
                <w:b/>
                <w:szCs w:val="22"/>
                <w:lang w:val="en-GB"/>
              </w:rPr>
            </w:pPr>
            <w:r w:rsidRPr="003B6A69">
              <w:rPr>
                <w:rFonts w:ascii="Times New Roman" w:eastAsia="Times New Roman" w:hAnsi="Times New Roman"/>
                <w:noProof/>
                <w:sz w:val="22"/>
              </w:rPr>
              <w:drawing>
                <wp:inline distT="0" distB="0" distL="0" distR="0" wp14:anchorId="3E250112" wp14:editId="0F28931B">
                  <wp:extent cx="1181100" cy="117045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1192204" cy="1181463"/>
                          </a:xfrm>
                          <a:prstGeom prst="rect">
                            <a:avLst/>
                          </a:prstGeom>
                        </pic:spPr>
                      </pic:pic>
                    </a:graphicData>
                  </a:graphic>
                </wp:inline>
              </w:drawing>
            </w:r>
          </w:p>
        </w:tc>
        <w:tc>
          <w:tcPr>
            <w:tcW w:w="1458" w:type="dxa"/>
            <w:vAlign w:val="center"/>
          </w:tcPr>
          <w:p w14:paraId="44F5A670" w14:textId="5FC6E936" w:rsidR="00C30637" w:rsidRPr="003B6A69" w:rsidRDefault="00C30637" w:rsidP="001723DA">
            <w:pPr>
              <w:pStyle w:val="Bullets"/>
              <w:numPr>
                <w:ilvl w:val="0"/>
                <w:numId w:val="0"/>
              </w:numPr>
              <w:jc w:val="right"/>
              <w:rPr>
                <w:rFonts w:asciiTheme="minorHAnsi" w:hAnsiTheme="minorHAnsi" w:cstheme="minorHAnsi"/>
                <w:lang w:val="en-GB" w:eastAsia="en-GB"/>
              </w:rPr>
            </w:pPr>
            <w:r w:rsidRPr="003B6A69">
              <w:rPr>
                <w:rFonts w:asciiTheme="minorHAnsi" w:hAnsiTheme="minorHAnsi" w:cstheme="minorHAnsi"/>
              </w:rPr>
              <w:drawing>
                <wp:inline distT="0" distB="0" distL="0" distR="0" wp14:anchorId="70439CF3" wp14:editId="6CE91787">
                  <wp:extent cx="620395" cy="715010"/>
                  <wp:effectExtent l="0" t="0" r="8255" b="8890"/>
                  <wp:docPr id="21" name="Picture 21" descr="GEF-notag-lowres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F-notag-lowres_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20395" cy="715010"/>
                          </a:xfrm>
                          <a:prstGeom prst="rect">
                            <a:avLst/>
                          </a:prstGeom>
                          <a:noFill/>
                          <a:ln>
                            <a:noFill/>
                          </a:ln>
                        </pic:spPr>
                      </pic:pic>
                    </a:graphicData>
                  </a:graphic>
                </wp:inline>
              </w:drawing>
            </w:r>
          </w:p>
        </w:tc>
      </w:tr>
      <w:tr w:rsidR="00C30637" w:rsidRPr="003B6A69" w14:paraId="06168B83" w14:textId="77777777" w:rsidTr="001723DA">
        <w:tc>
          <w:tcPr>
            <w:tcW w:w="9576" w:type="dxa"/>
            <w:gridSpan w:val="3"/>
            <w:vAlign w:val="center"/>
          </w:tcPr>
          <w:p w14:paraId="7760AE13" w14:textId="77777777" w:rsidR="00C30637" w:rsidRPr="003B6A69" w:rsidRDefault="00C30637" w:rsidP="00C30637">
            <w:pPr>
              <w:jc w:val="center"/>
              <w:rPr>
                <w:rFonts w:asciiTheme="minorHAnsi" w:hAnsiTheme="minorHAnsi" w:cstheme="minorHAnsi"/>
                <w:b/>
                <w:sz w:val="28"/>
                <w:szCs w:val="22"/>
                <w:lang w:val="en-GB"/>
              </w:rPr>
            </w:pPr>
            <w:r w:rsidRPr="003B6A69">
              <w:rPr>
                <w:rFonts w:asciiTheme="minorHAnsi" w:hAnsiTheme="minorHAnsi" w:cstheme="minorHAnsi"/>
                <w:b/>
                <w:sz w:val="28"/>
                <w:szCs w:val="22"/>
                <w:lang w:val="en-GB"/>
              </w:rPr>
              <w:t>United Nations Development Programme</w:t>
            </w:r>
          </w:p>
          <w:p w14:paraId="2E72D307" w14:textId="530302E4" w:rsidR="00C30637" w:rsidRPr="003B6A69" w:rsidRDefault="00C30637" w:rsidP="00C30637">
            <w:pPr>
              <w:spacing w:after="0"/>
              <w:jc w:val="center"/>
              <w:rPr>
                <w:rFonts w:asciiTheme="minorHAnsi" w:hAnsiTheme="minorHAnsi" w:cstheme="minorHAnsi"/>
                <w:b/>
                <w:szCs w:val="22"/>
                <w:lang w:val="en-GB"/>
              </w:rPr>
            </w:pPr>
            <w:r w:rsidRPr="003B6A69">
              <w:rPr>
                <w:rFonts w:cs="Arial"/>
                <w:b/>
                <w:szCs w:val="22"/>
                <w:lang w:val="en-GB"/>
              </w:rPr>
              <w:t>Project Document for projects financed by the various GEF Trust Funds</w:t>
            </w:r>
          </w:p>
        </w:tc>
      </w:tr>
    </w:tbl>
    <w:p w14:paraId="03A3EDE2" w14:textId="77777777" w:rsidR="00665F06" w:rsidRPr="003B6A69" w:rsidRDefault="00665F06" w:rsidP="00665F06">
      <w:pPr>
        <w:spacing w:after="0"/>
        <w:jc w:val="left"/>
        <w:rPr>
          <w:rFonts w:cs="Arial"/>
          <w:b/>
          <w:i/>
          <w:szCs w:val="20"/>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9"/>
        <w:gridCol w:w="2256"/>
        <w:gridCol w:w="1167"/>
        <w:gridCol w:w="3986"/>
      </w:tblGrid>
      <w:tr w:rsidR="00665F06" w:rsidRPr="003B6A69" w14:paraId="17FCF00E" w14:textId="77777777" w:rsidTr="000A546A">
        <w:tc>
          <w:tcPr>
            <w:tcW w:w="9918" w:type="dxa"/>
            <w:gridSpan w:val="4"/>
            <w:shd w:val="clear" w:color="auto" w:fill="auto"/>
          </w:tcPr>
          <w:p w14:paraId="42E9A21C" w14:textId="6C6C3F71" w:rsidR="00665F06" w:rsidRPr="003B6A69" w:rsidRDefault="00665F06" w:rsidP="00F92D3B">
            <w:pPr>
              <w:spacing w:after="120"/>
              <w:jc w:val="left"/>
              <w:rPr>
                <w:rFonts w:cs="Arial"/>
                <w:b/>
                <w:szCs w:val="20"/>
                <w:lang w:val="en-GB"/>
              </w:rPr>
            </w:pPr>
            <w:r w:rsidRPr="003B6A69">
              <w:rPr>
                <w:rFonts w:cs="Arial"/>
                <w:b/>
                <w:szCs w:val="20"/>
                <w:lang w:val="en-GB"/>
              </w:rPr>
              <w:t>Project title</w:t>
            </w:r>
            <w:proofErr w:type="gramStart"/>
            <w:r w:rsidRPr="003B6A69">
              <w:rPr>
                <w:rFonts w:cs="Arial"/>
                <w:b/>
                <w:szCs w:val="20"/>
                <w:lang w:val="en-GB"/>
              </w:rPr>
              <w:t xml:space="preserve">:  </w:t>
            </w:r>
            <w:r w:rsidR="00CA5277" w:rsidRPr="003B6A69">
              <w:rPr>
                <w:szCs w:val="20"/>
              </w:rPr>
              <w:t>“</w:t>
            </w:r>
            <w:proofErr w:type="gramEnd"/>
            <w:r w:rsidR="00CA5277" w:rsidRPr="003B6A69">
              <w:rPr>
                <w:szCs w:val="20"/>
              </w:rPr>
              <w:t>Biodiversity Mainstreaming into Sectoral Policies and Practices and</w:t>
            </w:r>
            <w:r w:rsidR="00CA5277" w:rsidRPr="003B6A69">
              <w:t xml:space="preserve"> </w:t>
            </w:r>
            <w:r w:rsidR="00CA5277" w:rsidRPr="003B6A69">
              <w:rPr>
                <w:szCs w:val="20"/>
              </w:rPr>
              <w:t>Strengthened Protection</w:t>
            </w:r>
            <w:r w:rsidR="000E4C99" w:rsidRPr="003B6A69">
              <w:rPr>
                <w:szCs w:val="20"/>
              </w:rPr>
              <w:t xml:space="preserve"> of Biodiversity Hot-Spots in</w:t>
            </w:r>
            <w:r w:rsidR="00CA5277" w:rsidRPr="003B6A69">
              <w:rPr>
                <w:szCs w:val="20"/>
              </w:rPr>
              <w:t xml:space="preserve"> Montenegro”</w:t>
            </w:r>
          </w:p>
        </w:tc>
      </w:tr>
      <w:tr w:rsidR="00665F06" w:rsidRPr="003B6A69" w14:paraId="78680797" w14:textId="77777777" w:rsidTr="000A546A">
        <w:tc>
          <w:tcPr>
            <w:tcW w:w="2509" w:type="dxa"/>
            <w:shd w:val="clear" w:color="auto" w:fill="auto"/>
          </w:tcPr>
          <w:p w14:paraId="5D92016E" w14:textId="7E3A7768" w:rsidR="00665F06" w:rsidRPr="003B6A69" w:rsidRDefault="00665F06" w:rsidP="00F92D3B">
            <w:pPr>
              <w:spacing w:after="120"/>
              <w:jc w:val="left"/>
              <w:rPr>
                <w:rFonts w:cs="Arial"/>
                <w:b/>
                <w:szCs w:val="20"/>
                <w:lang w:val="en-GB"/>
              </w:rPr>
            </w:pPr>
            <w:r w:rsidRPr="003B6A69">
              <w:rPr>
                <w:rFonts w:cs="Arial"/>
                <w:b/>
                <w:szCs w:val="20"/>
                <w:lang w:val="en-GB"/>
              </w:rPr>
              <w:t>Country(</w:t>
            </w:r>
            <w:proofErr w:type="spellStart"/>
            <w:r w:rsidRPr="003B6A69">
              <w:rPr>
                <w:rFonts w:cs="Arial"/>
                <w:b/>
                <w:szCs w:val="20"/>
                <w:lang w:val="en-GB"/>
              </w:rPr>
              <w:t>ies</w:t>
            </w:r>
            <w:proofErr w:type="spellEnd"/>
            <w:r w:rsidRPr="003B6A69">
              <w:rPr>
                <w:rFonts w:cs="Arial"/>
                <w:b/>
                <w:szCs w:val="20"/>
                <w:lang w:val="en-GB"/>
              </w:rPr>
              <w:t xml:space="preserve">):  </w:t>
            </w:r>
            <w:r w:rsidR="00CA5277" w:rsidRPr="003B6A69">
              <w:rPr>
                <w:rFonts w:cs="Arial"/>
                <w:szCs w:val="20"/>
                <w:lang w:val="en-GB"/>
              </w:rPr>
              <w:t>Montenegro</w:t>
            </w:r>
          </w:p>
        </w:tc>
        <w:tc>
          <w:tcPr>
            <w:tcW w:w="3423" w:type="dxa"/>
            <w:gridSpan w:val="2"/>
            <w:shd w:val="clear" w:color="auto" w:fill="auto"/>
          </w:tcPr>
          <w:p w14:paraId="454DC994" w14:textId="18A2E903" w:rsidR="00665F06" w:rsidRPr="003B6A69" w:rsidRDefault="00665F06" w:rsidP="00B53025">
            <w:pPr>
              <w:tabs>
                <w:tab w:val="left" w:pos="2862"/>
              </w:tabs>
              <w:spacing w:after="120"/>
              <w:jc w:val="left"/>
              <w:rPr>
                <w:rStyle w:val="Hyperlink"/>
                <w:rFonts w:cs="Arial"/>
                <w:i/>
                <w:szCs w:val="20"/>
                <w:lang w:val="en-GB"/>
              </w:rPr>
            </w:pPr>
            <w:r w:rsidRPr="003B6A69">
              <w:rPr>
                <w:rFonts w:cs="Arial"/>
                <w:b/>
                <w:szCs w:val="20"/>
                <w:lang w:val="en-GB"/>
              </w:rPr>
              <w:t>Implementing Partner (GEF Executing Entity</w:t>
            </w:r>
            <w:r w:rsidR="00CA5277" w:rsidRPr="003B6A69">
              <w:rPr>
                <w:rFonts w:cs="Arial"/>
                <w:b/>
                <w:szCs w:val="20"/>
                <w:lang w:val="en-GB"/>
              </w:rPr>
              <w:t xml:space="preserve">): </w:t>
            </w:r>
            <w:r w:rsidR="000E4C99" w:rsidRPr="003B6A69">
              <w:rPr>
                <w:rFonts w:cs="Calibri"/>
                <w:bCs/>
                <w:szCs w:val="20"/>
                <w:lang w:val="en-GB"/>
              </w:rPr>
              <w:t>Ministry of Ecology, Spatial Planning and Urbanism</w:t>
            </w:r>
          </w:p>
        </w:tc>
        <w:tc>
          <w:tcPr>
            <w:tcW w:w="3986" w:type="dxa"/>
            <w:shd w:val="clear" w:color="auto" w:fill="auto"/>
          </w:tcPr>
          <w:p w14:paraId="543B0CD4" w14:textId="4E74BD66" w:rsidR="00665F06" w:rsidRPr="003B6A69" w:rsidRDefault="005D691B" w:rsidP="00A94AE1">
            <w:pPr>
              <w:spacing w:after="120"/>
              <w:jc w:val="left"/>
              <w:rPr>
                <w:rFonts w:cs="Arial"/>
                <w:i/>
                <w:szCs w:val="20"/>
                <w:lang w:val="en-GB"/>
              </w:rPr>
            </w:pPr>
            <w:r w:rsidRPr="003B6A69">
              <w:rPr>
                <w:rFonts w:cs="Arial"/>
                <w:b/>
                <w:szCs w:val="20"/>
                <w:lang w:val="en-GB"/>
              </w:rPr>
              <w:t>Execution Modality</w:t>
            </w:r>
            <w:r w:rsidR="00CA5277" w:rsidRPr="003B6A69">
              <w:rPr>
                <w:rFonts w:cs="Arial"/>
                <w:i/>
                <w:szCs w:val="20"/>
                <w:lang w:val="en-GB"/>
              </w:rPr>
              <w:t>:</w:t>
            </w:r>
            <w:r w:rsidR="007F26F6" w:rsidRPr="003B6A69">
              <w:rPr>
                <w:rFonts w:cs="Arial"/>
                <w:i/>
                <w:szCs w:val="20"/>
                <w:lang w:val="en-GB"/>
              </w:rPr>
              <w:t xml:space="preserve"> </w:t>
            </w:r>
            <w:r w:rsidR="007F26F6" w:rsidRPr="003B6A69">
              <w:rPr>
                <w:rFonts w:cs="Arial"/>
                <w:iCs/>
                <w:szCs w:val="20"/>
                <w:lang w:val="en-GB"/>
              </w:rPr>
              <w:t xml:space="preserve">Full </w:t>
            </w:r>
            <w:r w:rsidR="00CA5277" w:rsidRPr="003B6A69">
              <w:rPr>
                <w:rFonts w:cs="Arial"/>
                <w:szCs w:val="20"/>
                <w:lang w:val="en-GB"/>
              </w:rPr>
              <w:t>NIM</w:t>
            </w:r>
          </w:p>
        </w:tc>
      </w:tr>
      <w:tr w:rsidR="00665F06" w:rsidRPr="003B6A69" w14:paraId="4ED3833C" w14:textId="77777777" w:rsidTr="000A546A">
        <w:tc>
          <w:tcPr>
            <w:tcW w:w="9918" w:type="dxa"/>
            <w:gridSpan w:val="4"/>
            <w:shd w:val="clear" w:color="auto" w:fill="auto"/>
          </w:tcPr>
          <w:p w14:paraId="49F81F3F" w14:textId="6B2BDF3A" w:rsidR="00665F06" w:rsidRPr="003B6A69" w:rsidRDefault="00665F06" w:rsidP="00225E3F">
            <w:pPr>
              <w:spacing w:after="120"/>
              <w:jc w:val="left"/>
              <w:rPr>
                <w:rFonts w:cs="Arial"/>
                <w:b/>
                <w:szCs w:val="20"/>
                <w:lang w:val="en-GB"/>
              </w:rPr>
            </w:pPr>
            <w:r w:rsidRPr="003B6A69">
              <w:rPr>
                <w:rFonts w:cs="Arial"/>
                <w:b/>
                <w:szCs w:val="20"/>
                <w:lang w:val="en-GB"/>
              </w:rPr>
              <w:t>Contributing Outcome (UNDAF/CPD, RPD, GPD)</w:t>
            </w:r>
            <w:r w:rsidRPr="003B6A69">
              <w:rPr>
                <w:rFonts w:cs="Arial"/>
                <w:i/>
                <w:szCs w:val="20"/>
                <w:lang w:val="en-GB"/>
              </w:rPr>
              <w:t>:</w:t>
            </w:r>
            <w:r w:rsidR="00225E3F" w:rsidRPr="003B6A69">
              <w:rPr>
                <w:rFonts w:cs="Arial"/>
                <w:i/>
                <w:szCs w:val="20"/>
                <w:lang w:val="en-GB"/>
              </w:rPr>
              <w:t xml:space="preserve"> </w:t>
            </w:r>
            <w:r w:rsidR="00CA5277" w:rsidRPr="003B6A69">
              <w:t>By 2021, people of Montenegro benefit from sustainable management of natural resources, combating climate change and disaster risk reduction</w:t>
            </w:r>
          </w:p>
        </w:tc>
      </w:tr>
      <w:tr w:rsidR="00665F06" w:rsidRPr="003B6A69" w14:paraId="7D5B11E3" w14:textId="77777777" w:rsidTr="00830727">
        <w:tc>
          <w:tcPr>
            <w:tcW w:w="4765" w:type="dxa"/>
            <w:gridSpan w:val="2"/>
            <w:shd w:val="clear" w:color="auto" w:fill="auto"/>
          </w:tcPr>
          <w:p w14:paraId="7AD53D37" w14:textId="35DC5260" w:rsidR="00665F06" w:rsidRPr="003B6A69" w:rsidRDefault="00665F06" w:rsidP="00CA5277">
            <w:pPr>
              <w:spacing w:after="120"/>
              <w:jc w:val="left"/>
              <w:rPr>
                <w:rFonts w:cs="Arial"/>
                <w:i/>
                <w:szCs w:val="20"/>
                <w:lang w:val="en-GB"/>
              </w:rPr>
            </w:pPr>
            <w:r w:rsidRPr="003B6A69">
              <w:rPr>
                <w:rFonts w:cs="Arial"/>
                <w:b/>
                <w:szCs w:val="20"/>
                <w:lang w:val="en-GB"/>
              </w:rPr>
              <w:t xml:space="preserve">UNDP Social and Environmental Screening Category: </w:t>
            </w:r>
            <w:r w:rsidR="00CA5277" w:rsidRPr="003B6A69">
              <w:rPr>
                <w:rFonts w:cs="Arial"/>
                <w:szCs w:val="20"/>
                <w:lang w:val="en-GB"/>
              </w:rPr>
              <w:t>Moderate</w:t>
            </w:r>
            <w:r w:rsidRPr="003B6A69">
              <w:rPr>
                <w:rFonts w:cs="Arial"/>
                <w:b/>
                <w:szCs w:val="20"/>
                <w:lang w:val="en-GB"/>
              </w:rPr>
              <w:t xml:space="preserve"> </w:t>
            </w:r>
          </w:p>
        </w:tc>
        <w:tc>
          <w:tcPr>
            <w:tcW w:w="5153" w:type="dxa"/>
            <w:gridSpan w:val="2"/>
            <w:shd w:val="clear" w:color="auto" w:fill="auto"/>
          </w:tcPr>
          <w:p w14:paraId="619A73D8" w14:textId="3F94555A" w:rsidR="00665F06" w:rsidRPr="003B6A69" w:rsidRDefault="00665F06" w:rsidP="00CA5277">
            <w:pPr>
              <w:spacing w:after="120"/>
              <w:jc w:val="left"/>
              <w:rPr>
                <w:i/>
                <w:lang w:val="en-GB"/>
              </w:rPr>
            </w:pPr>
            <w:r w:rsidRPr="003B6A69">
              <w:rPr>
                <w:rFonts w:cs="Arial"/>
                <w:b/>
                <w:szCs w:val="20"/>
                <w:lang w:val="en-GB"/>
              </w:rPr>
              <w:t>UNDP Gender Marker</w:t>
            </w:r>
            <w:r w:rsidR="00CA5277" w:rsidRPr="003B6A69">
              <w:rPr>
                <w:rFonts w:cs="Arial"/>
                <w:b/>
                <w:szCs w:val="20"/>
                <w:lang w:val="en-GB"/>
              </w:rPr>
              <w:t xml:space="preserve">: </w:t>
            </w:r>
            <w:r w:rsidR="00CA5277" w:rsidRPr="003B6A69">
              <w:rPr>
                <w:rFonts w:cs="Arial"/>
                <w:szCs w:val="20"/>
                <w:lang w:val="en-GB"/>
              </w:rPr>
              <w:t>GEN 2</w:t>
            </w:r>
          </w:p>
        </w:tc>
      </w:tr>
      <w:tr w:rsidR="00665F06" w:rsidRPr="003B6A69" w14:paraId="347A622C" w14:textId="77777777" w:rsidTr="00830727">
        <w:tc>
          <w:tcPr>
            <w:tcW w:w="4765" w:type="dxa"/>
            <w:gridSpan w:val="2"/>
            <w:shd w:val="clear" w:color="auto" w:fill="auto"/>
          </w:tcPr>
          <w:p w14:paraId="29CA2B4D" w14:textId="2236784F" w:rsidR="00665F06" w:rsidRPr="003B6A69" w:rsidRDefault="00665F06" w:rsidP="00601999">
            <w:pPr>
              <w:spacing w:after="120"/>
              <w:jc w:val="left"/>
              <w:rPr>
                <w:rFonts w:cs="Arial"/>
                <w:szCs w:val="20"/>
                <w:lang w:val="en-GB" w:eastAsia="zh-CN"/>
              </w:rPr>
            </w:pPr>
            <w:r w:rsidRPr="003B6A69">
              <w:rPr>
                <w:rFonts w:asciiTheme="minorHAnsi" w:hAnsiTheme="minorHAnsi" w:cstheme="minorHAnsi"/>
                <w:b/>
                <w:szCs w:val="20"/>
                <w:lang w:val="en-GB"/>
              </w:rPr>
              <w:t xml:space="preserve">Atlas Award ID: </w:t>
            </w:r>
            <w:r w:rsidR="002C793B" w:rsidRPr="003B6A69">
              <w:rPr>
                <w:rFonts w:asciiTheme="minorHAnsi" w:hAnsiTheme="minorHAnsi" w:cstheme="minorHAnsi"/>
                <w:bCs/>
                <w:szCs w:val="20"/>
                <w:lang w:val="en-GB"/>
              </w:rPr>
              <w:t>00117706</w:t>
            </w:r>
          </w:p>
        </w:tc>
        <w:tc>
          <w:tcPr>
            <w:tcW w:w="5153" w:type="dxa"/>
            <w:gridSpan w:val="2"/>
            <w:shd w:val="clear" w:color="auto" w:fill="auto"/>
          </w:tcPr>
          <w:p w14:paraId="4BEBE9EF" w14:textId="2B665AD5" w:rsidR="00665F06" w:rsidRPr="003B6A69" w:rsidRDefault="00665F06" w:rsidP="00F92D3B">
            <w:pPr>
              <w:spacing w:after="120"/>
              <w:jc w:val="left"/>
              <w:rPr>
                <w:rFonts w:cs="Arial"/>
                <w:i/>
                <w:szCs w:val="20"/>
                <w:lang w:val="en-GB"/>
              </w:rPr>
            </w:pPr>
            <w:r w:rsidRPr="003B6A69">
              <w:rPr>
                <w:rFonts w:asciiTheme="minorHAnsi" w:hAnsiTheme="minorHAnsi" w:cstheme="minorHAnsi"/>
                <w:b/>
                <w:szCs w:val="20"/>
                <w:lang w:val="en-GB"/>
              </w:rPr>
              <w:t>Atlas</w:t>
            </w:r>
            <w:r w:rsidR="00BE62B5" w:rsidRPr="003B6A69">
              <w:rPr>
                <w:rFonts w:asciiTheme="minorHAnsi" w:hAnsiTheme="minorHAnsi" w:cstheme="minorHAnsi"/>
                <w:b/>
                <w:szCs w:val="20"/>
                <w:lang w:val="en-GB" w:eastAsia="zh-CN"/>
              </w:rPr>
              <w:t xml:space="preserve"> P</w:t>
            </w:r>
            <w:r w:rsidR="00BE62B5" w:rsidRPr="003B6A69">
              <w:rPr>
                <w:rFonts w:asciiTheme="minorHAnsi" w:hAnsiTheme="minorHAnsi" w:cstheme="minorHAnsi"/>
                <w:b/>
                <w:szCs w:val="20"/>
                <w:lang w:val="en-GB"/>
              </w:rPr>
              <w:t>roject/</w:t>
            </w:r>
            <w:r w:rsidRPr="003B6A69">
              <w:rPr>
                <w:rFonts w:asciiTheme="minorHAnsi" w:hAnsiTheme="minorHAnsi" w:cstheme="minorHAnsi"/>
                <w:b/>
                <w:szCs w:val="20"/>
                <w:lang w:val="en-GB"/>
              </w:rPr>
              <w:t>O</w:t>
            </w:r>
            <w:r w:rsidRPr="003B6A69">
              <w:rPr>
                <w:rFonts w:asciiTheme="minorHAnsi" w:hAnsiTheme="minorHAnsi" w:cstheme="minorHAnsi"/>
                <w:b/>
                <w:szCs w:val="20"/>
                <w:lang w:val="en-GB" w:eastAsia="zh-CN"/>
              </w:rPr>
              <w:t>utput ID</w:t>
            </w:r>
            <w:r w:rsidRPr="003B6A69">
              <w:rPr>
                <w:rFonts w:asciiTheme="minorHAnsi" w:hAnsiTheme="minorHAnsi" w:cstheme="minorHAnsi"/>
                <w:b/>
                <w:szCs w:val="20"/>
                <w:lang w:val="en-GB"/>
              </w:rPr>
              <w:t xml:space="preserve">:  </w:t>
            </w:r>
            <w:r w:rsidR="002C793B" w:rsidRPr="003B6A69">
              <w:rPr>
                <w:rFonts w:asciiTheme="minorHAnsi" w:hAnsiTheme="minorHAnsi" w:cstheme="minorHAnsi"/>
                <w:bCs/>
                <w:szCs w:val="20"/>
                <w:lang w:val="en-GB"/>
              </w:rPr>
              <w:t>00114485</w:t>
            </w:r>
          </w:p>
        </w:tc>
      </w:tr>
      <w:tr w:rsidR="00665F06" w:rsidRPr="003B6A69" w14:paraId="3A8CFC01" w14:textId="77777777" w:rsidTr="00830727">
        <w:tc>
          <w:tcPr>
            <w:tcW w:w="4765" w:type="dxa"/>
            <w:gridSpan w:val="2"/>
            <w:shd w:val="clear" w:color="auto" w:fill="auto"/>
          </w:tcPr>
          <w:p w14:paraId="5614FE7C" w14:textId="1B485C86" w:rsidR="00665F06" w:rsidRPr="003B6A69" w:rsidRDefault="00BB1914" w:rsidP="00CA5277">
            <w:pPr>
              <w:spacing w:after="120"/>
              <w:jc w:val="left"/>
              <w:rPr>
                <w:rFonts w:cs="Arial"/>
                <w:b/>
                <w:szCs w:val="20"/>
                <w:lang w:val="en-GB"/>
              </w:rPr>
            </w:pPr>
            <w:r w:rsidRPr="003B6A69">
              <w:rPr>
                <w:rFonts w:cs="Arial"/>
                <w:b/>
                <w:szCs w:val="20"/>
              </w:rPr>
              <w:t xml:space="preserve">UNDP-GEF PIMS ID number: </w:t>
            </w:r>
            <w:r w:rsidR="00CA5277" w:rsidRPr="003B6A69">
              <w:rPr>
                <w:rFonts w:cs="Arial"/>
                <w:bCs/>
                <w:szCs w:val="20"/>
              </w:rPr>
              <w:t>6461</w:t>
            </w:r>
            <w:r w:rsidRPr="003B6A69">
              <w:rPr>
                <w:rFonts w:cs="Arial"/>
                <w:b/>
                <w:szCs w:val="20"/>
              </w:rPr>
              <w:t xml:space="preserve"> </w:t>
            </w:r>
          </w:p>
        </w:tc>
        <w:tc>
          <w:tcPr>
            <w:tcW w:w="5153" w:type="dxa"/>
            <w:gridSpan w:val="2"/>
            <w:shd w:val="clear" w:color="auto" w:fill="auto"/>
          </w:tcPr>
          <w:p w14:paraId="7E73C657" w14:textId="2B00B2C8" w:rsidR="00665F06" w:rsidRPr="003B6A69" w:rsidRDefault="00665F06" w:rsidP="00F92D3B">
            <w:pPr>
              <w:spacing w:after="120"/>
              <w:jc w:val="left"/>
              <w:rPr>
                <w:rFonts w:cs="Arial"/>
                <w:b/>
                <w:szCs w:val="20"/>
                <w:lang w:val="en-GB"/>
              </w:rPr>
            </w:pPr>
            <w:r w:rsidRPr="003B6A69">
              <w:rPr>
                <w:rFonts w:cs="Arial"/>
                <w:b/>
                <w:szCs w:val="20"/>
                <w:lang w:val="en-GB"/>
              </w:rPr>
              <w:t>GEF Project ID number:</w:t>
            </w:r>
            <w:r w:rsidR="002C793B" w:rsidRPr="003B6A69">
              <w:rPr>
                <w:rFonts w:cs="Arial"/>
                <w:b/>
                <w:szCs w:val="20"/>
                <w:lang w:val="en-GB"/>
              </w:rPr>
              <w:t xml:space="preserve"> </w:t>
            </w:r>
            <w:r w:rsidR="00CA5277" w:rsidRPr="003B6A69">
              <w:rPr>
                <w:rFonts w:cs="Arial"/>
                <w:bCs/>
                <w:szCs w:val="20"/>
                <w:lang w:val="en-GB"/>
              </w:rPr>
              <w:t>10343</w:t>
            </w:r>
          </w:p>
        </w:tc>
      </w:tr>
      <w:tr w:rsidR="00665F06" w:rsidRPr="003B6A69" w14:paraId="6F51FB25" w14:textId="77777777" w:rsidTr="000A546A">
        <w:tc>
          <w:tcPr>
            <w:tcW w:w="9918" w:type="dxa"/>
            <w:gridSpan w:val="4"/>
            <w:shd w:val="clear" w:color="auto" w:fill="auto"/>
          </w:tcPr>
          <w:p w14:paraId="4DAC8AB4" w14:textId="0D6CB4D8" w:rsidR="00665F06" w:rsidRPr="003B6A69" w:rsidRDefault="00665F06" w:rsidP="000E4C99">
            <w:pPr>
              <w:spacing w:after="120"/>
              <w:jc w:val="left"/>
              <w:rPr>
                <w:rFonts w:cs="Arial"/>
                <w:b/>
                <w:iCs/>
                <w:szCs w:val="20"/>
                <w:lang w:val="en-GB"/>
              </w:rPr>
            </w:pPr>
            <w:r w:rsidRPr="003B6A69">
              <w:rPr>
                <w:rFonts w:cs="Arial"/>
                <w:b/>
                <w:szCs w:val="20"/>
                <w:lang w:val="en-GB"/>
              </w:rPr>
              <w:t xml:space="preserve">LPAC meeting date: </w:t>
            </w:r>
            <w:r w:rsidR="002C793B" w:rsidRPr="003B6A69">
              <w:rPr>
                <w:rFonts w:cs="Arial"/>
                <w:i/>
                <w:szCs w:val="20"/>
                <w:lang w:val="en-GB"/>
              </w:rPr>
              <w:t>TBC</w:t>
            </w:r>
          </w:p>
        </w:tc>
      </w:tr>
      <w:tr w:rsidR="00665F06" w:rsidRPr="003B6A69" w14:paraId="64FA54A2" w14:textId="77777777" w:rsidTr="000A546A">
        <w:tc>
          <w:tcPr>
            <w:tcW w:w="9918" w:type="dxa"/>
            <w:gridSpan w:val="4"/>
            <w:shd w:val="clear" w:color="auto" w:fill="auto"/>
          </w:tcPr>
          <w:p w14:paraId="371CBFE4" w14:textId="43DC41A2" w:rsidR="00665F06" w:rsidRPr="003B6A69" w:rsidRDefault="00BB1914" w:rsidP="00E95E0D">
            <w:pPr>
              <w:spacing w:after="120"/>
              <w:jc w:val="left"/>
              <w:rPr>
                <w:rFonts w:cs="Arial"/>
                <w:b/>
                <w:szCs w:val="20"/>
                <w:lang w:val="en-GB"/>
              </w:rPr>
            </w:pPr>
            <w:r w:rsidRPr="003B6A69">
              <w:rPr>
                <w:rFonts w:cs="Arial"/>
                <w:b/>
                <w:szCs w:val="20"/>
              </w:rPr>
              <w:t xml:space="preserve">Last possible date to submit to GEF: </w:t>
            </w:r>
            <w:r w:rsidR="00476E58" w:rsidRPr="003B6A69">
              <w:rPr>
                <w:rFonts w:cs="Arial"/>
                <w:i/>
                <w:szCs w:val="20"/>
              </w:rPr>
              <w:t>June</w:t>
            </w:r>
            <w:r w:rsidR="00E95E0D" w:rsidRPr="003B6A69">
              <w:rPr>
                <w:rFonts w:cs="Arial"/>
                <w:i/>
                <w:szCs w:val="20"/>
              </w:rPr>
              <w:t xml:space="preserve"> 19</w:t>
            </w:r>
            <w:r w:rsidR="00476E58" w:rsidRPr="003B6A69">
              <w:rPr>
                <w:rFonts w:cs="Arial"/>
                <w:i/>
                <w:szCs w:val="20"/>
              </w:rPr>
              <w:t>, 2021</w:t>
            </w:r>
          </w:p>
        </w:tc>
      </w:tr>
      <w:tr w:rsidR="00830727" w:rsidRPr="003B6A69" w14:paraId="06CFA2C2" w14:textId="77777777" w:rsidTr="000A546A">
        <w:tc>
          <w:tcPr>
            <w:tcW w:w="9918" w:type="dxa"/>
            <w:gridSpan w:val="4"/>
            <w:shd w:val="clear" w:color="auto" w:fill="auto"/>
          </w:tcPr>
          <w:p w14:paraId="368E2935" w14:textId="1874CDF9" w:rsidR="00830727" w:rsidRPr="003B6A69" w:rsidRDefault="00830727" w:rsidP="00E95E0D">
            <w:pPr>
              <w:spacing w:after="120"/>
              <w:jc w:val="left"/>
              <w:rPr>
                <w:rFonts w:cs="Arial"/>
                <w:b/>
                <w:szCs w:val="20"/>
              </w:rPr>
            </w:pPr>
            <w:r w:rsidRPr="003B6A69">
              <w:rPr>
                <w:rFonts w:cs="Arial"/>
                <w:b/>
                <w:szCs w:val="20"/>
              </w:rPr>
              <w:t xml:space="preserve">Latest possible CEO endorsement date: </w:t>
            </w:r>
            <w:r w:rsidRPr="003B6A69">
              <w:rPr>
                <w:rFonts w:cs="Arial"/>
                <w:i/>
                <w:szCs w:val="20"/>
              </w:rPr>
              <w:t>December</w:t>
            </w:r>
            <w:r w:rsidR="00E95E0D" w:rsidRPr="003B6A69">
              <w:rPr>
                <w:rFonts w:cs="Arial"/>
                <w:i/>
                <w:szCs w:val="20"/>
              </w:rPr>
              <w:t xml:space="preserve"> 19</w:t>
            </w:r>
            <w:r w:rsidRPr="003B6A69">
              <w:rPr>
                <w:rFonts w:cs="Arial"/>
                <w:i/>
                <w:szCs w:val="20"/>
              </w:rPr>
              <w:t>,</w:t>
            </w:r>
            <w:r w:rsidR="00E95E0D" w:rsidRPr="003B6A69">
              <w:rPr>
                <w:rFonts w:cs="Arial"/>
                <w:i/>
                <w:szCs w:val="20"/>
              </w:rPr>
              <w:t xml:space="preserve"> </w:t>
            </w:r>
            <w:r w:rsidRPr="003B6A69">
              <w:rPr>
                <w:rFonts w:cs="Arial"/>
                <w:i/>
                <w:szCs w:val="20"/>
              </w:rPr>
              <w:t>2021</w:t>
            </w:r>
          </w:p>
        </w:tc>
      </w:tr>
      <w:tr w:rsidR="00665F06" w:rsidRPr="003B6A69" w14:paraId="42B120E8" w14:textId="77777777" w:rsidTr="000A546A">
        <w:tc>
          <w:tcPr>
            <w:tcW w:w="9918" w:type="dxa"/>
            <w:gridSpan w:val="4"/>
            <w:shd w:val="clear" w:color="auto" w:fill="auto"/>
          </w:tcPr>
          <w:p w14:paraId="728DBDA4" w14:textId="4054F8A2" w:rsidR="00665F06" w:rsidRPr="003B6A69" w:rsidRDefault="00830727" w:rsidP="00476E58">
            <w:pPr>
              <w:spacing w:after="120"/>
              <w:jc w:val="left"/>
              <w:rPr>
                <w:rFonts w:cs="Arial"/>
                <w:b/>
                <w:szCs w:val="20"/>
                <w:lang w:val="en-GB"/>
              </w:rPr>
            </w:pPr>
            <w:r w:rsidRPr="003B6A69">
              <w:rPr>
                <w:rFonts w:cs="Arial"/>
                <w:b/>
                <w:szCs w:val="20"/>
              </w:rPr>
              <w:t xml:space="preserve">Project duration in months: </w:t>
            </w:r>
            <w:r w:rsidRPr="003B6A69">
              <w:rPr>
                <w:rFonts w:cs="Arial"/>
                <w:bCs/>
                <w:i/>
                <w:szCs w:val="20"/>
              </w:rPr>
              <w:t>60 months</w:t>
            </w:r>
          </w:p>
        </w:tc>
      </w:tr>
      <w:tr w:rsidR="00665F06" w:rsidRPr="003B6A69" w14:paraId="375989F8" w14:textId="77777777" w:rsidTr="00830727">
        <w:tc>
          <w:tcPr>
            <w:tcW w:w="4765" w:type="dxa"/>
            <w:gridSpan w:val="2"/>
            <w:shd w:val="clear" w:color="auto" w:fill="auto"/>
          </w:tcPr>
          <w:p w14:paraId="20484684" w14:textId="681FA2F7" w:rsidR="00665F06" w:rsidRPr="003B6A69" w:rsidRDefault="00BB1914" w:rsidP="00476E58">
            <w:pPr>
              <w:spacing w:after="120"/>
              <w:jc w:val="left"/>
              <w:rPr>
                <w:rFonts w:cs="Arial"/>
                <w:b/>
                <w:szCs w:val="20"/>
                <w:lang w:val="en-GB"/>
              </w:rPr>
            </w:pPr>
            <w:r w:rsidRPr="003B6A69">
              <w:rPr>
                <w:rFonts w:cs="Arial"/>
                <w:b/>
                <w:szCs w:val="20"/>
              </w:rPr>
              <w:t xml:space="preserve">Planned start date: </w:t>
            </w:r>
            <w:r w:rsidR="00476E58" w:rsidRPr="003B6A69">
              <w:rPr>
                <w:rFonts w:cs="Arial"/>
                <w:i/>
                <w:szCs w:val="20"/>
              </w:rPr>
              <w:t>January 1, 2022</w:t>
            </w:r>
          </w:p>
        </w:tc>
        <w:tc>
          <w:tcPr>
            <w:tcW w:w="5153" w:type="dxa"/>
            <w:gridSpan w:val="2"/>
            <w:shd w:val="clear" w:color="auto" w:fill="auto"/>
          </w:tcPr>
          <w:p w14:paraId="0FC5EE74" w14:textId="1DE1BE42" w:rsidR="00BB1914" w:rsidRPr="003B6A69" w:rsidRDefault="00665F06" w:rsidP="00476E58">
            <w:pPr>
              <w:spacing w:after="120"/>
              <w:jc w:val="left"/>
              <w:rPr>
                <w:rFonts w:cs="Arial"/>
                <w:i/>
                <w:szCs w:val="20"/>
                <w:lang w:val="en-GB"/>
              </w:rPr>
            </w:pPr>
            <w:r w:rsidRPr="003B6A69">
              <w:rPr>
                <w:rFonts w:asciiTheme="minorHAnsi" w:hAnsiTheme="minorHAnsi" w:cstheme="minorHAnsi"/>
                <w:b/>
                <w:szCs w:val="20"/>
                <w:lang w:val="en-GB"/>
              </w:rPr>
              <w:t xml:space="preserve">Planned end date:  </w:t>
            </w:r>
            <w:r w:rsidR="00476E58" w:rsidRPr="003B6A69">
              <w:rPr>
                <w:rFonts w:cs="Arial"/>
                <w:i/>
                <w:szCs w:val="20"/>
                <w:lang w:val="en-GB"/>
              </w:rPr>
              <w:t>December 31, 2026</w:t>
            </w:r>
          </w:p>
        </w:tc>
      </w:tr>
      <w:tr w:rsidR="00665F06" w:rsidRPr="003B6A69" w14:paraId="12AB813B" w14:textId="77777777" w:rsidTr="00830727">
        <w:tc>
          <w:tcPr>
            <w:tcW w:w="4765" w:type="dxa"/>
            <w:gridSpan w:val="2"/>
            <w:shd w:val="clear" w:color="auto" w:fill="auto"/>
          </w:tcPr>
          <w:p w14:paraId="010EC0EB" w14:textId="644390FC" w:rsidR="00BB1914" w:rsidRPr="003B6A69" w:rsidRDefault="00BB1914" w:rsidP="00E95E0D">
            <w:pPr>
              <w:spacing w:after="120"/>
              <w:jc w:val="left"/>
              <w:rPr>
                <w:rFonts w:cs="Arial"/>
                <w:b/>
                <w:szCs w:val="20"/>
                <w:lang w:val="en-GB"/>
              </w:rPr>
            </w:pPr>
            <w:r w:rsidRPr="003B6A69">
              <w:rPr>
                <w:rFonts w:cs="Arial"/>
                <w:b/>
                <w:szCs w:val="20"/>
              </w:rPr>
              <w:t xml:space="preserve">Expected date of Mid-Term Review: </w:t>
            </w:r>
            <w:r w:rsidR="00476E58" w:rsidRPr="003B6A69">
              <w:rPr>
                <w:rFonts w:cs="Arial"/>
                <w:i/>
                <w:szCs w:val="20"/>
              </w:rPr>
              <w:t>September</w:t>
            </w:r>
            <w:r w:rsidR="00E95E0D" w:rsidRPr="003B6A69">
              <w:rPr>
                <w:rFonts w:cs="Arial"/>
                <w:i/>
                <w:szCs w:val="20"/>
              </w:rPr>
              <w:t xml:space="preserve"> 30</w:t>
            </w:r>
            <w:r w:rsidR="00476E58" w:rsidRPr="003B6A69">
              <w:rPr>
                <w:rFonts w:cs="Arial"/>
                <w:i/>
                <w:szCs w:val="20"/>
              </w:rPr>
              <w:t>, 2024</w:t>
            </w:r>
          </w:p>
        </w:tc>
        <w:tc>
          <w:tcPr>
            <w:tcW w:w="5153" w:type="dxa"/>
            <w:gridSpan w:val="2"/>
            <w:shd w:val="clear" w:color="auto" w:fill="auto"/>
          </w:tcPr>
          <w:p w14:paraId="2E0BB856" w14:textId="425C4B20" w:rsidR="00665F06" w:rsidRPr="003B6A69" w:rsidRDefault="009F7309" w:rsidP="00E95E0D">
            <w:pPr>
              <w:spacing w:after="120"/>
              <w:jc w:val="left"/>
              <w:rPr>
                <w:rFonts w:cs="Arial"/>
                <w:b/>
                <w:szCs w:val="20"/>
                <w:lang w:val="en-GB"/>
              </w:rPr>
            </w:pPr>
            <w:r w:rsidRPr="003B6A69">
              <w:rPr>
                <w:rFonts w:cs="Arial"/>
                <w:b/>
                <w:szCs w:val="20"/>
              </w:rPr>
              <w:t xml:space="preserve">Expected date of Terminal evaluation: </w:t>
            </w:r>
            <w:r w:rsidR="007F26F6" w:rsidRPr="003B6A69">
              <w:rPr>
                <w:rFonts w:cs="Arial"/>
                <w:i/>
                <w:szCs w:val="20"/>
              </w:rPr>
              <w:t>November</w:t>
            </w:r>
            <w:r w:rsidR="00E95E0D" w:rsidRPr="003B6A69">
              <w:rPr>
                <w:rFonts w:cs="Arial"/>
                <w:i/>
                <w:szCs w:val="20"/>
              </w:rPr>
              <w:t xml:space="preserve"> 30</w:t>
            </w:r>
            <w:r w:rsidR="00476E58" w:rsidRPr="003B6A69">
              <w:rPr>
                <w:rFonts w:cs="Arial"/>
                <w:i/>
                <w:szCs w:val="20"/>
              </w:rPr>
              <w:t>, 2026</w:t>
            </w:r>
          </w:p>
        </w:tc>
      </w:tr>
      <w:tr w:rsidR="00665F06" w:rsidRPr="003B6A69" w14:paraId="2A1DBA7D" w14:textId="77777777" w:rsidTr="000A546A">
        <w:tc>
          <w:tcPr>
            <w:tcW w:w="9918" w:type="dxa"/>
            <w:gridSpan w:val="4"/>
            <w:shd w:val="clear" w:color="auto" w:fill="auto"/>
          </w:tcPr>
          <w:p w14:paraId="58896613" w14:textId="3F3FC67B" w:rsidR="00665F06" w:rsidRPr="003B6A69" w:rsidRDefault="009F7309" w:rsidP="00723671">
            <w:pPr>
              <w:spacing w:after="240"/>
              <w:jc w:val="left"/>
              <w:rPr>
                <w:rFonts w:cs="Arial"/>
                <w:i/>
                <w:szCs w:val="20"/>
                <w:lang w:val="en-GB"/>
              </w:rPr>
            </w:pPr>
            <w:r w:rsidRPr="003B6A69">
              <w:rPr>
                <w:rFonts w:cs="Arial"/>
                <w:b/>
                <w:szCs w:val="20"/>
              </w:rPr>
              <w:t xml:space="preserve">Brief project description: </w:t>
            </w:r>
            <w:r w:rsidR="00723671" w:rsidRPr="003B6A69">
              <w:rPr>
                <w:rFonts w:cs="Arial"/>
                <w:i/>
                <w:szCs w:val="20"/>
              </w:rPr>
              <w:t xml:space="preserve">The project is geographically focused on the Key Biodiversity Areas (KBAs) of Montenegro and includes various types of intervention and involves both ecosystem protection and work with production sectors, such as tourism, agriculture, and forestry. The Component 1 of the proposed project deals with the management constraints associated with the Protected Area estate, and unprotected biodiversity hotspots. The project will provide for the improved management of the pilot protected areas in order to ensure compliance with the international requirements for protection of valuable biodiversity within KBAs and other international biodiversity </w:t>
            </w:r>
            <w:proofErr w:type="gramStart"/>
            <w:r w:rsidR="00723671" w:rsidRPr="003B6A69">
              <w:rPr>
                <w:rFonts w:cs="Arial"/>
                <w:i/>
                <w:szCs w:val="20"/>
              </w:rPr>
              <w:t>hot-spots</w:t>
            </w:r>
            <w:proofErr w:type="gramEnd"/>
            <w:r w:rsidR="00723671" w:rsidRPr="003B6A69">
              <w:rPr>
                <w:rFonts w:cs="Arial"/>
                <w:i/>
                <w:szCs w:val="20"/>
              </w:rPr>
              <w:t xml:space="preserve">. Through spatial planning instruments, the project will promote concrete solutions for valuable and threatened BD conservation outside PAs. The Component 2 targets the productive landscapes outside PAs and in the vicinity of KBAs, where the project will address the sectoral threats to biodiversity via mainstreaming of BD-friendly practices and adjust the sectoral development scenarios for tourism, </w:t>
            </w:r>
            <w:proofErr w:type="gramStart"/>
            <w:r w:rsidR="00723671" w:rsidRPr="003B6A69">
              <w:rPr>
                <w:rFonts w:cs="Arial"/>
                <w:i/>
                <w:szCs w:val="20"/>
              </w:rPr>
              <w:t>forestry</w:t>
            </w:r>
            <w:proofErr w:type="gramEnd"/>
            <w:r w:rsidR="00723671" w:rsidRPr="003B6A69">
              <w:rPr>
                <w:rFonts w:cs="Arial"/>
                <w:i/>
                <w:szCs w:val="20"/>
              </w:rPr>
              <w:t xml:space="preserve"> and agriculture to take into account the potential impact on biodiversity. The project will </w:t>
            </w:r>
            <w:proofErr w:type="gramStart"/>
            <w:r w:rsidR="00723671" w:rsidRPr="003B6A69">
              <w:rPr>
                <w:rFonts w:cs="Arial"/>
                <w:i/>
                <w:szCs w:val="20"/>
              </w:rPr>
              <w:t>offer assistance to</w:t>
            </w:r>
            <w:proofErr w:type="gramEnd"/>
            <w:r w:rsidR="00723671" w:rsidRPr="003B6A69">
              <w:rPr>
                <w:rFonts w:cs="Arial"/>
                <w:i/>
                <w:szCs w:val="20"/>
              </w:rPr>
              <w:t xml:space="preserve"> Government in biodiversity-friendly planning for the post-COVID planning for recovery of the tourism sector, will help developing best-practice standards for sustainable tourism and nature-based BD friendly tourism, and support the small-scale tourism business development towards the more offerings of </w:t>
            </w:r>
            <w:r w:rsidR="00723671" w:rsidRPr="003B6A69">
              <w:rPr>
                <w:rFonts w:cs="Arial"/>
                <w:i/>
                <w:szCs w:val="20"/>
                <w:lang w:val="en-ZA"/>
              </w:rPr>
              <w:t>biodiversity-sensitive nature-based tourism</w:t>
            </w:r>
            <w:r w:rsidR="00723671" w:rsidRPr="003B6A69">
              <w:rPr>
                <w:rFonts w:cs="Arial"/>
                <w:i/>
                <w:szCs w:val="20"/>
              </w:rPr>
              <w:t xml:space="preserve"> products. For the forestry sector, the project will offer best-practice standards for mainstreaming biodiversity-friendly forestry practices, will assist the Government with support and services to private forest owners, and help promote biodiversity-positive entrepreneurship in forestry. For BD </w:t>
            </w:r>
            <w:r w:rsidR="00723671" w:rsidRPr="003B6A69">
              <w:rPr>
                <w:rFonts w:cs="Arial"/>
                <w:i/>
                <w:szCs w:val="20"/>
              </w:rPr>
              <w:lastRenderedPageBreak/>
              <w:t xml:space="preserve">mainstreaming in agriculture, the project will support the Government with the introduction of </w:t>
            </w:r>
            <w:proofErr w:type="spellStart"/>
            <w:r w:rsidR="00723671" w:rsidRPr="003B6A69">
              <w:rPr>
                <w:rFonts w:cs="Arial"/>
                <w:i/>
                <w:szCs w:val="20"/>
              </w:rPr>
              <w:t>agro</w:t>
            </w:r>
            <w:proofErr w:type="spellEnd"/>
            <w:r w:rsidR="00723671" w:rsidRPr="003B6A69">
              <w:rPr>
                <w:rFonts w:cs="Arial"/>
                <w:i/>
                <w:szCs w:val="20"/>
              </w:rPr>
              <w:t xml:space="preserve">-environmental incentives and piloting of </w:t>
            </w:r>
            <w:proofErr w:type="spellStart"/>
            <w:r w:rsidR="00723671" w:rsidRPr="003B6A69">
              <w:rPr>
                <w:rFonts w:cs="Arial"/>
                <w:i/>
                <w:szCs w:val="20"/>
              </w:rPr>
              <w:t>agro</w:t>
            </w:r>
            <w:proofErr w:type="spellEnd"/>
            <w:r w:rsidR="00723671" w:rsidRPr="003B6A69">
              <w:rPr>
                <w:rFonts w:cs="Arial"/>
                <w:i/>
                <w:szCs w:val="20"/>
              </w:rPr>
              <w:t>-environmental measures.</w:t>
            </w:r>
          </w:p>
        </w:tc>
      </w:tr>
    </w:tbl>
    <w:p w14:paraId="6A462E3F" w14:textId="77777777" w:rsidR="00665F06" w:rsidRPr="003B6A69" w:rsidRDefault="00665F06" w:rsidP="00665F06">
      <w:pPr>
        <w:spacing w:after="0"/>
        <w:jc w:val="left"/>
        <w:rPr>
          <w:rFonts w:cs="Arial"/>
          <w:b/>
          <w:szCs w:val="20"/>
          <w:lang w:val="en-GB"/>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97"/>
        <w:gridCol w:w="2977"/>
        <w:gridCol w:w="284"/>
        <w:gridCol w:w="3260"/>
      </w:tblGrid>
      <w:tr w:rsidR="00665F06" w:rsidRPr="003B6A69" w14:paraId="56CEB467" w14:textId="77777777" w:rsidTr="00F169E9">
        <w:tc>
          <w:tcPr>
            <w:tcW w:w="9918" w:type="dxa"/>
            <w:gridSpan w:val="4"/>
            <w:shd w:val="clear" w:color="auto" w:fill="D9D9D9"/>
          </w:tcPr>
          <w:p w14:paraId="21691170" w14:textId="0C97D2E5" w:rsidR="009F7309" w:rsidRPr="003B6A69" w:rsidRDefault="009F7309" w:rsidP="00830727">
            <w:pPr>
              <w:spacing w:after="120"/>
              <w:jc w:val="left"/>
              <w:rPr>
                <w:rFonts w:cs="Arial"/>
                <w:b/>
                <w:smallCaps/>
                <w:szCs w:val="20"/>
                <w:lang w:val="en-GB"/>
              </w:rPr>
            </w:pPr>
            <w:r w:rsidRPr="003B6A69">
              <w:rPr>
                <w:rFonts w:asciiTheme="minorHAnsi" w:hAnsiTheme="minorHAnsi" w:cs="Arial"/>
                <w:b/>
                <w:smallCaps/>
                <w:szCs w:val="20"/>
              </w:rPr>
              <w:t xml:space="preserve">Financing Plan </w:t>
            </w:r>
          </w:p>
        </w:tc>
      </w:tr>
      <w:tr w:rsidR="00665F06" w:rsidRPr="003B6A69" w14:paraId="50B457D6" w14:textId="77777777" w:rsidTr="00F169E9">
        <w:tc>
          <w:tcPr>
            <w:tcW w:w="6374" w:type="dxa"/>
            <w:gridSpan w:val="2"/>
            <w:shd w:val="clear" w:color="auto" w:fill="auto"/>
          </w:tcPr>
          <w:p w14:paraId="52EBAE88" w14:textId="37825410" w:rsidR="00665F06" w:rsidRPr="003B6A69" w:rsidRDefault="009F7309" w:rsidP="00830727">
            <w:pPr>
              <w:spacing w:after="120"/>
              <w:jc w:val="left"/>
              <w:rPr>
                <w:rFonts w:cs="Arial"/>
                <w:szCs w:val="20"/>
                <w:lang w:val="en-GB"/>
              </w:rPr>
            </w:pPr>
            <w:r w:rsidRPr="003B6A69">
              <w:rPr>
                <w:rFonts w:cs="Arial"/>
                <w:szCs w:val="20"/>
              </w:rPr>
              <w:t>GEF Trust Fund</w:t>
            </w:r>
            <w:r w:rsidR="000A546A" w:rsidRPr="003B6A69">
              <w:rPr>
                <w:rFonts w:cs="Arial"/>
                <w:szCs w:val="20"/>
              </w:rPr>
              <w:t xml:space="preserve"> grant</w:t>
            </w:r>
            <w:r w:rsidRPr="003B6A69">
              <w:rPr>
                <w:rFonts w:cs="Arial"/>
                <w:szCs w:val="20"/>
              </w:rPr>
              <w:t xml:space="preserve"> </w:t>
            </w:r>
          </w:p>
        </w:tc>
        <w:tc>
          <w:tcPr>
            <w:tcW w:w="3544" w:type="dxa"/>
            <w:gridSpan w:val="2"/>
            <w:shd w:val="clear" w:color="auto" w:fill="auto"/>
          </w:tcPr>
          <w:p w14:paraId="36936C73" w14:textId="0195EB8B" w:rsidR="00665F06" w:rsidRPr="003B6A69" w:rsidRDefault="00665F06" w:rsidP="00F92D3B">
            <w:pPr>
              <w:spacing w:after="120"/>
              <w:jc w:val="left"/>
              <w:rPr>
                <w:rFonts w:cs="Arial"/>
                <w:szCs w:val="20"/>
                <w:lang w:val="en-GB"/>
              </w:rPr>
            </w:pPr>
            <w:r w:rsidRPr="003B6A69">
              <w:rPr>
                <w:rFonts w:cs="Arial"/>
                <w:szCs w:val="20"/>
                <w:lang w:val="en-GB"/>
              </w:rPr>
              <w:t>USD</w:t>
            </w:r>
            <w:r w:rsidR="00830727" w:rsidRPr="003B6A69">
              <w:rPr>
                <w:rFonts w:cs="Arial"/>
                <w:szCs w:val="20"/>
                <w:lang w:val="en-GB"/>
              </w:rPr>
              <w:t xml:space="preserve"> 3,278,995</w:t>
            </w:r>
          </w:p>
        </w:tc>
      </w:tr>
      <w:tr w:rsidR="00665F06" w:rsidRPr="003B6A69" w14:paraId="086E4485" w14:textId="77777777" w:rsidTr="00F169E9">
        <w:tc>
          <w:tcPr>
            <w:tcW w:w="6374" w:type="dxa"/>
            <w:gridSpan w:val="2"/>
            <w:shd w:val="clear" w:color="auto" w:fill="auto"/>
          </w:tcPr>
          <w:p w14:paraId="319A8156" w14:textId="3824BD9B" w:rsidR="00665F06" w:rsidRPr="003B6A69" w:rsidRDefault="009F7309" w:rsidP="00830727">
            <w:pPr>
              <w:spacing w:after="120"/>
              <w:jc w:val="left"/>
              <w:rPr>
                <w:rFonts w:cs="Arial"/>
                <w:szCs w:val="20"/>
                <w:lang w:val="en-GB"/>
              </w:rPr>
            </w:pPr>
            <w:r w:rsidRPr="003B6A69">
              <w:rPr>
                <w:rFonts w:cs="Arial"/>
                <w:szCs w:val="20"/>
              </w:rPr>
              <w:t xml:space="preserve">UNDP TRAC resources </w:t>
            </w:r>
          </w:p>
        </w:tc>
        <w:tc>
          <w:tcPr>
            <w:tcW w:w="3544" w:type="dxa"/>
            <w:gridSpan w:val="2"/>
            <w:shd w:val="clear" w:color="auto" w:fill="auto"/>
          </w:tcPr>
          <w:p w14:paraId="0F609CDB" w14:textId="477F571D" w:rsidR="00665F06" w:rsidRPr="003B6A69" w:rsidRDefault="00830727" w:rsidP="00830727">
            <w:pPr>
              <w:spacing w:after="120"/>
              <w:jc w:val="left"/>
              <w:rPr>
                <w:rFonts w:cs="Arial"/>
                <w:szCs w:val="20"/>
                <w:lang w:val="en-GB"/>
              </w:rPr>
            </w:pPr>
            <w:r w:rsidRPr="003B6A69">
              <w:rPr>
                <w:rFonts w:cs="Arial"/>
                <w:szCs w:val="20"/>
                <w:lang w:val="en-GB"/>
              </w:rPr>
              <w:t>-</w:t>
            </w:r>
          </w:p>
        </w:tc>
      </w:tr>
      <w:tr w:rsidR="00665F06" w:rsidRPr="003B6A69" w14:paraId="468FAD7F" w14:textId="77777777" w:rsidTr="00F169E9">
        <w:tc>
          <w:tcPr>
            <w:tcW w:w="6374" w:type="dxa"/>
            <w:gridSpan w:val="2"/>
            <w:shd w:val="clear" w:color="auto" w:fill="auto"/>
          </w:tcPr>
          <w:p w14:paraId="09475652" w14:textId="1A7C6FA0" w:rsidR="00665F06" w:rsidRPr="003B6A69" w:rsidRDefault="009F7309" w:rsidP="00F92D3B">
            <w:pPr>
              <w:pStyle w:val="CharCharChar1"/>
              <w:spacing w:after="120" w:line="240" w:lineRule="auto"/>
              <w:rPr>
                <w:lang w:val="en-GB"/>
              </w:rPr>
            </w:pPr>
            <w:r w:rsidRPr="003B6A69">
              <w:t>Confirmed cash co-financing to be administered by UNDP</w:t>
            </w:r>
          </w:p>
        </w:tc>
        <w:tc>
          <w:tcPr>
            <w:tcW w:w="3544" w:type="dxa"/>
            <w:gridSpan w:val="2"/>
            <w:shd w:val="clear" w:color="auto" w:fill="auto"/>
          </w:tcPr>
          <w:p w14:paraId="10C73D84" w14:textId="0A4ACC97" w:rsidR="00665F06" w:rsidRPr="003B6A69" w:rsidRDefault="00830727" w:rsidP="00F92D3B">
            <w:pPr>
              <w:spacing w:after="120"/>
              <w:jc w:val="left"/>
              <w:rPr>
                <w:rFonts w:cs="Arial"/>
                <w:szCs w:val="20"/>
                <w:lang w:val="en-GB"/>
              </w:rPr>
            </w:pPr>
            <w:r w:rsidRPr="003B6A69">
              <w:rPr>
                <w:rFonts w:cs="Arial"/>
                <w:szCs w:val="20"/>
                <w:lang w:val="en-GB"/>
              </w:rPr>
              <w:t>-</w:t>
            </w:r>
          </w:p>
        </w:tc>
      </w:tr>
      <w:tr w:rsidR="00665F06" w:rsidRPr="003B6A69" w14:paraId="076849AE" w14:textId="77777777" w:rsidTr="00F169E9">
        <w:tc>
          <w:tcPr>
            <w:tcW w:w="6374" w:type="dxa"/>
            <w:gridSpan w:val="2"/>
            <w:shd w:val="clear" w:color="auto" w:fill="auto"/>
          </w:tcPr>
          <w:p w14:paraId="3D879A27" w14:textId="77777777" w:rsidR="00665F06" w:rsidRPr="003B6A69" w:rsidRDefault="00665F06" w:rsidP="00AF69F1">
            <w:pPr>
              <w:pStyle w:val="ListParagraph"/>
              <w:numPr>
                <w:ilvl w:val="0"/>
                <w:numId w:val="5"/>
              </w:numPr>
              <w:spacing w:after="120"/>
              <w:jc w:val="right"/>
              <w:rPr>
                <w:rFonts w:ascii="Calibri" w:hAnsi="Calibri" w:cs="Arial"/>
                <w:b/>
                <w:sz w:val="20"/>
                <w:szCs w:val="20"/>
                <w:lang w:val="en-GB"/>
              </w:rPr>
            </w:pPr>
            <w:r w:rsidRPr="003B6A69">
              <w:rPr>
                <w:rFonts w:ascii="Calibri" w:hAnsi="Calibri" w:cs="Arial"/>
                <w:b/>
                <w:sz w:val="20"/>
                <w:szCs w:val="20"/>
                <w:lang w:val="en-GB" w:eastAsia="zh-CN"/>
              </w:rPr>
              <w:t xml:space="preserve">Total </w:t>
            </w:r>
            <w:r w:rsidRPr="003B6A69">
              <w:rPr>
                <w:rFonts w:ascii="Calibri" w:hAnsi="Calibri" w:cs="Arial"/>
                <w:b/>
                <w:sz w:val="20"/>
                <w:szCs w:val="20"/>
                <w:lang w:val="en-GB"/>
              </w:rPr>
              <w:t xml:space="preserve">budget administered by UNDP </w:t>
            </w:r>
          </w:p>
        </w:tc>
        <w:tc>
          <w:tcPr>
            <w:tcW w:w="3544" w:type="dxa"/>
            <w:gridSpan w:val="2"/>
            <w:shd w:val="clear" w:color="auto" w:fill="auto"/>
          </w:tcPr>
          <w:p w14:paraId="16319686" w14:textId="72428760" w:rsidR="00665F06" w:rsidRPr="003B6A69" w:rsidRDefault="00665F06" w:rsidP="00F92D3B">
            <w:pPr>
              <w:spacing w:after="120"/>
              <w:jc w:val="left"/>
              <w:rPr>
                <w:rFonts w:cs="Arial"/>
                <w:b/>
                <w:szCs w:val="20"/>
                <w:lang w:val="en-GB"/>
              </w:rPr>
            </w:pPr>
            <w:r w:rsidRPr="003B6A69">
              <w:rPr>
                <w:rFonts w:cs="Arial"/>
                <w:b/>
                <w:szCs w:val="20"/>
                <w:lang w:val="en-GB"/>
              </w:rPr>
              <w:t>USD</w:t>
            </w:r>
            <w:r w:rsidR="00830727" w:rsidRPr="003B6A69">
              <w:rPr>
                <w:rFonts w:cs="Arial"/>
                <w:b/>
                <w:szCs w:val="20"/>
                <w:lang w:val="en-GB"/>
              </w:rPr>
              <w:t xml:space="preserve"> 3,278,995</w:t>
            </w:r>
          </w:p>
        </w:tc>
      </w:tr>
      <w:tr w:rsidR="00665F06" w:rsidRPr="003B6A69" w14:paraId="01449B25" w14:textId="77777777" w:rsidTr="00F169E9">
        <w:tc>
          <w:tcPr>
            <w:tcW w:w="9918" w:type="dxa"/>
            <w:gridSpan w:val="4"/>
            <w:shd w:val="clear" w:color="auto" w:fill="D9D9D9"/>
          </w:tcPr>
          <w:p w14:paraId="46DF5820" w14:textId="30E5D2FF" w:rsidR="00665F06" w:rsidRPr="003B6A69" w:rsidRDefault="000A546A" w:rsidP="00F92D3B">
            <w:pPr>
              <w:spacing w:after="120"/>
              <w:jc w:val="left"/>
              <w:rPr>
                <w:rFonts w:cs="Arial"/>
                <w:b/>
                <w:szCs w:val="20"/>
                <w:lang w:val="en-GB"/>
              </w:rPr>
            </w:pPr>
            <w:r w:rsidRPr="003B6A69">
              <w:rPr>
                <w:rFonts w:asciiTheme="minorHAnsi" w:hAnsiTheme="minorHAnsi" w:cs="Arial"/>
                <w:b/>
                <w:smallCaps/>
                <w:szCs w:val="20"/>
              </w:rPr>
              <w:t xml:space="preserve">co-financiers that will deliver project results included in the project results framework (Funds not administered through </w:t>
            </w:r>
            <w:proofErr w:type="spellStart"/>
            <w:r w:rsidRPr="003B6A69">
              <w:rPr>
                <w:rFonts w:asciiTheme="minorHAnsi" w:hAnsiTheme="minorHAnsi" w:cs="Arial"/>
                <w:b/>
                <w:smallCaps/>
                <w:szCs w:val="20"/>
              </w:rPr>
              <w:t>undp</w:t>
            </w:r>
            <w:proofErr w:type="spellEnd"/>
            <w:r w:rsidRPr="003B6A69">
              <w:rPr>
                <w:rFonts w:asciiTheme="minorHAnsi" w:hAnsiTheme="minorHAnsi" w:cs="Arial"/>
                <w:b/>
                <w:smallCaps/>
                <w:szCs w:val="20"/>
              </w:rPr>
              <w:t xml:space="preserve"> accounts)</w:t>
            </w:r>
          </w:p>
        </w:tc>
      </w:tr>
      <w:tr w:rsidR="00665F06" w:rsidRPr="003B6A69" w14:paraId="6E609C1A" w14:textId="77777777" w:rsidTr="00F169E9">
        <w:tc>
          <w:tcPr>
            <w:tcW w:w="6374" w:type="dxa"/>
            <w:gridSpan w:val="2"/>
            <w:shd w:val="clear" w:color="auto" w:fill="auto"/>
          </w:tcPr>
          <w:p w14:paraId="400093E9" w14:textId="1E57B4CD" w:rsidR="00665F06" w:rsidRPr="003B6A69" w:rsidRDefault="00AE3EED" w:rsidP="00F92D3B">
            <w:pPr>
              <w:spacing w:after="120"/>
              <w:jc w:val="right"/>
              <w:rPr>
                <w:rFonts w:cs="Arial"/>
                <w:i/>
                <w:szCs w:val="20"/>
                <w:lang w:val="en-GB"/>
              </w:rPr>
            </w:pPr>
            <w:r w:rsidRPr="003B6A69">
              <w:rPr>
                <w:rFonts w:cs="Arial"/>
                <w:i/>
                <w:szCs w:val="20"/>
                <w:lang w:val="en-GB"/>
              </w:rPr>
              <w:t>Ministry of Ecology, Spatial Planning and Urbanism</w:t>
            </w:r>
          </w:p>
        </w:tc>
        <w:tc>
          <w:tcPr>
            <w:tcW w:w="3544" w:type="dxa"/>
            <w:gridSpan w:val="2"/>
            <w:shd w:val="clear" w:color="auto" w:fill="auto"/>
          </w:tcPr>
          <w:p w14:paraId="713737B2" w14:textId="25BFD2A6" w:rsidR="00665F06" w:rsidRPr="003B6A69" w:rsidRDefault="00665F06" w:rsidP="00F92D3B">
            <w:pPr>
              <w:spacing w:after="120"/>
              <w:jc w:val="left"/>
              <w:rPr>
                <w:rFonts w:cs="Arial"/>
                <w:szCs w:val="20"/>
                <w:lang w:val="en-GB"/>
              </w:rPr>
            </w:pPr>
            <w:r w:rsidRPr="003B6A69">
              <w:rPr>
                <w:rFonts w:cs="Arial"/>
                <w:szCs w:val="20"/>
                <w:lang w:val="en-GB"/>
              </w:rPr>
              <w:t>USD</w:t>
            </w:r>
            <w:r w:rsidR="00AE3EED" w:rsidRPr="003B6A69">
              <w:rPr>
                <w:rFonts w:cs="Arial"/>
                <w:szCs w:val="20"/>
                <w:lang w:val="en-GB"/>
              </w:rPr>
              <w:t xml:space="preserve"> 10,922,140</w:t>
            </w:r>
          </w:p>
        </w:tc>
      </w:tr>
      <w:tr w:rsidR="00AE3EED" w:rsidRPr="003B6A69" w14:paraId="168C8A93" w14:textId="77777777" w:rsidTr="00AE3EED">
        <w:tc>
          <w:tcPr>
            <w:tcW w:w="6374" w:type="dxa"/>
            <w:gridSpan w:val="2"/>
            <w:tcBorders>
              <w:top w:val="single" w:sz="4" w:space="0" w:color="auto"/>
              <w:left w:val="single" w:sz="4" w:space="0" w:color="auto"/>
              <w:bottom w:val="single" w:sz="4" w:space="0" w:color="auto"/>
              <w:right w:val="single" w:sz="4" w:space="0" w:color="auto"/>
            </w:tcBorders>
            <w:shd w:val="clear" w:color="auto" w:fill="auto"/>
          </w:tcPr>
          <w:p w14:paraId="65315599" w14:textId="4EF8B122" w:rsidR="00AE3EED" w:rsidRPr="003B6A69" w:rsidRDefault="00AE3EED" w:rsidP="00AE3EED">
            <w:pPr>
              <w:spacing w:after="120"/>
              <w:jc w:val="right"/>
              <w:rPr>
                <w:rFonts w:cs="Arial"/>
                <w:i/>
                <w:szCs w:val="20"/>
                <w:lang w:val="en-GB"/>
              </w:rPr>
            </w:pPr>
            <w:r w:rsidRPr="003B6A69">
              <w:rPr>
                <w:rFonts w:cs="Arial"/>
                <w:i/>
                <w:szCs w:val="20"/>
                <w:lang w:val="en-GB"/>
              </w:rPr>
              <w:t>Ministry of Agriculture, Forestry and Water Management</w:t>
            </w:r>
          </w:p>
        </w:tc>
        <w:tc>
          <w:tcPr>
            <w:tcW w:w="3544" w:type="dxa"/>
            <w:gridSpan w:val="2"/>
            <w:tcBorders>
              <w:top w:val="single" w:sz="4" w:space="0" w:color="auto"/>
              <w:left w:val="single" w:sz="4" w:space="0" w:color="auto"/>
              <w:bottom w:val="single" w:sz="4" w:space="0" w:color="auto"/>
              <w:right w:val="single" w:sz="4" w:space="0" w:color="auto"/>
            </w:tcBorders>
            <w:shd w:val="clear" w:color="auto" w:fill="auto"/>
          </w:tcPr>
          <w:p w14:paraId="30ADCC8A" w14:textId="20DDFC41" w:rsidR="00AE3EED" w:rsidRPr="003B6A69" w:rsidRDefault="00AE3EED" w:rsidP="00AE3EED">
            <w:pPr>
              <w:spacing w:after="120"/>
              <w:jc w:val="left"/>
              <w:rPr>
                <w:rFonts w:cs="Arial"/>
                <w:szCs w:val="20"/>
                <w:lang w:val="en-GB"/>
              </w:rPr>
            </w:pPr>
            <w:r w:rsidRPr="003B6A69">
              <w:rPr>
                <w:rFonts w:cs="Arial"/>
                <w:szCs w:val="20"/>
                <w:lang w:val="en-GB"/>
              </w:rPr>
              <w:t>USD 12,582,781</w:t>
            </w:r>
          </w:p>
        </w:tc>
      </w:tr>
      <w:tr w:rsidR="00AE3EED" w:rsidRPr="003B6A69" w14:paraId="1B33C2BA" w14:textId="77777777" w:rsidTr="00AE3EED">
        <w:tc>
          <w:tcPr>
            <w:tcW w:w="6374" w:type="dxa"/>
            <w:gridSpan w:val="2"/>
            <w:tcBorders>
              <w:top w:val="single" w:sz="4" w:space="0" w:color="auto"/>
              <w:left w:val="single" w:sz="4" w:space="0" w:color="auto"/>
              <w:bottom w:val="single" w:sz="4" w:space="0" w:color="auto"/>
              <w:right w:val="single" w:sz="4" w:space="0" w:color="auto"/>
            </w:tcBorders>
            <w:shd w:val="clear" w:color="auto" w:fill="auto"/>
          </w:tcPr>
          <w:p w14:paraId="28ACE4F9" w14:textId="637434AB" w:rsidR="00AE3EED" w:rsidRPr="003B6A69" w:rsidRDefault="00227FC5" w:rsidP="00AE3EED">
            <w:pPr>
              <w:spacing w:after="120"/>
              <w:jc w:val="right"/>
              <w:rPr>
                <w:rFonts w:cs="Arial"/>
                <w:i/>
                <w:szCs w:val="20"/>
                <w:lang w:val="en-GB"/>
              </w:rPr>
            </w:pPr>
            <w:r w:rsidRPr="003B6A69">
              <w:rPr>
                <w:rFonts w:cs="Arial"/>
                <w:i/>
                <w:szCs w:val="20"/>
                <w:lang w:val="en-GB"/>
              </w:rPr>
              <w:t>Investment for Development Fund</w:t>
            </w:r>
          </w:p>
        </w:tc>
        <w:tc>
          <w:tcPr>
            <w:tcW w:w="3544" w:type="dxa"/>
            <w:gridSpan w:val="2"/>
            <w:tcBorders>
              <w:top w:val="single" w:sz="4" w:space="0" w:color="auto"/>
              <w:left w:val="single" w:sz="4" w:space="0" w:color="auto"/>
              <w:bottom w:val="single" w:sz="4" w:space="0" w:color="auto"/>
              <w:right w:val="single" w:sz="4" w:space="0" w:color="auto"/>
            </w:tcBorders>
            <w:shd w:val="clear" w:color="auto" w:fill="auto"/>
          </w:tcPr>
          <w:p w14:paraId="0BD8E772" w14:textId="1DFD1D23" w:rsidR="00AE3EED" w:rsidRPr="003B6A69" w:rsidRDefault="00AE3EED" w:rsidP="00227FC5">
            <w:pPr>
              <w:spacing w:after="120"/>
              <w:jc w:val="left"/>
              <w:rPr>
                <w:rFonts w:cs="Arial"/>
                <w:szCs w:val="20"/>
                <w:lang w:val="en-GB"/>
              </w:rPr>
            </w:pPr>
            <w:proofErr w:type="gramStart"/>
            <w:r w:rsidRPr="003B6A69">
              <w:rPr>
                <w:rFonts w:cs="Arial"/>
                <w:szCs w:val="20"/>
                <w:lang w:val="en-GB"/>
              </w:rPr>
              <w:t xml:space="preserve">USD </w:t>
            </w:r>
            <w:r w:rsidR="00227FC5" w:rsidRPr="003B6A69">
              <w:rPr>
                <w:rFonts w:cs="Arial"/>
                <w:szCs w:val="20"/>
                <w:lang w:val="en-GB"/>
              </w:rPr>
              <w:t xml:space="preserve"> 5,518,764</w:t>
            </w:r>
            <w:proofErr w:type="gramEnd"/>
          </w:p>
        </w:tc>
      </w:tr>
      <w:tr w:rsidR="00AE3EED" w:rsidRPr="003B6A69" w14:paraId="44ABE733" w14:textId="77777777" w:rsidTr="00AE3EED">
        <w:tc>
          <w:tcPr>
            <w:tcW w:w="6374" w:type="dxa"/>
            <w:gridSpan w:val="2"/>
            <w:tcBorders>
              <w:top w:val="single" w:sz="4" w:space="0" w:color="auto"/>
              <w:left w:val="single" w:sz="4" w:space="0" w:color="auto"/>
              <w:bottom w:val="single" w:sz="4" w:space="0" w:color="auto"/>
              <w:right w:val="single" w:sz="4" w:space="0" w:color="auto"/>
            </w:tcBorders>
            <w:shd w:val="clear" w:color="auto" w:fill="auto"/>
          </w:tcPr>
          <w:p w14:paraId="2BC229E5" w14:textId="148FD8ED" w:rsidR="00AE3EED" w:rsidRPr="003B6A69" w:rsidRDefault="00227FC5" w:rsidP="00AE3EED">
            <w:pPr>
              <w:spacing w:after="120"/>
              <w:jc w:val="right"/>
              <w:rPr>
                <w:rFonts w:cs="Arial"/>
                <w:i/>
                <w:szCs w:val="20"/>
                <w:lang w:val="en-GB"/>
              </w:rPr>
            </w:pPr>
            <w:r w:rsidRPr="003B6A69">
              <w:rPr>
                <w:rFonts w:cs="Arial"/>
                <w:i/>
                <w:szCs w:val="20"/>
                <w:lang w:val="en-GB"/>
              </w:rPr>
              <w:t>Nature and Environmental Protection Agency</w:t>
            </w:r>
          </w:p>
        </w:tc>
        <w:tc>
          <w:tcPr>
            <w:tcW w:w="3544" w:type="dxa"/>
            <w:gridSpan w:val="2"/>
            <w:tcBorders>
              <w:top w:val="single" w:sz="4" w:space="0" w:color="auto"/>
              <w:left w:val="single" w:sz="4" w:space="0" w:color="auto"/>
              <w:bottom w:val="single" w:sz="4" w:space="0" w:color="auto"/>
              <w:right w:val="single" w:sz="4" w:space="0" w:color="auto"/>
            </w:tcBorders>
            <w:shd w:val="clear" w:color="auto" w:fill="auto"/>
          </w:tcPr>
          <w:p w14:paraId="52CE053D" w14:textId="5F35164A" w:rsidR="00AE3EED" w:rsidRPr="003B6A69" w:rsidRDefault="00AE3EED" w:rsidP="00227FC5">
            <w:pPr>
              <w:spacing w:after="120"/>
              <w:jc w:val="left"/>
              <w:rPr>
                <w:rFonts w:cs="Arial"/>
                <w:szCs w:val="20"/>
                <w:lang w:val="en-GB"/>
              </w:rPr>
            </w:pPr>
            <w:proofErr w:type="gramStart"/>
            <w:r w:rsidRPr="003B6A69">
              <w:rPr>
                <w:rFonts w:cs="Arial"/>
                <w:szCs w:val="20"/>
                <w:lang w:val="en-GB"/>
              </w:rPr>
              <w:t xml:space="preserve">USD </w:t>
            </w:r>
            <w:r w:rsidR="00227FC5" w:rsidRPr="003B6A69">
              <w:rPr>
                <w:rFonts w:cs="Arial"/>
                <w:szCs w:val="20"/>
                <w:lang w:val="en-GB"/>
              </w:rPr>
              <w:t xml:space="preserve"> </w:t>
            </w:r>
            <w:r w:rsidRPr="003B6A69">
              <w:rPr>
                <w:rFonts w:cs="Arial"/>
                <w:szCs w:val="20"/>
                <w:lang w:val="en-GB"/>
              </w:rPr>
              <w:t>1,</w:t>
            </w:r>
            <w:r w:rsidR="00227FC5" w:rsidRPr="003B6A69">
              <w:rPr>
                <w:rFonts w:cs="Arial"/>
                <w:szCs w:val="20"/>
                <w:lang w:val="en-GB"/>
              </w:rPr>
              <w:t>219,484</w:t>
            </w:r>
            <w:proofErr w:type="gramEnd"/>
          </w:p>
        </w:tc>
      </w:tr>
      <w:tr w:rsidR="00AE3EED" w:rsidRPr="003B6A69" w14:paraId="2D897818" w14:textId="77777777" w:rsidTr="00AE3EED">
        <w:tc>
          <w:tcPr>
            <w:tcW w:w="6374" w:type="dxa"/>
            <w:gridSpan w:val="2"/>
            <w:tcBorders>
              <w:top w:val="single" w:sz="4" w:space="0" w:color="auto"/>
              <w:left w:val="single" w:sz="4" w:space="0" w:color="auto"/>
              <w:bottom w:val="single" w:sz="4" w:space="0" w:color="auto"/>
              <w:right w:val="single" w:sz="4" w:space="0" w:color="auto"/>
            </w:tcBorders>
            <w:shd w:val="clear" w:color="auto" w:fill="auto"/>
          </w:tcPr>
          <w:p w14:paraId="11D17AE7" w14:textId="5FF30B34" w:rsidR="00AE3EED" w:rsidRPr="003B6A69" w:rsidRDefault="00227FC5" w:rsidP="00AE3EED">
            <w:pPr>
              <w:spacing w:after="120"/>
              <w:jc w:val="right"/>
              <w:rPr>
                <w:rFonts w:cs="Arial"/>
                <w:i/>
                <w:szCs w:val="20"/>
                <w:lang w:val="en-GB"/>
              </w:rPr>
            </w:pPr>
            <w:r w:rsidRPr="003B6A69">
              <w:rPr>
                <w:rFonts w:cs="Arial"/>
                <w:i/>
                <w:szCs w:val="20"/>
                <w:lang w:val="en-GB"/>
              </w:rPr>
              <w:t>Public Enterprise National Parks of Montenegro</w:t>
            </w:r>
          </w:p>
        </w:tc>
        <w:tc>
          <w:tcPr>
            <w:tcW w:w="3544" w:type="dxa"/>
            <w:gridSpan w:val="2"/>
            <w:tcBorders>
              <w:top w:val="single" w:sz="4" w:space="0" w:color="auto"/>
              <w:left w:val="single" w:sz="4" w:space="0" w:color="auto"/>
              <w:bottom w:val="single" w:sz="4" w:space="0" w:color="auto"/>
              <w:right w:val="single" w:sz="4" w:space="0" w:color="auto"/>
            </w:tcBorders>
            <w:shd w:val="clear" w:color="auto" w:fill="auto"/>
          </w:tcPr>
          <w:p w14:paraId="2C64AE8F" w14:textId="656D7A93" w:rsidR="00AE3EED" w:rsidRPr="003B6A69" w:rsidRDefault="00AE3EED" w:rsidP="00AE3EED">
            <w:pPr>
              <w:spacing w:after="120"/>
              <w:jc w:val="left"/>
              <w:rPr>
                <w:rFonts w:cs="Arial"/>
                <w:szCs w:val="20"/>
                <w:lang w:val="en-GB"/>
              </w:rPr>
            </w:pPr>
            <w:proofErr w:type="gramStart"/>
            <w:r w:rsidRPr="003B6A69">
              <w:rPr>
                <w:rFonts w:cs="Arial"/>
                <w:szCs w:val="20"/>
                <w:lang w:val="en-GB"/>
              </w:rPr>
              <w:t>USD</w:t>
            </w:r>
            <w:r w:rsidR="00227FC5" w:rsidRPr="003B6A69">
              <w:rPr>
                <w:rFonts w:cs="Arial"/>
                <w:szCs w:val="20"/>
                <w:lang w:val="en-GB"/>
              </w:rPr>
              <w:t xml:space="preserve">  </w:t>
            </w:r>
            <w:r w:rsidR="00165F91" w:rsidRPr="003B6A69">
              <w:rPr>
                <w:rFonts w:cs="Arial"/>
                <w:szCs w:val="20"/>
                <w:lang w:val="en-GB"/>
              </w:rPr>
              <w:t>2</w:t>
            </w:r>
            <w:r w:rsidR="00227FC5" w:rsidRPr="003B6A69">
              <w:rPr>
                <w:rFonts w:cs="Arial"/>
                <w:szCs w:val="20"/>
                <w:lang w:val="en-GB"/>
              </w:rPr>
              <w:t>,532,315</w:t>
            </w:r>
            <w:proofErr w:type="gramEnd"/>
          </w:p>
        </w:tc>
      </w:tr>
      <w:tr w:rsidR="00665F06" w:rsidRPr="003B6A69" w14:paraId="35B151DC" w14:textId="77777777" w:rsidTr="00F169E9">
        <w:tc>
          <w:tcPr>
            <w:tcW w:w="6374" w:type="dxa"/>
            <w:gridSpan w:val="2"/>
            <w:shd w:val="clear" w:color="auto" w:fill="auto"/>
          </w:tcPr>
          <w:p w14:paraId="3FC2A24E" w14:textId="77777777" w:rsidR="00665F06" w:rsidRPr="003B6A69" w:rsidRDefault="00665F06" w:rsidP="00AF69F1">
            <w:pPr>
              <w:pStyle w:val="ListParagraph"/>
              <w:numPr>
                <w:ilvl w:val="0"/>
                <w:numId w:val="5"/>
              </w:numPr>
              <w:spacing w:after="120"/>
              <w:jc w:val="right"/>
              <w:rPr>
                <w:rFonts w:ascii="Calibri" w:hAnsi="Calibri" w:cs="Arial"/>
                <w:b/>
                <w:sz w:val="20"/>
                <w:szCs w:val="20"/>
                <w:lang w:val="en-GB"/>
              </w:rPr>
            </w:pPr>
            <w:r w:rsidRPr="003B6A69">
              <w:rPr>
                <w:rFonts w:ascii="Calibri" w:hAnsi="Calibri" w:cs="Arial"/>
                <w:b/>
                <w:sz w:val="20"/>
                <w:szCs w:val="20"/>
                <w:lang w:val="en-GB"/>
              </w:rPr>
              <w:t>Total further confirmed co-financing</w:t>
            </w:r>
          </w:p>
        </w:tc>
        <w:tc>
          <w:tcPr>
            <w:tcW w:w="3544" w:type="dxa"/>
            <w:gridSpan w:val="2"/>
            <w:shd w:val="clear" w:color="auto" w:fill="auto"/>
          </w:tcPr>
          <w:p w14:paraId="28D95C29" w14:textId="3CCFD60A" w:rsidR="00665F06" w:rsidRPr="003B6A69" w:rsidRDefault="00665F06" w:rsidP="00F92D3B">
            <w:pPr>
              <w:spacing w:after="120"/>
              <w:jc w:val="left"/>
              <w:rPr>
                <w:rFonts w:cs="Arial"/>
                <w:b/>
                <w:szCs w:val="20"/>
                <w:lang w:val="en-GB"/>
              </w:rPr>
            </w:pPr>
          </w:p>
        </w:tc>
      </w:tr>
      <w:tr w:rsidR="00665F06" w:rsidRPr="003B6A69" w14:paraId="00032E08" w14:textId="77777777" w:rsidTr="00F169E9">
        <w:tc>
          <w:tcPr>
            <w:tcW w:w="6374" w:type="dxa"/>
            <w:gridSpan w:val="2"/>
            <w:shd w:val="clear" w:color="auto" w:fill="auto"/>
          </w:tcPr>
          <w:p w14:paraId="6E9E2AE7" w14:textId="48806F9D" w:rsidR="00665F06" w:rsidRPr="003B6A69" w:rsidRDefault="00665F06" w:rsidP="00AF69F1">
            <w:pPr>
              <w:pStyle w:val="ListParagraph"/>
              <w:numPr>
                <w:ilvl w:val="0"/>
                <w:numId w:val="5"/>
              </w:numPr>
              <w:spacing w:after="120"/>
              <w:jc w:val="right"/>
              <w:rPr>
                <w:rFonts w:ascii="Calibri" w:hAnsi="Calibri" w:cs="Arial"/>
                <w:b/>
                <w:sz w:val="20"/>
                <w:szCs w:val="20"/>
                <w:lang w:val="en-GB"/>
              </w:rPr>
            </w:pPr>
            <w:r w:rsidRPr="003B6A69">
              <w:rPr>
                <w:rFonts w:ascii="Calibri" w:hAnsi="Calibri" w:cs="Arial"/>
                <w:b/>
                <w:sz w:val="20"/>
                <w:szCs w:val="20"/>
                <w:lang w:val="en-GB"/>
              </w:rPr>
              <w:t>Gran</w:t>
            </w:r>
            <w:r w:rsidR="00240E04" w:rsidRPr="003B6A69">
              <w:rPr>
                <w:rFonts w:ascii="Calibri" w:hAnsi="Calibri" w:cs="Arial"/>
                <w:b/>
                <w:sz w:val="20"/>
                <w:szCs w:val="20"/>
                <w:lang w:val="en-GB"/>
              </w:rPr>
              <w:t>d</w:t>
            </w:r>
            <w:r w:rsidRPr="003B6A69">
              <w:rPr>
                <w:rFonts w:ascii="Calibri" w:hAnsi="Calibri" w:cs="Arial"/>
                <w:b/>
                <w:sz w:val="20"/>
                <w:szCs w:val="20"/>
                <w:lang w:val="en-GB"/>
              </w:rPr>
              <w:t xml:space="preserve"> total confirmed co-financing</w:t>
            </w:r>
          </w:p>
        </w:tc>
        <w:tc>
          <w:tcPr>
            <w:tcW w:w="3544" w:type="dxa"/>
            <w:gridSpan w:val="2"/>
            <w:shd w:val="clear" w:color="auto" w:fill="auto"/>
          </w:tcPr>
          <w:p w14:paraId="44E0D2C8" w14:textId="4B31DAD2" w:rsidR="00665F06" w:rsidRPr="003B6A69" w:rsidRDefault="00665F06" w:rsidP="00F92D3B">
            <w:pPr>
              <w:spacing w:after="120"/>
              <w:jc w:val="left"/>
              <w:rPr>
                <w:rFonts w:cs="Arial"/>
                <w:b/>
                <w:szCs w:val="20"/>
                <w:lang w:val="en-GB"/>
              </w:rPr>
            </w:pPr>
            <w:r w:rsidRPr="003B6A69">
              <w:rPr>
                <w:rFonts w:cs="Arial"/>
                <w:b/>
                <w:szCs w:val="20"/>
                <w:lang w:val="en-GB"/>
              </w:rPr>
              <w:t>USD</w:t>
            </w:r>
            <w:r w:rsidR="00227FC5" w:rsidRPr="003B6A69">
              <w:rPr>
                <w:rFonts w:cs="Arial"/>
                <w:b/>
                <w:szCs w:val="20"/>
                <w:lang w:val="en-GB"/>
              </w:rPr>
              <w:t xml:space="preserve"> 32,775,484</w:t>
            </w:r>
          </w:p>
        </w:tc>
      </w:tr>
      <w:tr w:rsidR="00665F06" w:rsidRPr="003B6A69" w14:paraId="38EE5F5A" w14:textId="77777777" w:rsidTr="00F169E9">
        <w:tc>
          <w:tcPr>
            <w:tcW w:w="6374" w:type="dxa"/>
            <w:gridSpan w:val="2"/>
            <w:shd w:val="clear" w:color="auto" w:fill="auto"/>
          </w:tcPr>
          <w:p w14:paraId="1509A78D" w14:textId="77777777" w:rsidR="00665F06" w:rsidRPr="003B6A69" w:rsidRDefault="00665F06" w:rsidP="00AF69F1">
            <w:pPr>
              <w:pStyle w:val="ListParagraph"/>
              <w:numPr>
                <w:ilvl w:val="0"/>
                <w:numId w:val="5"/>
              </w:numPr>
              <w:spacing w:after="120"/>
              <w:jc w:val="right"/>
              <w:rPr>
                <w:rFonts w:ascii="Calibri" w:hAnsi="Calibri" w:cs="Arial"/>
                <w:b/>
                <w:sz w:val="20"/>
                <w:szCs w:val="20"/>
                <w:lang w:val="en-GB"/>
              </w:rPr>
            </w:pPr>
            <w:r w:rsidRPr="003B6A69">
              <w:rPr>
                <w:rFonts w:ascii="Calibri" w:hAnsi="Calibri" w:cs="Arial"/>
                <w:b/>
                <w:sz w:val="20"/>
                <w:szCs w:val="20"/>
                <w:lang w:val="en-GB" w:eastAsia="zh-CN"/>
              </w:rPr>
              <w:t>Grand t</w:t>
            </w:r>
            <w:r w:rsidRPr="003B6A69">
              <w:rPr>
                <w:rFonts w:ascii="Calibri" w:hAnsi="Calibri" w:cs="Arial"/>
                <w:b/>
                <w:sz w:val="20"/>
                <w:szCs w:val="20"/>
                <w:lang w:val="en-GB"/>
              </w:rPr>
              <w:t xml:space="preserve">otal project </w:t>
            </w:r>
            <w:r w:rsidRPr="003B6A69">
              <w:rPr>
                <w:rFonts w:ascii="Calibri" w:hAnsi="Calibri" w:cs="Arial"/>
                <w:b/>
                <w:sz w:val="20"/>
                <w:szCs w:val="20"/>
                <w:lang w:val="en-GB" w:eastAsia="zh-CN"/>
              </w:rPr>
              <w:t>financing (</w:t>
            </w:r>
            <w:proofErr w:type="gramStart"/>
            <w:r w:rsidRPr="003B6A69">
              <w:rPr>
                <w:rFonts w:ascii="Calibri" w:hAnsi="Calibri" w:cs="Arial"/>
                <w:b/>
                <w:sz w:val="20"/>
                <w:szCs w:val="20"/>
                <w:lang w:val="en-GB" w:eastAsia="zh-CN"/>
              </w:rPr>
              <w:t>1)+(</w:t>
            </w:r>
            <w:proofErr w:type="gramEnd"/>
            <w:r w:rsidRPr="003B6A69">
              <w:rPr>
                <w:rFonts w:ascii="Calibri" w:hAnsi="Calibri" w:cs="Arial"/>
                <w:b/>
                <w:sz w:val="20"/>
                <w:szCs w:val="20"/>
                <w:lang w:val="en-GB" w:eastAsia="zh-CN"/>
              </w:rPr>
              <w:t>2)</w:t>
            </w:r>
          </w:p>
        </w:tc>
        <w:tc>
          <w:tcPr>
            <w:tcW w:w="3544" w:type="dxa"/>
            <w:gridSpan w:val="2"/>
            <w:shd w:val="clear" w:color="auto" w:fill="auto"/>
          </w:tcPr>
          <w:p w14:paraId="2E6D7A02" w14:textId="0B260668" w:rsidR="00665F06" w:rsidRPr="003B6A69" w:rsidRDefault="00665F06" w:rsidP="00F92D3B">
            <w:pPr>
              <w:spacing w:after="120"/>
              <w:jc w:val="left"/>
              <w:rPr>
                <w:rFonts w:cs="Arial"/>
                <w:b/>
                <w:szCs w:val="20"/>
                <w:lang w:val="en-GB"/>
              </w:rPr>
            </w:pPr>
            <w:r w:rsidRPr="003B6A69">
              <w:rPr>
                <w:rFonts w:cs="Arial"/>
                <w:b/>
                <w:szCs w:val="20"/>
                <w:lang w:val="en-GB"/>
              </w:rPr>
              <w:t>USD</w:t>
            </w:r>
            <w:r w:rsidR="00227FC5" w:rsidRPr="003B6A69">
              <w:rPr>
                <w:rFonts w:cs="Arial"/>
                <w:b/>
                <w:szCs w:val="20"/>
                <w:lang w:val="en-GB"/>
              </w:rPr>
              <w:t xml:space="preserve"> 36,054,479</w:t>
            </w:r>
          </w:p>
        </w:tc>
      </w:tr>
      <w:tr w:rsidR="00665F06" w:rsidRPr="003B6A69" w14:paraId="6DB51379" w14:textId="77777777" w:rsidTr="00F169E9">
        <w:tc>
          <w:tcPr>
            <w:tcW w:w="9918" w:type="dxa"/>
            <w:gridSpan w:val="4"/>
            <w:shd w:val="clear" w:color="auto" w:fill="BFBFBF"/>
          </w:tcPr>
          <w:p w14:paraId="3EBC7D8F" w14:textId="77777777" w:rsidR="00665F06" w:rsidRPr="003B6A69" w:rsidRDefault="00665F06" w:rsidP="00F92D3B">
            <w:pPr>
              <w:spacing w:after="120"/>
              <w:jc w:val="left"/>
              <w:rPr>
                <w:rFonts w:cs="Arial"/>
                <w:b/>
                <w:smallCaps/>
                <w:szCs w:val="20"/>
                <w:lang w:val="en-GB"/>
              </w:rPr>
            </w:pPr>
            <w:r w:rsidRPr="003B6A69">
              <w:rPr>
                <w:rFonts w:cs="Arial"/>
                <w:b/>
                <w:smallCaps/>
                <w:szCs w:val="20"/>
                <w:lang w:val="en-GB"/>
              </w:rPr>
              <w:t>Signatures</w:t>
            </w:r>
          </w:p>
          <w:p w14:paraId="2BCCDFDE" w14:textId="7B58BB6A" w:rsidR="00030D0A" w:rsidRPr="003B6A69" w:rsidRDefault="00030D0A" w:rsidP="00F92D3B">
            <w:pPr>
              <w:spacing w:after="120"/>
              <w:jc w:val="left"/>
              <w:rPr>
                <w:rFonts w:cs="Arial"/>
                <w:b/>
                <w:i/>
                <w:iCs/>
                <w:smallCaps/>
                <w:szCs w:val="20"/>
                <w:lang w:val="en-GB"/>
              </w:rPr>
            </w:pPr>
          </w:p>
        </w:tc>
      </w:tr>
      <w:tr w:rsidR="00665F06" w:rsidRPr="003B6A69" w14:paraId="2E2257F1" w14:textId="77777777" w:rsidTr="00F169E9">
        <w:tc>
          <w:tcPr>
            <w:tcW w:w="3397" w:type="dxa"/>
            <w:shd w:val="clear" w:color="auto" w:fill="auto"/>
          </w:tcPr>
          <w:p w14:paraId="56B90244" w14:textId="77777777" w:rsidR="00665F06" w:rsidRPr="003B6A69" w:rsidRDefault="00665F06" w:rsidP="00F92D3B">
            <w:pPr>
              <w:spacing w:after="120"/>
              <w:jc w:val="left"/>
              <w:rPr>
                <w:rFonts w:cs="Arial"/>
                <w:szCs w:val="20"/>
                <w:lang w:val="en-GB"/>
              </w:rPr>
            </w:pPr>
            <w:r w:rsidRPr="003B6A69">
              <w:rPr>
                <w:rFonts w:cs="Arial"/>
                <w:b/>
                <w:szCs w:val="20"/>
                <w:lang w:val="en-GB"/>
              </w:rPr>
              <w:t xml:space="preserve">Signature:  </w:t>
            </w:r>
            <w:r w:rsidRPr="003B6A69">
              <w:rPr>
                <w:rFonts w:cs="Arial"/>
                <w:szCs w:val="20"/>
                <w:lang w:val="en-GB"/>
              </w:rPr>
              <w:t>print name below</w:t>
            </w:r>
          </w:p>
          <w:p w14:paraId="1298C78B" w14:textId="77777777" w:rsidR="00665F06" w:rsidRPr="003B6A69" w:rsidRDefault="00665F06" w:rsidP="00F92D3B">
            <w:pPr>
              <w:spacing w:after="120"/>
              <w:jc w:val="left"/>
              <w:rPr>
                <w:rFonts w:cs="Arial"/>
                <w:b/>
                <w:szCs w:val="20"/>
                <w:lang w:val="en-GB"/>
              </w:rPr>
            </w:pPr>
          </w:p>
        </w:tc>
        <w:tc>
          <w:tcPr>
            <w:tcW w:w="3261" w:type="dxa"/>
            <w:gridSpan w:val="2"/>
            <w:shd w:val="clear" w:color="auto" w:fill="auto"/>
          </w:tcPr>
          <w:p w14:paraId="0A2BD500" w14:textId="424EE984" w:rsidR="00665F06" w:rsidRPr="003B6A69" w:rsidRDefault="003074E2" w:rsidP="00F956D3">
            <w:pPr>
              <w:spacing w:after="120"/>
              <w:jc w:val="left"/>
              <w:rPr>
                <w:rFonts w:cs="Arial"/>
                <w:b/>
                <w:szCs w:val="20"/>
                <w:lang w:val="en-GB"/>
              </w:rPr>
            </w:pPr>
            <w:r w:rsidRPr="003B6A69">
              <w:rPr>
                <w:rFonts w:cs="Arial"/>
                <w:b/>
                <w:szCs w:val="20"/>
              </w:rPr>
              <w:t>Agreed by Government Development Coordination Authority</w:t>
            </w:r>
          </w:p>
        </w:tc>
        <w:tc>
          <w:tcPr>
            <w:tcW w:w="3260" w:type="dxa"/>
            <w:shd w:val="clear" w:color="auto" w:fill="auto"/>
          </w:tcPr>
          <w:p w14:paraId="4E9708A3" w14:textId="77777777" w:rsidR="00665F06" w:rsidRPr="003B6A69" w:rsidRDefault="00665F06" w:rsidP="00F92D3B">
            <w:pPr>
              <w:spacing w:after="120"/>
              <w:jc w:val="left"/>
              <w:rPr>
                <w:rFonts w:cs="Arial"/>
                <w:szCs w:val="20"/>
                <w:lang w:val="en-GB"/>
              </w:rPr>
            </w:pPr>
            <w:r w:rsidRPr="003B6A69">
              <w:rPr>
                <w:rFonts w:cs="Arial"/>
                <w:b/>
                <w:szCs w:val="20"/>
                <w:lang w:val="en-GB"/>
              </w:rPr>
              <w:t>Date/Month/Year:</w:t>
            </w:r>
          </w:p>
          <w:p w14:paraId="1333326E" w14:textId="77777777" w:rsidR="00665F06" w:rsidRPr="003B6A69" w:rsidRDefault="00665F06" w:rsidP="00F92D3B">
            <w:pPr>
              <w:spacing w:after="120"/>
              <w:jc w:val="left"/>
              <w:rPr>
                <w:rFonts w:cs="Arial"/>
                <w:szCs w:val="20"/>
                <w:lang w:val="en-GB"/>
              </w:rPr>
            </w:pPr>
            <w:r w:rsidRPr="003B6A69">
              <w:rPr>
                <w:rFonts w:cs="Arial"/>
                <w:i/>
                <w:szCs w:val="20"/>
                <w:lang w:val="en-GB"/>
              </w:rPr>
              <w:t>within 25 days of GEF CEO endorsement</w:t>
            </w:r>
          </w:p>
        </w:tc>
      </w:tr>
      <w:tr w:rsidR="00665F06" w:rsidRPr="003B6A69" w14:paraId="32B6115F" w14:textId="77777777" w:rsidTr="00F169E9">
        <w:tc>
          <w:tcPr>
            <w:tcW w:w="3397" w:type="dxa"/>
            <w:shd w:val="clear" w:color="auto" w:fill="auto"/>
          </w:tcPr>
          <w:p w14:paraId="769471F1" w14:textId="77777777" w:rsidR="00665F06" w:rsidRPr="003B6A69" w:rsidRDefault="00665F06" w:rsidP="00F92D3B">
            <w:pPr>
              <w:spacing w:after="120"/>
              <w:jc w:val="left"/>
              <w:rPr>
                <w:rFonts w:cs="Arial"/>
                <w:szCs w:val="20"/>
                <w:lang w:val="en-GB"/>
              </w:rPr>
            </w:pPr>
            <w:r w:rsidRPr="003B6A69">
              <w:rPr>
                <w:rFonts w:cs="Arial"/>
                <w:b/>
                <w:szCs w:val="20"/>
                <w:lang w:val="en-GB"/>
              </w:rPr>
              <w:t xml:space="preserve">Signature:  </w:t>
            </w:r>
            <w:r w:rsidRPr="003B6A69">
              <w:rPr>
                <w:rFonts w:cs="Arial"/>
                <w:szCs w:val="20"/>
                <w:lang w:val="en-GB"/>
              </w:rPr>
              <w:t>print name below</w:t>
            </w:r>
          </w:p>
          <w:p w14:paraId="37E43000" w14:textId="77777777" w:rsidR="00665F06" w:rsidRPr="003B6A69" w:rsidRDefault="00665F06" w:rsidP="00F92D3B">
            <w:pPr>
              <w:spacing w:after="120"/>
              <w:jc w:val="left"/>
              <w:rPr>
                <w:rFonts w:cs="Arial"/>
                <w:b/>
                <w:szCs w:val="20"/>
                <w:lang w:val="en-GB"/>
              </w:rPr>
            </w:pPr>
          </w:p>
        </w:tc>
        <w:tc>
          <w:tcPr>
            <w:tcW w:w="3261" w:type="dxa"/>
            <w:gridSpan w:val="2"/>
            <w:shd w:val="clear" w:color="auto" w:fill="auto"/>
          </w:tcPr>
          <w:p w14:paraId="481236CF" w14:textId="1288E972" w:rsidR="00665F06" w:rsidRPr="003B6A69" w:rsidRDefault="00665F06" w:rsidP="00F956D3">
            <w:pPr>
              <w:spacing w:after="120"/>
              <w:jc w:val="left"/>
              <w:rPr>
                <w:rFonts w:cs="Arial"/>
                <w:b/>
                <w:szCs w:val="20"/>
                <w:lang w:val="en-GB"/>
              </w:rPr>
            </w:pPr>
            <w:r w:rsidRPr="003B6A69">
              <w:rPr>
                <w:rFonts w:cs="Arial"/>
                <w:b/>
                <w:szCs w:val="20"/>
                <w:lang w:val="en-GB"/>
              </w:rPr>
              <w:t>Agreed by Implementing Partner</w:t>
            </w:r>
          </w:p>
        </w:tc>
        <w:tc>
          <w:tcPr>
            <w:tcW w:w="3260" w:type="dxa"/>
            <w:shd w:val="clear" w:color="auto" w:fill="auto"/>
          </w:tcPr>
          <w:p w14:paraId="7DCD6F9F" w14:textId="77777777" w:rsidR="00665F06" w:rsidRPr="003B6A69" w:rsidRDefault="00665F06" w:rsidP="00F92D3B">
            <w:pPr>
              <w:spacing w:after="120"/>
              <w:jc w:val="left"/>
              <w:rPr>
                <w:rFonts w:cs="Arial"/>
                <w:szCs w:val="20"/>
                <w:lang w:val="en-GB"/>
              </w:rPr>
            </w:pPr>
            <w:r w:rsidRPr="003B6A69">
              <w:rPr>
                <w:rFonts w:cs="Arial"/>
                <w:b/>
                <w:szCs w:val="20"/>
                <w:lang w:val="en-GB"/>
              </w:rPr>
              <w:t>Date/Month/Year:</w:t>
            </w:r>
          </w:p>
          <w:p w14:paraId="4D403174" w14:textId="77777777" w:rsidR="00665F06" w:rsidRPr="003B6A69" w:rsidRDefault="00665F06" w:rsidP="00F92D3B">
            <w:pPr>
              <w:spacing w:after="120"/>
              <w:jc w:val="left"/>
              <w:rPr>
                <w:rFonts w:cs="Arial"/>
                <w:b/>
                <w:szCs w:val="20"/>
                <w:lang w:val="en-GB"/>
              </w:rPr>
            </w:pPr>
            <w:r w:rsidRPr="003B6A69">
              <w:rPr>
                <w:rFonts w:cs="Arial"/>
                <w:i/>
                <w:szCs w:val="20"/>
                <w:lang w:val="en-GB"/>
              </w:rPr>
              <w:t>within 25 days of GEF CEO endorsement</w:t>
            </w:r>
          </w:p>
        </w:tc>
      </w:tr>
      <w:tr w:rsidR="00665F06" w:rsidRPr="003B6A69" w14:paraId="0E60EA0F" w14:textId="77777777" w:rsidTr="00F169E9">
        <w:tc>
          <w:tcPr>
            <w:tcW w:w="3397" w:type="dxa"/>
            <w:shd w:val="clear" w:color="auto" w:fill="auto"/>
          </w:tcPr>
          <w:p w14:paraId="0DC54860" w14:textId="77777777" w:rsidR="00665F06" w:rsidRPr="003B6A69" w:rsidRDefault="00665F06" w:rsidP="00F92D3B">
            <w:pPr>
              <w:spacing w:after="120"/>
              <w:jc w:val="left"/>
              <w:rPr>
                <w:rFonts w:cs="Arial"/>
                <w:szCs w:val="20"/>
                <w:lang w:val="en-GB"/>
              </w:rPr>
            </w:pPr>
            <w:r w:rsidRPr="003B6A69">
              <w:rPr>
                <w:rFonts w:cs="Arial"/>
                <w:b/>
                <w:szCs w:val="20"/>
                <w:lang w:val="en-GB"/>
              </w:rPr>
              <w:t xml:space="preserve">Signature:  </w:t>
            </w:r>
            <w:r w:rsidRPr="003B6A69">
              <w:rPr>
                <w:rFonts w:cs="Arial"/>
                <w:szCs w:val="20"/>
                <w:lang w:val="en-GB"/>
              </w:rPr>
              <w:t>print name below</w:t>
            </w:r>
          </w:p>
          <w:p w14:paraId="64763CB3" w14:textId="77777777" w:rsidR="00665F06" w:rsidRPr="003B6A69" w:rsidRDefault="00665F06" w:rsidP="00F92D3B">
            <w:pPr>
              <w:spacing w:after="120"/>
              <w:jc w:val="left"/>
              <w:rPr>
                <w:rFonts w:cs="Arial"/>
                <w:b/>
                <w:szCs w:val="20"/>
                <w:lang w:val="en-GB"/>
              </w:rPr>
            </w:pPr>
          </w:p>
        </w:tc>
        <w:tc>
          <w:tcPr>
            <w:tcW w:w="3261" w:type="dxa"/>
            <w:gridSpan w:val="2"/>
            <w:shd w:val="clear" w:color="auto" w:fill="auto"/>
          </w:tcPr>
          <w:p w14:paraId="27039737" w14:textId="29706739" w:rsidR="00665F06" w:rsidRPr="003B6A69" w:rsidRDefault="005F0E16" w:rsidP="00F956D3">
            <w:pPr>
              <w:spacing w:after="120"/>
              <w:jc w:val="left"/>
              <w:rPr>
                <w:rFonts w:cs="Arial"/>
                <w:b/>
                <w:szCs w:val="20"/>
                <w:lang w:val="en-GB"/>
              </w:rPr>
            </w:pPr>
            <w:r w:rsidRPr="003B6A69">
              <w:rPr>
                <w:rFonts w:cs="Arial"/>
                <w:b/>
                <w:szCs w:val="20"/>
                <w:lang w:val="en-GB"/>
              </w:rPr>
              <w:t>Agreed by UNDP</w:t>
            </w:r>
          </w:p>
        </w:tc>
        <w:tc>
          <w:tcPr>
            <w:tcW w:w="3260" w:type="dxa"/>
            <w:shd w:val="clear" w:color="auto" w:fill="auto"/>
          </w:tcPr>
          <w:p w14:paraId="4FCCD9F1" w14:textId="77777777" w:rsidR="00665F06" w:rsidRPr="003B6A69" w:rsidRDefault="00665F06" w:rsidP="00F92D3B">
            <w:pPr>
              <w:spacing w:after="120"/>
              <w:jc w:val="left"/>
              <w:rPr>
                <w:rFonts w:cs="Arial"/>
                <w:szCs w:val="20"/>
                <w:lang w:val="en-GB"/>
              </w:rPr>
            </w:pPr>
            <w:r w:rsidRPr="003B6A69">
              <w:rPr>
                <w:rFonts w:cs="Arial"/>
                <w:b/>
                <w:szCs w:val="20"/>
                <w:lang w:val="en-GB"/>
              </w:rPr>
              <w:t>Date/Month/Year:</w:t>
            </w:r>
            <w:r w:rsidRPr="003B6A69">
              <w:rPr>
                <w:rFonts w:cs="Arial"/>
                <w:szCs w:val="20"/>
                <w:lang w:val="en-GB"/>
              </w:rPr>
              <w:t xml:space="preserve"> </w:t>
            </w:r>
          </w:p>
          <w:p w14:paraId="00D1DEE7" w14:textId="77777777" w:rsidR="00665F06" w:rsidRPr="003B6A69" w:rsidRDefault="00665F06" w:rsidP="00F92D3B">
            <w:pPr>
              <w:spacing w:after="120"/>
              <w:jc w:val="left"/>
              <w:rPr>
                <w:rFonts w:cs="Arial"/>
                <w:b/>
                <w:szCs w:val="20"/>
                <w:lang w:val="en-GB"/>
              </w:rPr>
            </w:pPr>
            <w:r w:rsidRPr="003B6A69">
              <w:rPr>
                <w:rFonts w:cs="Arial"/>
                <w:i/>
                <w:szCs w:val="20"/>
                <w:lang w:val="en-GB"/>
              </w:rPr>
              <w:t>within 25 days of GEF CEO endorsement</w:t>
            </w:r>
          </w:p>
        </w:tc>
      </w:tr>
      <w:tr w:rsidR="00665F06" w:rsidRPr="003B6A69" w14:paraId="076D2419" w14:textId="77777777" w:rsidTr="00F169E9">
        <w:tc>
          <w:tcPr>
            <w:tcW w:w="9918" w:type="dxa"/>
            <w:gridSpan w:val="4"/>
            <w:shd w:val="clear" w:color="auto" w:fill="auto"/>
          </w:tcPr>
          <w:p w14:paraId="37000663" w14:textId="77777777" w:rsidR="00665F06" w:rsidRPr="003B6A69" w:rsidRDefault="00665F06" w:rsidP="00F92D3B">
            <w:pPr>
              <w:spacing w:after="120"/>
              <w:jc w:val="left"/>
              <w:rPr>
                <w:rFonts w:cs="Arial"/>
                <w:b/>
                <w:szCs w:val="20"/>
                <w:lang w:val="en-GB"/>
              </w:rPr>
            </w:pPr>
            <w:r w:rsidRPr="003B6A69">
              <w:rPr>
                <w:rFonts w:cs="Arial"/>
                <w:b/>
                <w:szCs w:val="20"/>
                <w:lang w:val="en-GB"/>
              </w:rPr>
              <w:t>Key GEF Project Cycle Milestones:</w:t>
            </w:r>
          </w:p>
          <w:p w14:paraId="3A4170AB" w14:textId="77777777" w:rsidR="00665F06" w:rsidRPr="003B6A69" w:rsidRDefault="00665F06" w:rsidP="00F92D3B">
            <w:pPr>
              <w:spacing w:after="120"/>
              <w:jc w:val="left"/>
              <w:rPr>
                <w:rFonts w:cs="Arial"/>
                <w:szCs w:val="20"/>
                <w:lang w:val="en-GB"/>
              </w:rPr>
            </w:pPr>
            <w:r w:rsidRPr="003B6A69">
              <w:rPr>
                <w:rFonts w:cs="Arial"/>
                <w:b/>
                <w:szCs w:val="20"/>
                <w:lang w:val="en-GB"/>
              </w:rPr>
              <w:t>Project document signature</w:t>
            </w:r>
            <w:r w:rsidRPr="003B6A69">
              <w:rPr>
                <w:rFonts w:cs="Arial"/>
                <w:szCs w:val="20"/>
                <w:lang w:val="en-GB"/>
              </w:rPr>
              <w:t>: within 25 days of GEF CEO endorsement</w:t>
            </w:r>
          </w:p>
          <w:p w14:paraId="7B8C199F" w14:textId="77777777" w:rsidR="00665F06" w:rsidRPr="003B6A69" w:rsidRDefault="00665F06" w:rsidP="00F92D3B">
            <w:pPr>
              <w:spacing w:after="120"/>
              <w:jc w:val="left"/>
              <w:rPr>
                <w:rFonts w:cs="Arial"/>
                <w:szCs w:val="20"/>
                <w:lang w:val="en-GB"/>
              </w:rPr>
            </w:pPr>
            <w:r w:rsidRPr="003B6A69">
              <w:rPr>
                <w:rFonts w:cs="Arial"/>
                <w:b/>
                <w:szCs w:val="20"/>
                <w:lang w:val="en-GB"/>
              </w:rPr>
              <w:t>First disbursement date</w:t>
            </w:r>
            <w:r w:rsidRPr="003B6A69">
              <w:rPr>
                <w:rFonts w:cs="Arial"/>
                <w:szCs w:val="20"/>
                <w:lang w:val="en-GB"/>
              </w:rPr>
              <w:t>: within 40 days of GEF CEO endorsement</w:t>
            </w:r>
          </w:p>
          <w:p w14:paraId="48BFF03B" w14:textId="77777777" w:rsidR="00665F06" w:rsidRPr="003B6A69" w:rsidRDefault="00665F06" w:rsidP="00F92D3B">
            <w:pPr>
              <w:spacing w:after="120"/>
              <w:jc w:val="left"/>
              <w:rPr>
                <w:rFonts w:cs="Arial"/>
                <w:szCs w:val="20"/>
                <w:lang w:val="en-GB"/>
              </w:rPr>
            </w:pPr>
            <w:r w:rsidRPr="003B6A69">
              <w:rPr>
                <w:rFonts w:cs="Arial"/>
                <w:b/>
                <w:szCs w:val="20"/>
                <w:lang w:val="en-GB"/>
              </w:rPr>
              <w:t>Inception workshop date</w:t>
            </w:r>
            <w:r w:rsidRPr="003B6A69">
              <w:rPr>
                <w:rFonts w:cs="Arial"/>
                <w:szCs w:val="20"/>
                <w:lang w:val="en-GB"/>
              </w:rPr>
              <w:t>: within 60 days of GEF CEO endorsement</w:t>
            </w:r>
          </w:p>
          <w:p w14:paraId="066FF0DD" w14:textId="77777777" w:rsidR="00665F06" w:rsidRPr="003B6A69" w:rsidRDefault="00665F06" w:rsidP="00F92D3B">
            <w:pPr>
              <w:spacing w:after="120"/>
              <w:jc w:val="left"/>
              <w:rPr>
                <w:rFonts w:cs="Arial"/>
                <w:b/>
                <w:szCs w:val="20"/>
                <w:lang w:val="en-GB"/>
              </w:rPr>
            </w:pPr>
            <w:r w:rsidRPr="003B6A69">
              <w:rPr>
                <w:rFonts w:cs="Arial"/>
                <w:b/>
                <w:szCs w:val="20"/>
                <w:lang w:val="en-GB"/>
              </w:rPr>
              <w:t xml:space="preserve">Operational closure: </w:t>
            </w:r>
            <w:r w:rsidRPr="003B6A69">
              <w:rPr>
                <w:rFonts w:cs="Arial"/>
                <w:szCs w:val="20"/>
                <w:lang w:val="en-GB"/>
              </w:rPr>
              <w:t>within 3 months of posting of TE to UNDP ERC</w:t>
            </w:r>
          </w:p>
          <w:p w14:paraId="0F77F134" w14:textId="1416F022" w:rsidR="008B55DA" w:rsidRPr="003B6A69" w:rsidRDefault="00665F06" w:rsidP="008B55DA">
            <w:pPr>
              <w:spacing w:after="120"/>
              <w:jc w:val="left"/>
              <w:rPr>
                <w:rFonts w:cs="Arial"/>
                <w:szCs w:val="20"/>
                <w:lang w:val="en-GB"/>
              </w:rPr>
            </w:pPr>
            <w:r w:rsidRPr="003B6A69">
              <w:rPr>
                <w:rFonts w:cs="Arial"/>
                <w:b/>
                <w:szCs w:val="20"/>
                <w:lang w:val="en-GB"/>
              </w:rPr>
              <w:t xml:space="preserve">Financial closure: </w:t>
            </w:r>
            <w:r w:rsidRPr="003B6A69">
              <w:rPr>
                <w:rFonts w:cs="Arial"/>
                <w:szCs w:val="20"/>
                <w:lang w:val="en-GB"/>
              </w:rPr>
              <w:t>within 6 months of operational closure</w:t>
            </w:r>
          </w:p>
        </w:tc>
      </w:tr>
      <w:bookmarkEnd w:id="0"/>
    </w:tbl>
    <w:p w14:paraId="10D01B53" w14:textId="521706E6" w:rsidR="001F6E52" w:rsidRPr="003B6A69" w:rsidRDefault="001F6E52">
      <w:pPr>
        <w:spacing w:after="0"/>
        <w:jc w:val="left"/>
        <w:rPr>
          <w:rFonts w:asciiTheme="minorHAnsi" w:eastAsia="Times New Roman" w:hAnsiTheme="minorHAnsi" w:cstheme="minorHAnsi"/>
          <w:szCs w:val="22"/>
          <w:lang w:val="en-GB"/>
        </w:rPr>
      </w:pPr>
    </w:p>
    <w:p w14:paraId="2EC69AFC" w14:textId="77777777" w:rsidR="00261DE5" w:rsidRPr="003B6A69" w:rsidRDefault="00261DE5">
      <w:pPr>
        <w:spacing w:after="0"/>
        <w:jc w:val="left"/>
        <w:rPr>
          <w:rFonts w:asciiTheme="minorHAnsi" w:hAnsiTheme="minorHAnsi" w:cstheme="minorHAnsi"/>
          <w:b/>
          <w:sz w:val="24"/>
          <w:szCs w:val="22"/>
          <w:lang w:val="en-GB"/>
        </w:rPr>
      </w:pPr>
      <w:bookmarkStart w:id="1" w:name="_Toc515645870"/>
      <w:r w:rsidRPr="003B6A69">
        <w:rPr>
          <w:rFonts w:asciiTheme="minorHAnsi" w:hAnsiTheme="minorHAnsi" w:cstheme="minorHAnsi"/>
          <w:b/>
          <w:sz w:val="24"/>
          <w:szCs w:val="22"/>
          <w:lang w:val="en-GB"/>
        </w:rPr>
        <w:br w:type="page"/>
      </w:r>
    </w:p>
    <w:p w14:paraId="2B767488" w14:textId="54893517" w:rsidR="004A4615" w:rsidRPr="003B6A69" w:rsidRDefault="00D64EA4" w:rsidP="004A4615">
      <w:pPr>
        <w:jc w:val="left"/>
        <w:rPr>
          <w:rFonts w:asciiTheme="minorHAnsi" w:hAnsiTheme="minorHAnsi" w:cstheme="minorHAnsi"/>
          <w:b/>
          <w:sz w:val="24"/>
          <w:szCs w:val="22"/>
          <w:lang w:val="en-GB"/>
        </w:rPr>
      </w:pPr>
      <w:r w:rsidRPr="003B6A69">
        <w:rPr>
          <w:rFonts w:asciiTheme="minorHAnsi" w:hAnsiTheme="minorHAnsi" w:cstheme="minorHAnsi"/>
          <w:b/>
          <w:sz w:val="24"/>
          <w:szCs w:val="22"/>
          <w:lang w:val="en-GB"/>
        </w:rPr>
        <w:lastRenderedPageBreak/>
        <w:t>Table of Contents</w:t>
      </w:r>
      <w:bookmarkEnd w:id="1"/>
    </w:p>
    <w:p w14:paraId="6DE064D5" w14:textId="77777777" w:rsidR="00261DE5" w:rsidRPr="003B6A69" w:rsidRDefault="00261DE5" w:rsidP="004A4615">
      <w:pPr>
        <w:jc w:val="left"/>
        <w:rPr>
          <w:rFonts w:asciiTheme="minorHAnsi" w:hAnsiTheme="minorHAnsi" w:cstheme="minorHAnsi"/>
          <w:b/>
          <w:sz w:val="24"/>
          <w:szCs w:val="22"/>
          <w:lang w:val="en-GB"/>
        </w:rPr>
      </w:pPr>
    </w:p>
    <w:p w14:paraId="79436E1E" w14:textId="5D117A48" w:rsidR="006C5C9F" w:rsidRDefault="00D64EA4">
      <w:pPr>
        <w:pStyle w:val="TOC1"/>
        <w:rPr>
          <w:rFonts w:asciiTheme="minorHAnsi" w:eastAsiaTheme="minorEastAsia" w:hAnsiTheme="minorHAnsi" w:cstheme="minorBidi"/>
          <w:noProof/>
          <w:sz w:val="22"/>
          <w:szCs w:val="22"/>
        </w:rPr>
      </w:pPr>
      <w:r w:rsidRPr="003B6A69">
        <w:rPr>
          <w:rFonts w:asciiTheme="minorHAnsi" w:hAnsiTheme="minorHAnsi" w:cstheme="minorHAnsi"/>
          <w:szCs w:val="20"/>
          <w:lang w:val="en-GB"/>
        </w:rPr>
        <w:fldChar w:fldCharType="begin"/>
      </w:r>
      <w:r w:rsidRPr="003B6A69">
        <w:rPr>
          <w:rFonts w:asciiTheme="minorHAnsi" w:hAnsiTheme="minorHAnsi" w:cstheme="minorHAnsi"/>
          <w:szCs w:val="20"/>
          <w:lang w:val="en-GB"/>
        </w:rPr>
        <w:instrText xml:space="preserve"> TOC \o "1-3" \h \z \u </w:instrText>
      </w:r>
      <w:r w:rsidRPr="003B6A69">
        <w:rPr>
          <w:rFonts w:asciiTheme="minorHAnsi" w:hAnsiTheme="minorHAnsi" w:cstheme="minorHAnsi"/>
          <w:szCs w:val="20"/>
          <w:lang w:val="en-GB"/>
        </w:rPr>
        <w:fldChar w:fldCharType="separate"/>
      </w:r>
      <w:hyperlink w:anchor="_Toc82018238" w:history="1">
        <w:r w:rsidR="006C5C9F" w:rsidRPr="00F30AA7">
          <w:rPr>
            <w:rStyle w:val="Hyperlink"/>
            <w:noProof/>
            <w:lang w:val="en-GB"/>
          </w:rPr>
          <w:t>I.</w:t>
        </w:r>
        <w:r w:rsidR="006C5C9F">
          <w:rPr>
            <w:rFonts w:asciiTheme="minorHAnsi" w:eastAsiaTheme="minorEastAsia" w:hAnsiTheme="minorHAnsi" w:cstheme="minorBidi"/>
            <w:noProof/>
            <w:sz w:val="22"/>
            <w:szCs w:val="22"/>
          </w:rPr>
          <w:tab/>
        </w:r>
        <w:r w:rsidR="006C5C9F" w:rsidRPr="00F30AA7">
          <w:rPr>
            <w:rStyle w:val="Hyperlink"/>
            <w:rFonts w:cstheme="minorHAnsi"/>
            <w:noProof/>
            <w:lang w:val="en-GB"/>
          </w:rPr>
          <w:t>Development Challenge</w:t>
        </w:r>
        <w:r w:rsidR="006C5C9F">
          <w:rPr>
            <w:noProof/>
            <w:webHidden/>
          </w:rPr>
          <w:tab/>
        </w:r>
        <w:r w:rsidR="006C5C9F">
          <w:rPr>
            <w:noProof/>
            <w:webHidden/>
          </w:rPr>
          <w:fldChar w:fldCharType="begin"/>
        </w:r>
        <w:r w:rsidR="006C5C9F">
          <w:rPr>
            <w:noProof/>
            <w:webHidden/>
          </w:rPr>
          <w:instrText xml:space="preserve"> PAGEREF _Toc82018238 \h </w:instrText>
        </w:r>
        <w:r w:rsidR="006C5C9F">
          <w:rPr>
            <w:noProof/>
            <w:webHidden/>
          </w:rPr>
        </w:r>
        <w:r w:rsidR="006C5C9F">
          <w:rPr>
            <w:noProof/>
            <w:webHidden/>
          </w:rPr>
          <w:fldChar w:fldCharType="separate"/>
        </w:r>
        <w:r w:rsidR="006C5C9F">
          <w:rPr>
            <w:noProof/>
            <w:webHidden/>
          </w:rPr>
          <w:t>6</w:t>
        </w:r>
        <w:r w:rsidR="006C5C9F">
          <w:rPr>
            <w:noProof/>
            <w:webHidden/>
          </w:rPr>
          <w:fldChar w:fldCharType="end"/>
        </w:r>
      </w:hyperlink>
    </w:p>
    <w:p w14:paraId="2AE46C1C" w14:textId="75C429F3" w:rsidR="006C5C9F" w:rsidRDefault="00127DDC">
      <w:pPr>
        <w:pStyle w:val="TOC2"/>
        <w:rPr>
          <w:rFonts w:asciiTheme="minorHAnsi" w:eastAsiaTheme="minorEastAsia" w:hAnsiTheme="minorHAnsi" w:cstheme="minorBidi"/>
          <w:noProof/>
          <w:sz w:val="22"/>
          <w:szCs w:val="22"/>
        </w:rPr>
      </w:pPr>
      <w:hyperlink w:anchor="_Toc82018239" w:history="1">
        <w:r w:rsidR="006C5C9F" w:rsidRPr="00F30AA7">
          <w:rPr>
            <w:rStyle w:val="Hyperlink"/>
            <w:noProof/>
            <w:lang w:val="en-GB"/>
          </w:rPr>
          <w:t>1.1 Overall development context and challenge (socio-economic, sustainable development)</w:t>
        </w:r>
        <w:r w:rsidR="006C5C9F">
          <w:rPr>
            <w:noProof/>
            <w:webHidden/>
          </w:rPr>
          <w:tab/>
        </w:r>
        <w:r w:rsidR="006C5C9F">
          <w:rPr>
            <w:noProof/>
            <w:webHidden/>
          </w:rPr>
          <w:fldChar w:fldCharType="begin"/>
        </w:r>
        <w:r w:rsidR="006C5C9F">
          <w:rPr>
            <w:noProof/>
            <w:webHidden/>
          </w:rPr>
          <w:instrText xml:space="preserve"> PAGEREF _Toc82018239 \h </w:instrText>
        </w:r>
        <w:r w:rsidR="006C5C9F">
          <w:rPr>
            <w:noProof/>
            <w:webHidden/>
          </w:rPr>
        </w:r>
        <w:r w:rsidR="006C5C9F">
          <w:rPr>
            <w:noProof/>
            <w:webHidden/>
          </w:rPr>
          <w:fldChar w:fldCharType="separate"/>
        </w:r>
        <w:r w:rsidR="006C5C9F">
          <w:rPr>
            <w:noProof/>
            <w:webHidden/>
          </w:rPr>
          <w:t>6</w:t>
        </w:r>
        <w:r w:rsidR="006C5C9F">
          <w:rPr>
            <w:noProof/>
            <w:webHidden/>
          </w:rPr>
          <w:fldChar w:fldCharType="end"/>
        </w:r>
      </w:hyperlink>
    </w:p>
    <w:p w14:paraId="181447B7" w14:textId="0B555306" w:rsidR="006C5C9F" w:rsidRDefault="00127DDC">
      <w:pPr>
        <w:pStyle w:val="TOC2"/>
        <w:rPr>
          <w:rFonts w:asciiTheme="minorHAnsi" w:eastAsiaTheme="minorEastAsia" w:hAnsiTheme="minorHAnsi" w:cstheme="minorBidi"/>
          <w:noProof/>
          <w:sz w:val="22"/>
          <w:szCs w:val="22"/>
        </w:rPr>
      </w:pPr>
      <w:hyperlink w:anchor="_Toc82018240" w:history="1">
        <w:r w:rsidR="006C5C9F" w:rsidRPr="00F30AA7">
          <w:rPr>
            <w:rStyle w:val="Hyperlink"/>
            <w:noProof/>
            <w:lang w:val="en-GB"/>
          </w:rPr>
          <w:t>1.2 Environmental context</w:t>
        </w:r>
        <w:r w:rsidR="006C5C9F">
          <w:rPr>
            <w:noProof/>
            <w:webHidden/>
          </w:rPr>
          <w:tab/>
        </w:r>
        <w:r w:rsidR="006C5C9F">
          <w:rPr>
            <w:noProof/>
            <w:webHidden/>
          </w:rPr>
          <w:fldChar w:fldCharType="begin"/>
        </w:r>
        <w:r w:rsidR="006C5C9F">
          <w:rPr>
            <w:noProof/>
            <w:webHidden/>
          </w:rPr>
          <w:instrText xml:space="preserve"> PAGEREF _Toc82018240 \h </w:instrText>
        </w:r>
        <w:r w:rsidR="006C5C9F">
          <w:rPr>
            <w:noProof/>
            <w:webHidden/>
          </w:rPr>
        </w:r>
        <w:r w:rsidR="006C5C9F">
          <w:rPr>
            <w:noProof/>
            <w:webHidden/>
          </w:rPr>
          <w:fldChar w:fldCharType="separate"/>
        </w:r>
        <w:r w:rsidR="006C5C9F">
          <w:rPr>
            <w:noProof/>
            <w:webHidden/>
          </w:rPr>
          <w:t>6</w:t>
        </w:r>
        <w:r w:rsidR="006C5C9F">
          <w:rPr>
            <w:noProof/>
            <w:webHidden/>
          </w:rPr>
          <w:fldChar w:fldCharType="end"/>
        </w:r>
      </w:hyperlink>
    </w:p>
    <w:p w14:paraId="5D0FED47" w14:textId="2B38FB94" w:rsidR="006C5C9F" w:rsidRDefault="00127DDC">
      <w:pPr>
        <w:pStyle w:val="TOC2"/>
        <w:tabs>
          <w:tab w:val="left" w:pos="1200"/>
        </w:tabs>
        <w:rPr>
          <w:rFonts w:asciiTheme="minorHAnsi" w:eastAsiaTheme="minorEastAsia" w:hAnsiTheme="minorHAnsi" w:cstheme="minorBidi"/>
          <w:noProof/>
          <w:sz w:val="22"/>
          <w:szCs w:val="22"/>
        </w:rPr>
      </w:pPr>
      <w:hyperlink w:anchor="_Toc82018241" w:history="1">
        <w:r w:rsidR="006C5C9F" w:rsidRPr="00F30AA7">
          <w:rPr>
            <w:rStyle w:val="Hyperlink"/>
            <w:noProof/>
            <w:lang w:val="en-GB"/>
          </w:rPr>
          <w:t>1.3</w:t>
        </w:r>
        <w:r w:rsidR="006C5C9F">
          <w:rPr>
            <w:rFonts w:asciiTheme="minorHAnsi" w:eastAsiaTheme="minorEastAsia" w:hAnsiTheme="minorHAnsi" w:cstheme="minorBidi"/>
            <w:noProof/>
            <w:sz w:val="22"/>
            <w:szCs w:val="22"/>
          </w:rPr>
          <w:tab/>
        </w:r>
        <w:r w:rsidR="006C5C9F" w:rsidRPr="00F30AA7">
          <w:rPr>
            <w:rStyle w:val="Hyperlink"/>
            <w:noProof/>
            <w:lang w:val="en-GB"/>
          </w:rPr>
          <w:t>Threats and their immediate and root causes</w:t>
        </w:r>
        <w:r w:rsidR="006C5C9F">
          <w:rPr>
            <w:noProof/>
            <w:webHidden/>
          </w:rPr>
          <w:tab/>
        </w:r>
        <w:r w:rsidR="006C5C9F">
          <w:rPr>
            <w:noProof/>
            <w:webHidden/>
          </w:rPr>
          <w:fldChar w:fldCharType="begin"/>
        </w:r>
        <w:r w:rsidR="006C5C9F">
          <w:rPr>
            <w:noProof/>
            <w:webHidden/>
          </w:rPr>
          <w:instrText xml:space="preserve"> PAGEREF _Toc82018241 \h </w:instrText>
        </w:r>
        <w:r w:rsidR="006C5C9F">
          <w:rPr>
            <w:noProof/>
            <w:webHidden/>
          </w:rPr>
        </w:r>
        <w:r w:rsidR="006C5C9F">
          <w:rPr>
            <w:noProof/>
            <w:webHidden/>
          </w:rPr>
          <w:fldChar w:fldCharType="separate"/>
        </w:r>
        <w:r w:rsidR="006C5C9F">
          <w:rPr>
            <w:noProof/>
            <w:webHidden/>
          </w:rPr>
          <w:t>7</w:t>
        </w:r>
        <w:r w:rsidR="006C5C9F">
          <w:rPr>
            <w:noProof/>
            <w:webHidden/>
          </w:rPr>
          <w:fldChar w:fldCharType="end"/>
        </w:r>
      </w:hyperlink>
    </w:p>
    <w:p w14:paraId="470EA6AB" w14:textId="5E4DCEF4" w:rsidR="006C5C9F" w:rsidRDefault="00127DDC">
      <w:pPr>
        <w:pStyle w:val="TOC1"/>
        <w:rPr>
          <w:rFonts w:asciiTheme="minorHAnsi" w:eastAsiaTheme="minorEastAsia" w:hAnsiTheme="minorHAnsi" w:cstheme="minorBidi"/>
          <w:noProof/>
          <w:sz w:val="22"/>
          <w:szCs w:val="22"/>
        </w:rPr>
      </w:pPr>
      <w:hyperlink w:anchor="_Toc82018242" w:history="1">
        <w:r w:rsidR="006C5C9F" w:rsidRPr="00F30AA7">
          <w:rPr>
            <w:rStyle w:val="Hyperlink"/>
            <w:noProof/>
            <w:lang w:val="en-GB"/>
          </w:rPr>
          <w:t>II.</w:t>
        </w:r>
        <w:r w:rsidR="006C5C9F">
          <w:rPr>
            <w:rFonts w:asciiTheme="minorHAnsi" w:eastAsiaTheme="minorEastAsia" w:hAnsiTheme="minorHAnsi" w:cstheme="minorBidi"/>
            <w:noProof/>
            <w:sz w:val="22"/>
            <w:szCs w:val="22"/>
          </w:rPr>
          <w:tab/>
        </w:r>
        <w:r w:rsidR="006C5C9F" w:rsidRPr="00F30AA7">
          <w:rPr>
            <w:rStyle w:val="Hyperlink"/>
            <w:rFonts w:cstheme="minorHAnsi"/>
            <w:noProof/>
            <w:lang w:val="en-GB"/>
          </w:rPr>
          <w:t>Strategy</w:t>
        </w:r>
        <w:r w:rsidR="006C5C9F">
          <w:rPr>
            <w:noProof/>
            <w:webHidden/>
          </w:rPr>
          <w:tab/>
        </w:r>
        <w:r w:rsidR="006C5C9F">
          <w:rPr>
            <w:noProof/>
            <w:webHidden/>
          </w:rPr>
          <w:fldChar w:fldCharType="begin"/>
        </w:r>
        <w:r w:rsidR="006C5C9F">
          <w:rPr>
            <w:noProof/>
            <w:webHidden/>
          </w:rPr>
          <w:instrText xml:space="preserve"> PAGEREF _Toc82018242 \h </w:instrText>
        </w:r>
        <w:r w:rsidR="006C5C9F">
          <w:rPr>
            <w:noProof/>
            <w:webHidden/>
          </w:rPr>
        </w:r>
        <w:r w:rsidR="006C5C9F">
          <w:rPr>
            <w:noProof/>
            <w:webHidden/>
          </w:rPr>
          <w:fldChar w:fldCharType="separate"/>
        </w:r>
        <w:r w:rsidR="006C5C9F">
          <w:rPr>
            <w:noProof/>
            <w:webHidden/>
          </w:rPr>
          <w:t>8</w:t>
        </w:r>
        <w:r w:rsidR="006C5C9F">
          <w:rPr>
            <w:noProof/>
            <w:webHidden/>
          </w:rPr>
          <w:fldChar w:fldCharType="end"/>
        </w:r>
      </w:hyperlink>
    </w:p>
    <w:p w14:paraId="181CBADA" w14:textId="2D236338" w:rsidR="006C5C9F" w:rsidRDefault="00127DDC">
      <w:pPr>
        <w:pStyle w:val="TOC2"/>
        <w:rPr>
          <w:rFonts w:asciiTheme="minorHAnsi" w:eastAsiaTheme="minorEastAsia" w:hAnsiTheme="minorHAnsi" w:cstheme="minorBidi"/>
          <w:noProof/>
          <w:sz w:val="22"/>
          <w:szCs w:val="22"/>
        </w:rPr>
      </w:pPr>
      <w:hyperlink w:anchor="_Toc82018243" w:history="1">
        <w:r w:rsidR="006C5C9F" w:rsidRPr="00F30AA7">
          <w:rPr>
            <w:rStyle w:val="Hyperlink"/>
            <w:noProof/>
            <w:lang w:val="en-GB"/>
          </w:rPr>
          <w:t>2.1 The long-term solution</w:t>
        </w:r>
        <w:r w:rsidR="006C5C9F">
          <w:rPr>
            <w:noProof/>
            <w:webHidden/>
          </w:rPr>
          <w:tab/>
        </w:r>
        <w:r w:rsidR="006C5C9F">
          <w:rPr>
            <w:noProof/>
            <w:webHidden/>
          </w:rPr>
          <w:fldChar w:fldCharType="begin"/>
        </w:r>
        <w:r w:rsidR="006C5C9F">
          <w:rPr>
            <w:noProof/>
            <w:webHidden/>
          </w:rPr>
          <w:instrText xml:space="preserve"> PAGEREF _Toc82018243 \h </w:instrText>
        </w:r>
        <w:r w:rsidR="006C5C9F">
          <w:rPr>
            <w:noProof/>
            <w:webHidden/>
          </w:rPr>
        </w:r>
        <w:r w:rsidR="006C5C9F">
          <w:rPr>
            <w:noProof/>
            <w:webHidden/>
          </w:rPr>
          <w:fldChar w:fldCharType="separate"/>
        </w:r>
        <w:r w:rsidR="006C5C9F">
          <w:rPr>
            <w:noProof/>
            <w:webHidden/>
          </w:rPr>
          <w:t>8</w:t>
        </w:r>
        <w:r w:rsidR="006C5C9F">
          <w:rPr>
            <w:noProof/>
            <w:webHidden/>
          </w:rPr>
          <w:fldChar w:fldCharType="end"/>
        </w:r>
      </w:hyperlink>
    </w:p>
    <w:p w14:paraId="2138F0AC" w14:textId="3DE8AA62" w:rsidR="006C5C9F" w:rsidRDefault="00127DDC">
      <w:pPr>
        <w:pStyle w:val="TOC2"/>
        <w:rPr>
          <w:rFonts w:asciiTheme="minorHAnsi" w:eastAsiaTheme="minorEastAsia" w:hAnsiTheme="minorHAnsi" w:cstheme="minorBidi"/>
          <w:noProof/>
          <w:sz w:val="22"/>
          <w:szCs w:val="22"/>
        </w:rPr>
      </w:pPr>
      <w:hyperlink w:anchor="_Toc82018244" w:history="1">
        <w:r w:rsidR="006C5C9F" w:rsidRPr="00F30AA7">
          <w:rPr>
            <w:rStyle w:val="Hyperlink"/>
            <w:noProof/>
            <w:lang w:val="en-GB"/>
          </w:rPr>
          <w:t>2.2 Key past and ongoing interventions</w:t>
        </w:r>
        <w:r w:rsidR="006C5C9F">
          <w:rPr>
            <w:noProof/>
            <w:webHidden/>
          </w:rPr>
          <w:tab/>
        </w:r>
        <w:r w:rsidR="006C5C9F">
          <w:rPr>
            <w:noProof/>
            <w:webHidden/>
          </w:rPr>
          <w:fldChar w:fldCharType="begin"/>
        </w:r>
        <w:r w:rsidR="006C5C9F">
          <w:rPr>
            <w:noProof/>
            <w:webHidden/>
          </w:rPr>
          <w:instrText xml:space="preserve"> PAGEREF _Toc82018244 \h </w:instrText>
        </w:r>
        <w:r w:rsidR="006C5C9F">
          <w:rPr>
            <w:noProof/>
            <w:webHidden/>
          </w:rPr>
        </w:r>
        <w:r w:rsidR="006C5C9F">
          <w:rPr>
            <w:noProof/>
            <w:webHidden/>
          </w:rPr>
          <w:fldChar w:fldCharType="separate"/>
        </w:r>
        <w:r w:rsidR="006C5C9F">
          <w:rPr>
            <w:noProof/>
            <w:webHidden/>
          </w:rPr>
          <w:t>8</w:t>
        </w:r>
        <w:r w:rsidR="006C5C9F">
          <w:rPr>
            <w:noProof/>
            <w:webHidden/>
          </w:rPr>
          <w:fldChar w:fldCharType="end"/>
        </w:r>
      </w:hyperlink>
    </w:p>
    <w:p w14:paraId="2075C829" w14:textId="304BFEFC" w:rsidR="006C5C9F" w:rsidRDefault="00127DDC">
      <w:pPr>
        <w:pStyle w:val="TOC2"/>
        <w:rPr>
          <w:rFonts w:asciiTheme="minorHAnsi" w:eastAsiaTheme="minorEastAsia" w:hAnsiTheme="minorHAnsi" w:cstheme="minorBidi"/>
          <w:noProof/>
          <w:sz w:val="22"/>
          <w:szCs w:val="22"/>
        </w:rPr>
      </w:pPr>
      <w:hyperlink w:anchor="_Toc82018245" w:history="1">
        <w:r w:rsidR="006C5C9F" w:rsidRPr="00F30AA7">
          <w:rPr>
            <w:rStyle w:val="Hyperlink"/>
            <w:noProof/>
            <w:lang w:val="en-GB"/>
          </w:rPr>
          <w:t>2.3 The projected baseline scenario</w:t>
        </w:r>
        <w:r w:rsidR="006C5C9F">
          <w:rPr>
            <w:noProof/>
            <w:webHidden/>
          </w:rPr>
          <w:tab/>
        </w:r>
        <w:r w:rsidR="006C5C9F">
          <w:rPr>
            <w:noProof/>
            <w:webHidden/>
          </w:rPr>
          <w:fldChar w:fldCharType="begin"/>
        </w:r>
        <w:r w:rsidR="006C5C9F">
          <w:rPr>
            <w:noProof/>
            <w:webHidden/>
          </w:rPr>
          <w:instrText xml:space="preserve"> PAGEREF _Toc82018245 \h </w:instrText>
        </w:r>
        <w:r w:rsidR="006C5C9F">
          <w:rPr>
            <w:noProof/>
            <w:webHidden/>
          </w:rPr>
        </w:r>
        <w:r w:rsidR="006C5C9F">
          <w:rPr>
            <w:noProof/>
            <w:webHidden/>
          </w:rPr>
          <w:fldChar w:fldCharType="separate"/>
        </w:r>
        <w:r w:rsidR="006C5C9F">
          <w:rPr>
            <w:noProof/>
            <w:webHidden/>
          </w:rPr>
          <w:t>11</w:t>
        </w:r>
        <w:r w:rsidR="006C5C9F">
          <w:rPr>
            <w:noProof/>
            <w:webHidden/>
          </w:rPr>
          <w:fldChar w:fldCharType="end"/>
        </w:r>
      </w:hyperlink>
    </w:p>
    <w:p w14:paraId="618C7FEB" w14:textId="503AD6F0" w:rsidR="006C5C9F" w:rsidRDefault="00127DDC">
      <w:pPr>
        <w:pStyle w:val="TOC2"/>
        <w:rPr>
          <w:rFonts w:asciiTheme="minorHAnsi" w:eastAsiaTheme="minorEastAsia" w:hAnsiTheme="minorHAnsi" w:cstheme="minorBidi"/>
          <w:noProof/>
          <w:sz w:val="22"/>
          <w:szCs w:val="22"/>
        </w:rPr>
      </w:pPr>
      <w:hyperlink w:anchor="_Toc82018246" w:history="1">
        <w:r w:rsidR="006C5C9F" w:rsidRPr="00F30AA7">
          <w:rPr>
            <w:rStyle w:val="Hyperlink"/>
            <w:noProof/>
            <w:lang w:val="en-GB"/>
          </w:rPr>
          <w:t>2.4 Barriers and theory of change</w:t>
        </w:r>
        <w:r w:rsidR="006C5C9F">
          <w:rPr>
            <w:noProof/>
            <w:webHidden/>
          </w:rPr>
          <w:tab/>
        </w:r>
        <w:r w:rsidR="006C5C9F">
          <w:rPr>
            <w:noProof/>
            <w:webHidden/>
          </w:rPr>
          <w:fldChar w:fldCharType="begin"/>
        </w:r>
        <w:r w:rsidR="006C5C9F">
          <w:rPr>
            <w:noProof/>
            <w:webHidden/>
          </w:rPr>
          <w:instrText xml:space="preserve"> PAGEREF _Toc82018246 \h </w:instrText>
        </w:r>
        <w:r w:rsidR="006C5C9F">
          <w:rPr>
            <w:noProof/>
            <w:webHidden/>
          </w:rPr>
        </w:r>
        <w:r w:rsidR="006C5C9F">
          <w:rPr>
            <w:noProof/>
            <w:webHidden/>
          </w:rPr>
          <w:fldChar w:fldCharType="separate"/>
        </w:r>
        <w:r w:rsidR="006C5C9F">
          <w:rPr>
            <w:noProof/>
            <w:webHidden/>
          </w:rPr>
          <w:t>15</w:t>
        </w:r>
        <w:r w:rsidR="006C5C9F">
          <w:rPr>
            <w:noProof/>
            <w:webHidden/>
          </w:rPr>
          <w:fldChar w:fldCharType="end"/>
        </w:r>
      </w:hyperlink>
    </w:p>
    <w:p w14:paraId="66144EF5" w14:textId="69A20191" w:rsidR="006C5C9F" w:rsidRDefault="00127DDC">
      <w:pPr>
        <w:pStyle w:val="TOC1"/>
        <w:rPr>
          <w:rFonts w:asciiTheme="minorHAnsi" w:eastAsiaTheme="minorEastAsia" w:hAnsiTheme="minorHAnsi" w:cstheme="minorBidi"/>
          <w:noProof/>
          <w:sz w:val="22"/>
          <w:szCs w:val="22"/>
        </w:rPr>
      </w:pPr>
      <w:hyperlink w:anchor="_Toc82018247" w:history="1">
        <w:r w:rsidR="006C5C9F" w:rsidRPr="00F30AA7">
          <w:rPr>
            <w:rStyle w:val="Hyperlink"/>
            <w:noProof/>
            <w:lang w:val="en-GB"/>
          </w:rPr>
          <w:t>III.</w:t>
        </w:r>
        <w:r w:rsidR="006C5C9F">
          <w:rPr>
            <w:rFonts w:asciiTheme="minorHAnsi" w:eastAsiaTheme="minorEastAsia" w:hAnsiTheme="minorHAnsi" w:cstheme="minorBidi"/>
            <w:noProof/>
            <w:sz w:val="22"/>
            <w:szCs w:val="22"/>
          </w:rPr>
          <w:tab/>
        </w:r>
        <w:r w:rsidR="006C5C9F" w:rsidRPr="00F30AA7">
          <w:rPr>
            <w:rStyle w:val="Hyperlink"/>
            <w:rFonts w:cstheme="minorHAnsi"/>
            <w:noProof/>
            <w:lang w:val="en-GB"/>
          </w:rPr>
          <w:t>Results and Partnerships</w:t>
        </w:r>
        <w:r w:rsidR="006C5C9F">
          <w:rPr>
            <w:noProof/>
            <w:webHidden/>
          </w:rPr>
          <w:tab/>
        </w:r>
        <w:r w:rsidR="006C5C9F">
          <w:rPr>
            <w:noProof/>
            <w:webHidden/>
          </w:rPr>
          <w:fldChar w:fldCharType="begin"/>
        </w:r>
        <w:r w:rsidR="006C5C9F">
          <w:rPr>
            <w:noProof/>
            <w:webHidden/>
          </w:rPr>
          <w:instrText xml:space="preserve"> PAGEREF _Toc82018247 \h </w:instrText>
        </w:r>
        <w:r w:rsidR="006C5C9F">
          <w:rPr>
            <w:noProof/>
            <w:webHidden/>
          </w:rPr>
        </w:r>
        <w:r w:rsidR="006C5C9F">
          <w:rPr>
            <w:noProof/>
            <w:webHidden/>
          </w:rPr>
          <w:fldChar w:fldCharType="separate"/>
        </w:r>
        <w:r w:rsidR="006C5C9F">
          <w:rPr>
            <w:noProof/>
            <w:webHidden/>
          </w:rPr>
          <w:t>17</w:t>
        </w:r>
        <w:r w:rsidR="006C5C9F">
          <w:rPr>
            <w:noProof/>
            <w:webHidden/>
          </w:rPr>
          <w:fldChar w:fldCharType="end"/>
        </w:r>
      </w:hyperlink>
    </w:p>
    <w:p w14:paraId="3425FF1F" w14:textId="1024B19F" w:rsidR="006C5C9F" w:rsidRDefault="00127DDC">
      <w:pPr>
        <w:pStyle w:val="TOC2"/>
        <w:rPr>
          <w:rFonts w:asciiTheme="minorHAnsi" w:eastAsiaTheme="minorEastAsia" w:hAnsiTheme="minorHAnsi" w:cstheme="minorBidi"/>
          <w:noProof/>
          <w:sz w:val="22"/>
          <w:szCs w:val="22"/>
        </w:rPr>
      </w:pPr>
      <w:hyperlink w:anchor="_Toc82018248" w:history="1">
        <w:r w:rsidR="006C5C9F" w:rsidRPr="00F30AA7">
          <w:rPr>
            <w:rStyle w:val="Hyperlink"/>
            <w:noProof/>
            <w:lang w:val="en-GB"/>
          </w:rPr>
          <w:t>3.1 Project description and expected results</w:t>
        </w:r>
        <w:r w:rsidR="006C5C9F">
          <w:rPr>
            <w:noProof/>
            <w:webHidden/>
          </w:rPr>
          <w:tab/>
        </w:r>
        <w:r w:rsidR="006C5C9F">
          <w:rPr>
            <w:noProof/>
            <w:webHidden/>
          </w:rPr>
          <w:fldChar w:fldCharType="begin"/>
        </w:r>
        <w:r w:rsidR="006C5C9F">
          <w:rPr>
            <w:noProof/>
            <w:webHidden/>
          </w:rPr>
          <w:instrText xml:space="preserve"> PAGEREF _Toc82018248 \h </w:instrText>
        </w:r>
        <w:r w:rsidR="006C5C9F">
          <w:rPr>
            <w:noProof/>
            <w:webHidden/>
          </w:rPr>
        </w:r>
        <w:r w:rsidR="006C5C9F">
          <w:rPr>
            <w:noProof/>
            <w:webHidden/>
          </w:rPr>
          <w:fldChar w:fldCharType="separate"/>
        </w:r>
        <w:r w:rsidR="006C5C9F">
          <w:rPr>
            <w:noProof/>
            <w:webHidden/>
          </w:rPr>
          <w:t>17</w:t>
        </w:r>
        <w:r w:rsidR="006C5C9F">
          <w:rPr>
            <w:noProof/>
            <w:webHidden/>
          </w:rPr>
          <w:fldChar w:fldCharType="end"/>
        </w:r>
      </w:hyperlink>
    </w:p>
    <w:p w14:paraId="30B9143E" w14:textId="4531757D" w:rsidR="006C5C9F" w:rsidRDefault="00127DDC">
      <w:pPr>
        <w:pStyle w:val="TOC3"/>
        <w:tabs>
          <w:tab w:val="right" w:pos="9962"/>
        </w:tabs>
        <w:rPr>
          <w:rFonts w:asciiTheme="minorHAnsi" w:eastAsiaTheme="minorEastAsia" w:hAnsiTheme="minorHAnsi" w:cstheme="minorBidi"/>
          <w:noProof/>
          <w:sz w:val="22"/>
          <w:szCs w:val="22"/>
        </w:rPr>
      </w:pPr>
      <w:hyperlink w:anchor="_Toc82018249" w:history="1">
        <w:r w:rsidR="006C5C9F" w:rsidRPr="00F30AA7">
          <w:rPr>
            <w:rStyle w:val="Hyperlink"/>
            <w:noProof/>
          </w:rPr>
          <w:t>Component 1: Protection of valuable and/or vulnerable biodiversity within the KBAs and biodiversity corridors</w:t>
        </w:r>
        <w:r w:rsidR="006C5C9F">
          <w:rPr>
            <w:noProof/>
            <w:webHidden/>
          </w:rPr>
          <w:tab/>
        </w:r>
        <w:r w:rsidR="006C5C9F">
          <w:rPr>
            <w:noProof/>
            <w:webHidden/>
          </w:rPr>
          <w:fldChar w:fldCharType="begin"/>
        </w:r>
        <w:r w:rsidR="006C5C9F">
          <w:rPr>
            <w:noProof/>
            <w:webHidden/>
          </w:rPr>
          <w:instrText xml:space="preserve"> PAGEREF _Toc82018249 \h </w:instrText>
        </w:r>
        <w:r w:rsidR="006C5C9F">
          <w:rPr>
            <w:noProof/>
            <w:webHidden/>
          </w:rPr>
        </w:r>
        <w:r w:rsidR="006C5C9F">
          <w:rPr>
            <w:noProof/>
            <w:webHidden/>
          </w:rPr>
          <w:fldChar w:fldCharType="separate"/>
        </w:r>
        <w:r w:rsidR="006C5C9F">
          <w:rPr>
            <w:noProof/>
            <w:webHidden/>
          </w:rPr>
          <w:t>18</w:t>
        </w:r>
        <w:r w:rsidR="006C5C9F">
          <w:rPr>
            <w:noProof/>
            <w:webHidden/>
          </w:rPr>
          <w:fldChar w:fldCharType="end"/>
        </w:r>
      </w:hyperlink>
    </w:p>
    <w:p w14:paraId="474A490B" w14:textId="0B8E35B4" w:rsidR="006C5C9F" w:rsidRDefault="00127DDC">
      <w:pPr>
        <w:pStyle w:val="TOC3"/>
        <w:tabs>
          <w:tab w:val="right" w:pos="9962"/>
        </w:tabs>
        <w:rPr>
          <w:rFonts w:asciiTheme="minorHAnsi" w:eastAsiaTheme="minorEastAsia" w:hAnsiTheme="minorHAnsi" w:cstheme="minorBidi"/>
          <w:noProof/>
          <w:sz w:val="22"/>
          <w:szCs w:val="22"/>
        </w:rPr>
      </w:pPr>
      <w:hyperlink w:anchor="_Toc82018250" w:history="1">
        <w:r w:rsidR="006C5C9F" w:rsidRPr="00F30AA7">
          <w:rPr>
            <w:rStyle w:val="Hyperlink"/>
            <w:noProof/>
          </w:rPr>
          <w:t>Outcome 1: Capacity of the existing and newly established national protected areas strengthened to better address the key threats to globally significant biodiversity</w:t>
        </w:r>
        <w:r w:rsidR="006C5C9F">
          <w:rPr>
            <w:noProof/>
            <w:webHidden/>
          </w:rPr>
          <w:tab/>
        </w:r>
        <w:r w:rsidR="006C5C9F">
          <w:rPr>
            <w:noProof/>
            <w:webHidden/>
          </w:rPr>
          <w:fldChar w:fldCharType="begin"/>
        </w:r>
        <w:r w:rsidR="006C5C9F">
          <w:rPr>
            <w:noProof/>
            <w:webHidden/>
          </w:rPr>
          <w:instrText xml:space="preserve"> PAGEREF _Toc82018250 \h </w:instrText>
        </w:r>
        <w:r w:rsidR="006C5C9F">
          <w:rPr>
            <w:noProof/>
            <w:webHidden/>
          </w:rPr>
        </w:r>
        <w:r w:rsidR="006C5C9F">
          <w:rPr>
            <w:noProof/>
            <w:webHidden/>
          </w:rPr>
          <w:fldChar w:fldCharType="separate"/>
        </w:r>
        <w:r w:rsidR="006C5C9F">
          <w:rPr>
            <w:noProof/>
            <w:webHidden/>
          </w:rPr>
          <w:t>18</w:t>
        </w:r>
        <w:r w:rsidR="006C5C9F">
          <w:rPr>
            <w:noProof/>
            <w:webHidden/>
          </w:rPr>
          <w:fldChar w:fldCharType="end"/>
        </w:r>
      </w:hyperlink>
    </w:p>
    <w:p w14:paraId="07E0FF85" w14:textId="34D654D0" w:rsidR="006C5C9F" w:rsidRDefault="00127DDC">
      <w:pPr>
        <w:pStyle w:val="TOC3"/>
        <w:tabs>
          <w:tab w:val="right" w:pos="9962"/>
        </w:tabs>
        <w:rPr>
          <w:rFonts w:asciiTheme="minorHAnsi" w:eastAsiaTheme="minorEastAsia" w:hAnsiTheme="minorHAnsi" w:cstheme="minorBidi"/>
          <w:noProof/>
          <w:sz w:val="22"/>
          <w:szCs w:val="22"/>
        </w:rPr>
      </w:pPr>
      <w:hyperlink w:anchor="_Toc82018251" w:history="1">
        <w:r w:rsidR="006C5C9F" w:rsidRPr="00F30AA7">
          <w:rPr>
            <w:rStyle w:val="Hyperlink"/>
            <w:noProof/>
          </w:rPr>
          <w:t>Outcome 2: Biodiversity conservation arrangements in place for the hot-spots outside the PAs</w:t>
        </w:r>
        <w:r w:rsidR="006C5C9F">
          <w:rPr>
            <w:noProof/>
            <w:webHidden/>
          </w:rPr>
          <w:tab/>
        </w:r>
        <w:r w:rsidR="006C5C9F">
          <w:rPr>
            <w:noProof/>
            <w:webHidden/>
          </w:rPr>
          <w:fldChar w:fldCharType="begin"/>
        </w:r>
        <w:r w:rsidR="006C5C9F">
          <w:rPr>
            <w:noProof/>
            <w:webHidden/>
          </w:rPr>
          <w:instrText xml:space="preserve"> PAGEREF _Toc82018251 \h </w:instrText>
        </w:r>
        <w:r w:rsidR="006C5C9F">
          <w:rPr>
            <w:noProof/>
            <w:webHidden/>
          </w:rPr>
        </w:r>
        <w:r w:rsidR="006C5C9F">
          <w:rPr>
            <w:noProof/>
            <w:webHidden/>
          </w:rPr>
          <w:fldChar w:fldCharType="separate"/>
        </w:r>
        <w:r w:rsidR="006C5C9F">
          <w:rPr>
            <w:noProof/>
            <w:webHidden/>
          </w:rPr>
          <w:t>22</w:t>
        </w:r>
        <w:r w:rsidR="006C5C9F">
          <w:rPr>
            <w:noProof/>
            <w:webHidden/>
          </w:rPr>
          <w:fldChar w:fldCharType="end"/>
        </w:r>
      </w:hyperlink>
    </w:p>
    <w:p w14:paraId="5DB74098" w14:textId="01DC3953" w:rsidR="006C5C9F" w:rsidRDefault="00127DDC">
      <w:pPr>
        <w:pStyle w:val="TOC3"/>
        <w:tabs>
          <w:tab w:val="right" w:pos="9962"/>
        </w:tabs>
        <w:rPr>
          <w:rFonts w:asciiTheme="minorHAnsi" w:eastAsiaTheme="minorEastAsia" w:hAnsiTheme="minorHAnsi" w:cstheme="minorBidi"/>
          <w:noProof/>
          <w:sz w:val="22"/>
          <w:szCs w:val="22"/>
        </w:rPr>
      </w:pPr>
      <w:hyperlink w:anchor="_Toc82018252" w:history="1">
        <w:r w:rsidR="006C5C9F" w:rsidRPr="00F30AA7">
          <w:rPr>
            <w:rStyle w:val="Hyperlink"/>
            <w:bCs/>
            <w:noProof/>
          </w:rPr>
          <w:t>Component</w:t>
        </w:r>
        <w:r w:rsidR="006C5C9F" w:rsidRPr="00F30AA7">
          <w:rPr>
            <w:rStyle w:val="Hyperlink"/>
            <w:noProof/>
          </w:rPr>
          <w:t xml:space="preserve"> 2: BD mainstreaming into sectoral policies and practices</w:t>
        </w:r>
        <w:r w:rsidR="006C5C9F">
          <w:rPr>
            <w:noProof/>
            <w:webHidden/>
          </w:rPr>
          <w:tab/>
        </w:r>
        <w:r w:rsidR="006C5C9F">
          <w:rPr>
            <w:noProof/>
            <w:webHidden/>
          </w:rPr>
          <w:fldChar w:fldCharType="begin"/>
        </w:r>
        <w:r w:rsidR="006C5C9F">
          <w:rPr>
            <w:noProof/>
            <w:webHidden/>
          </w:rPr>
          <w:instrText xml:space="preserve"> PAGEREF _Toc82018252 \h </w:instrText>
        </w:r>
        <w:r w:rsidR="006C5C9F">
          <w:rPr>
            <w:noProof/>
            <w:webHidden/>
          </w:rPr>
        </w:r>
        <w:r w:rsidR="006C5C9F">
          <w:rPr>
            <w:noProof/>
            <w:webHidden/>
          </w:rPr>
          <w:fldChar w:fldCharType="separate"/>
        </w:r>
        <w:r w:rsidR="006C5C9F">
          <w:rPr>
            <w:noProof/>
            <w:webHidden/>
          </w:rPr>
          <w:t>27</w:t>
        </w:r>
        <w:r w:rsidR="006C5C9F">
          <w:rPr>
            <w:noProof/>
            <w:webHidden/>
          </w:rPr>
          <w:fldChar w:fldCharType="end"/>
        </w:r>
      </w:hyperlink>
    </w:p>
    <w:p w14:paraId="5A35F8A9" w14:textId="71E72EA1" w:rsidR="006C5C9F" w:rsidRDefault="00127DDC">
      <w:pPr>
        <w:pStyle w:val="TOC3"/>
        <w:tabs>
          <w:tab w:val="right" w:pos="9962"/>
        </w:tabs>
        <w:rPr>
          <w:rFonts w:asciiTheme="minorHAnsi" w:eastAsiaTheme="minorEastAsia" w:hAnsiTheme="minorHAnsi" w:cstheme="minorBidi"/>
          <w:noProof/>
          <w:sz w:val="22"/>
          <w:szCs w:val="22"/>
        </w:rPr>
      </w:pPr>
      <w:hyperlink w:anchor="_Toc82018253" w:history="1">
        <w:r w:rsidR="006C5C9F" w:rsidRPr="00F30AA7">
          <w:rPr>
            <w:rStyle w:val="Hyperlink"/>
            <w:noProof/>
          </w:rPr>
          <w:t>Outcome 3: BD conservation considerations mainstreamed for sustainable tourism development</w:t>
        </w:r>
        <w:r w:rsidR="006C5C9F">
          <w:rPr>
            <w:noProof/>
            <w:webHidden/>
          </w:rPr>
          <w:tab/>
        </w:r>
        <w:r w:rsidR="006C5C9F">
          <w:rPr>
            <w:noProof/>
            <w:webHidden/>
          </w:rPr>
          <w:fldChar w:fldCharType="begin"/>
        </w:r>
        <w:r w:rsidR="006C5C9F">
          <w:rPr>
            <w:noProof/>
            <w:webHidden/>
          </w:rPr>
          <w:instrText xml:space="preserve"> PAGEREF _Toc82018253 \h </w:instrText>
        </w:r>
        <w:r w:rsidR="006C5C9F">
          <w:rPr>
            <w:noProof/>
            <w:webHidden/>
          </w:rPr>
        </w:r>
        <w:r w:rsidR="006C5C9F">
          <w:rPr>
            <w:noProof/>
            <w:webHidden/>
          </w:rPr>
          <w:fldChar w:fldCharType="separate"/>
        </w:r>
        <w:r w:rsidR="006C5C9F">
          <w:rPr>
            <w:noProof/>
            <w:webHidden/>
          </w:rPr>
          <w:t>27</w:t>
        </w:r>
        <w:r w:rsidR="006C5C9F">
          <w:rPr>
            <w:noProof/>
            <w:webHidden/>
          </w:rPr>
          <w:fldChar w:fldCharType="end"/>
        </w:r>
      </w:hyperlink>
    </w:p>
    <w:p w14:paraId="63914562" w14:textId="23E3DBEA" w:rsidR="006C5C9F" w:rsidRDefault="00127DDC">
      <w:pPr>
        <w:pStyle w:val="TOC3"/>
        <w:tabs>
          <w:tab w:val="right" w:pos="9962"/>
        </w:tabs>
        <w:rPr>
          <w:rFonts w:asciiTheme="minorHAnsi" w:eastAsiaTheme="minorEastAsia" w:hAnsiTheme="minorHAnsi" w:cstheme="minorBidi"/>
          <w:noProof/>
          <w:sz w:val="22"/>
          <w:szCs w:val="22"/>
        </w:rPr>
      </w:pPr>
      <w:hyperlink w:anchor="_Toc82018254" w:history="1">
        <w:r w:rsidR="006C5C9F" w:rsidRPr="00F30AA7">
          <w:rPr>
            <w:rStyle w:val="Hyperlink"/>
            <w:bCs/>
            <w:noProof/>
          </w:rPr>
          <w:t xml:space="preserve">Outcome 4: </w:t>
        </w:r>
        <w:r w:rsidR="006C5C9F" w:rsidRPr="00F30AA7">
          <w:rPr>
            <w:rStyle w:val="Hyperlink"/>
            <w:noProof/>
          </w:rPr>
          <w:t>BD conservation considerations mainstreamed into forestry policies and practices around KBAs</w:t>
        </w:r>
        <w:r w:rsidR="006C5C9F">
          <w:rPr>
            <w:noProof/>
            <w:webHidden/>
          </w:rPr>
          <w:tab/>
        </w:r>
        <w:r w:rsidR="006C5C9F">
          <w:rPr>
            <w:noProof/>
            <w:webHidden/>
          </w:rPr>
          <w:fldChar w:fldCharType="begin"/>
        </w:r>
        <w:r w:rsidR="006C5C9F">
          <w:rPr>
            <w:noProof/>
            <w:webHidden/>
          </w:rPr>
          <w:instrText xml:space="preserve"> PAGEREF _Toc82018254 \h </w:instrText>
        </w:r>
        <w:r w:rsidR="006C5C9F">
          <w:rPr>
            <w:noProof/>
            <w:webHidden/>
          </w:rPr>
        </w:r>
        <w:r w:rsidR="006C5C9F">
          <w:rPr>
            <w:noProof/>
            <w:webHidden/>
          </w:rPr>
          <w:fldChar w:fldCharType="separate"/>
        </w:r>
        <w:r w:rsidR="006C5C9F">
          <w:rPr>
            <w:noProof/>
            <w:webHidden/>
          </w:rPr>
          <w:t>29</w:t>
        </w:r>
        <w:r w:rsidR="006C5C9F">
          <w:rPr>
            <w:noProof/>
            <w:webHidden/>
          </w:rPr>
          <w:fldChar w:fldCharType="end"/>
        </w:r>
      </w:hyperlink>
    </w:p>
    <w:p w14:paraId="571FA035" w14:textId="2CB40ECD" w:rsidR="006C5C9F" w:rsidRDefault="00127DDC">
      <w:pPr>
        <w:pStyle w:val="TOC3"/>
        <w:tabs>
          <w:tab w:val="right" w:pos="9962"/>
        </w:tabs>
        <w:rPr>
          <w:rFonts w:asciiTheme="minorHAnsi" w:eastAsiaTheme="minorEastAsia" w:hAnsiTheme="minorHAnsi" w:cstheme="minorBidi"/>
          <w:noProof/>
          <w:sz w:val="22"/>
          <w:szCs w:val="22"/>
        </w:rPr>
      </w:pPr>
      <w:hyperlink w:anchor="_Toc82018255" w:history="1">
        <w:r w:rsidR="006C5C9F" w:rsidRPr="00F30AA7">
          <w:rPr>
            <w:rStyle w:val="Hyperlink"/>
            <w:noProof/>
          </w:rPr>
          <w:t>Outcome 5: BD conservation considerations mainstreamed into agricultural policies and practices around KBAs</w:t>
        </w:r>
        <w:r w:rsidR="006C5C9F">
          <w:rPr>
            <w:noProof/>
            <w:webHidden/>
          </w:rPr>
          <w:tab/>
        </w:r>
        <w:r w:rsidR="006C5C9F">
          <w:rPr>
            <w:noProof/>
            <w:webHidden/>
          </w:rPr>
          <w:fldChar w:fldCharType="begin"/>
        </w:r>
        <w:r w:rsidR="006C5C9F">
          <w:rPr>
            <w:noProof/>
            <w:webHidden/>
          </w:rPr>
          <w:instrText xml:space="preserve"> PAGEREF _Toc82018255 \h </w:instrText>
        </w:r>
        <w:r w:rsidR="006C5C9F">
          <w:rPr>
            <w:noProof/>
            <w:webHidden/>
          </w:rPr>
        </w:r>
        <w:r w:rsidR="006C5C9F">
          <w:rPr>
            <w:noProof/>
            <w:webHidden/>
          </w:rPr>
          <w:fldChar w:fldCharType="separate"/>
        </w:r>
        <w:r w:rsidR="006C5C9F">
          <w:rPr>
            <w:noProof/>
            <w:webHidden/>
          </w:rPr>
          <w:t>31</w:t>
        </w:r>
        <w:r w:rsidR="006C5C9F">
          <w:rPr>
            <w:noProof/>
            <w:webHidden/>
          </w:rPr>
          <w:fldChar w:fldCharType="end"/>
        </w:r>
      </w:hyperlink>
    </w:p>
    <w:p w14:paraId="735208C3" w14:textId="256B3A13" w:rsidR="006C5C9F" w:rsidRDefault="00127DDC">
      <w:pPr>
        <w:pStyle w:val="TOC3"/>
        <w:tabs>
          <w:tab w:val="right" w:pos="9962"/>
        </w:tabs>
        <w:rPr>
          <w:rFonts w:asciiTheme="minorHAnsi" w:eastAsiaTheme="minorEastAsia" w:hAnsiTheme="minorHAnsi" w:cstheme="minorBidi"/>
          <w:noProof/>
          <w:sz w:val="22"/>
          <w:szCs w:val="22"/>
        </w:rPr>
      </w:pPr>
      <w:hyperlink w:anchor="_Toc82018256" w:history="1">
        <w:r w:rsidR="006C5C9F" w:rsidRPr="00F30AA7">
          <w:rPr>
            <w:rStyle w:val="Hyperlink"/>
            <w:noProof/>
          </w:rPr>
          <w:t>Component 3: Knowledge management</w:t>
        </w:r>
        <w:r w:rsidR="006C5C9F">
          <w:rPr>
            <w:noProof/>
            <w:webHidden/>
          </w:rPr>
          <w:tab/>
        </w:r>
        <w:r w:rsidR="006C5C9F">
          <w:rPr>
            <w:noProof/>
            <w:webHidden/>
          </w:rPr>
          <w:fldChar w:fldCharType="begin"/>
        </w:r>
        <w:r w:rsidR="006C5C9F">
          <w:rPr>
            <w:noProof/>
            <w:webHidden/>
          </w:rPr>
          <w:instrText xml:space="preserve"> PAGEREF _Toc82018256 \h </w:instrText>
        </w:r>
        <w:r w:rsidR="006C5C9F">
          <w:rPr>
            <w:noProof/>
            <w:webHidden/>
          </w:rPr>
        </w:r>
        <w:r w:rsidR="006C5C9F">
          <w:rPr>
            <w:noProof/>
            <w:webHidden/>
          </w:rPr>
          <w:fldChar w:fldCharType="separate"/>
        </w:r>
        <w:r w:rsidR="006C5C9F">
          <w:rPr>
            <w:noProof/>
            <w:webHidden/>
          </w:rPr>
          <w:t>33</w:t>
        </w:r>
        <w:r w:rsidR="006C5C9F">
          <w:rPr>
            <w:noProof/>
            <w:webHidden/>
          </w:rPr>
          <w:fldChar w:fldCharType="end"/>
        </w:r>
      </w:hyperlink>
    </w:p>
    <w:p w14:paraId="2D27162E" w14:textId="6EBBB453" w:rsidR="006C5C9F" w:rsidRDefault="00127DDC">
      <w:pPr>
        <w:pStyle w:val="TOC3"/>
        <w:tabs>
          <w:tab w:val="right" w:pos="9962"/>
        </w:tabs>
        <w:rPr>
          <w:rFonts w:asciiTheme="minorHAnsi" w:eastAsiaTheme="minorEastAsia" w:hAnsiTheme="minorHAnsi" w:cstheme="minorBidi"/>
          <w:noProof/>
          <w:sz w:val="22"/>
          <w:szCs w:val="22"/>
        </w:rPr>
      </w:pPr>
      <w:hyperlink w:anchor="_Toc82018257" w:history="1">
        <w:r w:rsidR="006C5C9F" w:rsidRPr="00F30AA7">
          <w:rPr>
            <w:rStyle w:val="Hyperlink"/>
            <w:noProof/>
          </w:rPr>
          <w:t>Outcome 6: Knowledge management ensured through project implementation</w:t>
        </w:r>
        <w:r w:rsidR="006C5C9F">
          <w:rPr>
            <w:noProof/>
            <w:webHidden/>
          </w:rPr>
          <w:tab/>
        </w:r>
        <w:r w:rsidR="006C5C9F">
          <w:rPr>
            <w:noProof/>
            <w:webHidden/>
          </w:rPr>
          <w:fldChar w:fldCharType="begin"/>
        </w:r>
        <w:r w:rsidR="006C5C9F">
          <w:rPr>
            <w:noProof/>
            <w:webHidden/>
          </w:rPr>
          <w:instrText xml:space="preserve"> PAGEREF _Toc82018257 \h </w:instrText>
        </w:r>
        <w:r w:rsidR="006C5C9F">
          <w:rPr>
            <w:noProof/>
            <w:webHidden/>
          </w:rPr>
        </w:r>
        <w:r w:rsidR="006C5C9F">
          <w:rPr>
            <w:noProof/>
            <w:webHidden/>
          </w:rPr>
          <w:fldChar w:fldCharType="separate"/>
        </w:r>
        <w:r w:rsidR="006C5C9F">
          <w:rPr>
            <w:noProof/>
            <w:webHidden/>
          </w:rPr>
          <w:t>33</w:t>
        </w:r>
        <w:r w:rsidR="006C5C9F">
          <w:rPr>
            <w:noProof/>
            <w:webHidden/>
          </w:rPr>
          <w:fldChar w:fldCharType="end"/>
        </w:r>
      </w:hyperlink>
    </w:p>
    <w:p w14:paraId="4F8AA792" w14:textId="684E799C" w:rsidR="006C5C9F" w:rsidRDefault="00127DDC">
      <w:pPr>
        <w:pStyle w:val="TOC3"/>
        <w:tabs>
          <w:tab w:val="right" w:pos="9962"/>
        </w:tabs>
        <w:rPr>
          <w:rFonts w:asciiTheme="minorHAnsi" w:eastAsiaTheme="minorEastAsia" w:hAnsiTheme="minorHAnsi" w:cstheme="minorBidi"/>
          <w:noProof/>
          <w:sz w:val="22"/>
          <w:szCs w:val="22"/>
        </w:rPr>
      </w:pPr>
      <w:hyperlink w:anchor="_Toc82018258" w:history="1">
        <w:r w:rsidR="006C5C9F" w:rsidRPr="00F30AA7">
          <w:rPr>
            <w:rStyle w:val="Hyperlink"/>
            <w:bCs/>
            <w:noProof/>
          </w:rPr>
          <w:t>Component</w:t>
        </w:r>
        <w:r w:rsidR="006C5C9F" w:rsidRPr="00F30AA7">
          <w:rPr>
            <w:rStyle w:val="Hyperlink"/>
            <w:noProof/>
          </w:rPr>
          <w:t xml:space="preserve"> 4: Monitoring and Evaluation</w:t>
        </w:r>
        <w:r w:rsidR="006C5C9F">
          <w:rPr>
            <w:noProof/>
            <w:webHidden/>
          </w:rPr>
          <w:tab/>
        </w:r>
        <w:r w:rsidR="006C5C9F">
          <w:rPr>
            <w:noProof/>
            <w:webHidden/>
          </w:rPr>
          <w:fldChar w:fldCharType="begin"/>
        </w:r>
        <w:r w:rsidR="006C5C9F">
          <w:rPr>
            <w:noProof/>
            <w:webHidden/>
          </w:rPr>
          <w:instrText xml:space="preserve"> PAGEREF _Toc82018258 \h </w:instrText>
        </w:r>
        <w:r w:rsidR="006C5C9F">
          <w:rPr>
            <w:noProof/>
            <w:webHidden/>
          </w:rPr>
        </w:r>
        <w:r w:rsidR="006C5C9F">
          <w:rPr>
            <w:noProof/>
            <w:webHidden/>
          </w:rPr>
          <w:fldChar w:fldCharType="separate"/>
        </w:r>
        <w:r w:rsidR="006C5C9F">
          <w:rPr>
            <w:noProof/>
            <w:webHidden/>
          </w:rPr>
          <w:t>33</w:t>
        </w:r>
        <w:r w:rsidR="006C5C9F">
          <w:rPr>
            <w:noProof/>
            <w:webHidden/>
          </w:rPr>
          <w:fldChar w:fldCharType="end"/>
        </w:r>
      </w:hyperlink>
    </w:p>
    <w:p w14:paraId="154B631C" w14:textId="136B7EB7" w:rsidR="006C5C9F" w:rsidRDefault="00127DDC">
      <w:pPr>
        <w:pStyle w:val="TOC3"/>
        <w:tabs>
          <w:tab w:val="right" w:pos="9962"/>
        </w:tabs>
        <w:rPr>
          <w:rFonts w:asciiTheme="minorHAnsi" w:eastAsiaTheme="minorEastAsia" w:hAnsiTheme="minorHAnsi" w:cstheme="minorBidi"/>
          <w:noProof/>
          <w:sz w:val="22"/>
          <w:szCs w:val="22"/>
        </w:rPr>
      </w:pPr>
      <w:hyperlink w:anchor="_Toc82018259" w:history="1">
        <w:r w:rsidR="006C5C9F" w:rsidRPr="00F30AA7">
          <w:rPr>
            <w:rStyle w:val="Hyperlink"/>
            <w:noProof/>
          </w:rPr>
          <w:t>Outcome 7: Project results properly monitored and evaluated</w:t>
        </w:r>
        <w:r w:rsidR="006C5C9F">
          <w:rPr>
            <w:noProof/>
            <w:webHidden/>
          </w:rPr>
          <w:tab/>
        </w:r>
        <w:r w:rsidR="006C5C9F">
          <w:rPr>
            <w:noProof/>
            <w:webHidden/>
          </w:rPr>
          <w:fldChar w:fldCharType="begin"/>
        </w:r>
        <w:r w:rsidR="006C5C9F">
          <w:rPr>
            <w:noProof/>
            <w:webHidden/>
          </w:rPr>
          <w:instrText xml:space="preserve"> PAGEREF _Toc82018259 \h </w:instrText>
        </w:r>
        <w:r w:rsidR="006C5C9F">
          <w:rPr>
            <w:noProof/>
            <w:webHidden/>
          </w:rPr>
        </w:r>
        <w:r w:rsidR="006C5C9F">
          <w:rPr>
            <w:noProof/>
            <w:webHidden/>
          </w:rPr>
          <w:fldChar w:fldCharType="separate"/>
        </w:r>
        <w:r w:rsidR="006C5C9F">
          <w:rPr>
            <w:noProof/>
            <w:webHidden/>
          </w:rPr>
          <w:t>33</w:t>
        </w:r>
        <w:r w:rsidR="006C5C9F">
          <w:rPr>
            <w:noProof/>
            <w:webHidden/>
          </w:rPr>
          <w:fldChar w:fldCharType="end"/>
        </w:r>
      </w:hyperlink>
    </w:p>
    <w:p w14:paraId="0825DF33" w14:textId="1F12B6E7" w:rsidR="006C5C9F" w:rsidRDefault="00127DDC">
      <w:pPr>
        <w:pStyle w:val="TOC2"/>
        <w:tabs>
          <w:tab w:val="left" w:pos="1200"/>
        </w:tabs>
        <w:rPr>
          <w:rFonts w:asciiTheme="minorHAnsi" w:eastAsiaTheme="minorEastAsia" w:hAnsiTheme="minorHAnsi" w:cstheme="minorBidi"/>
          <w:noProof/>
          <w:sz w:val="22"/>
          <w:szCs w:val="22"/>
        </w:rPr>
      </w:pPr>
      <w:hyperlink w:anchor="_Toc82018260" w:history="1">
        <w:r w:rsidR="006C5C9F" w:rsidRPr="00F30AA7">
          <w:rPr>
            <w:rStyle w:val="Hyperlink"/>
            <w:noProof/>
            <w:lang w:val="en-GB"/>
          </w:rPr>
          <w:t>3.2</w:t>
        </w:r>
        <w:r w:rsidR="006C5C9F">
          <w:rPr>
            <w:rFonts w:asciiTheme="minorHAnsi" w:eastAsiaTheme="minorEastAsia" w:hAnsiTheme="minorHAnsi" w:cstheme="minorBidi"/>
            <w:noProof/>
            <w:sz w:val="22"/>
            <w:szCs w:val="22"/>
          </w:rPr>
          <w:tab/>
        </w:r>
        <w:r w:rsidR="006C5C9F" w:rsidRPr="00F30AA7">
          <w:rPr>
            <w:rStyle w:val="Hyperlink"/>
            <w:noProof/>
            <w:lang w:val="en-GB"/>
          </w:rPr>
          <w:t>Stakeholder engagement, partnerships and coordination</w:t>
        </w:r>
        <w:r w:rsidR="006C5C9F">
          <w:rPr>
            <w:noProof/>
            <w:webHidden/>
          </w:rPr>
          <w:tab/>
        </w:r>
        <w:r w:rsidR="006C5C9F">
          <w:rPr>
            <w:noProof/>
            <w:webHidden/>
          </w:rPr>
          <w:fldChar w:fldCharType="begin"/>
        </w:r>
        <w:r w:rsidR="006C5C9F">
          <w:rPr>
            <w:noProof/>
            <w:webHidden/>
          </w:rPr>
          <w:instrText xml:space="preserve"> PAGEREF _Toc82018260 \h </w:instrText>
        </w:r>
        <w:r w:rsidR="006C5C9F">
          <w:rPr>
            <w:noProof/>
            <w:webHidden/>
          </w:rPr>
        </w:r>
        <w:r w:rsidR="006C5C9F">
          <w:rPr>
            <w:noProof/>
            <w:webHidden/>
          </w:rPr>
          <w:fldChar w:fldCharType="separate"/>
        </w:r>
        <w:r w:rsidR="006C5C9F">
          <w:rPr>
            <w:noProof/>
            <w:webHidden/>
          </w:rPr>
          <w:t>34</w:t>
        </w:r>
        <w:r w:rsidR="006C5C9F">
          <w:rPr>
            <w:noProof/>
            <w:webHidden/>
          </w:rPr>
          <w:fldChar w:fldCharType="end"/>
        </w:r>
      </w:hyperlink>
    </w:p>
    <w:p w14:paraId="2FF05995" w14:textId="52DD6499" w:rsidR="006C5C9F" w:rsidRDefault="00127DDC">
      <w:pPr>
        <w:pStyle w:val="TOC2"/>
        <w:rPr>
          <w:rFonts w:asciiTheme="minorHAnsi" w:eastAsiaTheme="minorEastAsia" w:hAnsiTheme="minorHAnsi" w:cstheme="minorBidi"/>
          <w:noProof/>
          <w:sz w:val="22"/>
          <w:szCs w:val="22"/>
        </w:rPr>
      </w:pPr>
      <w:hyperlink w:anchor="_Toc82018261" w:history="1">
        <w:r w:rsidR="006C5C9F" w:rsidRPr="00F30AA7">
          <w:rPr>
            <w:rStyle w:val="Hyperlink"/>
            <w:noProof/>
            <w:lang w:val="en-GB"/>
          </w:rPr>
          <w:t>3.3 Gender equality and women’s empowerment</w:t>
        </w:r>
        <w:r w:rsidR="006C5C9F">
          <w:rPr>
            <w:noProof/>
            <w:webHidden/>
          </w:rPr>
          <w:tab/>
        </w:r>
        <w:r w:rsidR="006C5C9F">
          <w:rPr>
            <w:noProof/>
            <w:webHidden/>
          </w:rPr>
          <w:fldChar w:fldCharType="begin"/>
        </w:r>
        <w:r w:rsidR="006C5C9F">
          <w:rPr>
            <w:noProof/>
            <w:webHidden/>
          </w:rPr>
          <w:instrText xml:space="preserve"> PAGEREF _Toc82018261 \h </w:instrText>
        </w:r>
        <w:r w:rsidR="006C5C9F">
          <w:rPr>
            <w:noProof/>
            <w:webHidden/>
          </w:rPr>
        </w:r>
        <w:r w:rsidR="006C5C9F">
          <w:rPr>
            <w:noProof/>
            <w:webHidden/>
          </w:rPr>
          <w:fldChar w:fldCharType="separate"/>
        </w:r>
        <w:r w:rsidR="006C5C9F">
          <w:rPr>
            <w:noProof/>
            <w:webHidden/>
          </w:rPr>
          <w:t>45</w:t>
        </w:r>
        <w:r w:rsidR="006C5C9F">
          <w:rPr>
            <w:noProof/>
            <w:webHidden/>
          </w:rPr>
          <w:fldChar w:fldCharType="end"/>
        </w:r>
      </w:hyperlink>
    </w:p>
    <w:p w14:paraId="32A9697E" w14:textId="65D7E670" w:rsidR="006C5C9F" w:rsidRDefault="00127DDC">
      <w:pPr>
        <w:pStyle w:val="TOC2"/>
        <w:rPr>
          <w:rFonts w:asciiTheme="minorHAnsi" w:eastAsiaTheme="minorEastAsia" w:hAnsiTheme="minorHAnsi" w:cstheme="minorBidi"/>
          <w:noProof/>
          <w:sz w:val="22"/>
          <w:szCs w:val="22"/>
        </w:rPr>
      </w:pPr>
      <w:hyperlink w:anchor="_Toc82018262" w:history="1">
        <w:r w:rsidR="006C5C9F" w:rsidRPr="00F30AA7">
          <w:rPr>
            <w:rStyle w:val="Hyperlink"/>
            <w:noProof/>
            <w:lang w:val="en-GB"/>
          </w:rPr>
          <w:t>3.4 Risks to project success, cross-cutting issues and social/environmental safeguards</w:t>
        </w:r>
        <w:r w:rsidR="006C5C9F">
          <w:rPr>
            <w:noProof/>
            <w:webHidden/>
          </w:rPr>
          <w:tab/>
        </w:r>
        <w:r w:rsidR="006C5C9F">
          <w:rPr>
            <w:noProof/>
            <w:webHidden/>
          </w:rPr>
          <w:fldChar w:fldCharType="begin"/>
        </w:r>
        <w:r w:rsidR="006C5C9F">
          <w:rPr>
            <w:noProof/>
            <w:webHidden/>
          </w:rPr>
          <w:instrText xml:space="preserve"> PAGEREF _Toc82018262 \h </w:instrText>
        </w:r>
        <w:r w:rsidR="006C5C9F">
          <w:rPr>
            <w:noProof/>
            <w:webHidden/>
          </w:rPr>
        </w:r>
        <w:r w:rsidR="006C5C9F">
          <w:rPr>
            <w:noProof/>
            <w:webHidden/>
          </w:rPr>
          <w:fldChar w:fldCharType="separate"/>
        </w:r>
        <w:r w:rsidR="006C5C9F">
          <w:rPr>
            <w:noProof/>
            <w:webHidden/>
          </w:rPr>
          <w:t>46</w:t>
        </w:r>
        <w:r w:rsidR="006C5C9F">
          <w:rPr>
            <w:noProof/>
            <w:webHidden/>
          </w:rPr>
          <w:fldChar w:fldCharType="end"/>
        </w:r>
      </w:hyperlink>
    </w:p>
    <w:p w14:paraId="2840E1BD" w14:textId="587E9C9F" w:rsidR="006C5C9F" w:rsidRDefault="00127DDC">
      <w:pPr>
        <w:pStyle w:val="TOC2"/>
        <w:rPr>
          <w:rFonts w:asciiTheme="minorHAnsi" w:eastAsiaTheme="minorEastAsia" w:hAnsiTheme="minorHAnsi" w:cstheme="minorBidi"/>
          <w:noProof/>
          <w:sz w:val="22"/>
          <w:szCs w:val="22"/>
        </w:rPr>
      </w:pPr>
      <w:hyperlink w:anchor="_Toc82018263" w:history="1">
        <w:r w:rsidR="006C5C9F" w:rsidRPr="00F30AA7">
          <w:rPr>
            <w:rStyle w:val="Hyperlink"/>
            <w:noProof/>
            <w:lang w:val="en-GB"/>
          </w:rPr>
          <w:t>3.5 Innovativeness, sustainability and potential for scaling up</w:t>
        </w:r>
        <w:r w:rsidR="006C5C9F">
          <w:rPr>
            <w:noProof/>
            <w:webHidden/>
          </w:rPr>
          <w:tab/>
        </w:r>
        <w:r w:rsidR="006C5C9F">
          <w:rPr>
            <w:noProof/>
            <w:webHidden/>
          </w:rPr>
          <w:fldChar w:fldCharType="begin"/>
        </w:r>
        <w:r w:rsidR="006C5C9F">
          <w:rPr>
            <w:noProof/>
            <w:webHidden/>
          </w:rPr>
          <w:instrText xml:space="preserve"> PAGEREF _Toc82018263 \h </w:instrText>
        </w:r>
        <w:r w:rsidR="006C5C9F">
          <w:rPr>
            <w:noProof/>
            <w:webHidden/>
          </w:rPr>
        </w:r>
        <w:r w:rsidR="006C5C9F">
          <w:rPr>
            <w:noProof/>
            <w:webHidden/>
          </w:rPr>
          <w:fldChar w:fldCharType="separate"/>
        </w:r>
        <w:r w:rsidR="006C5C9F">
          <w:rPr>
            <w:noProof/>
            <w:webHidden/>
          </w:rPr>
          <w:t>49</w:t>
        </w:r>
        <w:r w:rsidR="006C5C9F">
          <w:rPr>
            <w:noProof/>
            <w:webHidden/>
          </w:rPr>
          <w:fldChar w:fldCharType="end"/>
        </w:r>
      </w:hyperlink>
    </w:p>
    <w:p w14:paraId="5C20D6C4" w14:textId="67E6FA3F" w:rsidR="006C5C9F" w:rsidRDefault="00127DDC">
      <w:pPr>
        <w:pStyle w:val="TOC2"/>
        <w:rPr>
          <w:rFonts w:asciiTheme="minorHAnsi" w:eastAsiaTheme="minorEastAsia" w:hAnsiTheme="minorHAnsi" w:cstheme="minorBidi"/>
          <w:noProof/>
          <w:sz w:val="22"/>
          <w:szCs w:val="22"/>
        </w:rPr>
      </w:pPr>
      <w:hyperlink w:anchor="_Toc82018264" w:history="1">
        <w:r w:rsidR="006C5C9F" w:rsidRPr="00F30AA7">
          <w:rPr>
            <w:rStyle w:val="Hyperlink"/>
            <w:noProof/>
            <w:lang w:val="en-GB"/>
          </w:rPr>
          <w:t>3.6 Knowledge management</w:t>
        </w:r>
        <w:r w:rsidR="006C5C9F">
          <w:rPr>
            <w:noProof/>
            <w:webHidden/>
          </w:rPr>
          <w:tab/>
        </w:r>
        <w:r w:rsidR="006C5C9F">
          <w:rPr>
            <w:noProof/>
            <w:webHidden/>
          </w:rPr>
          <w:fldChar w:fldCharType="begin"/>
        </w:r>
        <w:r w:rsidR="006C5C9F">
          <w:rPr>
            <w:noProof/>
            <w:webHidden/>
          </w:rPr>
          <w:instrText xml:space="preserve"> PAGEREF _Toc82018264 \h </w:instrText>
        </w:r>
        <w:r w:rsidR="006C5C9F">
          <w:rPr>
            <w:noProof/>
            <w:webHidden/>
          </w:rPr>
        </w:r>
        <w:r w:rsidR="006C5C9F">
          <w:rPr>
            <w:noProof/>
            <w:webHidden/>
          </w:rPr>
          <w:fldChar w:fldCharType="separate"/>
        </w:r>
        <w:r w:rsidR="006C5C9F">
          <w:rPr>
            <w:noProof/>
            <w:webHidden/>
          </w:rPr>
          <w:t>51</w:t>
        </w:r>
        <w:r w:rsidR="006C5C9F">
          <w:rPr>
            <w:noProof/>
            <w:webHidden/>
          </w:rPr>
          <w:fldChar w:fldCharType="end"/>
        </w:r>
      </w:hyperlink>
    </w:p>
    <w:p w14:paraId="72DC0580" w14:textId="5C145D74" w:rsidR="006C5C9F" w:rsidRDefault="00127DDC">
      <w:pPr>
        <w:pStyle w:val="TOC2"/>
        <w:rPr>
          <w:rFonts w:asciiTheme="minorHAnsi" w:eastAsiaTheme="minorEastAsia" w:hAnsiTheme="minorHAnsi" w:cstheme="minorBidi"/>
          <w:noProof/>
          <w:sz w:val="22"/>
          <w:szCs w:val="22"/>
        </w:rPr>
      </w:pPr>
      <w:hyperlink w:anchor="_Toc82018265" w:history="1">
        <w:r w:rsidR="006C5C9F" w:rsidRPr="00F30AA7">
          <w:rPr>
            <w:rStyle w:val="Hyperlink"/>
            <w:noProof/>
            <w:lang w:val="en-GB"/>
          </w:rPr>
          <w:t>3.7 South-south and triangular cooperation</w:t>
        </w:r>
        <w:r w:rsidR="006C5C9F">
          <w:rPr>
            <w:noProof/>
            <w:webHidden/>
          </w:rPr>
          <w:tab/>
        </w:r>
        <w:r w:rsidR="006C5C9F">
          <w:rPr>
            <w:noProof/>
            <w:webHidden/>
          </w:rPr>
          <w:fldChar w:fldCharType="begin"/>
        </w:r>
        <w:r w:rsidR="006C5C9F">
          <w:rPr>
            <w:noProof/>
            <w:webHidden/>
          </w:rPr>
          <w:instrText xml:space="preserve"> PAGEREF _Toc82018265 \h </w:instrText>
        </w:r>
        <w:r w:rsidR="006C5C9F">
          <w:rPr>
            <w:noProof/>
            <w:webHidden/>
          </w:rPr>
        </w:r>
        <w:r w:rsidR="006C5C9F">
          <w:rPr>
            <w:noProof/>
            <w:webHidden/>
          </w:rPr>
          <w:fldChar w:fldCharType="separate"/>
        </w:r>
        <w:r w:rsidR="006C5C9F">
          <w:rPr>
            <w:noProof/>
            <w:webHidden/>
          </w:rPr>
          <w:t>51</w:t>
        </w:r>
        <w:r w:rsidR="006C5C9F">
          <w:rPr>
            <w:noProof/>
            <w:webHidden/>
          </w:rPr>
          <w:fldChar w:fldCharType="end"/>
        </w:r>
      </w:hyperlink>
    </w:p>
    <w:p w14:paraId="7DCBF9B4" w14:textId="01E064D8" w:rsidR="006C5C9F" w:rsidRDefault="00127DDC">
      <w:pPr>
        <w:pStyle w:val="TOC1"/>
        <w:rPr>
          <w:rFonts w:asciiTheme="minorHAnsi" w:eastAsiaTheme="minorEastAsia" w:hAnsiTheme="minorHAnsi" w:cstheme="minorBidi"/>
          <w:noProof/>
          <w:sz w:val="22"/>
          <w:szCs w:val="22"/>
        </w:rPr>
      </w:pPr>
      <w:hyperlink w:anchor="_Toc82018266" w:history="1">
        <w:r w:rsidR="006C5C9F" w:rsidRPr="00F30AA7">
          <w:rPr>
            <w:rStyle w:val="Hyperlink"/>
            <w:noProof/>
            <w:lang w:val="en-GB"/>
          </w:rPr>
          <w:t>IV.</w:t>
        </w:r>
        <w:r w:rsidR="006C5C9F">
          <w:rPr>
            <w:rFonts w:asciiTheme="minorHAnsi" w:eastAsiaTheme="minorEastAsia" w:hAnsiTheme="minorHAnsi" w:cstheme="minorBidi"/>
            <w:noProof/>
            <w:sz w:val="22"/>
            <w:szCs w:val="22"/>
          </w:rPr>
          <w:tab/>
        </w:r>
        <w:r w:rsidR="006C5C9F" w:rsidRPr="00F30AA7">
          <w:rPr>
            <w:rStyle w:val="Hyperlink"/>
            <w:rFonts w:cstheme="minorHAnsi"/>
            <w:noProof/>
            <w:lang w:val="en-GB"/>
          </w:rPr>
          <w:t>Project Results Framework</w:t>
        </w:r>
        <w:r w:rsidR="006C5C9F">
          <w:rPr>
            <w:noProof/>
            <w:webHidden/>
          </w:rPr>
          <w:tab/>
        </w:r>
        <w:r w:rsidR="006C5C9F">
          <w:rPr>
            <w:noProof/>
            <w:webHidden/>
          </w:rPr>
          <w:fldChar w:fldCharType="begin"/>
        </w:r>
        <w:r w:rsidR="006C5C9F">
          <w:rPr>
            <w:noProof/>
            <w:webHidden/>
          </w:rPr>
          <w:instrText xml:space="preserve"> PAGEREF _Toc82018266 \h </w:instrText>
        </w:r>
        <w:r w:rsidR="006C5C9F">
          <w:rPr>
            <w:noProof/>
            <w:webHidden/>
          </w:rPr>
        </w:r>
        <w:r w:rsidR="006C5C9F">
          <w:rPr>
            <w:noProof/>
            <w:webHidden/>
          </w:rPr>
          <w:fldChar w:fldCharType="separate"/>
        </w:r>
        <w:r w:rsidR="006C5C9F">
          <w:rPr>
            <w:noProof/>
            <w:webHidden/>
          </w:rPr>
          <w:t>52</w:t>
        </w:r>
        <w:r w:rsidR="006C5C9F">
          <w:rPr>
            <w:noProof/>
            <w:webHidden/>
          </w:rPr>
          <w:fldChar w:fldCharType="end"/>
        </w:r>
      </w:hyperlink>
    </w:p>
    <w:p w14:paraId="1537787D" w14:textId="1F724DC0" w:rsidR="006C5C9F" w:rsidRDefault="00127DDC">
      <w:pPr>
        <w:pStyle w:val="TOC1"/>
        <w:rPr>
          <w:rFonts w:asciiTheme="minorHAnsi" w:eastAsiaTheme="minorEastAsia" w:hAnsiTheme="minorHAnsi" w:cstheme="minorBidi"/>
          <w:noProof/>
          <w:sz w:val="22"/>
          <w:szCs w:val="22"/>
        </w:rPr>
      </w:pPr>
      <w:hyperlink w:anchor="_Toc82018267" w:history="1">
        <w:r w:rsidR="006C5C9F" w:rsidRPr="00F30AA7">
          <w:rPr>
            <w:rStyle w:val="Hyperlink"/>
            <w:noProof/>
            <w:lang w:val="en-GB"/>
          </w:rPr>
          <w:t>V.</w:t>
        </w:r>
        <w:r w:rsidR="006C5C9F">
          <w:rPr>
            <w:rFonts w:asciiTheme="minorHAnsi" w:eastAsiaTheme="minorEastAsia" w:hAnsiTheme="minorHAnsi" w:cstheme="minorBidi"/>
            <w:noProof/>
            <w:sz w:val="22"/>
            <w:szCs w:val="22"/>
          </w:rPr>
          <w:tab/>
        </w:r>
        <w:r w:rsidR="006C5C9F" w:rsidRPr="00F30AA7">
          <w:rPr>
            <w:rStyle w:val="Hyperlink"/>
            <w:rFonts w:cstheme="minorHAnsi"/>
            <w:noProof/>
            <w:lang w:val="en-GB"/>
          </w:rPr>
          <w:t>Monitoring and Evaluation (M&amp;E) Plan</w:t>
        </w:r>
        <w:r w:rsidR="006C5C9F">
          <w:rPr>
            <w:noProof/>
            <w:webHidden/>
          </w:rPr>
          <w:tab/>
        </w:r>
        <w:r w:rsidR="006C5C9F">
          <w:rPr>
            <w:noProof/>
            <w:webHidden/>
          </w:rPr>
          <w:fldChar w:fldCharType="begin"/>
        </w:r>
        <w:r w:rsidR="006C5C9F">
          <w:rPr>
            <w:noProof/>
            <w:webHidden/>
          </w:rPr>
          <w:instrText xml:space="preserve"> PAGEREF _Toc82018267 \h </w:instrText>
        </w:r>
        <w:r w:rsidR="006C5C9F">
          <w:rPr>
            <w:noProof/>
            <w:webHidden/>
          </w:rPr>
        </w:r>
        <w:r w:rsidR="006C5C9F">
          <w:rPr>
            <w:noProof/>
            <w:webHidden/>
          </w:rPr>
          <w:fldChar w:fldCharType="separate"/>
        </w:r>
        <w:r w:rsidR="006C5C9F">
          <w:rPr>
            <w:noProof/>
            <w:webHidden/>
          </w:rPr>
          <w:t>55</w:t>
        </w:r>
        <w:r w:rsidR="006C5C9F">
          <w:rPr>
            <w:noProof/>
            <w:webHidden/>
          </w:rPr>
          <w:fldChar w:fldCharType="end"/>
        </w:r>
      </w:hyperlink>
    </w:p>
    <w:p w14:paraId="0C15FDE6" w14:textId="6CCED9D5" w:rsidR="006C5C9F" w:rsidRDefault="00127DDC">
      <w:pPr>
        <w:pStyle w:val="TOC1"/>
        <w:rPr>
          <w:rFonts w:asciiTheme="minorHAnsi" w:eastAsiaTheme="minorEastAsia" w:hAnsiTheme="minorHAnsi" w:cstheme="minorBidi"/>
          <w:noProof/>
          <w:sz w:val="22"/>
          <w:szCs w:val="22"/>
        </w:rPr>
      </w:pPr>
      <w:hyperlink w:anchor="_Toc82018268" w:history="1">
        <w:r w:rsidR="006C5C9F" w:rsidRPr="00F30AA7">
          <w:rPr>
            <w:rStyle w:val="Hyperlink"/>
            <w:noProof/>
            <w:lang w:val="en-GB"/>
          </w:rPr>
          <w:t>VI.</w:t>
        </w:r>
        <w:r w:rsidR="006C5C9F">
          <w:rPr>
            <w:rFonts w:asciiTheme="minorHAnsi" w:eastAsiaTheme="minorEastAsia" w:hAnsiTheme="minorHAnsi" w:cstheme="minorBidi"/>
            <w:noProof/>
            <w:sz w:val="22"/>
            <w:szCs w:val="22"/>
          </w:rPr>
          <w:tab/>
        </w:r>
        <w:r w:rsidR="006C5C9F" w:rsidRPr="00F30AA7">
          <w:rPr>
            <w:rStyle w:val="Hyperlink"/>
            <w:rFonts w:cstheme="minorHAnsi"/>
            <w:noProof/>
            <w:lang w:val="en-GB"/>
          </w:rPr>
          <w:t>Governance and Management Arrangements</w:t>
        </w:r>
        <w:r w:rsidR="006C5C9F">
          <w:rPr>
            <w:noProof/>
            <w:webHidden/>
          </w:rPr>
          <w:tab/>
        </w:r>
        <w:r w:rsidR="006C5C9F">
          <w:rPr>
            <w:noProof/>
            <w:webHidden/>
          </w:rPr>
          <w:fldChar w:fldCharType="begin"/>
        </w:r>
        <w:r w:rsidR="006C5C9F">
          <w:rPr>
            <w:noProof/>
            <w:webHidden/>
          </w:rPr>
          <w:instrText xml:space="preserve"> PAGEREF _Toc82018268 \h </w:instrText>
        </w:r>
        <w:r w:rsidR="006C5C9F">
          <w:rPr>
            <w:noProof/>
            <w:webHidden/>
          </w:rPr>
        </w:r>
        <w:r w:rsidR="006C5C9F">
          <w:rPr>
            <w:noProof/>
            <w:webHidden/>
          </w:rPr>
          <w:fldChar w:fldCharType="separate"/>
        </w:r>
        <w:r w:rsidR="006C5C9F">
          <w:rPr>
            <w:noProof/>
            <w:webHidden/>
          </w:rPr>
          <w:t>57</w:t>
        </w:r>
        <w:r w:rsidR="006C5C9F">
          <w:rPr>
            <w:noProof/>
            <w:webHidden/>
          </w:rPr>
          <w:fldChar w:fldCharType="end"/>
        </w:r>
      </w:hyperlink>
    </w:p>
    <w:p w14:paraId="42BA13A8" w14:textId="6228C025" w:rsidR="006C5C9F" w:rsidRDefault="00127DDC">
      <w:pPr>
        <w:pStyle w:val="TOC1"/>
        <w:rPr>
          <w:rFonts w:asciiTheme="minorHAnsi" w:eastAsiaTheme="minorEastAsia" w:hAnsiTheme="minorHAnsi" w:cstheme="minorBidi"/>
          <w:noProof/>
          <w:sz w:val="22"/>
          <w:szCs w:val="22"/>
        </w:rPr>
      </w:pPr>
      <w:hyperlink w:anchor="_Toc82018269" w:history="1">
        <w:r w:rsidR="006C5C9F" w:rsidRPr="00F30AA7">
          <w:rPr>
            <w:rStyle w:val="Hyperlink"/>
            <w:noProof/>
            <w:lang w:val="en-GB"/>
          </w:rPr>
          <w:t>VII.</w:t>
        </w:r>
        <w:r w:rsidR="006C5C9F">
          <w:rPr>
            <w:rFonts w:asciiTheme="minorHAnsi" w:eastAsiaTheme="minorEastAsia" w:hAnsiTheme="minorHAnsi" w:cstheme="minorBidi"/>
            <w:noProof/>
            <w:sz w:val="22"/>
            <w:szCs w:val="22"/>
          </w:rPr>
          <w:tab/>
        </w:r>
        <w:r w:rsidR="006C5C9F" w:rsidRPr="00F30AA7">
          <w:rPr>
            <w:rStyle w:val="Hyperlink"/>
            <w:rFonts w:cstheme="minorHAnsi"/>
            <w:noProof/>
            <w:lang w:val="en-GB"/>
          </w:rPr>
          <w:t>Financial Planning and Management</w:t>
        </w:r>
        <w:r w:rsidR="006C5C9F">
          <w:rPr>
            <w:noProof/>
            <w:webHidden/>
          </w:rPr>
          <w:tab/>
        </w:r>
        <w:r w:rsidR="006C5C9F">
          <w:rPr>
            <w:noProof/>
            <w:webHidden/>
          </w:rPr>
          <w:fldChar w:fldCharType="begin"/>
        </w:r>
        <w:r w:rsidR="006C5C9F">
          <w:rPr>
            <w:noProof/>
            <w:webHidden/>
          </w:rPr>
          <w:instrText xml:space="preserve"> PAGEREF _Toc82018269 \h </w:instrText>
        </w:r>
        <w:r w:rsidR="006C5C9F">
          <w:rPr>
            <w:noProof/>
            <w:webHidden/>
          </w:rPr>
        </w:r>
        <w:r w:rsidR="006C5C9F">
          <w:rPr>
            <w:noProof/>
            <w:webHidden/>
          </w:rPr>
          <w:fldChar w:fldCharType="separate"/>
        </w:r>
        <w:r w:rsidR="006C5C9F">
          <w:rPr>
            <w:noProof/>
            <w:webHidden/>
          </w:rPr>
          <w:t>61</w:t>
        </w:r>
        <w:r w:rsidR="006C5C9F">
          <w:rPr>
            <w:noProof/>
            <w:webHidden/>
          </w:rPr>
          <w:fldChar w:fldCharType="end"/>
        </w:r>
      </w:hyperlink>
    </w:p>
    <w:p w14:paraId="7790E939" w14:textId="6CD36608" w:rsidR="006C5C9F" w:rsidRDefault="00127DDC">
      <w:pPr>
        <w:pStyle w:val="TOC1"/>
        <w:rPr>
          <w:rFonts w:asciiTheme="minorHAnsi" w:eastAsiaTheme="minorEastAsia" w:hAnsiTheme="minorHAnsi" w:cstheme="minorBidi"/>
          <w:noProof/>
          <w:sz w:val="22"/>
          <w:szCs w:val="22"/>
        </w:rPr>
      </w:pPr>
      <w:hyperlink w:anchor="_Toc82018270" w:history="1">
        <w:r w:rsidR="006C5C9F" w:rsidRPr="00F30AA7">
          <w:rPr>
            <w:rStyle w:val="Hyperlink"/>
            <w:noProof/>
            <w:lang w:val="en-GB"/>
          </w:rPr>
          <w:t>VIII.</w:t>
        </w:r>
        <w:r w:rsidR="006C5C9F">
          <w:rPr>
            <w:rFonts w:asciiTheme="minorHAnsi" w:eastAsiaTheme="minorEastAsia" w:hAnsiTheme="minorHAnsi" w:cstheme="minorBidi"/>
            <w:noProof/>
            <w:sz w:val="22"/>
            <w:szCs w:val="22"/>
          </w:rPr>
          <w:tab/>
        </w:r>
        <w:r w:rsidR="006C5C9F" w:rsidRPr="00F30AA7">
          <w:rPr>
            <w:rStyle w:val="Hyperlink"/>
            <w:rFonts w:cstheme="minorHAnsi"/>
            <w:noProof/>
            <w:lang w:val="en-GB"/>
          </w:rPr>
          <w:t>Total Budget and Work Plan</w:t>
        </w:r>
        <w:r w:rsidR="006C5C9F">
          <w:rPr>
            <w:noProof/>
            <w:webHidden/>
          </w:rPr>
          <w:tab/>
        </w:r>
        <w:r w:rsidR="006C5C9F">
          <w:rPr>
            <w:noProof/>
            <w:webHidden/>
          </w:rPr>
          <w:fldChar w:fldCharType="begin"/>
        </w:r>
        <w:r w:rsidR="006C5C9F">
          <w:rPr>
            <w:noProof/>
            <w:webHidden/>
          </w:rPr>
          <w:instrText xml:space="preserve"> PAGEREF _Toc82018270 \h </w:instrText>
        </w:r>
        <w:r w:rsidR="006C5C9F">
          <w:rPr>
            <w:noProof/>
            <w:webHidden/>
          </w:rPr>
        </w:r>
        <w:r w:rsidR="006C5C9F">
          <w:rPr>
            <w:noProof/>
            <w:webHidden/>
          </w:rPr>
          <w:fldChar w:fldCharType="separate"/>
        </w:r>
        <w:r w:rsidR="006C5C9F">
          <w:rPr>
            <w:noProof/>
            <w:webHidden/>
          </w:rPr>
          <w:t>63</w:t>
        </w:r>
        <w:r w:rsidR="006C5C9F">
          <w:rPr>
            <w:noProof/>
            <w:webHidden/>
          </w:rPr>
          <w:fldChar w:fldCharType="end"/>
        </w:r>
      </w:hyperlink>
    </w:p>
    <w:p w14:paraId="0D501DB5" w14:textId="2B47BAF3" w:rsidR="006C5C9F" w:rsidRDefault="00127DDC">
      <w:pPr>
        <w:pStyle w:val="TOC1"/>
        <w:rPr>
          <w:rFonts w:asciiTheme="minorHAnsi" w:eastAsiaTheme="minorEastAsia" w:hAnsiTheme="minorHAnsi" w:cstheme="minorBidi"/>
          <w:noProof/>
          <w:sz w:val="22"/>
          <w:szCs w:val="22"/>
        </w:rPr>
      </w:pPr>
      <w:hyperlink w:anchor="_Toc82018271" w:history="1">
        <w:r w:rsidR="006C5C9F" w:rsidRPr="00F30AA7">
          <w:rPr>
            <w:rStyle w:val="Hyperlink"/>
            <w:noProof/>
            <w:lang w:val="en-GB"/>
          </w:rPr>
          <w:t>IX.</w:t>
        </w:r>
        <w:r w:rsidR="006C5C9F">
          <w:rPr>
            <w:rFonts w:asciiTheme="minorHAnsi" w:eastAsiaTheme="minorEastAsia" w:hAnsiTheme="minorHAnsi" w:cstheme="minorBidi"/>
            <w:noProof/>
            <w:sz w:val="22"/>
            <w:szCs w:val="22"/>
          </w:rPr>
          <w:tab/>
        </w:r>
        <w:r w:rsidR="006C5C9F" w:rsidRPr="00F30AA7">
          <w:rPr>
            <w:rStyle w:val="Hyperlink"/>
            <w:rFonts w:cstheme="minorHAnsi"/>
            <w:noProof/>
            <w:lang w:val="en-GB"/>
          </w:rPr>
          <w:t>Legal Context</w:t>
        </w:r>
        <w:r w:rsidR="006C5C9F">
          <w:rPr>
            <w:noProof/>
            <w:webHidden/>
          </w:rPr>
          <w:tab/>
        </w:r>
        <w:r w:rsidR="006C5C9F">
          <w:rPr>
            <w:noProof/>
            <w:webHidden/>
          </w:rPr>
          <w:fldChar w:fldCharType="begin"/>
        </w:r>
        <w:r w:rsidR="006C5C9F">
          <w:rPr>
            <w:noProof/>
            <w:webHidden/>
          </w:rPr>
          <w:instrText xml:space="preserve"> PAGEREF _Toc82018271 \h </w:instrText>
        </w:r>
        <w:r w:rsidR="006C5C9F">
          <w:rPr>
            <w:noProof/>
            <w:webHidden/>
          </w:rPr>
        </w:r>
        <w:r w:rsidR="006C5C9F">
          <w:rPr>
            <w:noProof/>
            <w:webHidden/>
          </w:rPr>
          <w:fldChar w:fldCharType="separate"/>
        </w:r>
        <w:r w:rsidR="006C5C9F">
          <w:rPr>
            <w:noProof/>
            <w:webHidden/>
          </w:rPr>
          <w:t>67</w:t>
        </w:r>
        <w:r w:rsidR="006C5C9F">
          <w:rPr>
            <w:noProof/>
            <w:webHidden/>
          </w:rPr>
          <w:fldChar w:fldCharType="end"/>
        </w:r>
      </w:hyperlink>
    </w:p>
    <w:p w14:paraId="55904EBE" w14:textId="72FD57D5" w:rsidR="006C5C9F" w:rsidRDefault="00127DDC">
      <w:pPr>
        <w:pStyle w:val="TOC1"/>
        <w:rPr>
          <w:rFonts w:asciiTheme="minorHAnsi" w:eastAsiaTheme="minorEastAsia" w:hAnsiTheme="minorHAnsi" w:cstheme="minorBidi"/>
          <w:noProof/>
          <w:sz w:val="22"/>
          <w:szCs w:val="22"/>
        </w:rPr>
      </w:pPr>
      <w:hyperlink w:anchor="_Toc82018272" w:history="1">
        <w:r w:rsidR="006C5C9F" w:rsidRPr="00F30AA7">
          <w:rPr>
            <w:rStyle w:val="Hyperlink"/>
            <w:noProof/>
            <w:lang w:val="en-GB"/>
          </w:rPr>
          <w:t>X.</w:t>
        </w:r>
        <w:r w:rsidR="006C5C9F">
          <w:rPr>
            <w:rFonts w:asciiTheme="minorHAnsi" w:eastAsiaTheme="minorEastAsia" w:hAnsiTheme="minorHAnsi" w:cstheme="minorBidi"/>
            <w:noProof/>
            <w:sz w:val="22"/>
            <w:szCs w:val="22"/>
          </w:rPr>
          <w:tab/>
        </w:r>
        <w:r w:rsidR="006C5C9F" w:rsidRPr="00F30AA7">
          <w:rPr>
            <w:rStyle w:val="Hyperlink"/>
            <w:rFonts w:cstheme="minorHAnsi"/>
            <w:noProof/>
            <w:lang w:val="en-GB"/>
          </w:rPr>
          <w:t>Risk Management</w:t>
        </w:r>
        <w:r w:rsidR="006C5C9F">
          <w:rPr>
            <w:noProof/>
            <w:webHidden/>
          </w:rPr>
          <w:tab/>
        </w:r>
        <w:r w:rsidR="006C5C9F">
          <w:rPr>
            <w:noProof/>
            <w:webHidden/>
          </w:rPr>
          <w:fldChar w:fldCharType="begin"/>
        </w:r>
        <w:r w:rsidR="006C5C9F">
          <w:rPr>
            <w:noProof/>
            <w:webHidden/>
          </w:rPr>
          <w:instrText xml:space="preserve"> PAGEREF _Toc82018272 \h </w:instrText>
        </w:r>
        <w:r w:rsidR="006C5C9F">
          <w:rPr>
            <w:noProof/>
            <w:webHidden/>
          </w:rPr>
        </w:r>
        <w:r w:rsidR="006C5C9F">
          <w:rPr>
            <w:noProof/>
            <w:webHidden/>
          </w:rPr>
          <w:fldChar w:fldCharType="separate"/>
        </w:r>
        <w:r w:rsidR="006C5C9F">
          <w:rPr>
            <w:noProof/>
            <w:webHidden/>
          </w:rPr>
          <w:t>67</w:t>
        </w:r>
        <w:r w:rsidR="006C5C9F">
          <w:rPr>
            <w:noProof/>
            <w:webHidden/>
          </w:rPr>
          <w:fldChar w:fldCharType="end"/>
        </w:r>
      </w:hyperlink>
    </w:p>
    <w:p w14:paraId="1C29AC63" w14:textId="6D3A987A" w:rsidR="006C5C9F" w:rsidRDefault="00127DDC">
      <w:pPr>
        <w:pStyle w:val="TOC1"/>
        <w:rPr>
          <w:rFonts w:asciiTheme="minorHAnsi" w:eastAsiaTheme="minorEastAsia" w:hAnsiTheme="minorHAnsi" w:cstheme="minorBidi"/>
          <w:noProof/>
          <w:sz w:val="22"/>
          <w:szCs w:val="22"/>
        </w:rPr>
      </w:pPr>
      <w:hyperlink w:anchor="_Toc82018273" w:history="1">
        <w:r w:rsidR="006C5C9F" w:rsidRPr="00F30AA7">
          <w:rPr>
            <w:rStyle w:val="Hyperlink"/>
            <w:noProof/>
            <w:lang w:val="en-GB"/>
          </w:rPr>
          <w:t>XI.</w:t>
        </w:r>
        <w:r w:rsidR="006C5C9F">
          <w:rPr>
            <w:rFonts w:asciiTheme="minorHAnsi" w:eastAsiaTheme="minorEastAsia" w:hAnsiTheme="minorHAnsi" w:cstheme="minorBidi"/>
            <w:noProof/>
            <w:sz w:val="22"/>
            <w:szCs w:val="22"/>
          </w:rPr>
          <w:tab/>
        </w:r>
        <w:r w:rsidR="006C5C9F" w:rsidRPr="00F30AA7">
          <w:rPr>
            <w:rStyle w:val="Hyperlink"/>
            <w:rFonts w:cstheme="minorHAnsi"/>
            <w:noProof/>
            <w:lang w:val="en-GB"/>
          </w:rPr>
          <w:t>Annexes</w:t>
        </w:r>
        <w:r w:rsidR="006C5C9F">
          <w:rPr>
            <w:noProof/>
            <w:webHidden/>
          </w:rPr>
          <w:tab/>
        </w:r>
        <w:r w:rsidR="006C5C9F">
          <w:rPr>
            <w:noProof/>
            <w:webHidden/>
          </w:rPr>
          <w:fldChar w:fldCharType="begin"/>
        </w:r>
        <w:r w:rsidR="006C5C9F">
          <w:rPr>
            <w:noProof/>
            <w:webHidden/>
          </w:rPr>
          <w:instrText xml:space="preserve"> PAGEREF _Toc82018273 \h </w:instrText>
        </w:r>
        <w:r w:rsidR="006C5C9F">
          <w:rPr>
            <w:noProof/>
            <w:webHidden/>
          </w:rPr>
        </w:r>
        <w:r w:rsidR="006C5C9F">
          <w:rPr>
            <w:noProof/>
            <w:webHidden/>
          </w:rPr>
          <w:fldChar w:fldCharType="separate"/>
        </w:r>
        <w:r w:rsidR="006C5C9F">
          <w:rPr>
            <w:noProof/>
            <w:webHidden/>
          </w:rPr>
          <w:t>70</w:t>
        </w:r>
        <w:r w:rsidR="006C5C9F">
          <w:rPr>
            <w:noProof/>
            <w:webHidden/>
          </w:rPr>
          <w:fldChar w:fldCharType="end"/>
        </w:r>
      </w:hyperlink>
    </w:p>
    <w:p w14:paraId="05C711E2" w14:textId="58F013F9" w:rsidR="006C5C9F" w:rsidRDefault="00127DDC">
      <w:pPr>
        <w:pStyle w:val="TOC2"/>
        <w:rPr>
          <w:rFonts w:asciiTheme="minorHAnsi" w:eastAsiaTheme="minorEastAsia" w:hAnsiTheme="minorHAnsi" w:cstheme="minorBidi"/>
          <w:noProof/>
          <w:sz w:val="22"/>
          <w:szCs w:val="22"/>
        </w:rPr>
      </w:pPr>
      <w:hyperlink w:anchor="_Toc82018274" w:history="1">
        <w:r w:rsidR="006C5C9F" w:rsidRPr="00F30AA7">
          <w:rPr>
            <w:rStyle w:val="Hyperlink"/>
            <w:noProof/>
            <w:lang w:val="en-GB"/>
          </w:rPr>
          <w:t>Annex 1: Project map and geospatial coordinates of project sites</w:t>
        </w:r>
        <w:r w:rsidR="006C5C9F">
          <w:rPr>
            <w:noProof/>
            <w:webHidden/>
          </w:rPr>
          <w:tab/>
        </w:r>
        <w:r w:rsidR="006C5C9F">
          <w:rPr>
            <w:noProof/>
            <w:webHidden/>
          </w:rPr>
          <w:fldChar w:fldCharType="begin"/>
        </w:r>
        <w:r w:rsidR="006C5C9F">
          <w:rPr>
            <w:noProof/>
            <w:webHidden/>
          </w:rPr>
          <w:instrText xml:space="preserve"> PAGEREF _Toc82018274 \h </w:instrText>
        </w:r>
        <w:r w:rsidR="006C5C9F">
          <w:rPr>
            <w:noProof/>
            <w:webHidden/>
          </w:rPr>
        </w:r>
        <w:r w:rsidR="006C5C9F">
          <w:rPr>
            <w:noProof/>
            <w:webHidden/>
          </w:rPr>
          <w:fldChar w:fldCharType="separate"/>
        </w:r>
        <w:r w:rsidR="006C5C9F">
          <w:rPr>
            <w:noProof/>
            <w:webHidden/>
          </w:rPr>
          <w:t>70</w:t>
        </w:r>
        <w:r w:rsidR="006C5C9F">
          <w:rPr>
            <w:noProof/>
            <w:webHidden/>
          </w:rPr>
          <w:fldChar w:fldCharType="end"/>
        </w:r>
      </w:hyperlink>
    </w:p>
    <w:p w14:paraId="4105BC41" w14:textId="79D2B5F3" w:rsidR="006C5C9F" w:rsidRDefault="00127DDC">
      <w:pPr>
        <w:pStyle w:val="TOC2"/>
        <w:rPr>
          <w:rFonts w:asciiTheme="minorHAnsi" w:eastAsiaTheme="minorEastAsia" w:hAnsiTheme="minorHAnsi" w:cstheme="minorBidi"/>
          <w:noProof/>
          <w:sz w:val="22"/>
          <w:szCs w:val="22"/>
        </w:rPr>
      </w:pPr>
      <w:hyperlink w:anchor="_Toc82018275" w:history="1">
        <w:r w:rsidR="006C5C9F" w:rsidRPr="00F30AA7">
          <w:rPr>
            <w:rStyle w:val="Hyperlink"/>
            <w:noProof/>
            <w:lang w:val="en-GB"/>
          </w:rPr>
          <w:t>Annex 2: Project Theory of Change</w:t>
        </w:r>
        <w:r w:rsidR="006C5C9F">
          <w:rPr>
            <w:noProof/>
            <w:webHidden/>
          </w:rPr>
          <w:tab/>
        </w:r>
        <w:r w:rsidR="006C5C9F">
          <w:rPr>
            <w:noProof/>
            <w:webHidden/>
          </w:rPr>
          <w:fldChar w:fldCharType="begin"/>
        </w:r>
        <w:r w:rsidR="006C5C9F">
          <w:rPr>
            <w:noProof/>
            <w:webHidden/>
          </w:rPr>
          <w:instrText xml:space="preserve"> PAGEREF _Toc82018275 \h </w:instrText>
        </w:r>
        <w:r w:rsidR="006C5C9F">
          <w:rPr>
            <w:noProof/>
            <w:webHidden/>
          </w:rPr>
        </w:r>
        <w:r w:rsidR="006C5C9F">
          <w:rPr>
            <w:noProof/>
            <w:webHidden/>
          </w:rPr>
          <w:fldChar w:fldCharType="separate"/>
        </w:r>
        <w:r w:rsidR="006C5C9F">
          <w:rPr>
            <w:noProof/>
            <w:webHidden/>
          </w:rPr>
          <w:t>71</w:t>
        </w:r>
        <w:r w:rsidR="006C5C9F">
          <w:rPr>
            <w:noProof/>
            <w:webHidden/>
          </w:rPr>
          <w:fldChar w:fldCharType="end"/>
        </w:r>
      </w:hyperlink>
    </w:p>
    <w:p w14:paraId="1413E973" w14:textId="6DBE8E9C" w:rsidR="006C5C9F" w:rsidRDefault="00127DDC">
      <w:pPr>
        <w:pStyle w:val="TOC2"/>
        <w:rPr>
          <w:rFonts w:asciiTheme="minorHAnsi" w:eastAsiaTheme="minorEastAsia" w:hAnsiTheme="minorHAnsi" w:cstheme="minorBidi"/>
          <w:noProof/>
          <w:sz w:val="22"/>
          <w:szCs w:val="22"/>
        </w:rPr>
      </w:pPr>
      <w:hyperlink w:anchor="_Toc82018276" w:history="1">
        <w:r w:rsidR="006C5C9F" w:rsidRPr="00F30AA7">
          <w:rPr>
            <w:rStyle w:val="Hyperlink"/>
            <w:noProof/>
            <w:lang w:val="en-GB"/>
          </w:rPr>
          <w:t>Annex 3: Multi-Year Work Plan</w:t>
        </w:r>
        <w:r w:rsidR="006C5C9F">
          <w:rPr>
            <w:noProof/>
            <w:webHidden/>
          </w:rPr>
          <w:tab/>
        </w:r>
        <w:r w:rsidR="006C5C9F">
          <w:rPr>
            <w:noProof/>
            <w:webHidden/>
          </w:rPr>
          <w:fldChar w:fldCharType="begin"/>
        </w:r>
        <w:r w:rsidR="006C5C9F">
          <w:rPr>
            <w:noProof/>
            <w:webHidden/>
          </w:rPr>
          <w:instrText xml:space="preserve"> PAGEREF _Toc82018276 \h </w:instrText>
        </w:r>
        <w:r w:rsidR="006C5C9F">
          <w:rPr>
            <w:noProof/>
            <w:webHidden/>
          </w:rPr>
        </w:r>
        <w:r w:rsidR="006C5C9F">
          <w:rPr>
            <w:noProof/>
            <w:webHidden/>
          </w:rPr>
          <w:fldChar w:fldCharType="separate"/>
        </w:r>
        <w:r w:rsidR="006C5C9F">
          <w:rPr>
            <w:noProof/>
            <w:webHidden/>
          </w:rPr>
          <w:t>73</w:t>
        </w:r>
        <w:r w:rsidR="006C5C9F">
          <w:rPr>
            <w:noProof/>
            <w:webHidden/>
          </w:rPr>
          <w:fldChar w:fldCharType="end"/>
        </w:r>
      </w:hyperlink>
    </w:p>
    <w:p w14:paraId="5AEFA077" w14:textId="2E905EFB" w:rsidR="006C5C9F" w:rsidRDefault="00127DDC">
      <w:pPr>
        <w:pStyle w:val="TOC2"/>
        <w:rPr>
          <w:rFonts w:asciiTheme="minorHAnsi" w:eastAsiaTheme="minorEastAsia" w:hAnsiTheme="minorHAnsi" w:cstheme="minorBidi"/>
          <w:noProof/>
          <w:sz w:val="22"/>
          <w:szCs w:val="22"/>
        </w:rPr>
      </w:pPr>
      <w:hyperlink w:anchor="_Toc82018277" w:history="1">
        <w:r w:rsidR="006C5C9F" w:rsidRPr="00F30AA7">
          <w:rPr>
            <w:rStyle w:val="Hyperlink"/>
            <w:noProof/>
            <w:lang w:val="en-GB"/>
          </w:rPr>
          <w:t xml:space="preserve">Annex 4: </w:t>
        </w:r>
        <w:r w:rsidR="006C5C9F" w:rsidRPr="00F30AA7">
          <w:rPr>
            <w:rStyle w:val="Hyperlink"/>
            <w:rFonts w:cstheme="minorHAnsi"/>
            <w:noProof/>
          </w:rPr>
          <w:t>Monitoring Plan</w:t>
        </w:r>
        <w:r w:rsidR="006C5C9F">
          <w:rPr>
            <w:noProof/>
            <w:webHidden/>
          </w:rPr>
          <w:tab/>
        </w:r>
        <w:r w:rsidR="006C5C9F">
          <w:rPr>
            <w:noProof/>
            <w:webHidden/>
          </w:rPr>
          <w:fldChar w:fldCharType="begin"/>
        </w:r>
        <w:r w:rsidR="006C5C9F">
          <w:rPr>
            <w:noProof/>
            <w:webHidden/>
          </w:rPr>
          <w:instrText xml:space="preserve"> PAGEREF _Toc82018277 \h </w:instrText>
        </w:r>
        <w:r w:rsidR="006C5C9F">
          <w:rPr>
            <w:noProof/>
            <w:webHidden/>
          </w:rPr>
        </w:r>
        <w:r w:rsidR="006C5C9F">
          <w:rPr>
            <w:noProof/>
            <w:webHidden/>
          </w:rPr>
          <w:fldChar w:fldCharType="separate"/>
        </w:r>
        <w:r w:rsidR="006C5C9F">
          <w:rPr>
            <w:noProof/>
            <w:webHidden/>
          </w:rPr>
          <w:t>78</w:t>
        </w:r>
        <w:r w:rsidR="006C5C9F">
          <w:rPr>
            <w:noProof/>
            <w:webHidden/>
          </w:rPr>
          <w:fldChar w:fldCharType="end"/>
        </w:r>
      </w:hyperlink>
    </w:p>
    <w:p w14:paraId="35EBDE35" w14:textId="1B0BC2C4" w:rsidR="006C5C9F" w:rsidRDefault="00127DDC">
      <w:pPr>
        <w:pStyle w:val="TOC2"/>
        <w:rPr>
          <w:rFonts w:asciiTheme="minorHAnsi" w:eastAsiaTheme="minorEastAsia" w:hAnsiTheme="minorHAnsi" w:cstheme="minorBidi"/>
          <w:noProof/>
          <w:sz w:val="22"/>
          <w:szCs w:val="22"/>
        </w:rPr>
      </w:pPr>
      <w:hyperlink w:anchor="_Toc82018278" w:history="1">
        <w:r w:rsidR="006C5C9F" w:rsidRPr="00F30AA7">
          <w:rPr>
            <w:rStyle w:val="Hyperlink"/>
            <w:noProof/>
            <w:lang w:val="en-GB"/>
          </w:rPr>
          <w:t>Annex 5: UNDP Social and Environmental Screening Procedure (SESP)</w:t>
        </w:r>
        <w:r w:rsidR="006C5C9F">
          <w:rPr>
            <w:noProof/>
            <w:webHidden/>
          </w:rPr>
          <w:tab/>
        </w:r>
        <w:r w:rsidR="006C5C9F">
          <w:rPr>
            <w:noProof/>
            <w:webHidden/>
          </w:rPr>
          <w:fldChar w:fldCharType="begin"/>
        </w:r>
        <w:r w:rsidR="006C5C9F">
          <w:rPr>
            <w:noProof/>
            <w:webHidden/>
          </w:rPr>
          <w:instrText xml:space="preserve"> PAGEREF _Toc82018278 \h </w:instrText>
        </w:r>
        <w:r w:rsidR="006C5C9F">
          <w:rPr>
            <w:noProof/>
            <w:webHidden/>
          </w:rPr>
        </w:r>
        <w:r w:rsidR="006C5C9F">
          <w:rPr>
            <w:noProof/>
            <w:webHidden/>
          </w:rPr>
          <w:fldChar w:fldCharType="separate"/>
        </w:r>
        <w:r w:rsidR="006C5C9F">
          <w:rPr>
            <w:noProof/>
            <w:webHidden/>
          </w:rPr>
          <w:t>86</w:t>
        </w:r>
        <w:r w:rsidR="006C5C9F">
          <w:rPr>
            <w:noProof/>
            <w:webHidden/>
          </w:rPr>
          <w:fldChar w:fldCharType="end"/>
        </w:r>
      </w:hyperlink>
    </w:p>
    <w:p w14:paraId="34B85D17" w14:textId="6753952E" w:rsidR="006C5C9F" w:rsidRDefault="00127DDC">
      <w:pPr>
        <w:pStyle w:val="TOC2"/>
        <w:rPr>
          <w:rFonts w:asciiTheme="minorHAnsi" w:eastAsiaTheme="minorEastAsia" w:hAnsiTheme="minorHAnsi" w:cstheme="minorBidi"/>
          <w:noProof/>
          <w:sz w:val="22"/>
          <w:szCs w:val="22"/>
        </w:rPr>
      </w:pPr>
      <w:hyperlink w:anchor="_Toc82018279" w:history="1">
        <w:r w:rsidR="006C5C9F" w:rsidRPr="00F30AA7">
          <w:rPr>
            <w:rStyle w:val="Hyperlink"/>
            <w:noProof/>
            <w:lang w:val="en-GB"/>
          </w:rPr>
          <w:t>Annex 6: UNDP Atlas Risk Register</w:t>
        </w:r>
        <w:r w:rsidR="006C5C9F">
          <w:rPr>
            <w:noProof/>
            <w:webHidden/>
          </w:rPr>
          <w:tab/>
        </w:r>
        <w:r w:rsidR="006C5C9F">
          <w:rPr>
            <w:noProof/>
            <w:webHidden/>
          </w:rPr>
          <w:fldChar w:fldCharType="begin"/>
        </w:r>
        <w:r w:rsidR="006C5C9F">
          <w:rPr>
            <w:noProof/>
            <w:webHidden/>
          </w:rPr>
          <w:instrText xml:space="preserve"> PAGEREF _Toc82018279 \h </w:instrText>
        </w:r>
        <w:r w:rsidR="006C5C9F">
          <w:rPr>
            <w:noProof/>
            <w:webHidden/>
          </w:rPr>
        </w:r>
        <w:r w:rsidR="006C5C9F">
          <w:rPr>
            <w:noProof/>
            <w:webHidden/>
          </w:rPr>
          <w:fldChar w:fldCharType="separate"/>
        </w:r>
        <w:r w:rsidR="006C5C9F">
          <w:rPr>
            <w:noProof/>
            <w:webHidden/>
          </w:rPr>
          <w:t>102</w:t>
        </w:r>
        <w:r w:rsidR="006C5C9F">
          <w:rPr>
            <w:noProof/>
            <w:webHidden/>
          </w:rPr>
          <w:fldChar w:fldCharType="end"/>
        </w:r>
      </w:hyperlink>
    </w:p>
    <w:p w14:paraId="1FD7F9EC" w14:textId="4B8F4865" w:rsidR="006C5C9F" w:rsidRDefault="00127DDC">
      <w:pPr>
        <w:pStyle w:val="TOC2"/>
        <w:rPr>
          <w:rFonts w:asciiTheme="minorHAnsi" w:eastAsiaTheme="minorEastAsia" w:hAnsiTheme="minorHAnsi" w:cstheme="minorBidi"/>
          <w:noProof/>
          <w:sz w:val="22"/>
          <w:szCs w:val="22"/>
        </w:rPr>
      </w:pPr>
      <w:hyperlink w:anchor="_Toc82018280" w:history="1">
        <w:r w:rsidR="006C5C9F" w:rsidRPr="00F30AA7">
          <w:rPr>
            <w:rStyle w:val="Hyperlink"/>
            <w:noProof/>
            <w:lang w:val="en-GB"/>
          </w:rPr>
          <w:t>Annex 7:  Overview and responsibilities of project staff and contractors</w:t>
        </w:r>
        <w:r w:rsidR="006C5C9F">
          <w:rPr>
            <w:noProof/>
            <w:webHidden/>
          </w:rPr>
          <w:tab/>
        </w:r>
        <w:r w:rsidR="006C5C9F">
          <w:rPr>
            <w:noProof/>
            <w:webHidden/>
          </w:rPr>
          <w:fldChar w:fldCharType="begin"/>
        </w:r>
        <w:r w:rsidR="006C5C9F">
          <w:rPr>
            <w:noProof/>
            <w:webHidden/>
          </w:rPr>
          <w:instrText xml:space="preserve"> PAGEREF _Toc82018280 \h </w:instrText>
        </w:r>
        <w:r w:rsidR="006C5C9F">
          <w:rPr>
            <w:noProof/>
            <w:webHidden/>
          </w:rPr>
        </w:r>
        <w:r w:rsidR="006C5C9F">
          <w:rPr>
            <w:noProof/>
            <w:webHidden/>
          </w:rPr>
          <w:fldChar w:fldCharType="separate"/>
        </w:r>
        <w:r w:rsidR="006C5C9F">
          <w:rPr>
            <w:noProof/>
            <w:webHidden/>
          </w:rPr>
          <w:t>114</w:t>
        </w:r>
        <w:r w:rsidR="006C5C9F">
          <w:rPr>
            <w:noProof/>
            <w:webHidden/>
          </w:rPr>
          <w:fldChar w:fldCharType="end"/>
        </w:r>
      </w:hyperlink>
    </w:p>
    <w:p w14:paraId="3B9B9FE9" w14:textId="70A309D8" w:rsidR="006C5C9F" w:rsidRDefault="00127DDC">
      <w:pPr>
        <w:pStyle w:val="TOC2"/>
        <w:rPr>
          <w:rFonts w:asciiTheme="minorHAnsi" w:eastAsiaTheme="minorEastAsia" w:hAnsiTheme="minorHAnsi" w:cstheme="minorBidi"/>
          <w:noProof/>
          <w:sz w:val="22"/>
          <w:szCs w:val="22"/>
        </w:rPr>
      </w:pPr>
      <w:hyperlink w:anchor="_Toc82018281" w:history="1">
        <w:r w:rsidR="006C5C9F" w:rsidRPr="00F30AA7">
          <w:rPr>
            <w:rStyle w:val="Hyperlink"/>
            <w:noProof/>
            <w:lang w:val="en-GB"/>
          </w:rPr>
          <w:t>Annex 8: GEF Core Indicators at Baseline</w:t>
        </w:r>
        <w:r w:rsidR="006C5C9F">
          <w:rPr>
            <w:noProof/>
            <w:webHidden/>
          </w:rPr>
          <w:tab/>
        </w:r>
        <w:r w:rsidR="006C5C9F">
          <w:rPr>
            <w:noProof/>
            <w:webHidden/>
          </w:rPr>
          <w:fldChar w:fldCharType="begin"/>
        </w:r>
        <w:r w:rsidR="006C5C9F">
          <w:rPr>
            <w:noProof/>
            <w:webHidden/>
          </w:rPr>
          <w:instrText xml:space="preserve"> PAGEREF _Toc82018281 \h </w:instrText>
        </w:r>
        <w:r w:rsidR="006C5C9F">
          <w:rPr>
            <w:noProof/>
            <w:webHidden/>
          </w:rPr>
        </w:r>
        <w:r w:rsidR="006C5C9F">
          <w:rPr>
            <w:noProof/>
            <w:webHidden/>
          </w:rPr>
          <w:fldChar w:fldCharType="separate"/>
        </w:r>
        <w:r w:rsidR="006C5C9F">
          <w:rPr>
            <w:noProof/>
            <w:webHidden/>
          </w:rPr>
          <w:t>124</w:t>
        </w:r>
        <w:r w:rsidR="006C5C9F">
          <w:rPr>
            <w:noProof/>
            <w:webHidden/>
          </w:rPr>
          <w:fldChar w:fldCharType="end"/>
        </w:r>
      </w:hyperlink>
    </w:p>
    <w:p w14:paraId="5C528AEE" w14:textId="43911F95" w:rsidR="006C5C9F" w:rsidRDefault="00127DDC">
      <w:pPr>
        <w:pStyle w:val="TOC2"/>
        <w:rPr>
          <w:rFonts w:asciiTheme="minorHAnsi" w:eastAsiaTheme="minorEastAsia" w:hAnsiTheme="minorHAnsi" w:cstheme="minorBidi"/>
          <w:noProof/>
          <w:sz w:val="22"/>
          <w:szCs w:val="22"/>
        </w:rPr>
      </w:pPr>
      <w:hyperlink w:anchor="_Toc82018282" w:history="1">
        <w:r w:rsidR="006C5C9F" w:rsidRPr="00F30AA7">
          <w:rPr>
            <w:rStyle w:val="Hyperlink"/>
            <w:noProof/>
            <w:lang w:val="en-GB"/>
          </w:rPr>
          <w:t>Annex 9: GEF PA Management Effectiveness Tracking Tool</w:t>
        </w:r>
        <w:r w:rsidR="006C5C9F">
          <w:rPr>
            <w:noProof/>
            <w:webHidden/>
          </w:rPr>
          <w:tab/>
        </w:r>
        <w:r w:rsidR="006C5C9F">
          <w:rPr>
            <w:noProof/>
            <w:webHidden/>
          </w:rPr>
          <w:fldChar w:fldCharType="begin"/>
        </w:r>
        <w:r w:rsidR="006C5C9F">
          <w:rPr>
            <w:noProof/>
            <w:webHidden/>
          </w:rPr>
          <w:instrText xml:space="preserve"> PAGEREF _Toc82018282 \h </w:instrText>
        </w:r>
        <w:r w:rsidR="006C5C9F">
          <w:rPr>
            <w:noProof/>
            <w:webHidden/>
          </w:rPr>
        </w:r>
        <w:r w:rsidR="006C5C9F">
          <w:rPr>
            <w:noProof/>
            <w:webHidden/>
          </w:rPr>
          <w:fldChar w:fldCharType="separate"/>
        </w:r>
        <w:r w:rsidR="006C5C9F">
          <w:rPr>
            <w:noProof/>
            <w:webHidden/>
          </w:rPr>
          <w:t>132</w:t>
        </w:r>
        <w:r w:rsidR="006C5C9F">
          <w:rPr>
            <w:noProof/>
            <w:webHidden/>
          </w:rPr>
          <w:fldChar w:fldCharType="end"/>
        </w:r>
      </w:hyperlink>
    </w:p>
    <w:p w14:paraId="65A8ABC5" w14:textId="7BD4D292" w:rsidR="006C5C9F" w:rsidRDefault="00127DDC">
      <w:pPr>
        <w:pStyle w:val="TOC2"/>
        <w:rPr>
          <w:rFonts w:asciiTheme="minorHAnsi" w:eastAsiaTheme="minorEastAsia" w:hAnsiTheme="minorHAnsi" w:cstheme="minorBidi"/>
          <w:noProof/>
          <w:sz w:val="22"/>
          <w:szCs w:val="22"/>
        </w:rPr>
      </w:pPr>
      <w:hyperlink w:anchor="_Toc82018283" w:history="1">
        <w:r w:rsidR="006C5C9F" w:rsidRPr="00F30AA7">
          <w:rPr>
            <w:rStyle w:val="Hyperlink"/>
            <w:noProof/>
            <w:lang w:val="en-GB"/>
          </w:rPr>
          <w:t>Annex 10: GEF 7 Taxonomy</w:t>
        </w:r>
        <w:r w:rsidR="006C5C9F">
          <w:rPr>
            <w:noProof/>
            <w:webHidden/>
          </w:rPr>
          <w:tab/>
        </w:r>
        <w:r w:rsidR="006C5C9F">
          <w:rPr>
            <w:noProof/>
            <w:webHidden/>
          </w:rPr>
          <w:fldChar w:fldCharType="begin"/>
        </w:r>
        <w:r w:rsidR="006C5C9F">
          <w:rPr>
            <w:noProof/>
            <w:webHidden/>
          </w:rPr>
          <w:instrText xml:space="preserve"> PAGEREF _Toc82018283 \h </w:instrText>
        </w:r>
        <w:r w:rsidR="006C5C9F">
          <w:rPr>
            <w:noProof/>
            <w:webHidden/>
          </w:rPr>
        </w:r>
        <w:r w:rsidR="006C5C9F">
          <w:rPr>
            <w:noProof/>
            <w:webHidden/>
          </w:rPr>
          <w:fldChar w:fldCharType="separate"/>
        </w:r>
        <w:r w:rsidR="006C5C9F">
          <w:rPr>
            <w:noProof/>
            <w:webHidden/>
          </w:rPr>
          <w:t>133</w:t>
        </w:r>
        <w:r w:rsidR="006C5C9F">
          <w:rPr>
            <w:noProof/>
            <w:webHidden/>
          </w:rPr>
          <w:fldChar w:fldCharType="end"/>
        </w:r>
      </w:hyperlink>
    </w:p>
    <w:p w14:paraId="12D28035" w14:textId="7EC6546B" w:rsidR="006C5C9F" w:rsidRDefault="00127DDC">
      <w:pPr>
        <w:pStyle w:val="TOC2"/>
        <w:rPr>
          <w:rFonts w:asciiTheme="minorHAnsi" w:eastAsiaTheme="minorEastAsia" w:hAnsiTheme="minorHAnsi" w:cstheme="minorBidi"/>
          <w:noProof/>
          <w:sz w:val="22"/>
          <w:szCs w:val="22"/>
        </w:rPr>
      </w:pPr>
      <w:hyperlink w:anchor="_Toc82018284" w:history="1">
        <w:r w:rsidR="006C5C9F" w:rsidRPr="00F30AA7">
          <w:rPr>
            <w:rStyle w:val="Hyperlink"/>
            <w:noProof/>
            <w:lang w:val="en-GB"/>
          </w:rPr>
          <w:t>Annex 11: Comprehensive Stakeholder Engagement Plan</w:t>
        </w:r>
        <w:r w:rsidR="006C5C9F">
          <w:rPr>
            <w:noProof/>
            <w:webHidden/>
          </w:rPr>
          <w:tab/>
        </w:r>
        <w:r w:rsidR="006C5C9F">
          <w:rPr>
            <w:noProof/>
            <w:webHidden/>
          </w:rPr>
          <w:fldChar w:fldCharType="begin"/>
        </w:r>
        <w:r w:rsidR="006C5C9F">
          <w:rPr>
            <w:noProof/>
            <w:webHidden/>
          </w:rPr>
          <w:instrText xml:space="preserve"> PAGEREF _Toc82018284 \h </w:instrText>
        </w:r>
        <w:r w:rsidR="006C5C9F">
          <w:rPr>
            <w:noProof/>
            <w:webHidden/>
          </w:rPr>
        </w:r>
        <w:r w:rsidR="006C5C9F">
          <w:rPr>
            <w:noProof/>
            <w:webHidden/>
          </w:rPr>
          <w:fldChar w:fldCharType="separate"/>
        </w:r>
        <w:r w:rsidR="006C5C9F">
          <w:rPr>
            <w:noProof/>
            <w:webHidden/>
          </w:rPr>
          <w:t>140</w:t>
        </w:r>
        <w:r w:rsidR="006C5C9F">
          <w:rPr>
            <w:noProof/>
            <w:webHidden/>
          </w:rPr>
          <w:fldChar w:fldCharType="end"/>
        </w:r>
      </w:hyperlink>
    </w:p>
    <w:p w14:paraId="308D2A5A" w14:textId="65133F8E" w:rsidR="006C5C9F" w:rsidRDefault="00127DDC">
      <w:pPr>
        <w:pStyle w:val="TOC2"/>
        <w:rPr>
          <w:rFonts w:asciiTheme="minorHAnsi" w:eastAsiaTheme="minorEastAsia" w:hAnsiTheme="minorHAnsi" w:cstheme="minorBidi"/>
          <w:noProof/>
          <w:sz w:val="22"/>
          <w:szCs w:val="22"/>
        </w:rPr>
      </w:pPr>
      <w:hyperlink w:anchor="_Toc82018285" w:history="1">
        <w:r w:rsidR="006C5C9F" w:rsidRPr="00F30AA7">
          <w:rPr>
            <w:rStyle w:val="Hyperlink"/>
            <w:noProof/>
            <w:lang w:val="en-GB"/>
          </w:rPr>
          <w:t>Annex 12. Gender Analysis and Gender Action Plan</w:t>
        </w:r>
        <w:r w:rsidR="006C5C9F">
          <w:rPr>
            <w:noProof/>
            <w:webHidden/>
          </w:rPr>
          <w:tab/>
        </w:r>
        <w:r w:rsidR="006C5C9F">
          <w:rPr>
            <w:noProof/>
            <w:webHidden/>
          </w:rPr>
          <w:fldChar w:fldCharType="begin"/>
        </w:r>
        <w:r w:rsidR="006C5C9F">
          <w:rPr>
            <w:noProof/>
            <w:webHidden/>
          </w:rPr>
          <w:instrText xml:space="preserve"> PAGEREF _Toc82018285 \h </w:instrText>
        </w:r>
        <w:r w:rsidR="006C5C9F">
          <w:rPr>
            <w:noProof/>
            <w:webHidden/>
          </w:rPr>
        </w:r>
        <w:r w:rsidR="006C5C9F">
          <w:rPr>
            <w:noProof/>
            <w:webHidden/>
          </w:rPr>
          <w:fldChar w:fldCharType="separate"/>
        </w:r>
        <w:r w:rsidR="006C5C9F">
          <w:rPr>
            <w:noProof/>
            <w:webHidden/>
          </w:rPr>
          <w:t>140</w:t>
        </w:r>
        <w:r w:rsidR="006C5C9F">
          <w:rPr>
            <w:noProof/>
            <w:webHidden/>
          </w:rPr>
          <w:fldChar w:fldCharType="end"/>
        </w:r>
      </w:hyperlink>
    </w:p>
    <w:p w14:paraId="329E81E8" w14:textId="72963957" w:rsidR="006C5C9F" w:rsidRDefault="00127DDC">
      <w:pPr>
        <w:pStyle w:val="TOC2"/>
        <w:rPr>
          <w:rFonts w:asciiTheme="minorHAnsi" w:eastAsiaTheme="minorEastAsia" w:hAnsiTheme="minorHAnsi" w:cstheme="minorBidi"/>
          <w:noProof/>
          <w:sz w:val="22"/>
          <w:szCs w:val="22"/>
        </w:rPr>
      </w:pPr>
      <w:hyperlink w:anchor="_Toc82018286" w:history="1">
        <w:r w:rsidR="006C5C9F" w:rsidRPr="00F30AA7">
          <w:rPr>
            <w:rStyle w:val="Hyperlink"/>
            <w:noProof/>
            <w:lang w:val="en-GB"/>
          </w:rPr>
          <w:t>Annex 13: Initial Project Procurement Plan</w:t>
        </w:r>
        <w:r w:rsidR="006C5C9F">
          <w:rPr>
            <w:noProof/>
            <w:webHidden/>
          </w:rPr>
          <w:tab/>
        </w:r>
        <w:r w:rsidR="006C5C9F">
          <w:rPr>
            <w:noProof/>
            <w:webHidden/>
          </w:rPr>
          <w:fldChar w:fldCharType="begin"/>
        </w:r>
        <w:r w:rsidR="006C5C9F">
          <w:rPr>
            <w:noProof/>
            <w:webHidden/>
          </w:rPr>
          <w:instrText xml:space="preserve"> PAGEREF _Toc82018286 \h </w:instrText>
        </w:r>
        <w:r w:rsidR="006C5C9F">
          <w:rPr>
            <w:noProof/>
            <w:webHidden/>
          </w:rPr>
        </w:r>
        <w:r w:rsidR="006C5C9F">
          <w:rPr>
            <w:noProof/>
            <w:webHidden/>
          </w:rPr>
          <w:fldChar w:fldCharType="separate"/>
        </w:r>
        <w:r w:rsidR="006C5C9F">
          <w:rPr>
            <w:noProof/>
            <w:webHidden/>
          </w:rPr>
          <w:t>140</w:t>
        </w:r>
        <w:r w:rsidR="006C5C9F">
          <w:rPr>
            <w:noProof/>
            <w:webHidden/>
          </w:rPr>
          <w:fldChar w:fldCharType="end"/>
        </w:r>
      </w:hyperlink>
    </w:p>
    <w:p w14:paraId="05EA7880" w14:textId="00ADC0CD" w:rsidR="006C5C9F" w:rsidRDefault="00127DDC">
      <w:pPr>
        <w:pStyle w:val="TOC2"/>
        <w:rPr>
          <w:rFonts w:asciiTheme="minorHAnsi" w:eastAsiaTheme="minorEastAsia" w:hAnsiTheme="minorHAnsi" w:cstheme="minorBidi"/>
          <w:noProof/>
          <w:sz w:val="22"/>
          <w:szCs w:val="22"/>
        </w:rPr>
      </w:pPr>
      <w:hyperlink w:anchor="_Toc82018287" w:history="1">
        <w:r w:rsidR="006C5C9F" w:rsidRPr="00F30AA7">
          <w:rPr>
            <w:rStyle w:val="Hyperlink"/>
            <w:noProof/>
            <w:lang w:val="en-GB"/>
          </w:rPr>
          <w:t>Annex 14: Co-financing letters</w:t>
        </w:r>
        <w:r w:rsidR="006C5C9F">
          <w:rPr>
            <w:noProof/>
            <w:webHidden/>
          </w:rPr>
          <w:tab/>
        </w:r>
        <w:r w:rsidR="006C5C9F">
          <w:rPr>
            <w:noProof/>
            <w:webHidden/>
          </w:rPr>
          <w:fldChar w:fldCharType="begin"/>
        </w:r>
        <w:r w:rsidR="006C5C9F">
          <w:rPr>
            <w:noProof/>
            <w:webHidden/>
          </w:rPr>
          <w:instrText xml:space="preserve"> PAGEREF _Toc82018287 \h </w:instrText>
        </w:r>
        <w:r w:rsidR="006C5C9F">
          <w:rPr>
            <w:noProof/>
            <w:webHidden/>
          </w:rPr>
        </w:r>
        <w:r w:rsidR="006C5C9F">
          <w:rPr>
            <w:noProof/>
            <w:webHidden/>
          </w:rPr>
          <w:fldChar w:fldCharType="separate"/>
        </w:r>
        <w:r w:rsidR="006C5C9F">
          <w:rPr>
            <w:noProof/>
            <w:webHidden/>
          </w:rPr>
          <w:t>140</w:t>
        </w:r>
        <w:r w:rsidR="006C5C9F">
          <w:rPr>
            <w:noProof/>
            <w:webHidden/>
          </w:rPr>
          <w:fldChar w:fldCharType="end"/>
        </w:r>
      </w:hyperlink>
    </w:p>
    <w:p w14:paraId="0F1D8A77" w14:textId="2A45715B" w:rsidR="006C5C9F" w:rsidRDefault="00127DDC">
      <w:pPr>
        <w:pStyle w:val="TOC2"/>
        <w:rPr>
          <w:rFonts w:asciiTheme="minorHAnsi" w:eastAsiaTheme="minorEastAsia" w:hAnsiTheme="minorHAnsi" w:cstheme="minorBidi"/>
          <w:noProof/>
          <w:sz w:val="22"/>
          <w:szCs w:val="22"/>
        </w:rPr>
      </w:pPr>
      <w:hyperlink w:anchor="_Toc82018288" w:history="1">
        <w:r w:rsidR="006C5C9F" w:rsidRPr="00F30AA7">
          <w:rPr>
            <w:rStyle w:val="Hyperlink"/>
            <w:noProof/>
            <w:lang w:val="en-GB"/>
          </w:rPr>
          <w:t>Annex 15: Targeted Protected Areas and KBAs</w:t>
        </w:r>
        <w:r w:rsidR="006C5C9F">
          <w:rPr>
            <w:noProof/>
            <w:webHidden/>
          </w:rPr>
          <w:tab/>
        </w:r>
        <w:r w:rsidR="006C5C9F">
          <w:rPr>
            <w:noProof/>
            <w:webHidden/>
          </w:rPr>
          <w:fldChar w:fldCharType="begin"/>
        </w:r>
        <w:r w:rsidR="006C5C9F">
          <w:rPr>
            <w:noProof/>
            <w:webHidden/>
          </w:rPr>
          <w:instrText xml:space="preserve"> PAGEREF _Toc82018288 \h </w:instrText>
        </w:r>
        <w:r w:rsidR="006C5C9F">
          <w:rPr>
            <w:noProof/>
            <w:webHidden/>
          </w:rPr>
        </w:r>
        <w:r w:rsidR="006C5C9F">
          <w:rPr>
            <w:noProof/>
            <w:webHidden/>
          </w:rPr>
          <w:fldChar w:fldCharType="separate"/>
        </w:r>
        <w:r w:rsidR="006C5C9F">
          <w:rPr>
            <w:noProof/>
            <w:webHidden/>
          </w:rPr>
          <w:t>141</w:t>
        </w:r>
        <w:r w:rsidR="006C5C9F">
          <w:rPr>
            <w:noProof/>
            <w:webHidden/>
          </w:rPr>
          <w:fldChar w:fldCharType="end"/>
        </w:r>
      </w:hyperlink>
    </w:p>
    <w:p w14:paraId="7B55A10A" w14:textId="3FAD574E" w:rsidR="006C5C9F" w:rsidRDefault="00127DDC">
      <w:pPr>
        <w:pStyle w:val="TOC2"/>
        <w:rPr>
          <w:rFonts w:asciiTheme="minorHAnsi" w:eastAsiaTheme="minorEastAsia" w:hAnsiTheme="minorHAnsi" w:cstheme="minorBidi"/>
          <w:noProof/>
          <w:sz w:val="22"/>
          <w:szCs w:val="22"/>
        </w:rPr>
      </w:pPr>
      <w:hyperlink w:anchor="_Toc82018289" w:history="1">
        <w:r w:rsidR="006C5C9F" w:rsidRPr="00F30AA7">
          <w:rPr>
            <w:rStyle w:val="Hyperlink"/>
            <w:noProof/>
            <w:lang w:val="en-GB"/>
          </w:rPr>
          <w:t>Annex 16. Sustainable tourism baseline and feasibility analysis for Outcome 3</w:t>
        </w:r>
        <w:r w:rsidR="006C5C9F">
          <w:rPr>
            <w:noProof/>
            <w:webHidden/>
          </w:rPr>
          <w:tab/>
        </w:r>
        <w:r w:rsidR="006C5C9F">
          <w:rPr>
            <w:noProof/>
            <w:webHidden/>
          </w:rPr>
          <w:fldChar w:fldCharType="begin"/>
        </w:r>
        <w:r w:rsidR="006C5C9F">
          <w:rPr>
            <w:noProof/>
            <w:webHidden/>
          </w:rPr>
          <w:instrText xml:space="preserve"> PAGEREF _Toc82018289 \h </w:instrText>
        </w:r>
        <w:r w:rsidR="006C5C9F">
          <w:rPr>
            <w:noProof/>
            <w:webHidden/>
          </w:rPr>
        </w:r>
        <w:r w:rsidR="006C5C9F">
          <w:rPr>
            <w:noProof/>
            <w:webHidden/>
          </w:rPr>
          <w:fldChar w:fldCharType="separate"/>
        </w:r>
        <w:r w:rsidR="006C5C9F">
          <w:rPr>
            <w:noProof/>
            <w:webHidden/>
          </w:rPr>
          <w:t>158</w:t>
        </w:r>
        <w:r w:rsidR="006C5C9F">
          <w:rPr>
            <w:noProof/>
            <w:webHidden/>
          </w:rPr>
          <w:fldChar w:fldCharType="end"/>
        </w:r>
      </w:hyperlink>
    </w:p>
    <w:p w14:paraId="1F0FE41C" w14:textId="0E5E835A" w:rsidR="006C5C9F" w:rsidRDefault="00127DDC">
      <w:pPr>
        <w:pStyle w:val="TOC2"/>
        <w:rPr>
          <w:rFonts w:asciiTheme="minorHAnsi" w:eastAsiaTheme="minorEastAsia" w:hAnsiTheme="minorHAnsi" w:cstheme="minorBidi"/>
          <w:noProof/>
          <w:sz w:val="22"/>
          <w:szCs w:val="22"/>
        </w:rPr>
      </w:pPr>
      <w:hyperlink w:anchor="_Toc82018290" w:history="1">
        <w:r w:rsidR="006C5C9F" w:rsidRPr="00F30AA7">
          <w:rPr>
            <w:rStyle w:val="Hyperlink"/>
            <w:noProof/>
            <w:lang w:val="en-GB"/>
          </w:rPr>
          <w:t>Annex 17. Carrying capacity assessment for Durmitor NP: background and rationale</w:t>
        </w:r>
        <w:r w:rsidR="006C5C9F">
          <w:rPr>
            <w:noProof/>
            <w:webHidden/>
          </w:rPr>
          <w:tab/>
        </w:r>
        <w:r w:rsidR="006C5C9F">
          <w:rPr>
            <w:noProof/>
            <w:webHidden/>
          </w:rPr>
          <w:fldChar w:fldCharType="begin"/>
        </w:r>
        <w:r w:rsidR="006C5C9F">
          <w:rPr>
            <w:noProof/>
            <w:webHidden/>
          </w:rPr>
          <w:instrText xml:space="preserve"> PAGEREF _Toc82018290 \h </w:instrText>
        </w:r>
        <w:r w:rsidR="006C5C9F">
          <w:rPr>
            <w:noProof/>
            <w:webHidden/>
          </w:rPr>
        </w:r>
        <w:r w:rsidR="006C5C9F">
          <w:rPr>
            <w:noProof/>
            <w:webHidden/>
          </w:rPr>
          <w:fldChar w:fldCharType="separate"/>
        </w:r>
        <w:r w:rsidR="006C5C9F">
          <w:rPr>
            <w:noProof/>
            <w:webHidden/>
          </w:rPr>
          <w:t>175</w:t>
        </w:r>
        <w:r w:rsidR="006C5C9F">
          <w:rPr>
            <w:noProof/>
            <w:webHidden/>
          </w:rPr>
          <w:fldChar w:fldCharType="end"/>
        </w:r>
      </w:hyperlink>
    </w:p>
    <w:p w14:paraId="3FAEDA2B" w14:textId="3879BA49" w:rsidR="006C5C9F" w:rsidRDefault="00127DDC">
      <w:pPr>
        <w:pStyle w:val="TOC2"/>
        <w:rPr>
          <w:rFonts w:asciiTheme="minorHAnsi" w:eastAsiaTheme="minorEastAsia" w:hAnsiTheme="minorHAnsi" w:cstheme="minorBidi"/>
          <w:noProof/>
          <w:sz w:val="22"/>
          <w:szCs w:val="22"/>
        </w:rPr>
      </w:pPr>
      <w:hyperlink w:anchor="_Toc82018291" w:history="1">
        <w:r w:rsidR="006C5C9F" w:rsidRPr="00F30AA7">
          <w:rPr>
            <w:rStyle w:val="Hyperlink"/>
            <w:noProof/>
            <w:lang w:val="en-GB"/>
          </w:rPr>
          <w:t>Annex 18: Forestry sector baseline and feasibility analysis for Outcome 4</w:t>
        </w:r>
        <w:r w:rsidR="006C5C9F">
          <w:rPr>
            <w:noProof/>
            <w:webHidden/>
          </w:rPr>
          <w:tab/>
        </w:r>
        <w:r w:rsidR="006C5C9F">
          <w:rPr>
            <w:noProof/>
            <w:webHidden/>
          </w:rPr>
          <w:fldChar w:fldCharType="begin"/>
        </w:r>
        <w:r w:rsidR="006C5C9F">
          <w:rPr>
            <w:noProof/>
            <w:webHidden/>
          </w:rPr>
          <w:instrText xml:space="preserve"> PAGEREF _Toc82018291 \h </w:instrText>
        </w:r>
        <w:r w:rsidR="006C5C9F">
          <w:rPr>
            <w:noProof/>
            <w:webHidden/>
          </w:rPr>
        </w:r>
        <w:r w:rsidR="006C5C9F">
          <w:rPr>
            <w:noProof/>
            <w:webHidden/>
          </w:rPr>
          <w:fldChar w:fldCharType="separate"/>
        </w:r>
        <w:r w:rsidR="006C5C9F">
          <w:rPr>
            <w:noProof/>
            <w:webHidden/>
          </w:rPr>
          <w:t>177</w:t>
        </w:r>
        <w:r w:rsidR="006C5C9F">
          <w:rPr>
            <w:noProof/>
            <w:webHidden/>
          </w:rPr>
          <w:fldChar w:fldCharType="end"/>
        </w:r>
      </w:hyperlink>
    </w:p>
    <w:p w14:paraId="31F46EDA" w14:textId="373B2719" w:rsidR="006C5C9F" w:rsidRDefault="00127DDC">
      <w:pPr>
        <w:pStyle w:val="TOC2"/>
        <w:rPr>
          <w:rFonts w:asciiTheme="minorHAnsi" w:eastAsiaTheme="minorEastAsia" w:hAnsiTheme="minorHAnsi" w:cstheme="minorBidi"/>
          <w:noProof/>
          <w:sz w:val="22"/>
          <w:szCs w:val="22"/>
        </w:rPr>
      </w:pPr>
      <w:hyperlink w:anchor="_Toc82018292" w:history="1">
        <w:r w:rsidR="006C5C9F" w:rsidRPr="00F30AA7">
          <w:rPr>
            <w:rStyle w:val="Hyperlink"/>
            <w:noProof/>
            <w:lang w:val="en-GB"/>
          </w:rPr>
          <w:t>Annex 19: Agricultural sector baseline and feasibility analysis for Outcome 5</w:t>
        </w:r>
        <w:r w:rsidR="006C5C9F">
          <w:rPr>
            <w:noProof/>
            <w:webHidden/>
          </w:rPr>
          <w:tab/>
        </w:r>
        <w:r w:rsidR="006C5C9F">
          <w:rPr>
            <w:noProof/>
            <w:webHidden/>
          </w:rPr>
          <w:fldChar w:fldCharType="begin"/>
        </w:r>
        <w:r w:rsidR="006C5C9F">
          <w:rPr>
            <w:noProof/>
            <w:webHidden/>
          </w:rPr>
          <w:instrText xml:space="preserve"> PAGEREF _Toc82018292 \h </w:instrText>
        </w:r>
        <w:r w:rsidR="006C5C9F">
          <w:rPr>
            <w:noProof/>
            <w:webHidden/>
          </w:rPr>
        </w:r>
        <w:r w:rsidR="006C5C9F">
          <w:rPr>
            <w:noProof/>
            <w:webHidden/>
          </w:rPr>
          <w:fldChar w:fldCharType="separate"/>
        </w:r>
        <w:r w:rsidR="006C5C9F">
          <w:rPr>
            <w:noProof/>
            <w:webHidden/>
          </w:rPr>
          <w:t>180</w:t>
        </w:r>
        <w:r w:rsidR="006C5C9F">
          <w:rPr>
            <w:noProof/>
            <w:webHidden/>
          </w:rPr>
          <w:fldChar w:fldCharType="end"/>
        </w:r>
      </w:hyperlink>
    </w:p>
    <w:p w14:paraId="094D62C3" w14:textId="519A355E" w:rsidR="006C5C9F" w:rsidRDefault="00127DDC">
      <w:pPr>
        <w:pStyle w:val="TOC2"/>
        <w:rPr>
          <w:rFonts w:asciiTheme="minorHAnsi" w:eastAsiaTheme="minorEastAsia" w:hAnsiTheme="minorHAnsi" w:cstheme="minorBidi"/>
          <w:noProof/>
          <w:sz w:val="22"/>
          <w:szCs w:val="22"/>
        </w:rPr>
      </w:pPr>
      <w:hyperlink w:anchor="_Toc82018293" w:history="1">
        <w:r w:rsidR="006C5C9F" w:rsidRPr="00F30AA7">
          <w:rPr>
            <w:rStyle w:val="Hyperlink"/>
            <w:noProof/>
            <w:lang w:val="en-GB"/>
          </w:rPr>
          <w:t>Annex 20: Project co-financing</w:t>
        </w:r>
        <w:r w:rsidR="006C5C9F">
          <w:rPr>
            <w:noProof/>
            <w:webHidden/>
          </w:rPr>
          <w:tab/>
        </w:r>
        <w:r w:rsidR="006C5C9F">
          <w:rPr>
            <w:noProof/>
            <w:webHidden/>
          </w:rPr>
          <w:fldChar w:fldCharType="begin"/>
        </w:r>
        <w:r w:rsidR="006C5C9F">
          <w:rPr>
            <w:noProof/>
            <w:webHidden/>
          </w:rPr>
          <w:instrText xml:space="preserve"> PAGEREF _Toc82018293 \h </w:instrText>
        </w:r>
        <w:r w:rsidR="006C5C9F">
          <w:rPr>
            <w:noProof/>
            <w:webHidden/>
          </w:rPr>
        </w:r>
        <w:r w:rsidR="006C5C9F">
          <w:rPr>
            <w:noProof/>
            <w:webHidden/>
          </w:rPr>
          <w:fldChar w:fldCharType="separate"/>
        </w:r>
        <w:r w:rsidR="006C5C9F">
          <w:rPr>
            <w:noProof/>
            <w:webHidden/>
          </w:rPr>
          <w:t>201</w:t>
        </w:r>
        <w:r w:rsidR="006C5C9F">
          <w:rPr>
            <w:noProof/>
            <w:webHidden/>
          </w:rPr>
          <w:fldChar w:fldCharType="end"/>
        </w:r>
      </w:hyperlink>
    </w:p>
    <w:p w14:paraId="688CFD07" w14:textId="78D283D7" w:rsidR="00003B86" w:rsidRPr="003B6A69" w:rsidRDefault="00D64EA4" w:rsidP="006C187A">
      <w:pPr>
        <w:pStyle w:val="CommentSubject"/>
        <w:spacing w:after="240"/>
        <w:rPr>
          <w:rFonts w:asciiTheme="minorHAnsi" w:hAnsiTheme="minorHAnsi" w:cstheme="minorHAnsi"/>
          <w:noProof/>
          <w:lang w:val="en-GB"/>
        </w:rPr>
      </w:pPr>
      <w:r w:rsidRPr="003B6A69">
        <w:rPr>
          <w:rFonts w:asciiTheme="minorHAnsi" w:hAnsiTheme="minorHAnsi" w:cstheme="minorHAnsi"/>
          <w:noProof/>
          <w:lang w:val="en-GB"/>
        </w:rPr>
        <w:fldChar w:fldCharType="end"/>
      </w:r>
    </w:p>
    <w:p w14:paraId="08A2B7A3" w14:textId="77777777" w:rsidR="00B24DF3" w:rsidRPr="003B6A69" w:rsidRDefault="00B24DF3">
      <w:pPr>
        <w:spacing w:after="0"/>
        <w:jc w:val="left"/>
        <w:rPr>
          <w:rFonts w:asciiTheme="minorHAnsi" w:hAnsiTheme="minorHAnsi" w:cstheme="minorHAnsi"/>
          <w:lang w:val="en-GB"/>
        </w:rPr>
      </w:pPr>
      <w:r w:rsidRPr="003B6A69">
        <w:rPr>
          <w:rFonts w:asciiTheme="minorHAnsi" w:hAnsiTheme="minorHAnsi" w:cstheme="minorHAnsi"/>
          <w:lang w:val="en-GB"/>
        </w:rPr>
        <w:br w:type="page"/>
      </w:r>
    </w:p>
    <w:p w14:paraId="6F7064E6" w14:textId="77777777" w:rsidR="00B24DF3" w:rsidRPr="003B6A69" w:rsidRDefault="00B24DF3" w:rsidP="00B24DF3">
      <w:pPr>
        <w:keepNext/>
        <w:keepLines/>
        <w:spacing w:before="240" w:after="0" w:line="259" w:lineRule="auto"/>
        <w:jc w:val="left"/>
        <w:rPr>
          <w:rFonts w:asciiTheme="minorHAnsi" w:eastAsiaTheme="majorEastAsia" w:hAnsiTheme="minorHAnsi" w:cstheme="majorBidi"/>
          <w:b/>
          <w:sz w:val="22"/>
          <w:szCs w:val="22"/>
        </w:rPr>
      </w:pPr>
      <w:r w:rsidRPr="003B6A69">
        <w:rPr>
          <w:rFonts w:asciiTheme="minorHAnsi" w:eastAsiaTheme="majorEastAsia" w:hAnsiTheme="minorHAnsi" w:cstheme="majorBidi"/>
          <w:b/>
          <w:sz w:val="22"/>
          <w:szCs w:val="22"/>
        </w:rPr>
        <w:lastRenderedPageBreak/>
        <w:t>List of Acronyms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7"/>
        <w:gridCol w:w="8482"/>
      </w:tblGrid>
      <w:tr w:rsidR="005F1967" w:rsidRPr="003B6A69" w14:paraId="54FAD7A9" w14:textId="77777777" w:rsidTr="005F1967">
        <w:tc>
          <w:tcPr>
            <w:tcW w:w="1197" w:type="dxa"/>
            <w:shd w:val="clear" w:color="auto" w:fill="auto"/>
          </w:tcPr>
          <w:p w14:paraId="3A101380" w14:textId="77777777" w:rsidR="005F1967" w:rsidRPr="003B6A69" w:rsidRDefault="005F1967" w:rsidP="005F1967">
            <w:pPr>
              <w:spacing w:after="0"/>
            </w:pPr>
            <w:r w:rsidRPr="003B6A69">
              <w:t>AEM</w:t>
            </w:r>
          </w:p>
        </w:tc>
        <w:tc>
          <w:tcPr>
            <w:tcW w:w="8482" w:type="dxa"/>
            <w:shd w:val="clear" w:color="auto" w:fill="auto"/>
          </w:tcPr>
          <w:p w14:paraId="15C8D75D" w14:textId="77777777" w:rsidR="005F1967" w:rsidRPr="003B6A69" w:rsidRDefault="005F1967" w:rsidP="005F1967">
            <w:pPr>
              <w:spacing w:after="0"/>
              <w:ind w:left="116"/>
              <w:rPr>
                <w:rFonts w:asciiTheme="minorHAnsi" w:hAnsiTheme="minorHAnsi" w:cstheme="minorHAnsi"/>
                <w:szCs w:val="20"/>
              </w:rPr>
            </w:pPr>
            <w:proofErr w:type="spellStart"/>
            <w:r w:rsidRPr="003B6A69">
              <w:rPr>
                <w:rFonts w:asciiTheme="minorHAnsi" w:hAnsiTheme="minorHAnsi" w:cstheme="minorHAnsi"/>
                <w:szCs w:val="20"/>
              </w:rPr>
              <w:t>Agro</w:t>
            </w:r>
            <w:proofErr w:type="spellEnd"/>
            <w:r w:rsidRPr="003B6A69">
              <w:rPr>
                <w:rFonts w:asciiTheme="minorHAnsi" w:hAnsiTheme="minorHAnsi" w:cstheme="minorHAnsi"/>
                <w:szCs w:val="20"/>
              </w:rPr>
              <w:t>-Environmental Measures</w:t>
            </w:r>
          </w:p>
        </w:tc>
      </w:tr>
      <w:tr w:rsidR="005F1967" w:rsidRPr="003B6A69" w14:paraId="36FE7FA6" w14:textId="77777777" w:rsidTr="005F1967">
        <w:tc>
          <w:tcPr>
            <w:tcW w:w="1197" w:type="dxa"/>
            <w:tcBorders>
              <w:top w:val="single" w:sz="4" w:space="0" w:color="auto"/>
              <w:left w:val="single" w:sz="4" w:space="0" w:color="auto"/>
              <w:bottom w:val="single" w:sz="4" w:space="0" w:color="auto"/>
              <w:right w:val="single" w:sz="4" w:space="0" w:color="auto"/>
            </w:tcBorders>
            <w:shd w:val="clear" w:color="auto" w:fill="auto"/>
          </w:tcPr>
          <w:p w14:paraId="3630562C" w14:textId="77777777" w:rsidR="005F1967" w:rsidRPr="003B6A69" w:rsidRDefault="005F1967" w:rsidP="005F1967">
            <w:pPr>
              <w:spacing w:after="0"/>
            </w:pPr>
            <w:r w:rsidRPr="003B6A69">
              <w:t>AES</w:t>
            </w:r>
          </w:p>
        </w:tc>
        <w:tc>
          <w:tcPr>
            <w:tcW w:w="8482" w:type="dxa"/>
            <w:tcBorders>
              <w:top w:val="single" w:sz="4" w:space="0" w:color="auto"/>
              <w:left w:val="single" w:sz="4" w:space="0" w:color="auto"/>
              <w:bottom w:val="single" w:sz="4" w:space="0" w:color="auto"/>
              <w:right w:val="single" w:sz="4" w:space="0" w:color="auto"/>
            </w:tcBorders>
            <w:shd w:val="clear" w:color="auto" w:fill="auto"/>
          </w:tcPr>
          <w:p w14:paraId="77669F69" w14:textId="77777777" w:rsidR="005F1967" w:rsidRPr="003B6A69" w:rsidRDefault="005F1967" w:rsidP="005F1967">
            <w:pPr>
              <w:spacing w:after="0"/>
              <w:ind w:left="116"/>
              <w:rPr>
                <w:rFonts w:asciiTheme="minorHAnsi" w:hAnsiTheme="minorHAnsi" w:cstheme="minorHAnsi"/>
                <w:szCs w:val="20"/>
              </w:rPr>
            </w:pPr>
            <w:proofErr w:type="spellStart"/>
            <w:r w:rsidRPr="003B6A69">
              <w:rPr>
                <w:rFonts w:asciiTheme="minorHAnsi" w:hAnsiTheme="minorHAnsi" w:cstheme="minorHAnsi"/>
                <w:szCs w:val="20"/>
              </w:rPr>
              <w:t>Agro</w:t>
            </w:r>
            <w:proofErr w:type="spellEnd"/>
            <w:r w:rsidRPr="003B6A69">
              <w:rPr>
                <w:rFonts w:asciiTheme="minorHAnsi" w:hAnsiTheme="minorHAnsi" w:cstheme="minorHAnsi"/>
                <w:szCs w:val="20"/>
              </w:rPr>
              <w:t>-Environmental Schemes</w:t>
            </w:r>
          </w:p>
        </w:tc>
      </w:tr>
      <w:tr w:rsidR="005F1967" w:rsidRPr="003B6A69" w14:paraId="5A75EB0A" w14:textId="77777777" w:rsidTr="005F1967">
        <w:tc>
          <w:tcPr>
            <w:tcW w:w="1197" w:type="dxa"/>
            <w:shd w:val="clear" w:color="auto" w:fill="auto"/>
          </w:tcPr>
          <w:p w14:paraId="5C73CA8F" w14:textId="77777777" w:rsidR="005F1967" w:rsidRPr="003B6A69" w:rsidRDefault="005F1967" w:rsidP="005F1967">
            <w:pPr>
              <w:spacing w:after="0"/>
            </w:pPr>
            <w:r w:rsidRPr="003B6A69">
              <w:rPr>
                <w:rFonts w:asciiTheme="minorHAnsi" w:eastAsiaTheme="minorHAnsi" w:hAnsiTheme="minorHAnsi" w:cstheme="minorBidi"/>
                <w:sz w:val="22"/>
                <w:szCs w:val="22"/>
                <w:lang w:val="en-GB"/>
              </w:rPr>
              <w:t>ANC</w:t>
            </w:r>
          </w:p>
        </w:tc>
        <w:tc>
          <w:tcPr>
            <w:tcW w:w="8482" w:type="dxa"/>
            <w:shd w:val="clear" w:color="auto" w:fill="auto"/>
          </w:tcPr>
          <w:p w14:paraId="612EC62F" w14:textId="77777777" w:rsidR="005F1967" w:rsidRPr="003B6A69" w:rsidRDefault="005F1967" w:rsidP="005F1967">
            <w:pPr>
              <w:spacing w:after="0"/>
              <w:ind w:left="116"/>
              <w:rPr>
                <w:rFonts w:asciiTheme="minorHAnsi" w:hAnsiTheme="minorHAnsi" w:cstheme="minorHAnsi"/>
                <w:szCs w:val="20"/>
              </w:rPr>
            </w:pPr>
            <w:r w:rsidRPr="003B6A69">
              <w:rPr>
                <w:rFonts w:asciiTheme="minorHAnsi" w:hAnsiTheme="minorHAnsi" w:cstheme="minorHAnsi"/>
                <w:szCs w:val="20"/>
              </w:rPr>
              <w:t>Areas with Natural Constraints</w:t>
            </w:r>
          </w:p>
        </w:tc>
      </w:tr>
      <w:tr w:rsidR="005F1967" w:rsidRPr="003B6A69" w14:paraId="1C1C0B8A" w14:textId="77777777" w:rsidTr="005F1967">
        <w:tc>
          <w:tcPr>
            <w:tcW w:w="1197" w:type="dxa"/>
            <w:shd w:val="clear" w:color="auto" w:fill="auto"/>
          </w:tcPr>
          <w:p w14:paraId="78C6C309" w14:textId="77777777" w:rsidR="005F1967" w:rsidRPr="003B6A69" w:rsidRDefault="005F1967" w:rsidP="005F1967">
            <w:pPr>
              <w:spacing w:after="0"/>
            </w:pPr>
            <w:r w:rsidRPr="003B6A69">
              <w:t>BAU</w:t>
            </w:r>
          </w:p>
        </w:tc>
        <w:tc>
          <w:tcPr>
            <w:tcW w:w="8482" w:type="dxa"/>
            <w:shd w:val="clear" w:color="auto" w:fill="auto"/>
          </w:tcPr>
          <w:p w14:paraId="7C351964" w14:textId="77777777" w:rsidR="005F1967" w:rsidRPr="003B6A69" w:rsidRDefault="005F1967" w:rsidP="005F1967">
            <w:pPr>
              <w:spacing w:after="0"/>
              <w:ind w:left="116"/>
              <w:rPr>
                <w:rFonts w:asciiTheme="minorHAnsi" w:hAnsiTheme="minorHAnsi" w:cstheme="minorHAnsi"/>
                <w:szCs w:val="20"/>
              </w:rPr>
            </w:pPr>
            <w:r w:rsidRPr="003B6A69">
              <w:rPr>
                <w:rFonts w:asciiTheme="minorHAnsi" w:hAnsiTheme="minorHAnsi" w:cstheme="minorHAnsi"/>
                <w:szCs w:val="20"/>
              </w:rPr>
              <w:t>Business-as-Usual</w:t>
            </w:r>
          </w:p>
        </w:tc>
      </w:tr>
      <w:tr w:rsidR="005F1967" w:rsidRPr="003B6A69" w14:paraId="09F12D14" w14:textId="77777777" w:rsidTr="005F1967">
        <w:tc>
          <w:tcPr>
            <w:tcW w:w="1197" w:type="dxa"/>
            <w:shd w:val="clear" w:color="auto" w:fill="auto"/>
          </w:tcPr>
          <w:p w14:paraId="7AF36A7F" w14:textId="77777777" w:rsidR="005F1967" w:rsidRPr="003B6A69" w:rsidRDefault="005F1967" w:rsidP="005F1967">
            <w:pPr>
              <w:spacing w:after="0"/>
              <w:rPr>
                <w:rFonts w:asciiTheme="minorHAnsi" w:hAnsiTheme="minorHAnsi" w:cstheme="minorHAnsi"/>
                <w:szCs w:val="20"/>
              </w:rPr>
            </w:pPr>
            <w:r w:rsidRPr="003B6A69">
              <w:t>BD</w:t>
            </w:r>
          </w:p>
        </w:tc>
        <w:tc>
          <w:tcPr>
            <w:tcW w:w="8482" w:type="dxa"/>
            <w:shd w:val="clear" w:color="auto" w:fill="auto"/>
          </w:tcPr>
          <w:p w14:paraId="67498145" w14:textId="77777777" w:rsidR="005F1967" w:rsidRPr="003B6A69" w:rsidRDefault="005F1967" w:rsidP="005F1967">
            <w:pPr>
              <w:spacing w:after="0"/>
              <w:ind w:left="116"/>
              <w:rPr>
                <w:rFonts w:asciiTheme="minorHAnsi" w:hAnsiTheme="minorHAnsi" w:cstheme="minorHAnsi"/>
                <w:szCs w:val="20"/>
              </w:rPr>
            </w:pPr>
            <w:r w:rsidRPr="003B6A69">
              <w:rPr>
                <w:rFonts w:asciiTheme="minorHAnsi" w:hAnsiTheme="minorHAnsi" w:cstheme="minorHAnsi"/>
                <w:szCs w:val="20"/>
              </w:rPr>
              <w:t>Biodiversity</w:t>
            </w:r>
          </w:p>
        </w:tc>
      </w:tr>
      <w:tr w:rsidR="005F1967" w:rsidRPr="003B6A69" w14:paraId="0CFA157C" w14:textId="77777777" w:rsidTr="005F1967">
        <w:tc>
          <w:tcPr>
            <w:tcW w:w="1197" w:type="dxa"/>
            <w:shd w:val="clear" w:color="auto" w:fill="auto"/>
          </w:tcPr>
          <w:p w14:paraId="045B1928" w14:textId="77777777" w:rsidR="005F1967" w:rsidRPr="003B6A69" w:rsidRDefault="005F1967" w:rsidP="005F1967">
            <w:pPr>
              <w:spacing w:after="0"/>
              <w:rPr>
                <w:rFonts w:asciiTheme="minorHAnsi" w:eastAsiaTheme="minorHAnsi" w:hAnsiTheme="minorHAnsi" w:cstheme="minorBidi"/>
                <w:sz w:val="22"/>
                <w:szCs w:val="20"/>
              </w:rPr>
            </w:pPr>
            <w:r w:rsidRPr="003B6A69">
              <w:rPr>
                <w:rFonts w:asciiTheme="minorHAnsi" w:eastAsiaTheme="minorHAnsi" w:hAnsiTheme="minorHAnsi" w:cstheme="minorBidi"/>
                <w:sz w:val="22"/>
                <w:szCs w:val="20"/>
              </w:rPr>
              <w:t>COC</w:t>
            </w:r>
          </w:p>
        </w:tc>
        <w:tc>
          <w:tcPr>
            <w:tcW w:w="8482" w:type="dxa"/>
            <w:shd w:val="clear" w:color="auto" w:fill="auto"/>
          </w:tcPr>
          <w:p w14:paraId="35E0D28C" w14:textId="77777777" w:rsidR="005F1967" w:rsidRPr="003B6A69" w:rsidRDefault="005F1967" w:rsidP="005F1967">
            <w:pPr>
              <w:spacing w:after="0"/>
              <w:ind w:left="116"/>
              <w:rPr>
                <w:rFonts w:asciiTheme="minorHAnsi" w:hAnsiTheme="minorHAnsi" w:cstheme="minorHAnsi"/>
                <w:szCs w:val="20"/>
              </w:rPr>
            </w:pPr>
            <w:r w:rsidRPr="003B6A69">
              <w:rPr>
                <w:rFonts w:asciiTheme="minorHAnsi" w:hAnsiTheme="minorHAnsi" w:cstheme="minorHAnsi"/>
                <w:szCs w:val="20"/>
              </w:rPr>
              <w:t>Chamber of Commerce of Montenegro</w:t>
            </w:r>
          </w:p>
        </w:tc>
      </w:tr>
      <w:tr w:rsidR="007B2F86" w:rsidRPr="003B6A69" w14:paraId="1D7C5C13" w14:textId="77777777" w:rsidTr="005F1967">
        <w:tc>
          <w:tcPr>
            <w:tcW w:w="1197" w:type="dxa"/>
            <w:shd w:val="clear" w:color="auto" w:fill="auto"/>
          </w:tcPr>
          <w:p w14:paraId="35104453" w14:textId="46E510BB" w:rsidR="007B2F86" w:rsidRPr="003B6A69" w:rsidRDefault="007B2F86" w:rsidP="005F1967">
            <w:pPr>
              <w:spacing w:after="0"/>
              <w:rPr>
                <w:rFonts w:asciiTheme="minorHAnsi" w:eastAsiaTheme="minorHAnsi" w:hAnsiTheme="minorHAnsi" w:cstheme="minorBidi"/>
                <w:sz w:val="22"/>
                <w:szCs w:val="20"/>
              </w:rPr>
            </w:pPr>
            <w:r>
              <w:rPr>
                <w:rFonts w:asciiTheme="minorHAnsi" w:eastAsiaTheme="minorHAnsi" w:hAnsiTheme="minorHAnsi" w:cstheme="minorBidi"/>
                <w:sz w:val="22"/>
                <w:szCs w:val="20"/>
              </w:rPr>
              <w:t>CTS</w:t>
            </w:r>
          </w:p>
        </w:tc>
        <w:tc>
          <w:tcPr>
            <w:tcW w:w="8482" w:type="dxa"/>
            <w:shd w:val="clear" w:color="auto" w:fill="auto"/>
          </w:tcPr>
          <w:p w14:paraId="4C1A069C" w14:textId="5CBFA8E1" w:rsidR="007B2F86" w:rsidRPr="003B6A69" w:rsidRDefault="007B2F86" w:rsidP="005F1967">
            <w:pPr>
              <w:spacing w:after="0"/>
              <w:ind w:left="116"/>
              <w:rPr>
                <w:rFonts w:asciiTheme="minorHAnsi" w:hAnsiTheme="minorHAnsi" w:cstheme="minorHAnsi"/>
                <w:szCs w:val="20"/>
              </w:rPr>
            </w:pPr>
            <w:r>
              <w:rPr>
                <w:rFonts w:asciiTheme="minorHAnsi" w:hAnsiTheme="minorHAnsi" w:cstheme="minorHAnsi"/>
                <w:szCs w:val="20"/>
              </w:rPr>
              <w:t>Chief Technical Specialist</w:t>
            </w:r>
          </w:p>
        </w:tc>
      </w:tr>
      <w:tr w:rsidR="005F1967" w:rsidRPr="003B6A69" w14:paraId="1AEA244F" w14:textId="77777777" w:rsidTr="005F1967">
        <w:tc>
          <w:tcPr>
            <w:tcW w:w="1197" w:type="dxa"/>
            <w:shd w:val="clear" w:color="auto" w:fill="auto"/>
          </w:tcPr>
          <w:p w14:paraId="7116FA9B" w14:textId="77777777" w:rsidR="005F1967" w:rsidRPr="003B6A69" w:rsidRDefault="005F1967" w:rsidP="005F1967">
            <w:pPr>
              <w:spacing w:after="0"/>
              <w:rPr>
                <w:rFonts w:asciiTheme="minorHAnsi" w:eastAsiaTheme="minorHAnsi" w:hAnsiTheme="minorHAnsi" w:cstheme="minorBidi"/>
                <w:sz w:val="22"/>
                <w:szCs w:val="20"/>
              </w:rPr>
            </w:pPr>
            <w:r w:rsidRPr="003B6A69">
              <w:rPr>
                <w:rFonts w:asciiTheme="minorHAnsi" w:eastAsiaTheme="minorHAnsi" w:hAnsiTheme="minorHAnsi" w:cstheme="minorBidi"/>
                <w:sz w:val="22"/>
                <w:szCs w:val="20"/>
              </w:rPr>
              <w:t>CSO</w:t>
            </w:r>
          </w:p>
        </w:tc>
        <w:tc>
          <w:tcPr>
            <w:tcW w:w="8482" w:type="dxa"/>
            <w:shd w:val="clear" w:color="auto" w:fill="auto"/>
          </w:tcPr>
          <w:p w14:paraId="1998EDDE" w14:textId="77777777" w:rsidR="005F1967" w:rsidRPr="003B6A69" w:rsidRDefault="005F1967" w:rsidP="005F1967">
            <w:pPr>
              <w:spacing w:after="0"/>
              <w:ind w:left="116"/>
              <w:rPr>
                <w:rFonts w:asciiTheme="minorHAnsi" w:hAnsiTheme="minorHAnsi" w:cstheme="minorHAnsi"/>
                <w:szCs w:val="20"/>
              </w:rPr>
            </w:pPr>
            <w:r w:rsidRPr="003B6A69">
              <w:rPr>
                <w:rFonts w:asciiTheme="minorHAnsi" w:hAnsiTheme="minorHAnsi" w:cstheme="minorHAnsi"/>
                <w:szCs w:val="20"/>
              </w:rPr>
              <w:t xml:space="preserve">Civil Society </w:t>
            </w:r>
            <w:proofErr w:type="spellStart"/>
            <w:r w:rsidRPr="003B6A69">
              <w:rPr>
                <w:rFonts w:asciiTheme="minorHAnsi" w:hAnsiTheme="minorHAnsi" w:cstheme="minorHAnsi"/>
                <w:szCs w:val="20"/>
              </w:rPr>
              <w:t>Organisation</w:t>
            </w:r>
            <w:proofErr w:type="spellEnd"/>
          </w:p>
        </w:tc>
      </w:tr>
      <w:tr w:rsidR="005F1967" w:rsidRPr="003B6A69" w14:paraId="23D0C523" w14:textId="77777777" w:rsidTr="005F1967">
        <w:tc>
          <w:tcPr>
            <w:tcW w:w="1197" w:type="dxa"/>
            <w:shd w:val="clear" w:color="auto" w:fill="auto"/>
          </w:tcPr>
          <w:p w14:paraId="237FA931" w14:textId="77777777" w:rsidR="005F1967" w:rsidRPr="003B6A69" w:rsidRDefault="005F1967" w:rsidP="005F1967">
            <w:pPr>
              <w:spacing w:after="0"/>
              <w:rPr>
                <w:rFonts w:asciiTheme="minorHAnsi" w:hAnsiTheme="minorHAnsi" w:cstheme="minorHAnsi"/>
                <w:szCs w:val="20"/>
              </w:rPr>
            </w:pPr>
            <w:r w:rsidRPr="003B6A69">
              <w:rPr>
                <w:rFonts w:asciiTheme="minorHAnsi" w:eastAsiaTheme="minorHAnsi" w:hAnsiTheme="minorHAnsi" w:cstheme="minorBidi"/>
                <w:sz w:val="22"/>
                <w:szCs w:val="20"/>
              </w:rPr>
              <w:t>CZPM</w:t>
            </w:r>
          </w:p>
        </w:tc>
        <w:tc>
          <w:tcPr>
            <w:tcW w:w="8482" w:type="dxa"/>
            <w:shd w:val="clear" w:color="auto" w:fill="auto"/>
          </w:tcPr>
          <w:p w14:paraId="738A8301" w14:textId="77777777" w:rsidR="005F1967" w:rsidRPr="003B6A69" w:rsidRDefault="005F1967" w:rsidP="005F1967">
            <w:pPr>
              <w:spacing w:after="0"/>
              <w:ind w:left="116"/>
              <w:rPr>
                <w:rFonts w:asciiTheme="minorHAnsi" w:hAnsiTheme="minorHAnsi" w:cstheme="minorHAnsi"/>
                <w:szCs w:val="20"/>
              </w:rPr>
            </w:pPr>
            <w:r w:rsidRPr="003B6A69">
              <w:rPr>
                <w:rFonts w:asciiTheme="minorHAnsi" w:hAnsiTheme="minorHAnsi" w:cstheme="minorHAnsi"/>
                <w:szCs w:val="20"/>
              </w:rPr>
              <w:t xml:space="preserve">Public Enterprise for Coastal Zone Public Management of Montenegro - </w:t>
            </w:r>
            <w:proofErr w:type="spellStart"/>
            <w:r w:rsidRPr="003B6A69">
              <w:rPr>
                <w:rFonts w:asciiTheme="minorHAnsi" w:hAnsiTheme="minorHAnsi" w:cstheme="minorHAnsi"/>
                <w:szCs w:val="20"/>
              </w:rPr>
              <w:t>Morsko</w:t>
            </w:r>
            <w:proofErr w:type="spellEnd"/>
            <w:r w:rsidRPr="003B6A69">
              <w:rPr>
                <w:rFonts w:asciiTheme="minorHAnsi" w:hAnsiTheme="minorHAnsi" w:cstheme="minorHAnsi"/>
                <w:szCs w:val="20"/>
              </w:rPr>
              <w:t xml:space="preserve"> Dobro</w:t>
            </w:r>
          </w:p>
        </w:tc>
      </w:tr>
      <w:tr w:rsidR="005F1967" w:rsidRPr="003B6A69" w14:paraId="74F8DBE9" w14:textId="77777777" w:rsidTr="005F1967">
        <w:tc>
          <w:tcPr>
            <w:tcW w:w="1197" w:type="dxa"/>
            <w:shd w:val="clear" w:color="auto" w:fill="auto"/>
          </w:tcPr>
          <w:p w14:paraId="1B27884A" w14:textId="77777777" w:rsidR="005F1967" w:rsidRPr="003B6A69" w:rsidRDefault="005F1967" w:rsidP="005F1967">
            <w:pPr>
              <w:spacing w:after="0"/>
              <w:rPr>
                <w:rFonts w:asciiTheme="minorHAnsi" w:hAnsiTheme="minorHAnsi" w:cstheme="minorHAnsi"/>
                <w:szCs w:val="20"/>
              </w:rPr>
            </w:pPr>
            <w:r w:rsidRPr="003B6A69">
              <w:rPr>
                <w:rFonts w:asciiTheme="minorHAnsi" w:hAnsiTheme="minorHAnsi" w:cstheme="minorHAnsi"/>
                <w:szCs w:val="20"/>
              </w:rPr>
              <w:t>EU</w:t>
            </w:r>
          </w:p>
        </w:tc>
        <w:tc>
          <w:tcPr>
            <w:tcW w:w="8482" w:type="dxa"/>
            <w:shd w:val="clear" w:color="auto" w:fill="auto"/>
          </w:tcPr>
          <w:p w14:paraId="56A437AD" w14:textId="77777777" w:rsidR="005F1967" w:rsidRPr="003B6A69" w:rsidRDefault="005F1967" w:rsidP="005F1967">
            <w:pPr>
              <w:spacing w:after="0"/>
              <w:ind w:left="116"/>
              <w:rPr>
                <w:rFonts w:asciiTheme="minorHAnsi" w:hAnsiTheme="minorHAnsi" w:cstheme="minorHAnsi"/>
                <w:szCs w:val="20"/>
              </w:rPr>
            </w:pPr>
            <w:r w:rsidRPr="003B6A69">
              <w:rPr>
                <w:rFonts w:asciiTheme="minorHAnsi" w:hAnsiTheme="minorHAnsi" w:cstheme="minorHAnsi"/>
                <w:szCs w:val="20"/>
              </w:rPr>
              <w:t>European Union</w:t>
            </w:r>
          </w:p>
        </w:tc>
      </w:tr>
      <w:tr w:rsidR="005F1967" w:rsidRPr="003B6A69" w14:paraId="5CC02B01" w14:textId="77777777" w:rsidTr="005F1967">
        <w:tc>
          <w:tcPr>
            <w:tcW w:w="1197" w:type="dxa"/>
            <w:shd w:val="clear" w:color="auto" w:fill="auto"/>
          </w:tcPr>
          <w:p w14:paraId="0A196159" w14:textId="77777777" w:rsidR="005F1967" w:rsidRPr="003B6A69" w:rsidRDefault="005F1967" w:rsidP="005F1967">
            <w:pPr>
              <w:spacing w:after="0"/>
              <w:rPr>
                <w:rFonts w:asciiTheme="minorHAnsi" w:hAnsiTheme="minorHAnsi" w:cstheme="minorHAnsi"/>
                <w:szCs w:val="20"/>
              </w:rPr>
            </w:pPr>
            <w:r w:rsidRPr="003B6A69">
              <w:rPr>
                <w:rFonts w:asciiTheme="minorHAnsi" w:eastAsiaTheme="minorHAnsi" w:hAnsiTheme="minorHAnsi" w:cs="Calibri"/>
                <w:bCs/>
                <w:sz w:val="22"/>
                <w:szCs w:val="20"/>
                <w:lang w:val="en-GB"/>
              </w:rPr>
              <w:t>EU CAP</w:t>
            </w:r>
          </w:p>
        </w:tc>
        <w:tc>
          <w:tcPr>
            <w:tcW w:w="8482" w:type="dxa"/>
            <w:shd w:val="clear" w:color="auto" w:fill="auto"/>
          </w:tcPr>
          <w:p w14:paraId="0AB855CC" w14:textId="77777777" w:rsidR="005F1967" w:rsidRPr="003B6A69" w:rsidRDefault="005F1967" w:rsidP="005F1967">
            <w:pPr>
              <w:spacing w:after="0"/>
              <w:ind w:left="116"/>
              <w:rPr>
                <w:rFonts w:asciiTheme="minorHAnsi" w:hAnsiTheme="minorHAnsi" w:cstheme="minorHAnsi"/>
                <w:szCs w:val="20"/>
              </w:rPr>
            </w:pPr>
            <w:r w:rsidRPr="003B6A69">
              <w:rPr>
                <w:rFonts w:asciiTheme="minorHAnsi" w:hAnsiTheme="minorHAnsi" w:cstheme="minorHAnsi"/>
                <w:szCs w:val="20"/>
              </w:rPr>
              <w:t>EU Common Agricultural Policy</w:t>
            </w:r>
          </w:p>
        </w:tc>
      </w:tr>
      <w:tr w:rsidR="005F1967" w:rsidRPr="003B6A69" w14:paraId="5C4BA87E" w14:textId="77777777" w:rsidTr="005F1967">
        <w:tc>
          <w:tcPr>
            <w:tcW w:w="1197" w:type="dxa"/>
            <w:shd w:val="clear" w:color="auto" w:fill="auto"/>
          </w:tcPr>
          <w:p w14:paraId="533EB288" w14:textId="77777777" w:rsidR="005F1967" w:rsidRPr="003B6A69" w:rsidRDefault="005F1967" w:rsidP="005F1967">
            <w:pPr>
              <w:spacing w:after="0"/>
              <w:rPr>
                <w:rFonts w:asciiTheme="minorHAnsi" w:hAnsiTheme="minorHAnsi" w:cstheme="minorHAnsi"/>
                <w:szCs w:val="20"/>
              </w:rPr>
            </w:pPr>
            <w:r w:rsidRPr="003B6A69">
              <w:rPr>
                <w:rFonts w:asciiTheme="minorHAnsi" w:hAnsiTheme="minorHAnsi" w:cstheme="minorHAnsi"/>
                <w:szCs w:val="20"/>
              </w:rPr>
              <w:t>FSP</w:t>
            </w:r>
          </w:p>
        </w:tc>
        <w:tc>
          <w:tcPr>
            <w:tcW w:w="8482" w:type="dxa"/>
            <w:shd w:val="clear" w:color="auto" w:fill="auto"/>
          </w:tcPr>
          <w:p w14:paraId="2753FE33" w14:textId="77777777" w:rsidR="005F1967" w:rsidRPr="003B6A69" w:rsidRDefault="005F1967" w:rsidP="005F1967">
            <w:pPr>
              <w:spacing w:after="0"/>
              <w:ind w:left="116"/>
              <w:rPr>
                <w:rFonts w:asciiTheme="minorHAnsi" w:hAnsiTheme="minorHAnsi" w:cstheme="minorHAnsi"/>
                <w:szCs w:val="20"/>
              </w:rPr>
            </w:pPr>
            <w:r w:rsidRPr="003B6A69">
              <w:rPr>
                <w:rFonts w:asciiTheme="minorHAnsi" w:hAnsiTheme="minorHAnsi" w:cstheme="minorHAnsi"/>
                <w:szCs w:val="20"/>
              </w:rPr>
              <w:t>Full Sized Project</w:t>
            </w:r>
          </w:p>
        </w:tc>
      </w:tr>
      <w:tr w:rsidR="005F1967" w:rsidRPr="003B6A69" w14:paraId="4BA6F602" w14:textId="77777777" w:rsidTr="005F1967">
        <w:tc>
          <w:tcPr>
            <w:tcW w:w="1197" w:type="dxa"/>
            <w:shd w:val="clear" w:color="auto" w:fill="auto"/>
          </w:tcPr>
          <w:p w14:paraId="5D8BCBEE" w14:textId="77777777" w:rsidR="005F1967" w:rsidRPr="003B6A69" w:rsidRDefault="005F1967" w:rsidP="005F1967">
            <w:pPr>
              <w:spacing w:after="0"/>
              <w:rPr>
                <w:rFonts w:asciiTheme="minorHAnsi" w:hAnsiTheme="minorHAnsi" w:cstheme="minorHAnsi"/>
                <w:szCs w:val="20"/>
              </w:rPr>
            </w:pPr>
            <w:r w:rsidRPr="003B6A69">
              <w:rPr>
                <w:rFonts w:asciiTheme="minorHAnsi" w:hAnsiTheme="minorHAnsi" w:cstheme="minorHAnsi"/>
                <w:szCs w:val="20"/>
              </w:rPr>
              <w:t>GEF</w:t>
            </w:r>
          </w:p>
        </w:tc>
        <w:tc>
          <w:tcPr>
            <w:tcW w:w="8482" w:type="dxa"/>
            <w:shd w:val="clear" w:color="auto" w:fill="auto"/>
          </w:tcPr>
          <w:p w14:paraId="571B415A" w14:textId="77777777" w:rsidR="005F1967" w:rsidRPr="003B6A69" w:rsidRDefault="005F1967" w:rsidP="005F1967">
            <w:pPr>
              <w:spacing w:after="0"/>
              <w:ind w:left="116"/>
              <w:rPr>
                <w:rFonts w:asciiTheme="minorHAnsi" w:hAnsiTheme="minorHAnsi" w:cstheme="minorHAnsi"/>
                <w:szCs w:val="20"/>
              </w:rPr>
            </w:pPr>
            <w:r w:rsidRPr="003B6A69">
              <w:rPr>
                <w:rFonts w:asciiTheme="minorHAnsi" w:hAnsiTheme="minorHAnsi" w:cstheme="minorHAnsi"/>
                <w:szCs w:val="20"/>
              </w:rPr>
              <w:t>Global Environment Facility</w:t>
            </w:r>
          </w:p>
        </w:tc>
      </w:tr>
      <w:tr w:rsidR="005F1967" w:rsidRPr="003B6A69" w14:paraId="51745BF7" w14:textId="77777777" w:rsidTr="005F1967">
        <w:tc>
          <w:tcPr>
            <w:tcW w:w="1197" w:type="dxa"/>
            <w:shd w:val="clear" w:color="auto" w:fill="auto"/>
          </w:tcPr>
          <w:p w14:paraId="5F387C2C" w14:textId="77777777" w:rsidR="005F1967" w:rsidRPr="003B6A69" w:rsidRDefault="005F1967" w:rsidP="005F1967">
            <w:pPr>
              <w:spacing w:after="0"/>
              <w:rPr>
                <w:rFonts w:asciiTheme="minorHAnsi" w:hAnsiTheme="minorHAnsi" w:cstheme="minorHAnsi"/>
                <w:szCs w:val="20"/>
              </w:rPr>
            </w:pPr>
            <w:r w:rsidRPr="003B6A69">
              <w:rPr>
                <w:rFonts w:asciiTheme="minorHAnsi" w:hAnsiTheme="minorHAnsi" w:cstheme="minorHAnsi"/>
                <w:szCs w:val="20"/>
              </w:rPr>
              <w:t>GEFSEC</w:t>
            </w:r>
          </w:p>
        </w:tc>
        <w:tc>
          <w:tcPr>
            <w:tcW w:w="8482" w:type="dxa"/>
            <w:shd w:val="clear" w:color="auto" w:fill="auto"/>
          </w:tcPr>
          <w:p w14:paraId="15008ED6" w14:textId="77777777" w:rsidR="005F1967" w:rsidRPr="003B6A69" w:rsidRDefault="005F1967" w:rsidP="005F1967">
            <w:pPr>
              <w:spacing w:after="0"/>
              <w:ind w:left="116"/>
              <w:rPr>
                <w:rFonts w:asciiTheme="minorHAnsi" w:hAnsiTheme="minorHAnsi" w:cstheme="minorHAnsi"/>
                <w:szCs w:val="20"/>
              </w:rPr>
            </w:pPr>
            <w:r w:rsidRPr="003B6A69">
              <w:rPr>
                <w:rFonts w:asciiTheme="minorHAnsi" w:hAnsiTheme="minorHAnsi" w:cstheme="minorHAnsi"/>
                <w:szCs w:val="20"/>
              </w:rPr>
              <w:t>Global Environment Facility Secretariat</w:t>
            </w:r>
          </w:p>
        </w:tc>
      </w:tr>
      <w:tr w:rsidR="005F1967" w:rsidRPr="003B6A69" w14:paraId="44D9E5CC" w14:textId="77777777" w:rsidTr="005F1967">
        <w:tc>
          <w:tcPr>
            <w:tcW w:w="1197" w:type="dxa"/>
            <w:shd w:val="clear" w:color="auto" w:fill="auto"/>
          </w:tcPr>
          <w:p w14:paraId="77F903B8" w14:textId="77777777" w:rsidR="005F1967" w:rsidRPr="003B6A69" w:rsidRDefault="005F1967" w:rsidP="005F1967">
            <w:pPr>
              <w:spacing w:after="0"/>
              <w:rPr>
                <w:rFonts w:asciiTheme="minorHAnsi" w:hAnsiTheme="minorHAnsi"/>
                <w:szCs w:val="20"/>
              </w:rPr>
            </w:pPr>
            <w:r w:rsidRPr="003B6A69">
              <w:rPr>
                <w:rFonts w:asciiTheme="minorHAnsi" w:hAnsiTheme="minorHAnsi" w:cs="Calibri"/>
                <w:bCs/>
                <w:szCs w:val="20"/>
                <w:lang w:val="ru-RU"/>
              </w:rPr>
              <w:t>HCVFs</w:t>
            </w:r>
          </w:p>
        </w:tc>
        <w:tc>
          <w:tcPr>
            <w:tcW w:w="8482" w:type="dxa"/>
            <w:shd w:val="clear" w:color="auto" w:fill="auto"/>
          </w:tcPr>
          <w:p w14:paraId="2710A6C0" w14:textId="77777777" w:rsidR="005F1967" w:rsidRPr="003B6A69" w:rsidRDefault="005F1967" w:rsidP="005F1967">
            <w:pPr>
              <w:spacing w:after="0"/>
              <w:ind w:left="116"/>
              <w:rPr>
                <w:rFonts w:asciiTheme="minorHAnsi" w:hAnsiTheme="minorHAnsi"/>
                <w:szCs w:val="20"/>
              </w:rPr>
            </w:pPr>
            <w:r w:rsidRPr="003B6A69">
              <w:rPr>
                <w:rFonts w:asciiTheme="minorHAnsi" w:hAnsiTheme="minorHAnsi"/>
                <w:szCs w:val="20"/>
              </w:rPr>
              <w:t>High Conservation Value Forests</w:t>
            </w:r>
          </w:p>
        </w:tc>
      </w:tr>
      <w:tr w:rsidR="005F1967" w:rsidRPr="003B6A69" w14:paraId="0081428A" w14:textId="77777777" w:rsidTr="005F1967">
        <w:tc>
          <w:tcPr>
            <w:tcW w:w="1197" w:type="dxa"/>
            <w:shd w:val="clear" w:color="auto" w:fill="auto"/>
          </w:tcPr>
          <w:p w14:paraId="765198F9" w14:textId="77777777" w:rsidR="005F1967" w:rsidRPr="003B6A69" w:rsidRDefault="005F1967" w:rsidP="005F1967">
            <w:pPr>
              <w:spacing w:after="0"/>
              <w:rPr>
                <w:rFonts w:asciiTheme="minorHAnsi" w:hAnsiTheme="minorHAnsi" w:cs="Calibri"/>
                <w:bCs/>
                <w:szCs w:val="20"/>
                <w:lang w:val="en-GB"/>
              </w:rPr>
            </w:pPr>
            <w:r w:rsidRPr="003B6A69">
              <w:rPr>
                <w:rFonts w:asciiTheme="minorHAnsi" w:hAnsiTheme="minorHAnsi" w:cs="Calibri"/>
                <w:bCs/>
                <w:szCs w:val="20"/>
                <w:lang w:val="en-GB"/>
              </w:rPr>
              <w:t>IBA</w:t>
            </w:r>
          </w:p>
        </w:tc>
        <w:tc>
          <w:tcPr>
            <w:tcW w:w="8482" w:type="dxa"/>
            <w:shd w:val="clear" w:color="auto" w:fill="auto"/>
          </w:tcPr>
          <w:p w14:paraId="33668ECE" w14:textId="77777777" w:rsidR="005F1967" w:rsidRPr="003B6A69" w:rsidRDefault="005F1967" w:rsidP="005F1967">
            <w:pPr>
              <w:spacing w:after="0"/>
              <w:ind w:left="116"/>
              <w:rPr>
                <w:rFonts w:asciiTheme="minorHAnsi" w:hAnsiTheme="minorHAnsi"/>
                <w:szCs w:val="20"/>
                <w:lang w:val="en-GB"/>
              </w:rPr>
            </w:pPr>
            <w:r w:rsidRPr="003B6A69">
              <w:rPr>
                <w:rFonts w:asciiTheme="minorHAnsi" w:hAnsiTheme="minorHAnsi"/>
                <w:szCs w:val="20"/>
                <w:lang w:val="en-GB"/>
              </w:rPr>
              <w:t>International Bird Area</w:t>
            </w:r>
          </w:p>
        </w:tc>
      </w:tr>
      <w:tr w:rsidR="005F1967" w:rsidRPr="003B6A69" w14:paraId="3C7737BF" w14:textId="77777777" w:rsidTr="005F1967">
        <w:tc>
          <w:tcPr>
            <w:tcW w:w="1197" w:type="dxa"/>
            <w:shd w:val="clear" w:color="auto" w:fill="auto"/>
          </w:tcPr>
          <w:p w14:paraId="79E26978" w14:textId="77777777" w:rsidR="005F1967" w:rsidRPr="003B6A69" w:rsidRDefault="005F1967" w:rsidP="005F1967">
            <w:pPr>
              <w:spacing w:after="0"/>
              <w:rPr>
                <w:rFonts w:asciiTheme="minorHAnsi" w:hAnsiTheme="minorHAnsi" w:cs="Calibri"/>
                <w:bCs/>
                <w:szCs w:val="20"/>
                <w:lang w:val="en-GB"/>
              </w:rPr>
            </w:pPr>
            <w:r w:rsidRPr="003B6A69">
              <w:rPr>
                <w:rFonts w:asciiTheme="minorHAnsi" w:hAnsiTheme="minorHAnsi" w:cs="Calibri"/>
                <w:bCs/>
                <w:szCs w:val="20"/>
              </w:rPr>
              <w:t>IDF</w:t>
            </w:r>
          </w:p>
        </w:tc>
        <w:tc>
          <w:tcPr>
            <w:tcW w:w="8482" w:type="dxa"/>
            <w:shd w:val="clear" w:color="auto" w:fill="auto"/>
          </w:tcPr>
          <w:p w14:paraId="7DF5096B" w14:textId="77777777" w:rsidR="005F1967" w:rsidRPr="003B6A69" w:rsidRDefault="005F1967" w:rsidP="005F1967">
            <w:pPr>
              <w:spacing w:after="0"/>
              <w:ind w:left="116"/>
              <w:rPr>
                <w:rFonts w:asciiTheme="minorHAnsi" w:hAnsiTheme="minorHAnsi"/>
                <w:szCs w:val="20"/>
                <w:lang w:val="en-GB"/>
              </w:rPr>
            </w:pPr>
            <w:r w:rsidRPr="003B6A69">
              <w:rPr>
                <w:rFonts w:asciiTheme="minorHAnsi" w:hAnsiTheme="minorHAnsi"/>
                <w:szCs w:val="20"/>
              </w:rPr>
              <w:t>Investment for Development Fund of Montenegro</w:t>
            </w:r>
          </w:p>
        </w:tc>
      </w:tr>
      <w:tr w:rsidR="005F1967" w:rsidRPr="003B6A69" w14:paraId="0E9AA771" w14:textId="77777777" w:rsidTr="005F1967">
        <w:tc>
          <w:tcPr>
            <w:tcW w:w="1197" w:type="dxa"/>
            <w:shd w:val="clear" w:color="auto" w:fill="auto"/>
          </w:tcPr>
          <w:p w14:paraId="44A26730" w14:textId="77777777" w:rsidR="005F1967" w:rsidRPr="003B6A69" w:rsidRDefault="005F1967" w:rsidP="005F1967">
            <w:pPr>
              <w:spacing w:after="0"/>
              <w:rPr>
                <w:rFonts w:asciiTheme="minorHAnsi" w:hAnsiTheme="minorHAnsi" w:cs="Calibri"/>
                <w:bCs/>
                <w:szCs w:val="20"/>
                <w:lang w:val="en-GB"/>
              </w:rPr>
            </w:pPr>
            <w:r w:rsidRPr="003B6A69">
              <w:rPr>
                <w:rFonts w:asciiTheme="minorHAnsi" w:hAnsiTheme="minorHAnsi" w:cs="Calibri"/>
                <w:bCs/>
                <w:szCs w:val="20"/>
                <w:lang w:val="en-GB"/>
              </w:rPr>
              <w:t>IPA</w:t>
            </w:r>
          </w:p>
        </w:tc>
        <w:tc>
          <w:tcPr>
            <w:tcW w:w="8482" w:type="dxa"/>
            <w:shd w:val="clear" w:color="auto" w:fill="auto"/>
          </w:tcPr>
          <w:p w14:paraId="255D7D3F" w14:textId="77777777" w:rsidR="005F1967" w:rsidRPr="003B6A69" w:rsidRDefault="005F1967" w:rsidP="005F1967">
            <w:pPr>
              <w:spacing w:after="0"/>
              <w:ind w:left="116"/>
              <w:rPr>
                <w:rFonts w:asciiTheme="minorHAnsi" w:hAnsiTheme="minorHAnsi"/>
                <w:szCs w:val="20"/>
                <w:lang w:val="en-GB"/>
              </w:rPr>
            </w:pPr>
            <w:r w:rsidRPr="003B6A69">
              <w:rPr>
                <w:rFonts w:asciiTheme="minorHAnsi" w:hAnsiTheme="minorHAnsi"/>
                <w:szCs w:val="20"/>
                <w:lang w:val="en-GB"/>
              </w:rPr>
              <w:t>International Plant Area</w:t>
            </w:r>
          </w:p>
        </w:tc>
      </w:tr>
      <w:tr w:rsidR="005F1967" w:rsidRPr="003B6A69" w14:paraId="3906ACFB" w14:textId="77777777" w:rsidTr="005F1967">
        <w:tc>
          <w:tcPr>
            <w:tcW w:w="1197" w:type="dxa"/>
            <w:shd w:val="clear" w:color="auto" w:fill="auto"/>
          </w:tcPr>
          <w:p w14:paraId="5E164D73" w14:textId="77777777" w:rsidR="005F1967" w:rsidRPr="003B6A69" w:rsidRDefault="005F1967" w:rsidP="005F1967">
            <w:pPr>
              <w:spacing w:after="0"/>
              <w:rPr>
                <w:rFonts w:asciiTheme="minorHAnsi" w:hAnsiTheme="minorHAnsi" w:cs="Calibri"/>
                <w:bCs/>
                <w:szCs w:val="20"/>
                <w:lang w:val="en-GB"/>
              </w:rPr>
            </w:pPr>
            <w:r w:rsidRPr="003B6A69">
              <w:rPr>
                <w:rFonts w:asciiTheme="minorHAnsi" w:hAnsiTheme="minorHAnsi" w:cs="Calibri"/>
                <w:bCs/>
                <w:szCs w:val="20"/>
                <w:lang w:val="en-GB"/>
              </w:rPr>
              <w:t>KBA</w:t>
            </w:r>
          </w:p>
        </w:tc>
        <w:tc>
          <w:tcPr>
            <w:tcW w:w="8482" w:type="dxa"/>
            <w:shd w:val="clear" w:color="auto" w:fill="auto"/>
          </w:tcPr>
          <w:p w14:paraId="18A625D9" w14:textId="77777777" w:rsidR="005F1967" w:rsidRPr="003B6A69" w:rsidRDefault="005F1967" w:rsidP="005F1967">
            <w:pPr>
              <w:spacing w:after="0"/>
              <w:ind w:left="116"/>
              <w:rPr>
                <w:rFonts w:asciiTheme="minorHAnsi" w:hAnsiTheme="minorHAnsi"/>
                <w:szCs w:val="20"/>
                <w:lang w:val="en-GB"/>
              </w:rPr>
            </w:pPr>
            <w:r w:rsidRPr="003B6A69">
              <w:rPr>
                <w:rFonts w:asciiTheme="minorHAnsi" w:hAnsiTheme="minorHAnsi"/>
                <w:szCs w:val="20"/>
                <w:lang w:val="en-GB"/>
              </w:rPr>
              <w:t>Key Biodiversity Area</w:t>
            </w:r>
          </w:p>
        </w:tc>
      </w:tr>
      <w:tr w:rsidR="005F1967" w:rsidRPr="003B6A69" w14:paraId="094C9C15" w14:textId="77777777" w:rsidTr="005F1967">
        <w:tc>
          <w:tcPr>
            <w:tcW w:w="1197" w:type="dxa"/>
            <w:shd w:val="clear" w:color="auto" w:fill="auto"/>
          </w:tcPr>
          <w:p w14:paraId="5026E709" w14:textId="77777777" w:rsidR="005F1967" w:rsidRPr="003B6A69" w:rsidRDefault="005F1967" w:rsidP="005F1967">
            <w:pPr>
              <w:spacing w:after="0"/>
              <w:rPr>
                <w:rFonts w:cs="Calibri"/>
                <w:bCs/>
                <w:color w:val="000000" w:themeColor="text1"/>
                <w:szCs w:val="20"/>
              </w:rPr>
            </w:pPr>
            <w:r w:rsidRPr="003B6A69">
              <w:rPr>
                <w:rFonts w:asciiTheme="minorHAnsi" w:hAnsiTheme="minorHAnsi" w:cs="Calibri"/>
                <w:bCs/>
                <w:szCs w:val="20"/>
                <w:lang w:val="en-GB"/>
              </w:rPr>
              <w:t>KM</w:t>
            </w:r>
          </w:p>
        </w:tc>
        <w:tc>
          <w:tcPr>
            <w:tcW w:w="8482" w:type="dxa"/>
            <w:shd w:val="clear" w:color="auto" w:fill="auto"/>
          </w:tcPr>
          <w:p w14:paraId="7F7A138A" w14:textId="77777777" w:rsidR="005F1967" w:rsidRPr="003B6A69" w:rsidRDefault="005F1967" w:rsidP="005F1967">
            <w:pPr>
              <w:spacing w:after="0"/>
              <w:ind w:left="116"/>
              <w:rPr>
                <w:rFonts w:asciiTheme="minorHAnsi" w:hAnsiTheme="minorHAnsi"/>
                <w:szCs w:val="20"/>
                <w:lang w:val="en-GB"/>
              </w:rPr>
            </w:pPr>
            <w:r w:rsidRPr="003B6A69">
              <w:rPr>
                <w:rFonts w:asciiTheme="minorHAnsi" w:hAnsiTheme="minorHAnsi"/>
                <w:szCs w:val="20"/>
                <w:lang w:val="en-GB"/>
              </w:rPr>
              <w:t>Knowledge Management</w:t>
            </w:r>
          </w:p>
        </w:tc>
      </w:tr>
      <w:tr w:rsidR="005F1967" w:rsidRPr="003B6A69" w14:paraId="0E53F26C" w14:textId="77777777" w:rsidTr="005F1967">
        <w:tc>
          <w:tcPr>
            <w:tcW w:w="1197" w:type="dxa"/>
            <w:shd w:val="clear" w:color="auto" w:fill="auto"/>
          </w:tcPr>
          <w:p w14:paraId="5B0C8A59" w14:textId="77777777" w:rsidR="005F1967" w:rsidRPr="003B6A69" w:rsidRDefault="005F1967" w:rsidP="005F1967">
            <w:pPr>
              <w:spacing w:after="0"/>
              <w:rPr>
                <w:rFonts w:cs="Calibri"/>
                <w:bCs/>
                <w:color w:val="000000" w:themeColor="text1"/>
                <w:szCs w:val="20"/>
              </w:rPr>
            </w:pPr>
            <w:r w:rsidRPr="003B6A69">
              <w:rPr>
                <w:rFonts w:asciiTheme="minorHAnsi" w:eastAsiaTheme="minorHAnsi" w:hAnsiTheme="minorHAnsi" w:cs="Calibri"/>
                <w:bCs/>
                <w:sz w:val="22"/>
                <w:szCs w:val="20"/>
              </w:rPr>
              <w:t>LTOs</w:t>
            </w:r>
          </w:p>
        </w:tc>
        <w:tc>
          <w:tcPr>
            <w:tcW w:w="8482" w:type="dxa"/>
            <w:shd w:val="clear" w:color="auto" w:fill="auto"/>
          </w:tcPr>
          <w:p w14:paraId="0B24656E" w14:textId="77777777" w:rsidR="005F1967" w:rsidRPr="003B6A69" w:rsidRDefault="005F1967" w:rsidP="005F1967">
            <w:pPr>
              <w:spacing w:after="0"/>
              <w:ind w:left="116"/>
              <w:rPr>
                <w:rFonts w:cs="Calibri"/>
                <w:bCs/>
                <w:color w:val="000000" w:themeColor="text1"/>
                <w:szCs w:val="20"/>
              </w:rPr>
            </w:pPr>
            <w:r w:rsidRPr="003B6A69">
              <w:rPr>
                <w:rFonts w:cs="Calibri"/>
                <w:bCs/>
                <w:color w:val="000000" w:themeColor="text1"/>
                <w:szCs w:val="20"/>
              </w:rPr>
              <w:t>Local tourist organizations</w:t>
            </w:r>
          </w:p>
        </w:tc>
      </w:tr>
      <w:tr w:rsidR="005F1967" w:rsidRPr="003B6A69" w14:paraId="79034E73" w14:textId="77777777" w:rsidTr="005F1967">
        <w:tc>
          <w:tcPr>
            <w:tcW w:w="1197" w:type="dxa"/>
            <w:shd w:val="clear" w:color="auto" w:fill="auto"/>
          </w:tcPr>
          <w:p w14:paraId="4587DB52" w14:textId="77777777" w:rsidR="005F1967" w:rsidRPr="003B6A69" w:rsidRDefault="005F1967" w:rsidP="005F1967">
            <w:pPr>
              <w:spacing w:after="0"/>
              <w:rPr>
                <w:rFonts w:cs="Calibri"/>
                <w:bCs/>
                <w:color w:val="000000" w:themeColor="text1"/>
                <w:szCs w:val="20"/>
              </w:rPr>
            </w:pPr>
            <w:proofErr w:type="spellStart"/>
            <w:r w:rsidRPr="003B6A69">
              <w:rPr>
                <w:rFonts w:cs="Calibri"/>
                <w:bCs/>
                <w:color w:val="000000" w:themeColor="text1"/>
                <w:szCs w:val="20"/>
              </w:rPr>
              <w:t>MaB</w:t>
            </w:r>
            <w:proofErr w:type="spellEnd"/>
          </w:p>
        </w:tc>
        <w:tc>
          <w:tcPr>
            <w:tcW w:w="8482" w:type="dxa"/>
            <w:shd w:val="clear" w:color="auto" w:fill="auto"/>
          </w:tcPr>
          <w:p w14:paraId="07F5BA93" w14:textId="77777777" w:rsidR="005F1967" w:rsidRPr="003B6A69" w:rsidRDefault="005F1967" w:rsidP="005F1967">
            <w:pPr>
              <w:spacing w:after="0"/>
              <w:ind w:left="116"/>
              <w:rPr>
                <w:rFonts w:cs="Calibri"/>
                <w:bCs/>
                <w:color w:val="000000" w:themeColor="text1"/>
                <w:szCs w:val="20"/>
              </w:rPr>
            </w:pPr>
            <w:proofErr w:type="gramStart"/>
            <w:r w:rsidRPr="003B6A69">
              <w:rPr>
                <w:rFonts w:cs="Calibri"/>
                <w:bCs/>
                <w:color w:val="000000" w:themeColor="text1"/>
                <w:szCs w:val="20"/>
              </w:rPr>
              <w:t>Man</w:t>
            </w:r>
            <w:proofErr w:type="gramEnd"/>
            <w:r w:rsidRPr="003B6A69">
              <w:rPr>
                <w:rFonts w:cs="Calibri"/>
                <w:bCs/>
                <w:color w:val="000000" w:themeColor="text1"/>
                <w:szCs w:val="20"/>
              </w:rPr>
              <w:t xml:space="preserve"> and Biosphere</w:t>
            </w:r>
          </w:p>
        </w:tc>
      </w:tr>
      <w:tr w:rsidR="005F1967" w:rsidRPr="003B6A69" w14:paraId="7605F81F" w14:textId="77777777" w:rsidTr="005F1967">
        <w:tc>
          <w:tcPr>
            <w:tcW w:w="1197" w:type="dxa"/>
            <w:shd w:val="clear" w:color="auto" w:fill="auto"/>
          </w:tcPr>
          <w:p w14:paraId="0EE582B3" w14:textId="77777777" w:rsidR="005F1967" w:rsidRPr="003B6A69" w:rsidRDefault="005F1967" w:rsidP="005F1967">
            <w:pPr>
              <w:spacing w:after="0"/>
              <w:rPr>
                <w:rFonts w:cs="Calibri"/>
                <w:bCs/>
                <w:color w:val="000000" w:themeColor="text1"/>
                <w:szCs w:val="20"/>
              </w:rPr>
            </w:pPr>
            <w:r w:rsidRPr="003B6A69">
              <w:rPr>
                <w:rFonts w:cs="Calibri"/>
                <w:bCs/>
                <w:color w:val="000000" w:themeColor="text1"/>
                <w:szCs w:val="20"/>
                <w:lang w:val="en-GB"/>
              </w:rPr>
              <w:t>MAFWM</w:t>
            </w:r>
          </w:p>
        </w:tc>
        <w:tc>
          <w:tcPr>
            <w:tcW w:w="8482" w:type="dxa"/>
            <w:shd w:val="clear" w:color="auto" w:fill="auto"/>
          </w:tcPr>
          <w:p w14:paraId="15D3B651" w14:textId="77777777" w:rsidR="005F1967" w:rsidRPr="003B6A69" w:rsidRDefault="005F1967" w:rsidP="005F1967">
            <w:pPr>
              <w:spacing w:after="0"/>
              <w:ind w:left="116"/>
              <w:rPr>
                <w:rFonts w:cs="Calibri"/>
                <w:bCs/>
                <w:color w:val="000000" w:themeColor="text1"/>
                <w:szCs w:val="20"/>
              </w:rPr>
            </w:pPr>
            <w:r w:rsidRPr="003B6A69">
              <w:rPr>
                <w:rFonts w:cs="Calibri"/>
                <w:bCs/>
                <w:color w:val="000000" w:themeColor="text1"/>
                <w:szCs w:val="20"/>
              </w:rPr>
              <w:t xml:space="preserve">Ministry of </w:t>
            </w:r>
            <w:r w:rsidRPr="003B6A69">
              <w:rPr>
                <w:rFonts w:cs="Calibri"/>
                <w:bCs/>
                <w:color w:val="000000" w:themeColor="text1"/>
                <w:szCs w:val="20"/>
                <w:lang w:val="en-GB"/>
              </w:rPr>
              <w:t>Agriculture, Forestry and Water Management</w:t>
            </w:r>
          </w:p>
        </w:tc>
      </w:tr>
      <w:tr w:rsidR="005F1967" w:rsidRPr="003B6A69" w14:paraId="07D8D4B5" w14:textId="77777777" w:rsidTr="005F1967">
        <w:tc>
          <w:tcPr>
            <w:tcW w:w="1197" w:type="dxa"/>
            <w:shd w:val="clear" w:color="auto" w:fill="auto"/>
          </w:tcPr>
          <w:p w14:paraId="5E0CAE07" w14:textId="77777777" w:rsidR="005F1967" w:rsidRPr="003B6A69" w:rsidRDefault="005F1967" w:rsidP="005F1967">
            <w:pPr>
              <w:spacing w:after="0"/>
              <w:rPr>
                <w:rFonts w:cs="Calibri"/>
                <w:bCs/>
                <w:color w:val="000000" w:themeColor="text1"/>
                <w:szCs w:val="20"/>
              </w:rPr>
            </w:pPr>
            <w:r w:rsidRPr="003B6A69">
              <w:rPr>
                <w:rFonts w:cs="Calibri"/>
                <w:bCs/>
                <w:color w:val="000000" w:themeColor="text1"/>
                <w:szCs w:val="20"/>
              </w:rPr>
              <w:t>MARD</w:t>
            </w:r>
          </w:p>
        </w:tc>
        <w:tc>
          <w:tcPr>
            <w:tcW w:w="8482" w:type="dxa"/>
            <w:shd w:val="clear" w:color="auto" w:fill="auto"/>
          </w:tcPr>
          <w:p w14:paraId="277D2A9F" w14:textId="77777777" w:rsidR="005F1967" w:rsidRPr="003B6A69" w:rsidRDefault="005F1967" w:rsidP="005F1967">
            <w:pPr>
              <w:spacing w:after="0"/>
              <w:ind w:left="116"/>
              <w:rPr>
                <w:rFonts w:cs="Calibri"/>
                <w:bCs/>
                <w:color w:val="000000" w:themeColor="text1"/>
                <w:szCs w:val="20"/>
              </w:rPr>
            </w:pPr>
            <w:r w:rsidRPr="003B6A69">
              <w:rPr>
                <w:rFonts w:cs="Calibri"/>
                <w:bCs/>
                <w:color w:val="000000" w:themeColor="text1"/>
                <w:szCs w:val="20"/>
              </w:rPr>
              <w:t>Ministry of Agriculture and Rural Development</w:t>
            </w:r>
          </w:p>
        </w:tc>
      </w:tr>
      <w:tr w:rsidR="005F1967" w:rsidRPr="003B6A69" w14:paraId="0C83C0D1" w14:textId="77777777" w:rsidTr="005F1967">
        <w:tc>
          <w:tcPr>
            <w:tcW w:w="1197" w:type="dxa"/>
            <w:tcBorders>
              <w:top w:val="single" w:sz="4" w:space="0" w:color="auto"/>
              <w:left w:val="single" w:sz="4" w:space="0" w:color="auto"/>
              <w:bottom w:val="single" w:sz="4" w:space="0" w:color="auto"/>
              <w:right w:val="single" w:sz="4" w:space="0" w:color="auto"/>
            </w:tcBorders>
            <w:shd w:val="clear" w:color="auto" w:fill="auto"/>
          </w:tcPr>
          <w:p w14:paraId="2464C70C" w14:textId="77777777" w:rsidR="005F1967" w:rsidRPr="003B6A69" w:rsidRDefault="005F1967" w:rsidP="005F1967">
            <w:pPr>
              <w:spacing w:after="0"/>
              <w:rPr>
                <w:rFonts w:cs="Calibri"/>
                <w:bCs/>
                <w:color w:val="000000" w:themeColor="text1"/>
                <w:szCs w:val="20"/>
              </w:rPr>
            </w:pPr>
            <w:r w:rsidRPr="003B6A69">
              <w:rPr>
                <w:rFonts w:cs="Calibri"/>
                <w:bCs/>
                <w:color w:val="000000" w:themeColor="text1"/>
                <w:szCs w:val="20"/>
              </w:rPr>
              <w:t>MED</w:t>
            </w:r>
          </w:p>
        </w:tc>
        <w:tc>
          <w:tcPr>
            <w:tcW w:w="8482" w:type="dxa"/>
            <w:tcBorders>
              <w:top w:val="single" w:sz="4" w:space="0" w:color="auto"/>
              <w:left w:val="single" w:sz="4" w:space="0" w:color="auto"/>
              <w:bottom w:val="single" w:sz="4" w:space="0" w:color="auto"/>
              <w:right w:val="single" w:sz="4" w:space="0" w:color="auto"/>
            </w:tcBorders>
            <w:shd w:val="clear" w:color="auto" w:fill="auto"/>
          </w:tcPr>
          <w:p w14:paraId="4934E00A" w14:textId="77777777" w:rsidR="005F1967" w:rsidRPr="003B6A69" w:rsidRDefault="005F1967" w:rsidP="005F1967">
            <w:pPr>
              <w:spacing w:after="0"/>
              <w:ind w:left="116"/>
              <w:rPr>
                <w:rFonts w:cs="Calibri"/>
                <w:bCs/>
                <w:color w:val="000000" w:themeColor="text1"/>
                <w:szCs w:val="20"/>
              </w:rPr>
            </w:pPr>
            <w:r w:rsidRPr="003B6A69">
              <w:rPr>
                <w:rFonts w:cs="Calibri"/>
                <w:bCs/>
                <w:color w:val="000000" w:themeColor="text1"/>
                <w:szCs w:val="20"/>
              </w:rPr>
              <w:t>Ministry of Economic Development</w:t>
            </w:r>
          </w:p>
        </w:tc>
      </w:tr>
      <w:tr w:rsidR="005F1967" w:rsidRPr="003B6A69" w14:paraId="4B9816D6" w14:textId="77777777" w:rsidTr="005F1967">
        <w:tc>
          <w:tcPr>
            <w:tcW w:w="1197" w:type="dxa"/>
            <w:tcBorders>
              <w:top w:val="single" w:sz="4" w:space="0" w:color="auto"/>
              <w:left w:val="single" w:sz="4" w:space="0" w:color="auto"/>
              <w:bottom w:val="single" w:sz="4" w:space="0" w:color="auto"/>
              <w:right w:val="single" w:sz="4" w:space="0" w:color="auto"/>
            </w:tcBorders>
            <w:shd w:val="clear" w:color="auto" w:fill="auto"/>
          </w:tcPr>
          <w:p w14:paraId="3588DBF5" w14:textId="77777777" w:rsidR="005F1967" w:rsidRPr="003B6A69" w:rsidRDefault="005F1967" w:rsidP="005F1967">
            <w:pPr>
              <w:spacing w:after="0"/>
              <w:rPr>
                <w:rFonts w:cs="Calibri"/>
                <w:bCs/>
                <w:color w:val="000000" w:themeColor="text1"/>
                <w:szCs w:val="20"/>
              </w:rPr>
            </w:pPr>
            <w:r w:rsidRPr="003B6A69">
              <w:rPr>
                <w:rFonts w:cs="Calibri"/>
                <w:bCs/>
                <w:color w:val="000000" w:themeColor="text1"/>
                <w:szCs w:val="20"/>
              </w:rPr>
              <w:t>METT</w:t>
            </w:r>
          </w:p>
        </w:tc>
        <w:tc>
          <w:tcPr>
            <w:tcW w:w="8482" w:type="dxa"/>
            <w:tcBorders>
              <w:top w:val="single" w:sz="4" w:space="0" w:color="auto"/>
              <w:left w:val="single" w:sz="4" w:space="0" w:color="auto"/>
              <w:bottom w:val="single" w:sz="4" w:space="0" w:color="auto"/>
              <w:right w:val="single" w:sz="4" w:space="0" w:color="auto"/>
            </w:tcBorders>
            <w:shd w:val="clear" w:color="auto" w:fill="auto"/>
          </w:tcPr>
          <w:p w14:paraId="5E6B0B29" w14:textId="77777777" w:rsidR="005F1967" w:rsidRPr="003B6A69" w:rsidRDefault="005F1967" w:rsidP="005F1967">
            <w:pPr>
              <w:spacing w:after="0"/>
              <w:ind w:left="116"/>
              <w:rPr>
                <w:rFonts w:cs="Calibri"/>
                <w:bCs/>
                <w:color w:val="000000" w:themeColor="text1"/>
                <w:szCs w:val="20"/>
              </w:rPr>
            </w:pPr>
            <w:r w:rsidRPr="003B6A69">
              <w:rPr>
                <w:rFonts w:cs="Calibri"/>
                <w:bCs/>
                <w:color w:val="000000" w:themeColor="text1"/>
                <w:szCs w:val="20"/>
              </w:rPr>
              <w:t>Management Effectiveness Tracking Tool</w:t>
            </w:r>
          </w:p>
        </w:tc>
      </w:tr>
      <w:tr w:rsidR="005F1967" w:rsidRPr="003B6A69" w14:paraId="51310433" w14:textId="77777777" w:rsidTr="005F1967">
        <w:tc>
          <w:tcPr>
            <w:tcW w:w="1197" w:type="dxa"/>
            <w:tcBorders>
              <w:top w:val="single" w:sz="4" w:space="0" w:color="auto"/>
              <w:left w:val="single" w:sz="4" w:space="0" w:color="auto"/>
              <w:bottom w:val="single" w:sz="4" w:space="0" w:color="auto"/>
              <w:right w:val="single" w:sz="4" w:space="0" w:color="auto"/>
            </w:tcBorders>
            <w:shd w:val="clear" w:color="auto" w:fill="auto"/>
          </w:tcPr>
          <w:p w14:paraId="24B0DBA6" w14:textId="77777777" w:rsidR="005F1967" w:rsidRPr="003B6A69" w:rsidRDefault="005F1967" w:rsidP="005F1967">
            <w:pPr>
              <w:spacing w:after="0"/>
              <w:rPr>
                <w:rFonts w:cs="Calibri"/>
                <w:bCs/>
                <w:color w:val="000000" w:themeColor="text1"/>
                <w:szCs w:val="20"/>
              </w:rPr>
            </w:pPr>
            <w:r w:rsidRPr="003B6A69">
              <w:rPr>
                <w:rFonts w:asciiTheme="minorHAnsi" w:eastAsiaTheme="minorHAnsi" w:hAnsiTheme="minorHAnsi" w:cs="Calibri"/>
                <w:bCs/>
                <w:sz w:val="22"/>
                <w:szCs w:val="20"/>
                <w:lang w:val="en-GB"/>
              </w:rPr>
              <w:t>MESPU</w:t>
            </w:r>
          </w:p>
        </w:tc>
        <w:tc>
          <w:tcPr>
            <w:tcW w:w="8482" w:type="dxa"/>
            <w:tcBorders>
              <w:top w:val="single" w:sz="4" w:space="0" w:color="auto"/>
              <w:left w:val="single" w:sz="4" w:space="0" w:color="auto"/>
              <w:bottom w:val="single" w:sz="4" w:space="0" w:color="auto"/>
              <w:right w:val="single" w:sz="4" w:space="0" w:color="auto"/>
            </w:tcBorders>
            <w:shd w:val="clear" w:color="auto" w:fill="auto"/>
          </w:tcPr>
          <w:p w14:paraId="2FE722DB" w14:textId="62656C21" w:rsidR="005F1967" w:rsidRPr="003B6A69" w:rsidRDefault="005F1967" w:rsidP="005F1967">
            <w:pPr>
              <w:spacing w:after="0"/>
              <w:ind w:left="116"/>
              <w:rPr>
                <w:rFonts w:cs="Calibri"/>
                <w:bCs/>
                <w:color w:val="000000" w:themeColor="text1"/>
                <w:szCs w:val="20"/>
              </w:rPr>
            </w:pPr>
            <w:r w:rsidRPr="003B6A69">
              <w:rPr>
                <w:rFonts w:cs="Calibri"/>
                <w:bCs/>
                <w:color w:val="000000" w:themeColor="text1"/>
                <w:szCs w:val="20"/>
              </w:rPr>
              <w:t xml:space="preserve">Ministry of </w:t>
            </w:r>
            <w:r w:rsidR="006B6997">
              <w:rPr>
                <w:rFonts w:cs="Calibri"/>
                <w:bCs/>
                <w:color w:val="000000" w:themeColor="text1"/>
                <w:szCs w:val="20"/>
              </w:rPr>
              <w:t xml:space="preserve">Environment, </w:t>
            </w:r>
            <w:r w:rsidRPr="003B6A69">
              <w:rPr>
                <w:rFonts w:cs="Calibri"/>
                <w:bCs/>
                <w:color w:val="000000" w:themeColor="text1"/>
                <w:szCs w:val="20"/>
              </w:rPr>
              <w:t>Spatial Planning and Urbanism</w:t>
            </w:r>
          </w:p>
        </w:tc>
      </w:tr>
      <w:tr w:rsidR="005F1967" w:rsidRPr="003B6A69" w14:paraId="3EA70359" w14:textId="77777777" w:rsidTr="005F1967">
        <w:tc>
          <w:tcPr>
            <w:tcW w:w="1197" w:type="dxa"/>
            <w:tcBorders>
              <w:top w:val="single" w:sz="4" w:space="0" w:color="auto"/>
              <w:left w:val="single" w:sz="4" w:space="0" w:color="auto"/>
              <w:bottom w:val="single" w:sz="4" w:space="0" w:color="auto"/>
              <w:right w:val="single" w:sz="4" w:space="0" w:color="auto"/>
            </w:tcBorders>
            <w:shd w:val="clear" w:color="auto" w:fill="auto"/>
          </w:tcPr>
          <w:p w14:paraId="607AEDCB" w14:textId="77777777" w:rsidR="005F1967" w:rsidRPr="003B6A69" w:rsidRDefault="005F1967" w:rsidP="005F1967">
            <w:pPr>
              <w:spacing w:after="0"/>
              <w:rPr>
                <w:rFonts w:cs="Calibri"/>
                <w:bCs/>
                <w:color w:val="000000" w:themeColor="text1"/>
                <w:szCs w:val="20"/>
              </w:rPr>
            </w:pPr>
            <w:r w:rsidRPr="003B6A69">
              <w:rPr>
                <w:rFonts w:cs="Calibri"/>
                <w:bCs/>
                <w:color w:val="000000" w:themeColor="text1"/>
                <w:szCs w:val="20"/>
              </w:rPr>
              <w:t>MSDT</w:t>
            </w:r>
          </w:p>
        </w:tc>
        <w:tc>
          <w:tcPr>
            <w:tcW w:w="8482" w:type="dxa"/>
            <w:tcBorders>
              <w:top w:val="single" w:sz="4" w:space="0" w:color="auto"/>
              <w:left w:val="single" w:sz="4" w:space="0" w:color="auto"/>
              <w:bottom w:val="single" w:sz="4" w:space="0" w:color="auto"/>
              <w:right w:val="single" w:sz="4" w:space="0" w:color="auto"/>
            </w:tcBorders>
            <w:shd w:val="clear" w:color="auto" w:fill="auto"/>
          </w:tcPr>
          <w:p w14:paraId="670179B5" w14:textId="77777777" w:rsidR="005F1967" w:rsidRPr="003B6A69" w:rsidRDefault="005F1967" w:rsidP="005F1967">
            <w:pPr>
              <w:spacing w:after="0"/>
              <w:ind w:left="116"/>
              <w:rPr>
                <w:rFonts w:cs="Calibri"/>
                <w:bCs/>
                <w:color w:val="000000" w:themeColor="text1"/>
                <w:szCs w:val="20"/>
              </w:rPr>
            </w:pPr>
            <w:r w:rsidRPr="003B6A69">
              <w:rPr>
                <w:rFonts w:cs="Calibri"/>
                <w:bCs/>
                <w:color w:val="000000" w:themeColor="text1"/>
                <w:szCs w:val="20"/>
              </w:rPr>
              <w:t>Ministry of Sustainable Development and Tourism</w:t>
            </w:r>
          </w:p>
        </w:tc>
      </w:tr>
      <w:tr w:rsidR="005F1967" w:rsidRPr="003B6A69" w14:paraId="52B16CBC" w14:textId="77777777" w:rsidTr="005F1967">
        <w:tc>
          <w:tcPr>
            <w:tcW w:w="1197" w:type="dxa"/>
            <w:tcBorders>
              <w:top w:val="single" w:sz="4" w:space="0" w:color="auto"/>
              <w:left w:val="single" w:sz="4" w:space="0" w:color="auto"/>
              <w:bottom w:val="single" w:sz="4" w:space="0" w:color="auto"/>
              <w:right w:val="single" w:sz="4" w:space="0" w:color="auto"/>
            </w:tcBorders>
            <w:shd w:val="clear" w:color="auto" w:fill="auto"/>
          </w:tcPr>
          <w:p w14:paraId="28384B12" w14:textId="77777777" w:rsidR="005F1967" w:rsidRPr="003B6A69" w:rsidRDefault="005F1967" w:rsidP="005F1967">
            <w:pPr>
              <w:spacing w:after="0"/>
              <w:rPr>
                <w:rFonts w:cs="Calibri"/>
                <w:bCs/>
                <w:color w:val="000000" w:themeColor="text1"/>
                <w:szCs w:val="20"/>
              </w:rPr>
            </w:pPr>
            <w:r w:rsidRPr="003B6A69">
              <w:rPr>
                <w:rFonts w:cs="Calibri"/>
                <w:bCs/>
                <w:color w:val="000000" w:themeColor="text1"/>
                <w:szCs w:val="20"/>
              </w:rPr>
              <w:t>NEPA</w:t>
            </w:r>
          </w:p>
        </w:tc>
        <w:tc>
          <w:tcPr>
            <w:tcW w:w="8482" w:type="dxa"/>
            <w:tcBorders>
              <w:top w:val="single" w:sz="4" w:space="0" w:color="auto"/>
              <w:left w:val="single" w:sz="4" w:space="0" w:color="auto"/>
              <w:bottom w:val="single" w:sz="4" w:space="0" w:color="auto"/>
              <w:right w:val="single" w:sz="4" w:space="0" w:color="auto"/>
            </w:tcBorders>
            <w:shd w:val="clear" w:color="auto" w:fill="auto"/>
          </w:tcPr>
          <w:p w14:paraId="12A4ADEF" w14:textId="77777777" w:rsidR="005F1967" w:rsidRPr="003B6A69" w:rsidRDefault="005F1967" w:rsidP="005F1967">
            <w:pPr>
              <w:spacing w:after="0"/>
              <w:ind w:left="116"/>
              <w:rPr>
                <w:rFonts w:cs="Calibri"/>
                <w:bCs/>
                <w:color w:val="000000" w:themeColor="text1"/>
                <w:szCs w:val="20"/>
              </w:rPr>
            </w:pPr>
            <w:r w:rsidRPr="003B6A69">
              <w:rPr>
                <w:rFonts w:cs="Calibri"/>
                <w:bCs/>
                <w:color w:val="000000" w:themeColor="text1"/>
                <w:szCs w:val="20"/>
              </w:rPr>
              <w:t>National Environmental Protection Agency</w:t>
            </w:r>
          </w:p>
        </w:tc>
      </w:tr>
      <w:tr w:rsidR="005F1967" w:rsidRPr="003B6A69" w14:paraId="2E67BFF3" w14:textId="77777777" w:rsidTr="005F1967">
        <w:tc>
          <w:tcPr>
            <w:tcW w:w="1197" w:type="dxa"/>
            <w:tcBorders>
              <w:top w:val="single" w:sz="4" w:space="0" w:color="auto"/>
              <w:left w:val="single" w:sz="4" w:space="0" w:color="auto"/>
              <w:bottom w:val="single" w:sz="4" w:space="0" w:color="auto"/>
              <w:right w:val="single" w:sz="4" w:space="0" w:color="auto"/>
            </w:tcBorders>
            <w:shd w:val="clear" w:color="auto" w:fill="auto"/>
          </w:tcPr>
          <w:p w14:paraId="7BA54A00" w14:textId="77777777" w:rsidR="005F1967" w:rsidRPr="003B6A69" w:rsidRDefault="005F1967" w:rsidP="005F1967">
            <w:pPr>
              <w:spacing w:after="0"/>
              <w:rPr>
                <w:rFonts w:cs="Calibri"/>
                <w:bCs/>
                <w:color w:val="000000" w:themeColor="text1"/>
                <w:szCs w:val="20"/>
              </w:rPr>
            </w:pPr>
            <w:r w:rsidRPr="003B6A69">
              <w:rPr>
                <w:rFonts w:cs="Calibri"/>
                <w:bCs/>
                <w:color w:val="000000" w:themeColor="text1"/>
                <w:szCs w:val="20"/>
              </w:rPr>
              <w:t>NGO</w:t>
            </w:r>
          </w:p>
        </w:tc>
        <w:tc>
          <w:tcPr>
            <w:tcW w:w="8482" w:type="dxa"/>
            <w:tcBorders>
              <w:top w:val="single" w:sz="4" w:space="0" w:color="auto"/>
              <w:left w:val="single" w:sz="4" w:space="0" w:color="auto"/>
              <w:bottom w:val="single" w:sz="4" w:space="0" w:color="auto"/>
              <w:right w:val="single" w:sz="4" w:space="0" w:color="auto"/>
            </w:tcBorders>
            <w:shd w:val="clear" w:color="auto" w:fill="auto"/>
          </w:tcPr>
          <w:p w14:paraId="0F14DCD0" w14:textId="77777777" w:rsidR="005F1967" w:rsidRPr="003B6A69" w:rsidRDefault="005F1967" w:rsidP="005F1967">
            <w:pPr>
              <w:spacing w:after="0"/>
              <w:ind w:left="116"/>
              <w:rPr>
                <w:rFonts w:cs="Calibri"/>
                <w:bCs/>
                <w:color w:val="000000" w:themeColor="text1"/>
                <w:szCs w:val="20"/>
              </w:rPr>
            </w:pPr>
            <w:r w:rsidRPr="003B6A69">
              <w:rPr>
                <w:rFonts w:cs="Calibri"/>
                <w:bCs/>
                <w:color w:val="000000" w:themeColor="text1"/>
                <w:szCs w:val="20"/>
              </w:rPr>
              <w:t xml:space="preserve">Non-Governmental </w:t>
            </w:r>
            <w:proofErr w:type="spellStart"/>
            <w:r w:rsidRPr="003B6A69">
              <w:rPr>
                <w:rFonts w:cs="Calibri"/>
                <w:bCs/>
                <w:color w:val="000000" w:themeColor="text1"/>
                <w:szCs w:val="20"/>
              </w:rPr>
              <w:t>Organisaion</w:t>
            </w:r>
            <w:proofErr w:type="spellEnd"/>
          </w:p>
        </w:tc>
      </w:tr>
      <w:tr w:rsidR="005F1967" w:rsidRPr="003B6A69" w14:paraId="3DF3A4C9" w14:textId="77777777" w:rsidTr="005F1967">
        <w:tc>
          <w:tcPr>
            <w:tcW w:w="1197" w:type="dxa"/>
            <w:tcBorders>
              <w:top w:val="single" w:sz="4" w:space="0" w:color="auto"/>
              <w:left w:val="single" w:sz="4" w:space="0" w:color="auto"/>
              <w:bottom w:val="single" w:sz="4" w:space="0" w:color="auto"/>
              <w:right w:val="single" w:sz="4" w:space="0" w:color="auto"/>
            </w:tcBorders>
            <w:shd w:val="clear" w:color="auto" w:fill="auto"/>
          </w:tcPr>
          <w:p w14:paraId="5D3BA372" w14:textId="77777777" w:rsidR="005F1967" w:rsidRPr="003B6A69" w:rsidRDefault="005F1967" w:rsidP="005F1967">
            <w:pPr>
              <w:spacing w:after="0"/>
              <w:rPr>
                <w:rFonts w:cs="Calibri"/>
                <w:bCs/>
                <w:color w:val="000000" w:themeColor="text1"/>
                <w:szCs w:val="20"/>
              </w:rPr>
            </w:pPr>
            <w:r w:rsidRPr="003B6A69">
              <w:rPr>
                <w:rFonts w:cs="Calibri"/>
                <w:bCs/>
                <w:color w:val="000000" w:themeColor="text1"/>
                <w:szCs w:val="20"/>
              </w:rPr>
              <w:t>NP</w:t>
            </w:r>
          </w:p>
        </w:tc>
        <w:tc>
          <w:tcPr>
            <w:tcW w:w="8482" w:type="dxa"/>
            <w:tcBorders>
              <w:top w:val="single" w:sz="4" w:space="0" w:color="auto"/>
              <w:left w:val="single" w:sz="4" w:space="0" w:color="auto"/>
              <w:bottom w:val="single" w:sz="4" w:space="0" w:color="auto"/>
              <w:right w:val="single" w:sz="4" w:space="0" w:color="auto"/>
            </w:tcBorders>
            <w:shd w:val="clear" w:color="auto" w:fill="auto"/>
          </w:tcPr>
          <w:p w14:paraId="53FA21E8" w14:textId="77777777" w:rsidR="005F1967" w:rsidRPr="003B6A69" w:rsidRDefault="005F1967" w:rsidP="005F1967">
            <w:pPr>
              <w:spacing w:after="0"/>
              <w:ind w:left="116"/>
              <w:rPr>
                <w:rFonts w:cs="Calibri"/>
                <w:bCs/>
                <w:color w:val="000000" w:themeColor="text1"/>
                <w:szCs w:val="20"/>
              </w:rPr>
            </w:pPr>
            <w:r w:rsidRPr="003B6A69">
              <w:rPr>
                <w:rFonts w:cs="Calibri"/>
                <w:bCs/>
                <w:color w:val="000000" w:themeColor="text1"/>
                <w:szCs w:val="20"/>
              </w:rPr>
              <w:t>National Park</w:t>
            </w:r>
          </w:p>
        </w:tc>
      </w:tr>
      <w:tr w:rsidR="005F1967" w:rsidRPr="003B6A69" w14:paraId="5520E55D" w14:textId="77777777" w:rsidTr="005F1967">
        <w:tc>
          <w:tcPr>
            <w:tcW w:w="1197" w:type="dxa"/>
            <w:tcBorders>
              <w:top w:val="single" w:sz="4" w:space="0" w:color="auto"/>
              <w:left w:val="single" w:sz="4" w:space="0" w:color="auto"/>
              <w:bottom w:val="single" w:sz="4" w:space="0" w:color="auto"/>
              <w:right w:val="single" w:sz="4" w:space="0" w:color="auto"/>
            </w:tcBorders>
            <w:shd w:val="clear" w:color="auto" w:fill="auto"/>
          </w:tcPr>
          <w:p w14:paraId="47059540" w14:textId="77777777" w:rsidR="005F1967" w:rsidRPr="003B6A69" w:rsidRDefault="005F1967" w:rsidP="005F1967">
            <w:pPr>
              <w:spacing w:after="0"/>
              <w:rPr>
                <w:rFonts w:cs="Calibri"/>
                <w:bCs/>
                <w:color w:val="000000" w:themeColor="text1"/>
                <w:szCs w:val="20"/>
              </w:rPr>
            </w:pPr>
            <w:r w:rsidRPr="003B6A69">
              <w:rPr>
                <w:rFonts w:cs="Calibri"/>
                <w:bCs/>
                <w:color w:val="000000" w:themeColor="text1"/>
                <w:szCs w:val="20"/>
              </w:rPr>
              <w:t>NTFP</w:t>
            </w:r>
          </w:p>
        </w:tc>
        <w:tc>
          <w:tcPr>
            <w:tcW w:w="8482" w:type="dxa"/>
            <w:tcBorders>
              <w:top w:val="single" w:sz="4" w:space="0" w:color="auto"/>
              <w:left w:val="single" w:sz="4" w:space="0" w:color="auto"/>
              <w:bottom w:val="single" w:sz="4" w:space="0" w:color="auto"/>
              <w:right w:val="single" w:sz="4" w:space="0" w:color="auto"/>
            </w:tcBorders>
            <w:shd w:val="clear" w:color="auto" w:fill="auto"/>
          </w:tcPr>
          <w:p w14:paraId="3C3B971C" w14:textId="77777777" w:rsidR="005F1967" w:rsidRPr="003B6A69" w:rsidRDefault="005F1967" w:rsidP="005F1967">
            <w:pPr>
              <w:spacing w:after="0"/>
              <w:ind w:left="116"/>
              <w:rPr>
                <w:rFonts w:cs="Calibri"/>
                <w:bCs/>
                <w:color w:val="000000" w:themeColor="text1"/>
                <w:szCs w:val="20"/>
              </w:rPr>
            </w:pPr>
            <w:r w:rsidRPr="003B6A69">
              <w:rPr>
                <w:rFonts w:cs="Calibri"/>
                <w:bCs/>
                <w:color w:val="000000" w:themeColor="text1"/>
                <w:szCs w:val="20"/>
              </w:rPr>
              <w:t>Non-Timber Forest Product</w:t>
            </w:r>
          </w:p>
        </w:tc>
      </w:tr>
      <w:tr w:rsidR="005F1967" w:rsidRPr="003B6A69" w14:paraId="77363232" w14:textId="77777777" w:rsidTr="005F1967">
        <w:tc>
          <w:tcPr>
            <w:tcW w:w="1197" w:type="dxa"/>
            <w:tcBorders>
              <w:top w:val="single" w:sz="4" w:space="0" w:color="auto"/>
              <w:left w:val="single" w:sz="4" w:space="0" w:color="auto"/>
              <w:bottom w:val="single" w:sz="4" w:space="0" w:color="auto"/>
              <w:right w:val="single" w:sz="4" w:space="0" w:color="auto"/>
            </w:tcBorders>
            <w:shd w:val="clear" w:color="auto" w:fill="auto"/>
          </w:tcPr>
          <w:p w14:paraId="6A0BF29B" w14:textId="77777777" w:rsidR="005F1967" w:rsidRPr="003B6A69" w:rsidRDefault="005F1967" w:rsidP="005F1967">
            <w:pPr>
              <w:spacing w:after="0"/>
              <w:rPr>
                <w:rFonts w:cs="Calibri"/>
                <w:bCs/>
                <w:color w:val="000000" w:themeColor="text1"/>
                <w:szCs w:val="20"/>
              </w:rPr>
            </w:pPr>
            <w:r w:rsidRPr="003B6A69">
              <w:rPr>
                <w:rFonts w:cs="Calibri"/>
                <w:bCs/>
                <w:color w:val="000000" w:themeColor="text1"/>
                <w:szCs w:val="20"/>
              </w:rPr>
              <w:t>PA</w:t>
            </w:r>
          </w:p>
        </w:tc>
        <w:tc>
          <w:tcPr>
            <w:tcW w:w="8482" w:type="dxa"/>
            <w:tcBorders>
              <w:top w:val="single" w:sz="4" w:space="0" w:color="auto"/>
              <w:left w:val="single" w:sz="4" w:space="0" w:color="auto"/>
              <w:bottom w:val="single" w:sz="4" w:space="0" w:color="auto"/>
              <w:right w:val="single" w:sz="4" w:space="0" w:color="auto"/>
            </w:tcBorders>
            <w:shd w:val="clear" w:color="auto" w:fill="auto"/>
          </w:tcPr>
          <w:p w14:paraId="67670BA2" w14:textId="77777777" w:rsidR="005F1967" w:rsidRPr="003B6A69" w:rsidRDefault="005F1967" w:rsidP="005F1967">
            <w:pPr>
              <w:spacing w:after="0"/>
              <w:ind w:left="116"/>
              <w:rPr>
                <w:rFonts w:cs="Calibri"/>
                <w:bCs/>
                <w:color w:val="000000" w:themeColor="text1"/>
                <w:szCs w:val="20"/>
              </w:rPr>
            </w:pPr>
            <w:r w:rsidRPr="003B6A69">
              <w:rPr>
                <w:rFonts w:cs="Calibri"/>
                <w:bCs/>
                <w:color w:val="000000" w:themeColor="text1"/>
                <w:szCs w:val="20"/>
              </w:rPr>
              <w:t>Protected Area</w:t>
            </w:r>
          </w:p>
        </w:tc>
      </w:tr>
      <w:tr w:rsidR="005F1967" w:rsidRPr="003B6A69" w14:paraId="0C856417" w14:textId="77777777" w:rsidTr="005F1967">
        <w:tc>
          <w:tcPr>
            <w:tcW w:w="1197" w:type="dxa"/>
            <w:shd w:val="clear" w:color="auto" w:fill="auto"/>
          </w:tcPr>
          <w:p w14:paraId="75309B07" w14:textId="77777777" w:rsidR="005F1967" w:rsidRPr="003B6A69" w:rsidRDefault="005F1967" w:rsidP="005F1967">
            <w:pPr>
              <w:spacing w:after="0"/>
              <w:rPr>
                <w:rFonts w:asciiTheme="minorHAnsi" w:hAnsiTheme="minorHAnsi" w:cstheme="minorHAnsi"/>
                <w:szCs w:val="20"/>
              </w:rPr>
            </w:pPr>
            <w:r w:rsidRPr="003B6A69">
              <w:rPr>
                <w:rFonts w:asciiTheme="minorHAnsi" w:hAnsiTheme="minorHAnsi" w:cstheme="minorHAnsi"/>
                <w:szCs w:val="20"/>
              </w:rPr>
              <w:t>PENP</w:t>
            </w:r>
          </w:p>
        </w:tc>
        <w:tc>
          <w:tcPr>
            <w:tcW w:w="8482" w:type="dxa"/>
            <w:shd w:val="clear" w:color="auto" w:fill="auto"/>
          </w:tcPr>
          <w:p w14:paraId="64B846EA" w14:textId="77777777" w:rsidR="005F1967" w:rsidRPr="003B6A69" w:rsidRDefault="005F1967" w:rsidP="005F1967">
            <w:pPr>
              <w:spacing w:after="0"/>
              <w:ind w:left="116"/>
              <w:rPr>
                <w:rFonts w:asciiTheme="minorHAnsi" w:hAnsiTheme="minorHAnsi" w:cstheme="minorHAnsi"/>
                <w:szCs w:val="20"/>
              </w:rPr>
            </w:pPr>
            <w:r w:rsidRPr="003B6A69">
              <w:rPr>
                <w:rFonts w:asciiTheme="minorHAnsi" w:hAnsiTheme="minorHAnsi" w:cstheme="minorHAnsi"/>
                <w:szCs w:val="20"/>
              </w:rPr>
              <w:t>Public Enterprise National Parks of Montenegro</w:t>
            </w:r>
          </w:p>
        </w:tc>
      </w:tr>
      <w:tr w:rsidR="005F1967" w:rsidRPr="003B6A69" w14:paraId="17C37E55" w14:textId="77777777" w:rsidTr="005F1967">
        <w:tc>
          <w:tcPr>
            <w:tcW w:w="1197" w:type="dxa"/>
            <w:shd w:val="clear" w:color="auto" w:fill="auto"/>
          </w:tcPr>
          <w:p w14:paraId="745D7B1A" w14:textId="77777777" w:rsidR="005F1967" w:rsidRPr="003B6A69" w:rsidRDefault="005F1967" w:rsidP="005F1967">
            <w:pPr>
              <w:spacing w:after="0"/>
              <w:rPr>
                <w:rFonts w:asciiTheme="minorHAnsi" w:hAnsiTheme="minorHAnsi" w:cstheme="minorHAnsi"/>
                <w:szCs w:val="20"/>
              </w:rPr>
            </w:pPr>
            <w:r w:rsidRPr="003B6A69">
              <w:rPr>
                <w:rFonts w:asciiTheme="minorHAnsi" w:hAnsiTheme="minorHAnsi" w:cstheme="minorHAnsi"/>
                <w:szCs w:val="20"/>
              </w:rPr>
              <w:t>PIF</w:t>
            </w:r>
          </w:p>
        </w:tc>
        <w:tc>
          <w:tcPr>
            <w:tcW w:w="8482" w:type="dxa"/>
            <w:shd w:val="clear" w:color="auto" w:fill="auto"/>
          </w:tcPr>
          <w:p w14:paraId="41488FDA" w14:textId="77777777" w:rsidR="005F1967" w:rsidRPr="003B6A69" w:rsidRDefault="005F1967" w:rsidP="005F1967">
            <w:pPr>
              <w:spacing w:after="0"/>
              <w:ind w:left="116"/>
              <w:rPr>
                <w:rFonts w:asciiTheme="minorHAnsi" w:hAnsiTheme="minorHAnsi" w:cstheme="minorHAnsi"/>
                <w:szCs w:val="20"/>
              </w:rPr>
            </w:pPr>
            <w:r w:rsidRPr="003B6A69">
              <w:rPr>
                <w:rFonts w:asciiTheme="minorHAnsi" w:hAnsiTheme="minorHAnsi" w:cstheme="minorHAnsi"/>
                <w:szCs w:val="20"/>
              </w:rPr>
              <w:t>Project Identification Form</w:t>
            </w:r>
          </w:p>
        </w:tc>
      </w:tr>
      <w:tr w:rsidR="007B2F86" w:rsidRPr="003B6A69" w14:paraId="39BB0BEB" w14:textId="77777777" w:rsidTr="005F1967">
        <w:tc>
          <w:tcPr>
            <w:tcW w:w="1197" w:type="dxa"/>
            <w:shd w:val="clear" w:color="auto" w:fill="auto"/>
          </w:tcPr>
          <w:p w14:paraId="600387D0" w14:textId="57C5045F" w:rsidR="007B2F86" w:rsidRPr="003B6A69" w:rsidRDefault="007B2F86" w:rsidP="005F1967">
            <w:pPr>
              <w:spacing w:after="0"/>
              <w:rPr>
                <w:rFonts w:asciiTheme="minorHAnsi" w:hAnsiTheme="minorHAnsi" w:cstheme="minorHAnsi"/>
                <w:szCs w:val="20"/>
              </w:rPr>
            </w:pPr>
            <w:r>
              <w:rPr>
                <w:rFonts w:asciiTheme="minorHAnsi" w:hAnsiTheme="minorHAnsi" w:cstheme="minorHAnsi"/>
                <w:szCs w:val="20"/>
              </w:rPr>
              <w:t>PM</w:t>
            </w:r>
          </w:p>
        </w:tc>
        <w:tc>
          <w:tcPr>
            <w:tcW w:w="8482" w:type="dxa"/>
            <w:shd w:val="clear" w:color="auto" w:fill="auto"/>
          </w:tcPr>
          <w:p w14:paraId="027E1367" w14:textId="2C99F164" w:rsidR="007B2F86" w:rsidRPr="003B6A69" w:rsidRDefault="00127DDC" w:rsidP="005F1967">
            <w:pPr>
              <w:spacing w:after="0"/>
              <w:ind w:left="116"/>
              <w:rPr>
                <w:rFonts w:asciiTheme="minorHAnsi" w:hAnsiTheme="minorHAnsi" w:cstheme="minorHAnsi"/>
                <w:szCs w:val="20"/>
              </w:rPr>
            </w:pPr>
            <w:r w:rsidRPr="00127DDC">
              <w:rPr>
                <w:highlight w:val="yellow"/>
                <w:lang w:val="en-GB" w:eastAsia="ja-JP"/>
              </w:rPr>
              <w:t xml:space="preserve">Project Coordinator / </w:t>
            </w:r>
            <w:proofErr w:type="gramStart"/>
            <w:r w:rsidRPr="00127DDC">
              <w:rPr>
                <w:highlight w:val="yellow"/>
                <w:lang w:val="en-GB" w:eastAsia="ja-JP"/>
              </w:rPr>
              <w:t>Principle</w:t>
            </w:r>
            <w:proofErr w:type="gramEnd"/>
            <w:r w:rsidRPr="00127DDC">
              <w:rPr>
                <w:highlight w:val="yellow"/>
                <w:lang w:val="en-GB" w:eastAsia="ja-JP"/>
              </w:rPr>
              <w:t xml:space="preserve"> Manager</w:t>
            </w:r>
          </w:p>
        </w:tc>
      </w:tr>
      <w:tr w:rsidR="005F1967" w:rsidRPr="003B6A69" w14:paraId="733AECCE" w14:textId="77777777" w:rsidTr="005F1967">
        <w:tc>
          <w:tcPr>
            <w:tcW w:w="1197" w:type="dxa"/>
            <w:shd w:val="clear" w:color="auto" w:fill="auto"/>
          </w:tcPr>
          <w:p w14:paraId="41D23814" w14:textId="77777777" w:rsidR="005F1967" w:rsidRPr="003B6A69" w:rsidRDefault="005F1967" w:rsidP="005F1967">
            <w:pPr>
              <w:spacing w:after="0"/>
              <w:rPr>
                <w:rFonts w:asciiTheme="minorHAnsi" w:hAnsiTheme="minorHAnsi" w:cstheme="minorHAnsi"/>
                <w:szCs w:val="20"/>
              </w:rPr>
            </w:pPr>
            <w:r w:rsidRPr="003B6A69">
              <w:rPr>
                <w:rFonts w:asciiTheme="minorHAnsi" w:hAnsiTheme="minorHAnsi" w:cstheme="minorHAnsi"/>
                <w:szCs w:val="20"/>
              </w:rPr>
              <w:t>PPG</w:t>
            </w:r>
          </w:p>
        </w:tc>
        <w:tc>
          <w:tcPr>
            <w:tcW w:w="8482" w:type="dxa"/>
            <w:shd w:val="clear" w:color="auto" w:fill="auto"/>
          </w:tcPr>
          <w:p w14:paraId="38BE2FC2" w14:textId="77777777" w:rsidR="005F1967" w:rsidRPr="003B6A69" w:rsidRDefault="005F1967" w:rsidP="005F1967">
            <w:pPr>
              <w:spacing w:after="0"/>
              <w:ind w:left="116"/>
              <w:rPr>
                <w:rFonts w:asciiTheme="minorHAnsi" w:hAnsiTheme="minorHAnsi" w:cstheme="minorHAnsi"/>
                <w:szCs w:val="20"/>
              </w:rPr>
            </w:pPr>
            <w:r w:rsidRPr="003B6A69">
              <w:rPr>
                <w:rFonts w:asciiTheme="minorHAnsi" w:hAnsiTheme="minorHAnsi" w:cstheme="minorHAnsi"/>
                <w:szCs w:val="20"/>
              </w:rPr>
              <w:t>Project Preparation Grant</w:t>
            </w:r>
          </w:p>
        </w:tc>
      </w:tr>
      <w:tr w:rsidR="005F1967" w:rsidRPr="003B6A69" w14:paraId="3AEFFDF8" w14:textId="77777777" w:rsidTr="005F1967">
        <w:tc>
          <w:tcPr>
            <w:tcW w:w="1197" w:type="dxa"/>
            <w:shd w:val="clear" w:color="auto" w:fill="auto"/>
          </w:tcPr>
          <w:p w14:paraId="369B980B" w14:textId="77777777" w:rsidR="005F1967" w:rsidRPr="003B6A69" w:rsidRDefault="005F1967" w:rsidP="005F1967">
            <w:pPr>
              <w:spacing w:after="0"/>
              <w:rPr>
                <w:rFonts w:cs="Calibri"/>
                <w:bCs/>
                <w:color w:val="000000" w:themeColor="text1"/>
                <w:szCs w:val="20"/>
              </w:rPr>
            </w:pPr>
            <w:r w:rsidRPr="003B6A69">
              <w:t>SESP</w:t>
            </w:r>
          </w:p>
        </w:tc>
        <w:tc>
          <w:tcPr>
            <w:tcW w:w="8482" w:type="dxa"/>
            <w:shd w:val="clear" w:color="auto" w:fill="auto"/>
          </w:tcPr>
          <w:p w14:paraId="0A24A58E" w14:textId="77777777" w:rsidR="005F1967" w:rsidRPr="003B6A69" w:rsidRDefault="005F1967" w:rsidP="005F1967">
            <w:pPr>
              <w:spacing w:after="0"/>
              <w:ind w:left="116"/>
              <w:rPr>
                <w:rFonts w:cs="Calibri"/>
                <w:bCs/>
                <w:color w:val="000000" w:themeColor="text1"/>
                <w:szCs w:val="20"/>
              </w:rPr>
            </w:pPr>
            <w:r w:rsidRPr="003B6A69">
              <w:t>UNDP Social and Environmental Screening Procedure</w:t>
            </w:r>
          </w:p>
        </w:tc>
      </w:tr>
      <w:tr w:rsidR="005F1967" w:rsidRPr="003B6A69" w14:paraId="52B8385F" w14:textId="77777777" w:rsidTr="005F1967">
        <w:tc>
          <w:tcPr>
            <w:tcW w:w="1197" w:type="dxa"/>
            <w:shd w:val="clear" w:color="auto" w:fill="auto"/>
          </w:tcPr>
          <w:p w14:paraId="23EEF494" w14:textId="77777777" w:rsidR="005F1967" w:rsidRPr="003B6A69" w:rsidRDefault="005F1967" w:rsidP="005F1967">
            <w:pPr>
              <w:spacing w:after="0"/>
              <w:rPr>
                <w:rFonts w:asciiTheme="minorHAnsi" w:hAnsiTheme="minorHAnsi" w:cstheme="minorHAnsi"/>
                <w:szCs w:val="20"/>
              </w:rPr>
            </w:pPr>
            <w:r w:rsidRPr="003B6A69">
              <w:rPr>
                <w:rFonts w:cs="Calibri"/>
                <w:bCs/>
                <w:color w:val="000000" w:themeColor="text1"/>
                <w:szCs w:val="20"/>
              </w:rPr>
              <w:t>SWOT</w:t>
            </w:r>
          </w:p>
        </w:tc>
        <w:tc>
          <w:tcPr>
            <w:tcW w:w="8482" w:type="dxa"/>
            <w:shd w:val="clear" w:color="auto" w:fill="auto"/>
          </w:tcPr>
          <w:p w14:paraId="2129914F" w14:textId="77777777" w:rsidR="005F1967" w:rsidRPr="003B6A69" w:rsidRDefault="005F1967" w:rsidP="005F1967">
            <w:pPr>
              <w:spacing w:after="0"/>
              <w:ind w:left="116"/>
              <w:rPr>
                <w:rFonts w:cs="Calibri"/>
                <w:bCs/>
                <w:color w:val="000000" w:themeColor="text1"/>
                <w:szCs w:val="20"/>
              </w:rPr>
            </w:pPr>
            <w:r w:rsidRPr="003B6A69">
              <w:rPr>
                <w:rFonts w:cs="Calibri"/>
                <w:bCs/>
                <w:color w:val="000000" w:themeColor="text1"/>
                <w:szCs w:val="20"/>
              </w:rPr>
              <w:t>Strengths Weaknesses Opportunities Threats (analysis)</w:t>
            </w:r>
          </w:p>
        </w:tc>
      </w:tr>
      <w:tr w:rsidR="005F1967" w:rsidRPr="003B6A69" w14:paraId="29BD7ABA" w14:textId="77777777" w:rsidTr="005F1967">
        <w:tc>
          <w:tcPr>
            <w:tcW w:w="1197" w:type="dxa"/>
            <w:shd w:val="clear" w:color="auto" w:fill="auto"/>
          </w:tcPr>
          <w:p w14:paraId="005788F4" w14:textId="77777777" w:rsidR="005F1967" w:rsidRPr="003B6A69" w:rsidRDefault="005F1967" w:rsidP="005F1967">
            <w:pPr>
              <w:spacing w:after="0"/>
              <w:rPr>
                <w:rFonts w:asciiTheme="minorHAnsi" w:hAnsiTheme="minorHAnsi" w:cstheme="minorHAnsi"/>
                <w:szCs w:val="20"/>
              </w:rPr>
            </w:pPr>
            <w:proofErr w:type="spellStart"/>
            <w:r w:rsidRPr="003B6A69">
              <w:rPr>
                <w:rFonts w:asciiTheme="minorHAnsi" w:hAnsiTheme="minorHAnsi" w:cstheme="minorHAnsi"/>
                <w:szCs w:val="20"/>
              </w:rPr>
              <w:t>ToC</w:t>
            </w:r>
            <w:proofErr w:type="spellEnd"/>
          </w:p>
        </w:tc>
        <w:tc>
          <w:tcPr>
            <w:tcW w:w="8482" w:type="dxa"/>
            <w:shd w:val="clear" w:color="auto" w:fill="auto"/>
          </w:tcPr>
          <w:p w14:paraId="392DB675" w14:textId="77777777" w:rsidR="005F1967" w:rsidRPr="003B6A69" w:rsidRDefault="005F1967" w:rsidP="005F1967">
            <w:pPr>
              <w:spacing w:after="0"/>
              <w:ind w:left="116"/>
              <w:rPr>
                <w:rFonts w:asciiTheme="minorHAnsi" w:hAnsiTheme="minorHAnsi" w:cstheme="minorHAnsi"/>
                <w:szCs w:val="20"/>
              </w:rPr>
            </w:pPr>
            <w:r w:rsidRPr="003B6A69">
              <w:rPr>
                <w:rFonts w:cs="Calibri"/>
                <w:bCs/>
                <w:color w:val="000000" w:themeColor="text1"/>
                <w:szCs w:val="20"/>
              </w:rPr>
              <w:t>Theory of Change</w:t>
            </w:r>
          </w:p>
        </w:tc>
      </w:tr>
      <w:tr w:rsidR="005F1967" w:rsidRPr="003B6A69" w14:paraId="5921691E" w14:textId="77777777" w:rsidTr="005F1967">
        <w:tc>
          <w:tcPr>
            <w:tcW w:w="1197" w:type="dxa"/>
            <w:shd w:val="clear" w:color="auto" w:fill="auto"/>
          </w:tcPr>
          <w:p w14:paraId="6519F9B9" w14:textId="77777777" w:rsidR="005F1967" w:rsidRPr="003B6A69" w:rsidRDefault="005F1967" w:rsidP="005F1967">
            <w:pPr>
              <w:spacing w:after="0"/>
              <w:rPr>
                <w:rFonts w:asciiTheme="minorHAnsi" w:hAnsiTheme="minorHAnsi" w:cstheme="minorHAnsi"/>
                <w:szCs w:val="20"/>
              </w:rPr>
            </w:pPr>
            <w:proofErr w:type="spellStart"/>
            <w:r w:rsidRPr="003B6A69">
              <w:rPr>
                <w:rFonts w:asciiTheme="minorHAnsi" w:hAnsiTheme="minorHAnsi"/>
                <w:szCs w:val="20"/>
              </w:rPr>
              <w:t>ToR</w:t>
            </w:r>
            <w:proofErr w:type="spellEnd"/>
          </w:p>
        </w:tc>
        <w:tc>
          <w:tcPr>
            <w:tcW w:w="8482" w:type="dxa"/>
            <w:shd w:val="clear" w:color="auto" w:fill="auto"/>
          </w:tcPr>
          <w:p w14:paraId="308E2B57" w14:textId="77777777" w:rsidR="005F1967" w:rsidRPr="003B6A69" w:rsidRDefault="005F1967" w:rsidP="005F1967">
            <w:pPr>
              <w:spacing w:after="0"/>
              <w:ind w:left="116"/>
              <w:rPr>
                <w:rFonts w:asciiTheme="minorHAnsi" w:hAnsiTheme="minorHAnsi" w:cstheme="minorHAnsi"/>
                <w:szCs w:val="20"/>
              </w:rPr>
            </w:pPr>
            <w:r w:rsidRPr="003B6A69">
              <w:rPr>
                <w:rFonts w:asciiTheme="minorHAnsi" w:hAnsiTheme="minorHAnsi" w:cstheme="minorHAnsi"/>
                <w:szCs w:val="20"/>
              </w:rPr>
              <w:t>Terms of Reference</w:t>
            </w:r>
          </w:p>
        </w:tc>
      </w:tr>
      <w:tr w:rsidR="005F1967" w:rsidRPr="003B6A69" w14:paraId="42F1F35E" w14:textId="77777777" w:rsidTr="005F1967">
        <w:tc>
          <w:tcPr>
            <w:tcW w:w="1197" w:type="dxa"/>
            <w:shd w:val="clear" w:color="auto" w:fill="auto"/>
          </w:tcPr>
          <w:p w14:paraId="71CA8CCC" w14:textId="77777777" w:rsidR="005F1967" w:rsidRPr="003B6A69" w:rsidRDefault="005F1967" w:rsidP="005F1967">
            <w:pPr>
              <w:spacing w:after="0"/>
              <w:jc w:val="left"/>
              <w:rPr>
                <w:rFonts w:asciiTheme="minorHAnsi" w:eastAsia="Times" w:hAnsiTheme="minorHAnsi" w:cstheme="minorHAnsi"/>
                <w:szCs w:val="20"/>
              </w:rPr>
            </w:pPr>
            <w:r w:rsidRPr="003B6A69">
              <w:rPr>
                <w:rFonts w:asciiTheme="minorHAnsi" w:eastAsia="Times" w:hAnsiTheme="minorHAnsi" w:cstheme="minorHAnsi"/>
                <w:szCs w:val="20"/>
              </w:rPr>
              <w:t>UNDP</w:t>
            </w:r>
          </w:p>
        </w:tc>
        <w:tc>
          <w:tcPr>
            <w:tcW w:w="8482" w:type="dxa"/>
            <w:shd w:val="clear" w:color="auto" w:fill="auto"/>
          </w:tcPr>
          <w:p w14:paraId="02885357" w14:textId="77777777" w:rsidR="005F1967" w:rsidRPr="003B6A69" w:rsidRDefault="005F1967" w:rsidP="005F1967">
            <w:pPr>
              <w:spacing w:after="0"/>
              <w:ind w:left="116"/>
              <w:jc w:val="left"/>
              <w:rPr>
                <w:rFonts w:asciiTheme="minorHAnsi" w:eastAsia="Times" w:hAnsiTheme="minorHAnsi" w:cstheme="minorHAnsi"/>
                <w:szCs w:val="20"/>
              </w:rPr>
            </w:pPr>
            <w:r w:rsidRPr="003B6A69">
              <w:rPr>
                <w:rFonts w:asciiTheme="minorHAnsi" w:eastAsia="Times" w:hAnsiTheme="minorHAnsi" w:cstheme="minorHAnsi"/>
                <w:szCs w:val="20"/>
              </w:rPr>
              <w:t xml:space="preserve">United Nations Development </w:t>
            </w:r>
            <w:proofErr w:type="spellStart"/>
            <w:r w:rsidRPr="003B6A69">
              <w:rPr>
                <w:rFonts w:asciiTheme="minorHAnsi" w:eastAsia="Times" w:hAnsiTheme="minorHAnsi" w:cstheme="minorHAnsi"/>
                <w:szCs w:val="20"/>
              </w:rPr>
              <w:t>Programme</w:t>
            </w:r>
            <w:proofErr w:type="spellEnd"/>
          </w:p>
        </w:tc>
      </w:tr>
      <w:tr w:rsidR="005F1967" w:rsidRPr="003B6A69" w14:paraId="3CA879AC" w14:textId="77777777" w:rsidTr="005F1967">
        <w:tc>
          <w:tcPr>
            <w:tcW w:w="1197" w:type="dxa"/>
            <w:shd w:val="clear" w:color="auto" w:fill="auto"/>
          </w:tcPr>
          <w:p w14:paraId="571230EB" w14:textId="77777777" w:rsidR="005F1967" w:rsidRPr="003B6A69" w:rsidRDefault="005F1967" w:rsidP="005F1967">
            <w:pPr>
              <w:spacing w:after="0"/>
              <w:jc w:val="left"/>
              <w:rPr>
                <w:rFonts w:asciiTheme="minorHAnsi" w:eastAsia="Times" w:hAnsiTheme="minorHAnsi" w:cstheme="minorHAnsi"/>
                <w:szCs w:val="20"/>
              </w:rPr>
            </w:pPr>
            <w:r w:rsidRPr="003B6A69">
              <w:rPr>
                <w:rFonts w:asciiTheme="minorHAnsi" w:eastAsia="Times" w:hAnsiTheme="minorHAnsi" w:cstheme="minorHAnsi"/>
                <w:szCs w:val="20"/>
              </w:rPr>
              <w:t>UNDP-GEF</w:t>
            </w:r>
          </w:p>
        </w:tc>
        <w:tc>
          <w:tcPr>
            <w:tcW w:w="8482" w:type="dxa"/>
            <w:shd w:val="clear" w:color="auto" w:fill="auto"/>
          </w:tcPr>
          <w:p w14:paraId="6FEB9B0F" w14:textId="77777777" w:rsidR="005F1967" w:rsidRPr="003B6A69" w:rsidRDefault="005F1967" w:rsidP="005F1967">
            <w:pPr>
              <w:spacing w:after="0"/>
              <w:ind w:left="116"/>
              <w:jc w:val="left"/>
              <w:rPr>
                <w:rFonts w:asciiTheme="minorHAnsi" w:eastAsia="Times" w:hAnsiTheme="minorHAnsi" w:cstheme="minorHAnsi"/>
                <w:szCs w:val="20"/>
              </w:rPr>
            </w:pPr>
            <w:r w:rsidRPr="003B6A69">
              <w:rPr>
                <w:rFonts w:asciiTheme="minorHAnsi" w:eastAsia="Times" w:hAnsiTheme="minorHAnsi" w:cstheme="minorHAnsi"/>
                <w:szCs w:val="20"/>
              </w:rPr>
              <w:t>UNDP Global Environmental Finance Unit</w:t>
            </w:r>
          </w:p>
        </w:tc>
      </w:tr>
      <w:tr w:rsidR="005F1967" w:rsidRPr="003B6A69" w14:paraId="6F5E2DFA" w14:textId="77777777" w:rsidTr="005F1967">
        <w:tc>
          <w:tcPr>
            <w:tcW w:w="1197" w:type="dxa"/>
            <w:shd w:val="clear" w:color="auto" w:fill="auto"/>
          </w:tcPr>
          <w:p w14:paraId="265092A1" w14:textId="77777777" w:rsidR="005F1967" w:rsidRPr="003B6A69" w:rsidRDefault="005F1967" w:rsidP="005F1967">
            <w:pPr>
              <w:spacing w:after="0"/>
              <w:jc w:val="left"/>
              <w:rPr>
                <w:rFonts w:asciiTheme="minorHAnsi" w:eastAsia="Times" w:hAnsiTheme="minorHAnsi" w:cstheme="minorHAnsi"/>
                <w:szCs w:val="20"/>
              </w:rPr>
            </w:pPr>
            <w:r w:rsidRPr="003B6A69">
              <w:rPr>
                <w:rFonts w:asciiTheme="minorHAnsi" w:eastAsia="Times" w:hAnsiTheme="minorHAnsi" w:cstheme="minorHAnsi"/>
                <w:szCs w:val="20"/>
              </w:rPr>
              <w:t>UNEP</w:t>
            </w:r>
          </w:p>
        </w:tc>
        <w:tc>
          <w:tcPr>
            <w:tcW w:w="8482" w:type="dxa"/>
            <w:shd w:val="clear" w:color="auto" w:fill="auto"/>
          </w:tcPr>
          <w:p w14:paraId="7C15E77A" w14:textId="77777777" w:rsidR="005F1967" w:rsidRPr="003B6A69" w:rsidRDefault="005F1967" w:rsidP="005F1967">
            <w:pPr>
              <w:spacing w:after="0"/>
              <w:ind w:left="116"/>
              <w:jc w:val="left"/>
              <w:rPr>
                <w:rFonts w:asciiTheme="minorHAnsi" w:eastAsia="Times" w:hAnsiTheme="minorHAnsi" w:cstheme="minorHAnsi"/>
                <w:szCs w:val="20"/>
              </w:rPr>
            </w:pPr>
            <w:r w:rsidRPr="003B6A69">
              <w:rPr>
                <w:rFonts w:asciiTheme="minorHAnsi" w:eastAsia="Times" w:hAnsiTheme="minorHAnsi" w:cstheme="minorHAnsi"/>
                <w:szCs w:val="20"/>
              </w:rPr>
              <w:t>UN Environment</w:t>
            </w:r>
          </w:p>
        </w:tc>
      </w:tr>
      <w:tr w:rsidR="005F1967" w:rsidRPr="003B6A69" w14:paraId="54F107F9" w14:textId="77777777" w:rsidTr="005F1967">
        <w:tc>
          <w:tcPr>
            <w:tcW w:w="1197" w:type="dxa"/>
            <w:shd w:val="clear" w:color="auto" w:fill="auto"/>
          </w:tcPr>
          <w:p w14:paraId="0B16B700" w14:textId="77777777" w:rsidR="005F1967" w:rsidRPr="003B6A69" w:rsidRDefault="005F1967" w:rsidP="005F1967">
            <w:pPr>
              <w:spacing w:after="0"/>
              <w:jc w:val="left"/>
              <w:rPr>
                <w:rFonts w:asciiTheme="minorHAnsi" w:eastAsia="Times" w:hAnsiTheme="minorHAnsi" w:cstheme="minorHAnsi"/>
                <w:szCs w:val="20"/>
              </w:rPr>
            </w:pPr>
            <w:r w:rsidRPr="003B6A69">
              <w:rPr>
                <w:rFonts w:asciiTheme="minorHAnsi" w:eastAsia="Times" w:hAnsiTheme="minorHAnsi" w:cstheme="minorHAnsi"/>
                <w:szCs w:val="20"/>
              </w:rPr>
              <w:t>UNESCO</w:t>
            </w:r>
          </w:p>
        </w:tc>
        <w:tc>
          <w:tcPr>
            <w:tcW w:w="8482" w:type="dxa"/>
            <w:shd w:val="clear" w:color="auto" w:fill="auto"/>
          </w:tcPr>
          <w:p w14:paraId="01773320" w14:textId="77777777" w:rsidR="005F1967" w:rsidRPr="003B6A69" w:rsidRDefault="005F1967" w:rsidP="005F1967">
            <w:pPr>
              <w:spacing w:after="0"/>
              <w:ind w:left="116"/>
              <w:jc w:val="left"/>
              <w:rPr>
                <w:rFonts w:asciiTheme="minorHAnsi" w:eastAsia="Times" w:hAnsiTheme="minorHAnsi" w:cstheme="minorHAnsi"/>
                <w:szCs w:val="20"/>
              </w:rPr>
            </w:pPr>
            <w:r w:rsidRPr="003B6A69">
              <w:rPr>
                <w:rFonts w:asciiTheme="minorHAnsi" w:eastAsia="Times" w:hAnsiTheme="minorHAnsi" w:cstheme="minorHAnsi"/>
                <w:szCs w:val="20"/>
              </w:rPr>
              <w:t>United Nations Educational, Scientific and Cultural Organization</w:t>
            </w:r>
          </w:p>
        </w:tc>
      </w:tr>
      <w:tr w:rsidR="005F1967" w:rsidRPr="003B6A69" w14:paraId="5F404B63" w14:textId="77777777" w:rsidTr="005F1967">
        <w:tc>
          <w:tcPr>
            <w:tcW w:w="1197" w:type="dxa"/>
            <w:shd w:val="clear" w:color="auto" w:fill="auto"/>
          </w:tcPr>
          <w:p w14:paraId="3DCBC1E3" w14:textId="77777777" w:rsidR="005F1967" w:rsidRPr="003B6A69" w:rsidRDefault="005F1967" w:rsidP="005F1967">
            <w:pPr>
              <w:spacing w:after="0"/>
              <w:jc w:val="left"/>
              <w:rPr>
                <w:rFonts w:asciiTheme="minorHAnsi" w:eastAsia="Times" w:hAnsiTheme="minorHAnsi" w:cstheme="minorHAnsi"/>
                <w:szCs w:val="20"/>
              </w:rPr>
            </w:pPr>
            <w:r w:rsidRPr="003B6A69">
              <w:rPr>
                <w:rFonts w:asciiTheme="minorHAnsi" w:eastAsia="Times" w:hAnsiTheme="minorHAnsi" w:cstheme="minorHAnsi"/>
                <w:szCs w:val="20"/>
              </w:rPr>
              <w:t>WH</w:t>
            </w:r>
          </w:p>
        </w:tc>
        <w:tc>
          <w:tcPr>
            <w:tcW w:w="8482" w:type="dxa"/>
            <w:shd w:val="clear" w:color="auto" w:fill="auto"/>
          </w:tcPr>
          <w:p w14:paraId="4CD9EC05" w14:textId="77777777" w:rsidR="005F1967" w:rsidRPr="003B6A69" w:rsidRDefault="005F1967" w:rsidP="005F1967">
            <w:pPr>
              <w:spacing w:after="0"/>
              <w:ind w:left="116"/>
              <w:jc w:val="left"/>
              <w:rPr>
                <w:rFonts w:asciiTheme="minorHAnsi" w:eastAsia="Times" w:hAnsiTheme="minorHAnsi" w:cstheme="minorHAnsi"/>
                <w:szCs w:val="20"/>
              </w:rPr>
            </w:pPr>
            <w:r w:rsidRPr="003B6A69">
              <w:rPr>
                <w:rFonts w:asciiTheme="minorHAnsi" w:eastAsia="Times" w:hAnsiTheme="minorHAnsi" w:cstheme="minorHAnsi"/>
                <w:szCs w:val="20"/>
              </w:rPr>
              <w:t>World Heritage</w:t>
            </w:r>
          </w:p>
        </w:tc>
      </w:tr>
    </w:tbl>
    <w:p w14:paraId="4099116C" w14:textId="77777777" w:rsidR="005F1967" w:rsidRPr="003B6A69" w:rsidRDefault="005F1967" w:rsidP="005F1967">
      <w:pPr>
        <w:spacing w:after="160" w:line="259" w:lineRule="auto"/>
        <w:jc w:val="left"/>
        <w:rPr>
          <w:rFonts w:asciiTheme="minorHAnsi" w:eastAsiaTheme="minorHAnsi" w:hAnsiTheme="minorHAnsi" w:cstheme="minorBidi"/>
          <w:sz w:val="22"/>
          <w:szCs w:val="22"/>
        </w:rPr>
      </w:pPr>
    </w:p>
    <w:p w14:paraId="7C6990A9" w14:textId="77777777" w:rsidR="00B24DF3" w:rsidRPr="003B6A69" w:rsidRDefault="00B24DF3" w:rsidP="00B24DF3">
      <w:pPr>
        <w:spacing w:after="160" w:line="259" w:lineRule="auto"/>
        <w:jc w:val="left"/>
        <w:rPr>
          <w:rFonts w:cs="Calibri"/>
          <w:bCs/>
          <w:lang w:val="en-GB"/>
        </w:rPr>
      </w:pPr>
      <w:r w:rsidRPr="003B6A69">
        <w:rPr>
          <w:rFonts w:cs="Calibri"/>
          <w:bCs/>
          <w:lang w:val="en-GB"/>
        </w:rPr>
        <w:br w:type="page"/>
      </w:r>
    </w:p>
    <w:p w14:paraId="036BDCAA" w14:textId="77777777" w:rsidR="005B475C" w:rsidRPr="003B6A69" w:rsidRDefault="005B475C">
      <w:pPr>
        <w:rPr>
          <w:rFonts w:asciiTheme="minorHAnsi" w:hAnsiTheme="minorHAnsi" w:cstheme="minorHAnsi"/>
          <w:lang w:val="en-GB"/>
        </w:rPr>
      </w:pPr>
    </w:p>
    <w:p w14:paraId="383A8DB1" w14:textId="33EF58A4" w:rsidR="009B6C37" w:rsidRPr="003B6A69" w:rsidRDefault="008C65EB" w:rsidP="009B6C37">
      <w:pPr>
        <w:pStyle w:val="Heading1"/>
        <w:spacing w:before="240" w:after="240"/>
        <w:rPr>
          <w:rFonts w:asciiTheme="minorHAnsi" w:hAnsiTheme="minorHAnsi" w:cstheme="minorHAnsi"/>
          <w:lang w:val="en-GB"/>
        </w:rPr>
      </w:pPr>
      <w:bookmarkStart w:id="2" w:name="_Toc407785517"/>
      <w:bookmarkStart w:id="3" w:name="_Toc82018238"/>
      <w:r w:rsidRPr="003B6A69">
        <w:rPr>
          <w:rFonts w:asciiTheme="minorHAnsi" w:hAnsiTheme="minorHAnsi" w:cstheme="minorHAnsi"/>
          <w:lang w:val="en-GB"/>
        </w:rPr>
        <w:t xml:space="preserve">Development </w:t>
      </w:r>
      <w:r w:rsidR="00005D48" w:rsidRPr="003B6A69">
        <w:rPr>
          <w:rFonts w:asciiTheme="minorHAnsi" w:hAnsiTheme="minorHAnsi" w:cstheme="minorHAnsi"/>
          <w:lang w:val="en-GB"/>
        </w:rPr>
        <w:t>C</w:t>
      </w:r>
      <w:r w:rsidR="004C3717" w:rsidRPr="003B6A69">
        <w:rPr>
          <w:rFonts w:asciiTheme="minorHAnsi" w:hAnsiTheme="minorHAnsi" w:cstheme="minorHAnsi"/>
          <w:lang w:val="en-GB"/>
        </w:rPr>
        <w:t>hallenge</w:t>
      </w:r>
      <w:bookmarkEnd w:id="2"/>
      <w:bookmarkEnd w:id="3"/>
      <w:r w:rsidR="00A25CCB" w:rsidRPr="003B6A69">
        <w:rPr>
          <w:rFonts w:asciiTheme="minorHAnsi" w:hAnsiTheme="minorHAnsi" w:cstheme="minorHAnsi"/>
          <w:lang w:val="en-GB"/>
        </w:rPr>
        <w:t xml:space="preserve"> </w:t>
      </w:r>
    </w:p>
    <w:p w14:paraId="6ED4E635" w14:textId="77777777" w:rsidR="00AF1F0F" w:rsidRPr="003B6A69" w:rsidRDefault="00AF1F0F" w:rsidP="00AF1F0F">
      <w:pPr>
        <w:pStyle w:val="Heading2"/>
        <w:rPr>
          <w:lang w:val="en-GB"/>
        </w:rPr>
      </w:pPr>
      <w:bookmarkStart w:id="4" w:name="_Toc82018239"/>
      <w:r w:rsidRPr="003B6A69">
        <w:rPr>
          <w:lang w:val="en-GB"/>
        </w:rPr>
        <w:t>1.1 Overall development context and challenge (socio-economic, sustainable development)</w:t>
      </w:r>
      <w:bookmarkEnd w:id="4"/>
      <w:r w:rsidRPr="003B6A69">
        <w:rPr>
          <w:lang w:val="en-GB"/>
        </w:rPr>
        <w:t xml:space="preserve"> </w:t>
      </w:r>
    </w:p>
    <w:p w14:paraId="78907018" w14:textId="6AA44597" w:rsidR="00AF1F0F" w:rsidRPr="003B6A69" w:rsidRDefault="00AF1F0F" w:rsidP="00AF69F1">
      <w:pPr>
        <w:numPr>
          <w:ilvl w:val="0"/>
          <w:numId w:val="14"/>
        </w:numPr>
        <w:tabs>
          <w:tab w:val="left" w:pos="426"/>
        </w:tabs>
        <w:spacing w:after="120"/>
        <w:ind w:left="0" w:firstLine="0"/>
        <w:rPr>
          <w:rFonts w:cs="Calibri"/>
          <w:bCs/>
          <w:lang w:val="en-GB"/>
        </w:rPr>
      </w:pPr>
      <w:r w:rsidRPr="003B6A69">
        <w:rPr>
          <w:rFonts w:asciiTheme="minorHAnsi" w:hAnsiTheme="minorHAnsi" w:cs="ArialMT"/>
          <w:szCs w:val="20"/>
        </w:rPr>
        <w:t>With a total of 13,812 square k</w:t>
      </w:r>
      <w:r w:rsidR="006C1C66" w:rsidRPr="003B6A69">
        <w:rPr>
          <w:rFonts w:asciiTheme="minorHAnsi" w:hAnsiTheme="minorHAnsi" w:cs="ArialMT"/>
          <w:szCs w:val="20"/>
        </w:rPr>
        <w:t>m</w:t>
      </w:r>
      <w:r w:rsidRPr="003B6A69">
        <w:rPr>
          <w:rFonts w:asciiTheme="minorHAnsi" w:hAnsiTheme="minorHAnsi" w:cs="ArialMT"/>
          <w:szCs w:val="20"/>
        </w:rPr>
        <w:t xml:space="preserve">, Montenegro is </w:t>
      </w:r>
      <w:r w:rsidRPr="003B6A69">
        <w:rPr>
          <w:rFonts w:cs="ArialMT"/>
          <w:szCs w:val="20"/>
        </w:rPr>
        <w:t xml:space="preserve">one of the </w:t>
      </w:r>
      <w:r w:rsidRPr="003B6A69">
        <w:rPr>
          <w:rFonts w:asciiTheme="minorHAnsi" w:hAnsiTheme="minorHAnsi" w:cs="ArialMT"/>
          <w:szCs w:val="20"/>
        </w:rPr>
        <w:t>smallest countr</w:t>
      </w:r>
      <w:r w:rsidRPr="003B6A69">
        <w:rPr>
          <w:rFonts w:cs="ArialMT"/>
          <w:szCs w:val="20"/>
        </w:rPr>
        <w:t>ies</w:t>
      </w:r>
      <w:r w:rsidRPr="003B6A69">
        <w:rPr>
          <w:rFonts w:asciiTheme="minorHAnsi" w:hAnsiTheme="minorHAnsi" w:cs="ArialMT"/>
          <w:szCs w:val="20"/>
        </w:rPr>
        <w:t>, with the smallest population</w:t>
      </w:r>
      <w:r w:rsidRPr="003B6A69">
        <w:rPr>
          <w:rFonts w:cs="ArialMT"/>
          <w:szCs w:val="20"/>
        </w:rPr>
        <w:t>, in the Western Balkan region</w:t>
      </w:r>
      <w:r w:rsidRPr="003B6A69">
        <w:rPr>
          <w:rFonts w:asciiTheme="minorHAnsi" w:hAnsiTheme="minorHAnsi" w:cs="ArialMT"/>
          <w:szCs w:val="20"/>
        </w:rPr>
        <w:t xml:space="preserve">. Nearly a third of the population of 620,000 live in the capital city of Podgorica while 67.15 percent of the population lives in urban areas. There is increasing internal migration from the north to the south and to Podgorica. </w:t>
      </w:r>
    </w:p>
    <w:p w14:paraId="582937D6" w14:textId="4C8E56E4" w:rsidR="00AF1F0F" w:rsidRPr="003B6A69" w:rsidRDefault="00AF1F0F" w:rsidP="00AF69F1">
      <w:pPr>
        <w:numPr>
          <w:ilvl w:val="0"/>
          <w:numId w:val="14"/>
        </w:numPr>
        <w:tabs>
          <w:tab w:val="left" w:pos="426"/>
        </w:tabs>
        <w:spacing w:after="120"/>
        <w:ind w:left="0" w:firstLine="0"/>
        <w:rPr>
          <w:rFonts w:cs="Calibri"/>
          <w:bCs/>
          <w:lang w:val="en-GB"/>
        </w:rPr>
      </w:pPr>
      <w:r w:rsidRPr="003B6A69">
        <w:rPr>
          <w:rFonts w:cs="ArialMT"/>
          <w:color w:val="000000" w:themeColor="text1"/>
          <w:szCs w:val="20"/>
        </w:rPr>
        <w:t xml:space="preserve">In the last 15 years, the structure of the Montenegrin economy has changed in such a way that services, as a percentage of total GDP, increased while industry and agricultural production decreased. </w:t>
      </w:r>
      <w:r w:rsidRPr="003B6A69">
        <w:rPr>
          <w:rFonts w:asciiTheme="minorHAnsi" w:hAnsiTheme="minorHAnsi" w:cs="ArialMT"/>
          <w:color w:val="000000" w:themeColor="text1"/>
          <w:szCs w:val="20"/>
        </w:rPr>
        <w:t>Montenegro enjoyed strong economic growth in recent years, boosted by the implementation of large investment projects, expansion of the tourism sector and private consumption. In 2019, however, GDP growth declined to 3.6 percent from 5.1 percent in 2018. Montenegro entered 2020 with record</w:t>
      </w:r>
      <w:r w:rsidR="005D32D5" w:rsidRPr="003B6A69">
        <w:rPr>
          <w:rFonts w:asciiTheme="minorHAnsi" w:hAnsiTheme="minorHAnsi" w:cs="ArialMT"/>
          <w:color w:val="000000" w:themeColor="text1"/>
          <w:szCs w:val="20"/>
        </w:rPr>
        <w:t>-</w:t>
      </w:r>
      <w:r w:rsidRPr="003B6A69">
        <w:rPr>
          <w:rFonts w:asciiTheme="minorHAnsi" w:hAnsiTheme="minorHAnsi" w:cs="ArialMT"/>
          <w:color w:val="000000" w:themeColor="text1"/>
          <w:szCs w:val="20"/>
        </w:rPr>
        <w:t>high employment and average GDP growth of 4 percent in the last five years. Yet, much of growth was driven by import-dependent consumption and investment (including a debt-financed public highway construction), whic</w:t>
      </w:r>
      <w:r w:rsidR="00AE6C8E" w:rsidRPr="003B6A69">
        <w:rPr>
          <w:rFonts w:asciiTheme="minorHAnsi" w:hAnsiTheme="minorHAnsi" w:cs="ArialMT"/>
          <w:color w:val="000000" w:themeColor="text1"/>
          <w:szCs w:val="20"/>
        </w:rPr>
        <w:t>h increased external imbalances</w:t>
      </w:r>
      <w:r w:rsidRPr="003B6A69">
        <w:rPr>
          <w:rFonts w:cs="ArialMT"/>
          <w:color w:val="000000" w:themeColor="text1"/>
          <w:szCs w:val="20"/>
        </w:rPr>
        <w:t xml:space="preserve">. </w:t>
      </w:r>
      <w:r w:rsidRPr="003B6A69">
        <w:rPr>
          <w:rFonts w:asciiTheme="minorHAnsi" w:hAnsiTheme="minorHAnsi" w:cs="ArialMT"/>
          <w:color w:val="000000" w:themeColor="text1"/>
          <w:szCs w:val="20"/>
        </w:rPr>
        <w:t xml:space="preserve">The COVID-19 pandemic has had </w:t>
      </w:r>
      <w:r w:rsidR="005D32D5" w:rsidRPr="003B6A69">
        <w:rPr>
          <w:rFonts w:asciiTheme="minorHAnsi" w:hAnsiTheme="minorHAnsi" w:cs="ArialMT"/>
          <w:color w:val="000000" w:themeColor="text1"/>
          <w:szCs w:val="20"/>
        </w:rPr>
        <w:t xml:space="preserve">a </w:t>
      </w:r>
      <w:r w:rsidRPr="003B6A69">
        <w:rPr>
          <w:rFonts w:asciiTheme="minorHAnsi" w:hAnsiTheme="minorHAnsi" w:cs="ArialMT"/>
          <w:color w:val="000000" w:themeColor="text1"/>
          <w:szCs w:val="20"/>
        </w:rPr>
        <w:t>significant negative impact on the country and its people and has exacerbated already existing vulnerabilities.</w:t>
      </w:r>
      <w:r w:rsidRPr="003B6A69">
        <w:rPr>
          <w:rFonts w:asciiTheme="minorHAnsi" w:hAnsiTheme="minorHAnsi"/>
          <w:szCs w:val="20"/>
        </w:rPr>
        <w:t xml:space="preserve"> </w:t>
      </w:r>
      <w:r w:rsidRPr="003B6A69">
        <w:rPr>
          <w:rFonts w:asciiTheme="minorHAnsi" w:hAnsiTheme="minorHAnsi" w:cs="ArialMT"/>
          <w:color w:val="000000" w:themeColor="text1"/>
          <w:szCs w:val="20"/>
        </w:rPr>
        <w:t>The size of the slowdown of tourism, which contributes approximately 25 percent of GDP, will determine the overall impact on the economy. Lower tourism receipts, with foreign tourist arrivals declining by over 80 percent in the first half of 2020, will mean a slowdown</w:t>
      </w:r>
      <w:r w:rsidRPr="003B6A69">
        <w:rPr>
          <w:rFonts w:cs="ArialMT"/>
          <w:color w:val="000000" w:themeColor="text1"/>
          <w:szCs w:val="20"/>
        </w:rPr>
        <w:t xml:space="preserve"> in overall economic activity.</w:t>
      </w:r>
    </w:p>
    <w:p w14:paraId="404FF4F8" w14:textId="77777777" w:rsidR="00AF1F0F" w:rsidRPr="003B6A69" w:rsidRDefault="00AF1F0F" w:rsidP="00AF1F0F">
      <w:pPr>
        <w:pStyle w:val="Heading2"/>
        <w:rPr>
          <w:lang w:val="en-GB"/>
        </w:rPr>
      </w:pPr>
      <w:bookmarkStart w:id="5" w:name="_Toc82018240"/>
      <w:r w:rsidRPr="003B6A69">
        <w:rPr>
          <w:lang w:val="en-GB"/>
        </w:rPr>
        <w:t>1.2 Environmental context</w:t>
      </w:r>
      <w:bookmarkEnd w:id="5"/>
      <w:r w:rsidRPr="003B6A69">
        <w:rPr>
          <w:lang w:val="en-GB"/>
        </w:rPr>
        <w:t xml:space="preserve"> </w:t>
      </w:r>
    </w:p>
    <w:p w14:paraId="56759AF8" w14:textId="35E5909D" w:rsidR="00AF1F0F" w:rsidRPr="003B6A69" w:rsidRDefault="00AF1F0F" w:rsidP="00AF69F1">
      <w:pPr>
        <w:numPr>
          <w:ilvl w:val="0"/>
          <w:numId w:val="14"/>
        </w:numPr>
        <w:tabs>
          <w:tab w:val="left" w:pos="426"/>
        </w:tabs>
        <w:spacing w:after="120"/>
        <w:ind w:left="0" w:firstLine="0"/>
        <w:rPr>
          <w:rFonts w:cs="Calibri"/>
          <w:bCs/>
          <w:szCs w:val="20"/>
          <w:lang w:val="en-GB"/>
        </w:rPr>
      </w:pPr>
      <w:r w:rsidRPr="003B6A69">
        <w:rPr>
          <w:szCs w:val="20"/>
        </w:rPr>
        <w:t xml:space="preserve">Montenegro is one of the Mediterranean biodiversity hotspots represented in five Global 200 ecoregions. </w:t>
      </w:r>
      <w:r w:rsidRPr="003B6A69">
        <w:rPr>
          <w:noProof/>
          <w:szCs w:val="20"/>
        </w:rPr>
        <w:t xml:space="preserve">The country is one of the most diverse floristic areas in the Balkan Peninsula, with about 3,250 plant species, and the vascular flora species-to-area ratio of 0.837 is the highest in Europe. </w:t>
      </w:r>
      <w:r w:rsidRPr="003B6A69">
        <w:rPr>
          <w:szCs w:val="20"/>
        </w:rPr>
        <w:t xml:space="preserve">Similarly, the index of the density of nesting birds in Montenegro has a value of 0.557, which is higher than the figure for the Balkans as a whole (0.435). </w:t>
      </w:r>
      <w:r w:rsidRPr="003B6A69">
        <w:rPr>
          <w:noProof/>
          <w:szCs w:val="20"/>
        </w:rPr>
        <w:t xml:space="preserve">From a total of 526 European bird species, 297 can be regularly found in Montenegro, while a number of other species </w:t>
      </w:r>
      <w:r w:rsidR="005D32D5" w:rsidRPr="003B6A69">
        <w:rPr>
          <w:noProof/>
          <w:szCs w:val="20"/>
        </w:rPr>
        <w:t>are</w:t>
      </w:r>
      <w:r w:rsidRPr="003B6A69">
        <w:rPr>
          <w:noProof/>
          <w:szCs w:val="20"/>
        </w:rPr>
        <w:t xml:space="preserve"> occasionally present. </w:t>
      </w:r>
      <w:r w:rsidRPr="003B6A69">
        <w:rPr>
          <w:szCs w:val="20"/>
        </w:rPr>
        <w:t>Biodiversity assets of Montenegro are distributed in two main bio-geographical regions – Mediterranean and Alpine – and have a very wide range of ecosystems and habitat types for a country of its size.</w:t>
      </w:r>
    </w:p>
    <w:p w14:paraId="78C703DE" w14:textId="42E99EE4" w:rsidR="00AF1F0F" w:rsidRPr="003B6A69" w:rsidRDefault="00AF1F0F" w:rsidP="00AF69F1">
      <w:pPr>
        <w:numPr>
          <w:ilvl w:val="0"/>
          <w:numId w:val="14"/>
        </w:numPr>
        <w:tabs>
          <w:tab w:val="left" w:pos="426"/>
        </w:tabs>
        <w:spacing w:after="120"/>
        <w:ind w:left="0" w:firstLine="0"/>
        <w:rPr>
          <w:rFonts w:cs="Calibri"/>
          <w:bCs/>
          <w:sz w:val="22"/>
          <w:szCs w:val="22"/>
          <w:lang w:val="en-GB"/>
        </w:rPr>
      </w:pPr>
      <w:r w:rsidRPr="003B6A69">
        <w:rPr>
          <w:spacing w:val="-2"/>
          <w:lang w:val="en-GB"/>
        </w:rPr>
        <w:t>Numerous areas of international importance with rare, endemic</w:t>
      </w:r>
      <w:r w:rsidR="005D32D5" w:rsidRPr="003B6A69">
        <w:rPr>
          <w:spacing w:val="-2"/>
          <w:lang w:val="en-GB"/>
        </w:rPr>
        <w:t>,</w:t>
      </w:r>
      <w:r w:rsidRPr="003B6A69">
        <w:rPr>
          <w:spacing w:val="-2"/>
          <w:lang w:val="en-GB"/>
        </w:rPr>
        <w:t xml:space="preserve"> and endangered species have been identified in the country. The official list of KBAs, altogether covering some 145.5 thousand hectares, includes 19 areas listed below in Table 1:</w:t>
      </w:r>
    </w:p>
    <w:p w14:paraId="05EC4B72" w14:textId="77777777" w:rsidR="00AF1F0F" w:rsidRPr="003B6A69" w:rsidRDefault="00AF1F0F" w:rsidP="00AF1F0F">
      <w:pPr>
        <w:spacing w:after="120"/>
        <w:rPr>
          <w:b/>
        </w:rPr>
      </w:pPr>
      <w:r w:rsidRPr="003B6A69">
        <w:rPr>
          <w:b/>
        </w:rPr>
        <w:t>Table 1: KBAs registered for Montenegro</w:t>
      </w:r>
    </w:p>
    <w:tbl>
      <w:tblPr>
        <w:tblW w:w="9990" w:type="dxa"/>
        <w:tblInd w:w="-8" w:type="dxa"/>
        <w:tblLayout w:type="fixed"/>
        <w:tblLook w:val="0000" w:firstRow="0" w:lastRow="0" w:firstColumn="0" w:lastColumn="0" w:noHBand="0" w:noVBand="0"/>
      </w:tblPr>
      <w:tblGrid>
        <w:gridCol w:w="1350"/>
        <w:gridCol w:w="1980"/>
        <w:gridCol w:w="1170"/>
        <w:gridCol w:w="2520"/>
        <w:gridCol w:w="2970"/>
      </w:tblGrid>
      <w:tr w:rsidR="00AF1F0F" w:rsidRPr="003B6A69" w14:paraId="5E512899" w14:textId="77777777" w:rsidTr="00AE3EED">
        <w:trPr>
          <w:trHeight w:val="53"/>
        </w:trPr>
        <w:tc>
          <w:tcPr>
            <w:tcW w:w="1350" w:type="dxa"/>
            <w:tcBorders>
              <w:top w:val="single" w:sz="6" w:space="0" w:color="auto"/>
              <w:left w:val="single" w:sz="6" w:space="0" w:color="auto"/>
              <w:bottom w:val="single" w:sz="6" w:space="0" w:color="auto"/>
              <w:right w:val="single" w:sz="6" w:space="0" w:color="auto"/>
            </w:tcBorders>
          </w:tcPr>
          <w:p w14:paraId="55170830" w14:textId="77777777" w:rsidR="00AF1F0F" w:rsidRPr="003B6A69" w:rsidRDefault="00AF1F0F" w:rsidP="00AE3EED">
            <w:pPr>
              <w:autoSpaceDE w:val="0"/>
              <w:autoSpaceDN w:val="0"/>
              <w:adjustRightInd w:val="0"/>
              <w:rPr>
                <w:b/>
                <w:bCs/>
              </w:rPr>
            </w:pPr>
            <w:proofErr w:type="spellStart"/>
            <w:r w:rsidRPr="003B6A69">
              <w:rPr>
                <w:b/>
                <w:bCs/>
              </w:rPr>
              <w:t>SiteID</w:t>
            </w:r>
            <w:proofErr w:type="spellEnd"/>
          </w:p>
        </w:tc>
        <w:tc>
          <w:tcPr>
            <w:tcW w:w="1980" w:type="dxa"/>
            <w:tcBorders>
              <w:top w:val="single" w:sz="6" w:space="0" w:color="auto"/>
              <w:left w:val="single" w:sz="6" w:space="0" w:color="auto"/>
              <w:bottom w:val="single" w:sz="6" w:space="0" w:color="auto"/>
              <w:right w:val="single" w:sz="6" w:space="0" w:color="auto"/>
            </w:tcBorders>
          </w:tcPr>
          <w:p w14:paraId="6FA206FB" w14:textId="77777777" w:rsidR="00AF1F0F" w:rsidRPr="003B6A69" w:rsidRDefault="00AF1F0F" w:rsidP="00AE3EED">
            <w:pPr>
              <w:autoSpaceDE w:val="0"/>
              <w:autoSpaceDN w:val="0"/>
              <w:adjustRightInd w:val="0"/>
              <w:rPr>
                <w:b/>
                <w:bCs/>
              </w:rPr>
            </w:pPr>
            <w:r w:rsidRPr="003B6A69">
              <w:rPr>
                <w:b/>
                <w:bCs/>
              </w:rPr>
              <w:t>Name</w:t>
            </w:r>
          </w:p>
        </w:tc>
        <w:tc>
          <w:tcPr>
            <w:tcW w:w="1170" w:type="dxa"/>
            <w:tcBorders>
              <w:top w:val="single" w:sz="6" w:space="0" w:color="auto"/>
              <w:left w:val="single" w:sz="6" w:space="0" w:color="auto"/>
              <w:bottom w:val="single" w:sz="6" w:space="0" w:color="auto"/>
              <w:right w:val="single" w:sz="6" w:space="0" w:color="auto"/>
            </w:tcBorders>
          </w:tcPr>
          <w:p w14:paraId="35F2BA74" w14:textId="77777777" w:rsidR="00AF1F0F" w:rsidRPr="003B6A69" w:rsidRDefault="00AF1F0F" w:rsidP="00AE3EED">
            <w:pPr>
              <w:autoSpaceDE w:val="0"/>
              <w:autoSpaceDN w:val="0"/>
              <w:adjustRightInd w:val="0"/>
              <w:rPr>
                <w:b/>
                <w:bCs/>
              </w:rPr>
            </w:pPr>
            <w:r w:rsidRPr="003B6A69">
              <w:rPr>
                <w:b/>
                <w:bCs/>
              </w:rPr>
              <w:t>Area, ha</w:t>
            </w:r>
          </w:p>
        </w:tc>
        <w:tc>
          <w:tcPr>
            <w:tcW w:w="2520" w:type="dxa"/>
            <w:tcBorders>
              <w:top w:val="single" w:sz="6" w:space="0" w:color="auto"/>
              <w:left w:val="single" w:sz="6" w:space="0" w:color="auto"/>
              <w:bottom w:val="single" w:sz="6" w:space="0" w:color="auto"/>
              <w:right w:val="single" w:sz="6" w:space="0" w:color="auto"/>
            </w:tcBorders>
          </w:tcPr>
          <w:p w14:paraId="3BE7C3F1" w14:textId="77777777" w:rsidR="00AF1F0F" w:rsidRPr="003B6A69" w:rsidRDefault="00AF1F0F" w:rsidP="00AE3EED">
            <w:pPr>
              <w:autoSpaceDE w:val="0"/>
              <w:autoSpaceDN w:val="0"/>
              <w:adjustRightInd w:val="0"/>
              <w:rPr>
                <w:b/>
                <w:bCs/>
              </w:rPr>
            </w:pPr>
            <w:r w:rsidRPr="003B6A69">
              <w:rPr>
                <w:b/>
                <w:bCs/>
              </w:rPr>
              <w:t>Status of a National Protected Area in Montenegro</w:t>
            </w:r>
          </w:p>
        </w:tc>
        <w:tc>
          <w:tcPr>
            <w:tcW w:w="2970" w:type="dxa"/>
            <w:tcBorders>
              <w:top w:val="single" w:sz="6" w:space="0" w:color="auto"/>
              <w:left w:val="single" w:sz="6" w:space="0" w:color="auto"/>
              <w:bottom w:val="single" w:sz="6" w:space="0" w:color="auto"/>
              <w:right w:val="single" w:sz="6" w:space="0" w:color="auto"/>
            </w:tcBorders>
          </w:tcPr>
          <w:p w14:paraId="4554B92F" w14:textId="77777777" w:rsidR="00AF1F0F" w:rsidRPr="003B6A69" w:rsidRDefault="00AF1F0F" w:rsidP="00AE3EED">
            <w:pPr>
              <w:autoSpaceDE w:val="0"/>
              <w:autoSpaceDN w:val="0"/>
              <w:adjustRightInd w:val="0"/>
              <w:rPr>
                <w:b/>
                <w:bCs/>
              </w:rPr>
            </w:pPr>
            <w:r w:rsidRPr="003B6A69">
              <w:rPr>
                <w:b/>
                <w:spacing w:val="-2"/>
                <w:lang w:val="en-GB"/>
              </w:rPr>
              <w:t>International protection/recognition status but no national protection status</w:t>
            </w:r>
          </w:p>
        </w:tc>
      </w:tr>
      <w:tr w:rsidR="00AF1F0F" w:rsidRPr="003B6A69" w14:paraId="7141CE85" w14:textId="77777777" w:rsidTr="00AE3EED">
        <w:trPr>
          <w:trHeight w:val="53"/>
        </w:trPr>
        <w:tc>
          <w:tcPr>
            <w:tcW w:w="1350" w:type="dxa"/>
            <w:tcBorders>
              <w:top w:val="single" w:sz="6" w:space="0" w:color="auto"/>
              <w:left w:val="single" w:sz="6" w:space="0" w:color="auto"/>
              <w:bottom w:val="single" w:sz="6" w:space="0" w:color="auto"/>
              <w:right w:val="single" w:sz="6" w:space="0" w:color="auto"/>
            </w:tcBorders>
          </w:tcPr>
          <w:p w14:paraId="6A8F5E54" w14:textId="77777777" w:rsidR="00AF1F0F" w:rsidRPr="003B6A69" w:rsidRDefault="00AF1F0F" w:rsidP="00AE3EED">
            <w:pPr>
              <w:autoSpaceDE w:val="0"/>
              <w:autoSpaceDN w:val="0"/>
              <w:adjustRightInd w:val="0"/>
              <w:jc w:val="right"/>
            </w:pPr>
            <w:r w:rsidRPr="003B6A69">
              <w:t>114</w:t>
            </w:r>
          </w:p>
        </w:tc>
        <w:tc>
          <w:tcPr>
            <w:tcW w:w="1980" w:type="dxa"/>
            <w:tcBorders>
              <w:top w:val="single" w:sz="6" w:space="0" w:color="auto"/>
              <w:left w:val="single" w:sz="6" w:space="0" w:color="auto"/>
              <w:bottom w:val="single" w:sz="6" w:space="0" w:color="auto"/>
              <w:right w:val="single" w:sz="6" w:space="0" w:color="auto"/>
            </w:tcBorders>
          </w:tcPr>
          <w:p w14:paraId="1922BA2C" w14:textId="77777777" w:rsidR="00AF1F0F" w:rsidRPr="003B6A69" w:rsidRDefault="00AF1F0F" w:rsidP="00AE3EED">
            <w:pPr>
              <w:autoSpaceDE w:val="0"/>
              <w:autoSpaceDN w:val="0"/>
              <w:adjustRightInd w:val="0"/>
            </w:pPr>
            <w:proofErr w:type="spellStart"/>
            <w:r w:rsidRPr="003B6A69">
              <w:t>Durmitor</w:t>
            </w:r>
            <w:proofErr w:type="spellEnd"/>
          </w:p>
        </w:tc>
        <w:tc>
          <w:tcPr>
            <w:tcW w:w="1170" w:type="dxa"/>
            <w:tcBorders>
              <w:top w:val="single" w:sz="6" w:space="0" w:color="auto"/>
              <w:left w:val="single" w:sz="6" w:space="0" w:color="auto"/>
              <w:bottom w:val="single" w:sz="6" w:space="0" w:color="auto"/>
              <w:right w:val="single" w:sz="6" w:space="0" w:color="auto"/>
            </w:tcBorders>
          </w:tcPr>
          <w:p w14:paraId="644CF4E9" w14:textId="77777777" w:rsidR="00AF1F0F" w:rsidRPr="003B6A69" w:rsidRDefault="00AF1F0F" w:rsidP="00AE3EED">
            <w:pPr>
              <w:autoSpaceDE w:val="0"/>
              <w:autoSpaceDN w:val="0"/>
              <w:adjustRightInd w:val="0"/>
              <w:jc w:val="right"/>
            </w:pPr>
            <w:r w:rsidRPr="003B6A69">
              <w:t>33,000</w:t>
            </w:r>
          </w:p>
        </w:tc>
        <w:tc>
          <w:tcPr>
            <w:tcW w:w="2520" w:type="dxa"/>
            <w:tcBorders>
              <w:top w:val="single" w:sz="6" w:space="0" w:color="auto"/>
              <w:left w:val="single" w:sz="6" w:space="0" w:color="auto"/>
              <w:bottom w:val="single" w:sz="6" w:space="0" w:color="auto"/>
              <w:right w:val="single" w:sz="6" w:space="0" w:color="auto"/>
            </w:tcBorders>
          </w:tcPr>
          <w:p w14:paraId="775C810F" w14:textId="77777777" w:rsidR="00AF1F0F" w:rsidRPr="003B6A69" w:rsidRDefault="00AF1F0F" w:rsidP="00AE3EED">
            <w:pPr>
              <w:autoSpaceDE w:val="0"/>
              <w:autoSpaceDN w:val="0"/>
              <w:adjustRightInd w:val="0"/>
            </w:pPr>
            <w:r w:rsidRPr="003B6A69">
              <w:t>National park</w:t>
            </w:r>
          </w:p>
        </w:tc>
        <w:tc>
          <w:tcPr>
            <w:tcW w:w="2970" w:type="dxa"/>
            <w:tcBorders>
              <w:top w:val="single" w:sz="6" w:space="0" w:color="auto"/>
              <w:left w:val="single" w:sz="6" w:space="0" w:color="auto"/>
              <w:bottom w:val="single" w:sz="6" w:space="0" w:color="auto"/>
              <w:right w:val="single" w:sz="6" w:space="0" w:color="auto"/>
            </w:tcBorders>
          </w:tcPr>
          <w:p w14:paraId="32D0044D" w14:textId="77777777" w:rsidR="00AF1F0F" w:rsidRPr="003B6A69" w:rsidRDefault="00AF1F0F" w:rsidP="00AE3EED">
            <w:pPr>
              <w:autoSpaceDE w:val="0"/>
              <w:autoSpaceDN w:val="0"/>
              <w:adjustRightInd w:val="0"/>
            </w:pPr>
          </w:p>
        </w:tc>
      </w:tr>
      <w:tr w:rsidR="00AF1F0F" w:rsidRPr="003B6A69" w14:paraId="08DEB726" w14:textId="77777777" w:rsidTr="00AE3EED">
        <w:trPr>
          <w:trHeight w:val="53"/>
        </w:trPr>
        <w:tc>
          <w:tcPr>
            <w:tcW w:w="1350" w:type="dxa"/>
            <w:tcBorders>
              <w:top w:val="single" w:sz="6" w:space="0" w:color="auto"/>
              <w:left w:val="single" w:sz="6" w:space="0" w:color="auto"/>
              <w:bottom w:val="single" w:sz="6" w:space="0" w:color="auto"/>
              <w:right w:val="single" w:sz="6" w:space="0" w:color="auto"/>
            </w:tcBorders>
          </w:tcPr>
          <w:p w14:paraId="049CA846" w14:textId="77777777" w:rsidR="00AF1F0F" w:rsidRPr="003B6A69" w:rsidRDefault="00AF1F0F" w:rsidP="00AE3EED">
            <w:pPr>
              <w:autoSpaceDE w:val="0"/>
              <w:autoSpaceDN w:val="0"/>
              <w:adjustRightInd w:val="0"/>
              <w:jc w:val="right"/>
            </w:pPr>
            <w:r w:rsidRPr="003B6A69">
              <w:t>115</w:t>
            </w:r>
          </w:p>
        </w:tc>
        <w:tc>
          <w:tcPr>
            <w:tcW w:w="1980" w:type="dxa"/>
            <w:tcBorders>
              <w:top w:val="single" w:sz="6" w:space="0" w:color="auto"/>
              <w:left w:val="single" w:sz="6" w:space="0" w:color="auto"/>
              <w:bottom w:val="single" w:sz="6" w:space="0" w:color="auto"/>
              <w:right w:val="single" w:sz="6" w:space="0" w:color="auto"/>
            </w:tcBorders>
          </w:tcPr>
          <w:p w14:paraId="08F044E6" w14:textId="77777777" w:rsidR="00AF1F0F" w:rsidRPr="003B6A69" w:rsidRDefault="00AF1F0F" w:rsidP="00AE3EED">
            <w:pPr>
              <w:autoSpaceDE w:val="0"/>
              <w:autoSpaceDN w:val="0"/>
              <w:adjustRightInd w:val="0"/>
            </w:pPr>
            <w:r w:rsidRPr="003B6A69">
              <w:t xml:space="preserve">Lake </w:t>
            </w:r>
            <w:proofErr w:type="spellStart"/>
            <w:r w:rsidRPr="003B6A69">
              <w:t>Skadar</w:t>
            </w:r>
            <w:proofErr w:type="spellEnd"/>
          </w:p>
        </w:tc>
        <w:tc>
          <w:tcPr>
            <w:tcW w:w="1170" w:type="dxa"/>
            <w:tcBorders>
              <w:top w:val="single" w:sz="6" w:space="0" w:color="auto"/>
              <w:left w:val="single" w:sz="6" w:space="0" w:color="auto"/>
              <w:bottom w:val="single" w:sz="6" w:space="0" w:color="auto"/>
              <w:right w:val="single" w:sz="6" w:space="0" w:color="auto"/>
            </w:tcBorders>
          </w:tcPr>
          <w:p w14:paraId="048FD944" w14:textId="77777777" w:rsidR="00AF1F0F" w:rsidRPr="003B6A69" w:rsidRDefault="00AF1F0F" w:rsidP="00AE3EED">
            <w:pPr>
              <w:autoSpaceDE w:val="0"/>
              <w:autoSpaceDN w:val="0"/>
              <w:adjustRightInd w:val="0"/>
              <w:jc w:val="right"/>
            </w:pPr>
            <w:r w:rsidRPr="003B6A69">
              <w:t>40,000</w:t>
            </w:r>
          </w:p>
        </w:tc>
        <w:tc>
          <w:tcPr>
            <w:tcW w:w="2520" w:type="dxa"/>
            <w:tcBorders>
              <w:top w:val="single" w:sz="6" w:space="0" w:color="auto"/>
              <w:left w:val="single" w:sz="6" w:space="0" w:color="auto"/>
              <w:bottom w:val="single" w:sz="6" w:space="0" w:color="auto"/>
              <w:right w:val="single" w:sz="6" w:space="0" w:color="auto"/>
            </w:tcBorders>
          </w:tcPr>
          <w:p w14:paraId="1D8EB18A" w14:textId="77777777" w:rsidR="00AF1F0F" w:rsidRPr="003B6A69" w:rsidRDefault="00AF1F0F" w:rsidP="00AE3EED">
            <w:pPr>
              <w:autoSpaceDE w:val="0"/>
              <w:autoSpaceDN w:val="0"/>
              <w:adjustRightInd w:val="0"/>
            </w:pPr>
            <w:r w:rsidRPr="003B6A69">
              <w:t>National park</w:t>
            </w:r>
          </w:p>
        </w:tc>
        <w:tc>
          <w:tcPr>
            <w:tcW w:w="2970" w:type="dxa"/>
            <w:tcBorders>
              <w:top w:val="single" w:sz="6" w:space="0" w:color="auto"/>
              <w:left w:val="single" w:sz="6" w:space="0" w:color="auto"/>
              <w:bottom w:val="single" w:sz="6" w:space="0" w:color="auto"/>
              <w:right w:val="single" w:sz="6" w:space="0" w:color="auto"/>
            </w:tcBorders>
          </w:tcPr>
          <w:p w14:paraId="063DB894" w14:textId="77777777" w:rsidR="00AF1F0F" w:rsidRPr="003B6A69" w:rsidRDefault="00AF1F0F" w:rsidP="00AE3EED">
            <w:pPr>
              <w:autoSpaceDE w:val="0"/>
              <w:autoSpaceDN w:val="0"/>
              <w:adjustRightInd w:val="0"/>
            </w:pPr>
            <w:r w:rsidRPr="003B6A69">
              <w:t>EMERALD</w:t>
            </w:r>
          </w:p>
        </w:tc>
      </w:tr>
      <w:tr w:rsidR="00AF1F0F" w:rsidRPr="003B6A69" w14:paraId="2F067AFA" w14:textId="77777777" w:rsidTr="00AE3EED">
        <w:trPr>
          <w:trHeight w:val="53"/>
        </w:trPr>
        <w:tc>
          <w:tcPr>
            <w:tcW w:w="1350" w:type="dxa"/>
            <w:tcBorders>
              <w:top w:val="single" w:sz="6" w:space="0" w:color="auto"/>
              <w:left w:val="single" w:sz="6" w:space="0" w:color="auto"/>
              <w:bottom w:val="single" w:sz="6" w:space="0" w:color="auto"/>
              <w:right w:val="single" w:sz="6" w:space="0" w:color="auto"/>
            </w:tcBorders>
          </w:tcPr>
          <w:p w14:paraId="6324D4D1" w14:textId="77777777" w:rsidR="00AF1F0F" w:rsidRPr="003B6A69" w:rsidRDefault="00AF1F0F" w:rsidP="00AE3EED">
            <w:pPr>
              <w:autoSpaceDE w:val="0"/>
              <w:autoSpaceDN w:val="0"/>
              <w:adjustRightInd w:val="0"/>
              <w:jc w:val="right"/>
            </w:pPr>
            <w:r w:rsidRPr="003B6A69">
              <w:t>116</w:t>
            </w:r>
          </w:p>
        </w:tc>
        <w:tc>
          <w:tcPr>
            <w:tcW w:w="1980" w:type="dxa"/>
            <w:tcBorders>
              <w:top w:val="single" w:sz="6" w:space="0" w:color="auto"/>
              <w:left w:val="single" w:sz="6" w:space="0" w:color="auto"/>
              <w:bottom w:val="single" w:sz="6" w:space="0" w:color="auto"/>
              <w:right w:val="single" w:sz="6" w:space="0" w:color="auto"/>
            </w:tcBorders>
          </w:tcPr>
          <w:p w14:paraId="17052F9E" w14:textId="77777777" w:rsidR="00AF1F0F" w:rsidRPr="003B6A69" w:rsidRDefault="00AF1F0F" w:rsidP="00AE3EED">
            <w:pPr>
              <w:autoSpaceDE w:val="0"/>
              <w:autoSpaceDN w:val="0"/>
              <w:adjustRightInd w:val="0"/>
            </w:pPr>
            <w:r w:rsidRPr="003B6A69">
              <w:t xml:space="preserve">Lake </w:t>
            </w:r>
            <w:proofErr w:type="spellStart"/>
            <w:r w:rsidRPr="003B6A69">
              <w:t>Sasko</w:t>
            </w:r>
            <w:proofErr w:type="spellEnd"/>
          </w:p>
        </w:tc>
        <w:tc>
          <w:tcPr>
            <w:tcW w:w="1170" w:type="dxa"/>
            <w:tcBorders>
              <w:top w:val="single" w:sz="6" w:space="0" w:color="auto"/>
              <w:left w:val="single" w:sz="6" w:space="0" w:color="auto"/>
              <w:bottom w:val="single" w:sz="6" w:space="0" w:color="auto"/>
              <w:right w:val="single" w:sz="6" w:space="0" w:color="auto"/>
            </w:tcBorders>
          </w:tcPr>
          <w:p w14:paraId="3D008422" w14:textId="77777777" w:rsidR="00AF1F0F" w:rsidRPr="003B6A69" w:rsidRDefault="00AF1F0F" w:rsidP="00AE3EED">
            <w:pPr>
              <w:autoSpaceDE w:val="0"/>
              <w:autoSpaceDN w:val="0"/>
              <w:adjustRightInd w:val="0"/>
              <w:jc w:val="right"/>
            </w:pPr>
            <w:r w:rsidRPr="003B6A69">
              <w:t>350</w:t>
            </w:r>
          </w:p>
        </w:tc>
        <w:tc>
          <w:tcPr>
            <w:tcW w:w="2520" w:type="dxa"/>
            <w:tcBorders>
              <w:top w:val="single" w:sz="6" w:space="0" w:color="auto"/>
              <w:left w:val="single" w:sz="6" w:space="0" w:color="auto"/>
              <w:bottom w:val="single" w:sz="6" w:space="0" w:color="auto"/>
              <w:right w:val="single" w:sz="6" w:space="0" w:color="auto"/>
            </w:tcBorders>
          </w:tcPr>
          <w:p w14:paraId="57D9EDFB" w14:textId="77777777" w:rsidR="00AF1F0F" w:rsidRPr="003B6A69" w:rsidRDefault="00AF1F0F" w:rsidP="00AE3EED">
            <w:pPr>
              <w:autoSpaceDE w:val="0"/>
              <w:autoSpaceDN w:val="0"/>
              <w:adjustRightInd w:val="0"/>
            </w:pPr>
            <w:r w:rsidRPr="003B6A69">
              <w:t>No</w:t>
            </w:r>
          </w:p>
        </w:tc>
        <w:tc>
          <w:tcPr>
            <w:tcW w:w="2970" w:type="dxa"/>
            <w:tcBorders>
              <w:top w:val="single" w:sz="6" w:space="0" w:color="auto"/>
              <w:left w:val="single" w:sz="6" w:space="0" w:color="auto"/>
              <w:bottom w:val="single" w:sz="6" w:space="0" w:color="auto"/>
              <w:right w:val="single" w:sz="6" w:space="0" w:color="auto"/>
            </w:tcBorders>
          </w:tcPr>
          <w:p w14:paraId="5E8BAA05" w14:textId="77777777" w:rsidR="00AF1F0F" w:rsidRPr="003B6A69" w:rsidRDefault="00AF1F0F" w:rsidP="00AE3EED">
            <w:pPr>
              <w:autoSpaceDE w:val="0"/>
              <w:autoSpaceDN w:val="0"/>
              <w:adjustRightInd w:val="0"/>
            </w:pPr>
            <w:r w:rsidRPr="003B6A69">
              <w:t>IBA</w:t>
            </w:r>
          </w:p>
        </w:tc>
      </w:tr>
      <w:tr w:rsidR="00AF1F0F" w:rsidRPr="003B6A69" w14:paraId="64143C37" w14:textId="77777777" w:rsidTr="00AE3EED">
        <w:trPr>
          <w:trHeight w:val="53"/>
        </w:trPr>
        <w:tc>
          <w:tcPr>
            <w:tcW w:w="1350" w:type="dxa"/>
            <w:tcBorders>
              <w:top w:val="single" w:sz="6" w:space="0" w:color="auto"/>
              <w:left w:val="single" w:sz="6" w:space="0" w:color="auto"/>
              <w:bottom w:val="single" w:sz="6" w:space="0" w:color="auto"/>
              <w:right w:val="single" w:sz="6" w:space="0" w:color="auto"/>
            </w:tcBorders>
          </w:tcPr>
          <w:p w14:paraId="26A897A6" w14:textId="77777777" w:rsidR="00AF1F0F" w:rsidRPr="003B6A69" w:rsidRDefault="00AF1F0F" w:rsidP="00AE3EED">
            <w:pPr>
              <w:autoSpaceDE w:val="0"/>
              <w:autoSpaceDN w:val="0"/>
              <w:adjustRightInd w:val="0"/>
              <w:jc w:val="right"/>
            </w:pPr>
            <w:r w:rsidRPr="003B6A69">
              <w:t>117</w:t>
            </w:r>
          </w:p>
        </w:tc>
        <w:tc>
          <w:tcPr>
            <w:tcW w:w="1980" w:type="dxa"/>
            <w:tcBorders>
              <w:top w:val="single" w:sz="6" w:space="0" w:color="auto"/>
              <w:left w:val="single" w:sz="6" w:space="0" w:color="auto"/>
              <w:bottom w:val="single" w:sz="6" w:space="0" w:color="auto"/>
              <w:right w:val="single" w:sz="6" w:space="0" w:color="auto"/>
            </w:tcBorders>
          </w:tcPr>
          <w:p w14:paraId="2CCE7214" w14:textId="77777777" w:rsidR="00AF1F0F" w:rsidRPr="003B6A69" w:rsidRDefault="00AF1F0F" w:rsidP="00AE3EED">
            <w:pPr>
              <w:autoSpaceDE w:val="0"/>
              <w:autoSpaceDN w:val="0"/>
              <w:adjustRightInd w:val="0"/>
            </w:pPr>
            <w:r w:rsidRPr="003B6A69">
              <w:t xml:space="preserve">Ulcinj </w:t>
            </w:r>
            <w:proofErr w:type="spellStart"/>
            <w:r w:rsidRPr="003B6A69">
              <w:t>saltplants</w:t>
            </w:r>
            <w:proofErr w:type="spellEnd"/>
          </w:p>
        </w:tc>
        <w:tc>
          <w:tcPr>
            <w:tcW w:w="1170" w:type="dxa"/>
            <w:tcBorders>
              <w:top w:val="single" w:sz="6" w:space="0" w:color="auto"/>
              <w:left w:val="single" w:sz="6" w:space="0" w:color="auto"/>
              <w:bottom w:val="single" w:sz="6" w:space="0" w:color="auto"/>
              <w:right w:val="single" w:sz="6" w:space="0" w:color="auto"/>
            </w:tcBorders>
          </w:tcPr>
          <w:p w14:paraId="06FB3AA4" w14:textId="77777777" w:rsidR="00AF1F0F" w:rsidRPr="003B6A69" w:rsidRDefault="00AF1F0F" w:rsidP="00AE3EED">
            <w:pPr>
              <w:autoSpaceDE w:val="0"/>
              <w:autoSpaceDN w:val="0"/>
              <w:adjustRightInd w:val="0"/>
              <w:jc w:val="right"/>
            </w:pPr>
            <w:r w:rsidRPr="003B6A69">
              <w:t>1,477</w:t>
            </w:r>
          </w:p>
        </w:tc>
        <w:tc>
          <w:tcPr>
            <w:tcW w:w="2520" w:type="dxa"/>
            <w:tcBorders>
              <w:top w:val="single" w:sz="6" w:space="0" w:color="auto"/>
              <w:left w:val="single" w:sz="6" w:space="0" w:color="auto"/>
              <w:bottom w:val="single" w:sz="6" w:space="0" w:color="auto"/>
              <w:right w:val="single" w:sz="6" w:space="0" w:color="auto"/>
            </w:tcBorders>
          </w:tcPr>
          <w:p w14:paraId="6F056317" w14:textId="77777777" w:rsidR="00AF1F0F" w:rsidRPr="003B6A69" w:rsidRDefault="00AF1F0F" w:rsidP="00AE3EED">
            <w:pPr>
              <w:autoSpaceDE w:val="0"/>
              <w:autoSpaceDN w:val="0"/>
              <w:adjustRightInd w:val="0"/>
            </w:pPr>
            <w:r w:rsidRPr="003B6A69">
              <w:t>Nature park</w:t>
            </w:r>
          </w:p>
        </w:tc>
        <w:tc>
          <w:tcPr>
            <w:tcW w:w="2970" w:type="dxa"/>
            <w:tcBorders>
              <w:top w:val="single" w:sz="6" w:space="0" w:color="auto"/>
              <w:left w:val="single" w:sz="6" w:space="0" w:color="auto"/>
              <w:bottom w:val="single" w:sz="6" w:space="0" w:color="auto"/>
              <w:right w:val="single" w:sz="6" w:space="0" w:color="auto"/>
            </w:tcBorders>
          </w:tcPr>
          <w:p w14:paraId="3CB76E6E" w14:textId="77777777" w:rsidR="00AF1F0F" w:rsidRPr="003B6A69" w:rsidRDefault="00AF1F0F" w:rsidP="00AE3EED">
            <w:pPr>
              <w:autoSpaceDE w:val="0"/>
              <w:autoSpaceDN w:val="0"/>
              <w:adjustRightInd w:val="0"/>
            </w:pPr>
            <w:r w:rsidRPr="003B6A69">
              <w:t>EMERALD</w:t>
            </w:r>
          </w:p>
        </w:tc>
      </w:tr>
      <w:tr w:rsidR="00AF1F0F" w:rsidRPr="003B6A69" w14:paraId="2F562F58" w14:textId="77777777" w:rsidTr="00AE3EED">
        <w:trPr>
          <w:trHeight w:val="53"/>
        </w:trPr>
        <w:tc>
          <w:tcPr>
            <w:tcW w:w="1350" w:type="dxa"/>
            <w:tcBorders>
              <w:top w:val="single" w:sz="6" w:space="0" w:color="auto"/>
              <w:left w:val="single" w:sz="6" w:space="0" w:color="auto"/>
              <w:bottom w:val="single" w:sz="6" w:space="0" w:color="auto"/>
              <w:right w:val="single" w:sz="6" w:space="0" w:color="auto"/>
            </w:tcBorders>
          </w:tcPr>
          <w:p w14:paraId="7756E40B" w14:textId="77777777" w:rsidR="00AF1F0F" w:rsidRPr="003B6A69" w:rsidRDefault="00AF1F0F" w:rsidP="00AE3EED">
            <w:pPr>
              <w:autoSpaceDE w:val="0"/>
              <w:autoSpaceDN w:val="0"/>
              <w:adjustRightInd w:val="0"/>
              <w:jc w:val="right"/>
            </w:pPr>
            <w:r w:rsidRPr="003B6A69">
              <w:t>3619</w:t>
            </w:r>
          </w:p>
        </w:tc>
        <w:tc>
          <w:tcPr>
            <w:tcW w:w="1980" w:type="dxa"/>
            <w:tcBorders>
              <w:top w:val="single" w:sz="6" w:space="0" w:color="auto"/>
              <w:left w:val="single" w:sz="6" w:space="0" w:color="auto"/>
              <w:bottom w:val="single" w:sz="6" w:space="0" w:color="auto"/>
              <w:right w:val="single" w:sz="6" w:space="0" w:color="auto"/>
            </w:tcBorders>
          </w:tcPr>
          <w:p w14:paraId="5B776092" w14:textId="77777777" w:rsidR="00AF1F0F" w:rsidRPr="003B6A69" w:rsidRDefault="00AF1F0F" w:rsidP="00AE3EED">
            <w:pPr>
              <w:autoSpaceDE w:val="0"/>
              <w:autoSpaceDN w:val="0"/>
              <w:adjustRightInd w:val="0"/>
            </w:pPr>
            <w:proofErr w:type="spellStart"/>
            <w:r w:rsidRPr="003B6A69">
              <w:t>Biogradska</w:t>
            </w:r>
            <w:proofErr w:type="spellEnd"/>
            <w:r w:rsidRPr="003B6A69">
              <w:t xml:space="preserve"> woods</w:t>
            </w:r>
          </w:p>
        </w:tc>
        <w:tc>
          <w:tcPr>
            <w:tcW w:w="1170" w:type="dxa"/>
            <w:tcBorders>
              <w:top w:val="single" w:sz="6" w:space="0" w:color="auto"/>
              <w:left w:val="single" w:sz="6" w:space="0" w:color="auto"/>
              <w:bottom w:val="single" w:sz="6" w:space="0" w:color="auto"/>
              <w:right w:val="single" w:sz="6" w:space="0" w:color="auto"/>
            </w:tcBorders>
          </w:tcPr>
          <w:p w14:paraId="0DC0B482" w14:textId="77777777" w:rsidR="00AF1F0F" w:rsidRPr="003B6A69" w:rsidRDefault="00AF1F0F" w:rsidP="00AE3EED">
            <w:pPr>
              <w:autoSpaceDE w:val="0"/>
              <w:autoSpaceDN w:val="0"/>
              <w:adjustRightInd w:val="0"/>
              <w:jc w:val="right"/>
            </w:pPr>
            <w:r w:rsidRPr="003B6A69">
              <w:t>20,000</w:t>
            </w:r>
          </w:p>
        </w:tc>
        <w:tc>
          <w:tcPr>
            <w:tcW w:w="2520" w:type="dxa"/>
            <w:tcBorders>
              <w:top w:val="single" w:sz="6" w:space="0" w:color="auto"/>
              <w:left w:val="single" w:sz="6" w:space="0" w:color="auto"/>
              <w:bottom w:val="single" w:sz="6" w:space="0" w:color="auto"/>
              <w:right w:val="single" w:sz="6" w:space="0" w:color="auto"/>
            </w:tcBorders>
          </w:tcPr>
          <w:p w14:paraId="34D98F2F" w14:textId="77777777" w:rsidR="00AF1F0F" w:rsidRPr="003B6A69" w:rsidRDefault="00AF1F0F" w:rsidP="00AE3EED">
            <w:pPr>
              <w:autoSpaceDE w:val="0"/>
              <w:autoSpaceDN w:val="0"/>
              <w:adjustRightInd w:val="0"/>
            </w:pPr>
            <w:r w:rsidRPr="003B6A69">
              <w:t>National park</w:t>
            </w:r>
          </w:p>
        </w:tc>
        <w:tc>
          <w:tcPr>
            <w:tcW w:w="2970" w:type="dxa"/>
            <w:tcBorders>
              <w:top w:val="single" w:sz="6" w:space="0" w:color="auto"/>
              <w:left w:val="single" w:sz="6" w:space="0" w:color="auto"/>
              <w:bottom w:val="single" w:sz="6" w:space="0" w:color="auto"/>
              <w:right w:val="single" w:sz="6" w:space="0" w:color="auto"/>
            </w:tcBorders>
          </w:tcPr>
          <w:p w14:paraId="1956BB25" w14:textId="77777777" w:rsidR="00AF1F0F" w:rsidRPr="003B6A69" w:rsidRDefault="00AF1F0F" w:rsidP="00AE3EED">
            <w:pPr>
              <w:autoSpaceDE w:val="0"/>
              <w:autoSpaceDN w:val="0"/>
              <w:adjustRightInd w:val="0"/>
            </w:pPr>
            <w:r w:rsidRPr="003B6A69">
              <w:t>EMERALD</w:t>
            </w:r>
          </w:p>
        </w:tc>
      </w:tr>
      <w:tr w:rsidR="00AF1F0F" w:rsidRPr="003B6A69" w14:paraId="122DB722" w14:textId="77777777" w:rsidTr="00AE3EED">
        <w:trPr>
          <w:trHeight w:val="53"/>
        </w:trPr>
        <w:tc>
          <w:tcPr>
            <w:tcW w:w="1350" w:type="dxa"/>
            <w:tcBorders>
              <w:top w:val="single" w:sz="6" w:space="0" w:color="auto"/>
              <w:left w:val="single" w:sz="6" w:space="0" w:color="auto"/>
              <w:bottom w:val="single" w:sz="6" w:space="0" w:color="auto"/>
              <w:right w:val="single" w:sz="6" w:space="0" w:color="auto"/>
            </w:tcBorders>
          </w:tcPr>
          <w:p w14:paraId="1862FF97" w14:textId="77777777" w:rsidR="00AF1F0F" w:rsidRPr="003B6A69" w:rsidRDefault="00AF1F0F" w:rsidP="00AE3EED">
            <w:pPr>
              <w:autoSpaceDE w:val="0"/>
              <w:autoSpaceDN w:val="0"/>
              <w:adjustRightInd w:val="0"/>
              <w:jc w:val="right"/>
            </w:pPr>
            <w:r w:rsidRPr="003B6A69">
              <w:t>31675</w:t>
            </w:r>
          </w:p>
        </w:tc>
        <w:tc>
          <w:tcPr>
            <w:tcW w:w="1980" w:type="dxa"/>
            <w:tcBorders>
              <w:top w:val="single" w:sz="6" w:space="0" w:color="auto"/>
              <w:left w:val="single" w:sz="6" w:space="0" w:color="auto"/>
              <w:bottom w:val="single" w:sz="6" w:space="0" w:color="auto"/>
              <w:right w:val="single" w:sz="6" w:space="0" w:color="auto"/>
            </w:tcBorders>
          </w:tcPr>
          <w:p w14:paraId="28F3F54F" w14:textId="77777777" w:rsidR="00AF1F0F" w:rsidRPr="003B6A69" w:rsidRDefault="00AF1F0F" w:rsidP="00AE3EED">
            <w:pPr>
              <w:autoSpaceDE w:val="0"/>
              <w:autoSpaceDN w:val="0"/>
              <w:adjustRightInd w:val="0"/>
            </w:pPr>
            <w:proofErr w:type="spellStart"/>
            <w:r w:rsidRPr="003B6A69">
              <w:t>Cijevna</w:t>
            </w:r>
            <w:proofErr w:type="spellEnd"/>
            <w:r w:rsidRPr="003B6A69">
              <w:t xml:space="preserve"> Canyon and Hum </w:t>
            </w:r>
            <w:proofErr w:type="spellStart"/>
            <w:r w:rsidRPr="003B6A69">
              <w:t>Orahovski</w:t>
            </w:r>
            <w:proofErr w:type="spellEnd"/>
          </w:p>
        </w:tc>
        <w:tc>
          <w:tcPr>
            <w:tcW w:w="1170" w:type="dxa"/>
            <w:tcBorders>
              <w:top w:val="single" w:sz="6" w:space="0" w:color="auto"/>
              <w:left w:val="single" w:sz="6" w:space="0" w:color="auto"/>
              <w:bottom w:val="single" w:sz="6" w:space="0" w:color="auto"/>
              <w:right w:val="single" w:sz="6" w:space="0" w:color="auto"/>
            </w:tcBorders>
          </w:tcPr>
          <w:p w14:paraId="3216AD0B" w14:textId="77777777" w:rsidR="00AF1F0F" w:rsidRPr="003B6A69" w:rsidRDefault="00AF1F0F" w:rsidP="00AE3EED">
            <w:pPr>
              <w:autoSpaceDE w:val="0"/>
              <w:autoSpaceDN w:val="0"/>
              <w:adjustRightInd w:val="0"/>
              <w:jc w:val="right"/>
            </w:pPr>
            <w:r w:rsidRPr="003B6A69">
              <w:t>3,600</w:t>
            </w:r>
          </w:p>
        </w:tc>
        <w:tc>
          <w:tcPr>
            <w:tcW w:w="2520" w:type="dxa"/>
            <w:tcBorders>
              <w:top w:val="single" w:sz="6" w:space="0" w:color="auto"/>
              <w:left w:val="single" w:sz="6" w:space="0" w:color="auto"/>
              <w:bottom w:val="single" w:sz="6" w:space="0" w:color="auto"/>
              <w:right w:val="single" w:sz="6" w:space="0" w:color="auto"/>
            </w:tcBorders>
          </w:tcPr>
          <w:p w14:paraId="2AF95491" w14:textId="77777777" w:rsidR="00AF1F0F" w:rsidRPr="003B6A69" w:rsidRDefault="00AF1F0F" w:rsidP="00AE3EED">
            <w:pPr>
              <w:autoSpaceDE w:val="0"/>
              <w:autoSpaceDN w:val="0"/>
              <w:adjustRightInd w:val="0"/>
            </w:pPr>
            <w:r w:rsidRPr="003B6A69">
              <w:t>Nature park</w:t>
            </w:r>
          </w:p>
        </w:tc>
        <w:tc>
          <w:tcPr>
            <w:tcW w:w="2970" w:type="dxa"/>
            <w:tcBorders>
              <w:top w:val="single" w:sz="6" w:space="0" w:color="auto"/>
              <w:left w:val="single" w:sz="6" w:space="0" w:color="auto"/>
              <w:bottom w:val="single" w:sz="6" w:space="0" w:color="auto"/>
              <w:right w:val="single" w:sz="6" w:space="0" w:color="auto"/>
            </w:tcBorders>
          </w:tcPr>
          <w:p w14:paraId="3A2E02C9" w14:textId="77777777" w:rsidR="00AF1F0F" w:rsidRPr="003B6A69" w:rsidRDefault="00AF1F0F" w:rsidP="00AE3EED">
            <w:pPr>
              <w:autoSpaceDE w:val="0"/>
              <w:autoSpaceDN w:val="0"/>
              <w:adjustRightInd w:val="0"/>
            </w:pPr>
            <w:r w:rsidRPr="003B6A69">
              <w:t>EMERALD</w:t>
            </w:r>
          </w:p>
        </w:tc>
      </w:tr>
      <w:tr w:rsidR="00AF1F0F" w:rsidRPr="003B6A69" w14:paraId="3E1FA8F1" w14:textId="77777777" w:rsidTr="00AE3EED">
        <w:trPr>
          <w:trHeight w:val="53"/>
        </w:trPr>
        <w:tc>
          <w:tcPr>
            <w:tcW w:w="1350" w:type="dxa"/>
            <w:tcBorders>
              <w:top w:val="single" w:sz="6" w:space="0" w:color="auto"/>
              <w:left w:val="single" w:sz="6" w:space="0" w:color="auto"/>
              <w:bottom w:val="single" w:sz="6" w:space="0" w:color="auto"/>
              <w:right w:val="single" w:sz="6" w:space="0" w:color="auto"/>
            </w:tcBorders>
          </w:tcPr>
          <w:p w14:paraId="7ED74C38" w14:textId="77777777" w:rsidR="00AF1F0F" w:rsidRPr="003B6A69" w:rsidRDefault="00AF1F0F" w:rsidP="00AE3EED">
            <w:pPr>
              <w:autoSpaceDE w:val="0"/>
              <w:autoSpaceDN w:val="0"/>
              <w:adjustRightInd w:val="0"/>
              <w:jc w:val="right"/>
            </w:pPr>
            <w:r w:rsidRPr="003B6A69">
              <w:t>31700</w:t>
            </w:r>
          </w:p>
        </w:tc>
        <w:tc>
          <w:tcPr>
            <w:tcW w:w="1980" w:type="dxa"/>
            <w:tcBorders>
              <w:top w:val="single" w:sz="6" w:space="0" w:color="auto"/>
              <w:left w:val="single" w:sz="6" w:space="0" w:color="auto"/>
              <w:bottom w:val="single" w:sz="6" w:space="0" w:color="auto"/>
              <w:right w:val="single" w:sz="6" w:space="0" w:color="auto"/>
            </w:tcBorders>
          </w:tcPr>
          <w:p w14:paraId="2493FB61" w14:textId="77777777" w:rsidR="00AF1F0F" w:rsidRPr="003B6A69" w:rsidRDefault="00AF1F0F" w:rsidP="00AE3EED">
            <w:pPr>
              <w:autoSpaceDE w:val="0"/>
              <w:autoSpaceDN w:val="0"/>
              <w:adjustRightInd w:val="0"/>
            </w:pPr>
            <w:proofErr w:type="spellStart"/>
            <w:r w:rsidRPr="003B6A69">
              <w:t>Kakaricka</w:t>
            </w:r>
            <w:proofErr w:type="spellEnd"/>
            <w:r w:rsidRPr="003B6A69">
              <w:t xml:space="preserve"> </w:t>
            </w:r>
            <w:proofErr w:type="spellStart"/>
            <w:r w:rsidRPr="003B6A69">
              <w:t>gora</w:t>
            </w:r>
            <w:proofErr w:type="spellEnd"/>
          </w:p>
        </w:tc>
        <w:tc>
          <w:tcPr>
            <w:tcW w:w="1170" w:type="dxa"/>
            <w:tcBorders>
              <w:top w:val="single" w:sz="6" w:space="0" w:color="auto"/>
              <w:left w:val="single" w:sz="6" w:space="0" w:color="auto"/>
              <w:bottom w:val="single" w:sz="6" w:space="0" w:color="auto"/>
              <w:right w:val="single" w:sz="6" w:space="0" w:color="auto"/>
            </w:tcBorders>
          </w:tcPr>
          <w:p w14:paraId="5C1F759A" w14:textId="77777777" w:rsidR="00AF1F0F" w:rsidRPr="003B6A69" w:rsidRDefault="00AF1F0F" w:rsidP="00AE3EED">
            <w:pPr>
              <w:autoSpaceDE w:val="0"/>
              <w:autoSpaceDN w:val="0"/>
              <w:adjustRightInd w:val="0"/>
              <w:jc w:val="right"/>
            </w:pPr>
            <w:r w:rsidRPr="003B6A69">
              <w:t>500</w:t>
            </w:r>
          </w:p>
        </w:tc>
        <w:tc>
          <w:tcPr>
            <w:tcW w:w="2520" w:type="dxa"/>
            <w:tcBorders>
              <w:top w:val="single" w:sz="6" w:space="0" w:color="auto"/>
              <w:left w:val="single" w:sz="6" w:space="0" w:color="auto"/>
              <w:bottom w:val="single" w:sz="6" w:space="0" w:color="auto"/>
              <w:right w:val="single" w:sz="6" w:space="0" w:color="auto"/>
            </w:tcBorders>
          </w:tcPr>
          <w:p w14:paraId="3DEF8C15" w14:textId="77777777" w:rsidR="00AF1F0F" w:rsidRPr="003B6A69" w:rsidRDefault="00AF1F0F" w:rsidP="00AE3EED">
            <w:pPr>
              <w:autoSpaceDE w:val="0"/>
              <w:autoSpaceDN w:val="0"/>
              <w:adjustRightInd w:val="0"/>
            </w:pPr>
            <w:r w:rsidRPr="003B6A69">
              <w:t>No</w:t>
            </w:r>
          </w:p>
        </w:tc>
        <w:tc>
          <w:tcPr>
            <w:tcW w:w="2970" w:type="dxa"/>
            <w:tcBorders>
              <w:top w:val="single" w:sz="6" w:space="0" w:color="auto"/>
              <w:left w:val="single" w:sz="6" w:space="0" w:color="auto"/>
              <w:bottom w:val="single" w:sz="6" w:space="0" w:color="auto"/>
              <w:right w:val="single" w:sz="6" w:space="0" w:color="auto"/>
            </w:tcBorders>
          </w:tcPr>
          <w:p w14:paraId="29DDD420" w14:textId="77777777" w:rsidR="00AF1F0F" w:rsidRPr="003B6A69" w:rsidRDefault="00AF1F0F" w:rsidP="00AE3EED">
            <w:pPr>
              <w:autoSpaceDE w:val="0"/>
              <w:autoSpaceDN w:val="0"/>
              <w:adjustRightInd w:val="0"/>
            </w:pPr>
            <w:r w:rsidRPr="003B6A69">
              <w:t>IPA</w:t>
            </w:r>
          </w:p>
        </w:tc>
      </w:tr>
      <w:tr w:rsidR="00AF1F0F" w:rsidRPr="003B6A69" w14:paraId="77DD03DB" w14:textId="77777777" w:rsidTr="00AE3EED">
        <w:trPr>
          <w:trHeight w:val="53"/>
        </w:trPr>
        <w:tc>
          <w:tcPr>
            <w:tcW w:w="1350" w:type="dxa"/>
            <w:tcBorders>
              <w:top w:val="single" w:sz="6" w:space="0" w:color="auto"/>
              <w:left w:val="single" w:sz="6" w:space="0" w:color="auto"/>
              <w:bottom w:val="single" w:sz="6" w:space="0" w:color="auto"/>
              <w:right w:val="single" w:sz="6" w:space="0" w:color="auto"/>
            </w:tcBorders>
          </w:tcPr>
          <w:p w14:paraId="5FA0ECCE" w14:textId="77777777" w:rsidR="00AF1F0F" w:rsidRPr="003B6A69" w:rsidRDefault="00AF1F0F" w:rsidP="00AE3EED">
            <w:pPr>
              <w:autoSpaceDE w:val="0"/>
              <w:autoSpaceDN w:val="0"/>
              <w:adjustRightInd w:val="0"/>
              <w:jc w:val="right"/>
            </w:pPr>
            <w:r w:rsidRPr="003B6A69">
              <w:t>31717</w:t>
            </w:r>
          </w:p>
        </w:tc>
        <w:tc>
          <w:tcPr>
            <w:tcW w:w="1980" w:type="dxa"/>
            <w:tcBorders>
              <w:top w:val="single" w:sz="6" w:space="0" w:color="auto"/>
              <w:left w:val="single" w:sz="6" w:space="0" w:color="auto"/>
              <w:bottom w:val="single" w:sz="6" w:space="0" w:color="auto"/>
              <w:right w:val="single" w:sz="6" w:space="0" w:color="auto"/>
            </w:tcBorders>
          </w:tcPr>
          <w:p w14:paraId="3BA99113" w14:textId="77777777" w:rsidR="00AF1F0F" w:rsidRPr="003B6A69" w:rsidRDefault="00AF1F0F" w:rsidP="00AE3EED">
            <w:pPr>
              <w:autoSpaceDE w:val="0"/>
              <w:autoSpaceDN w:val="0"/>
              <w:adjustRightInd w:val="0"/>
            </w:pPr>
            <w:proofErr w:type="spellStart"/>
            <w:r w:rsidRPr="003B6A69">
              <w:t>Rumija</w:t>
            </w:r>
            <w:proofErr w:type="spellEnd"/>
          </w:p>
        </w:tc>
        <w:tc>
          <w:tcPr>
            <w:tcW w:w="1170" w:type="dxa"/>
            <w:tcBorders>
              <w:top w:val="single" w:sz="6" w:space="0" w:color="auto"/>
              <w:left w:val="single" w:sz="6" w:space="0" w:color="auto"/>
              <w:bottom w:val="single" w:sz="6" w:space="0" w:color="auto"/>
              <w:right w:val="single" w:sz="6" w:space="0" w:color="auto"/>
            </w:tcBorders>
          </w:tcPr>
          <w:p w14:paraId="732F5181" w14:textId="77777777" w:rsidR="00AF1F0F" w:rsidRPr="003B6A69" w:rsidRDefault="00AF1F0F" w:rsidP="00AE3EED">
            <w:pPr>
              <w:autoSpaceDE w:val="0"/>
              <w:autoSpaceDN w:val="0"/>
              <w:adjustRightInd w:val="0"/>
              <w:jc w:val="right"/>
            </w:pPr>
            <w:r w:rsidRPr="003B6A69">
              <w:t>4,300</w:t>
            </w:r>
          </w:p>
        </w:tc>
        <w:tc>
          <w:tcPr>
            <w:tcW w:w="2520" w:type="dxa"/>
            <w:tcBorders>
              <w:top w:val="single" w:sz="6" w:space="0" w:color="auto"/>
              <w:left w:val="single" w:sz="6" w:space="0" w:color="auto"/>
              <w:bottom w:val="single" w:sz="6" w:space="0" w:color="auto"/>
              <w:right w:val="single" w:sz="6" w:space="0" w:color="auto"/>
            </w:tcBorders>
          </w:tcPr>
          <w:p w14:paraId="7956A644" w14:textId="77777777" w:rsidR="00AF1F0F" w:rsidRPr="003B6A69" w:rsidRDefault="00AF1F0F" w:rsidP="00AE3EED">
            <w:pPr>
              <w:autoSpaceDE w:val="0"/>
              <w:autoSpaceDN w:val="0"/>
              <w:adjustRightInd w:val="0"/>
            </w:pPr>
            <w:r w:rsidRPr="003B6A69">
              <w:t>No</w:t>
            </w:r>
          </w:p>
        </w:tc>
        <w:tc>
          <w:tcPr>
            <w:tcW w:w="2970" w:type="dxa"/>
            <w:tcBorders>
              <w:top w:val="single" w:sz="6" w:space="0" w:color="auto"/>
              <w:left w:val="single" w:sz="6" w:space="0" w:color="auto"/>
              <w:bottom w:val="single" w:sz="6" w:space="0" w:color="auto"/>
              <w:right w:val="single" w:sz="6" w:space="0" w:color="auto"/>
            </w:tcBorders>
          </w:tcPr>
          <w:p w14:paraId="0C3567D5" w14:textId="77777777" w:rsidR="00AF1F0F" w:rsidRPr="003B6A69" w:rsidRDefault="00AF1F0F" w:rsidP="00AE3EED">
            <w:pPr>
              <w:autoSpaceDE w:val="0"/>
              <w:autoSpaceDN w:val="0"/>
              <w:adjustRightInd w:val="0"/>
            </w:pPr>
            <w:r w:rsidRPr="003B6A69">
              <w:t>EMERALD, IBA</w:t>
            </w:r>
          </w:p>
        </w:tc>
      </w:tr>
      <w:tr w:rsidR="00AF1F0F" w:rsidRPr="003B6A69" w14:paraId="3543E138" w14:textId="77777777" w:rsidTr="00AE3EED">
        <w:trPr>
          <w:trHeight w:val="53"/>
        </w:trPr>
        <w:tc>
          <w:tcPr>
            <w:tcW w:w="1350" w:type="dxa"/>
            <w:tcBorders>
              <w:top w:val="single" w:sz="6" w:space="0" w:color="auto"/>
              <w:left w:val="single" w:sz="6" w:space="0" w:color="auto"/>
              <w:bottom w:val="single" w:sz="6" w:space="0" w:color="auto"/>
              <w:right w:val="single" w:sz="6" w:space="0" w:color="auto"/>
            </w:tcBorders>
          </w:tcPr>
          <w:p w14:paraId="74E9F293" w14:textId="77777777" w:rsidR="00AF1F0F" w:rsidRPr="003B6A69" w:rsidRDefault="00AF1F0F" w:rsidP="00AE3EED">
            <w:pPr>
              <w:autoSpaceDE w:val="0"/>
              <w:autoSpaceDN w:val="0"/>
              <w:adjustRightInd w:val="0"/>
              <w:jc w:val="right"/>
            </w:pPr>
            <w:r w:rsidRPr="003B6A69">
              <w:t>31738</w:t>
            </w:r>
          </w:p>
        </w:tc>
        <w:tc>
          <w:tcPr>
            <w:tcW w:w="1980" w:type="dxa"/>
            <w:tcBorders>
              <w:top w:val="single" w:sz="6" w:space="0" w:color="auto"/>
              <w:left w:val="single" w:sz="6" w:space="0" w:color="auto"/>
              <w:bottom w:val="single" w:sz="6" w:space="0" w:color="auto"/>
              <w:right w:val="single" w:sz="6" w:space="0" w:color="auto"/>
            </w:tcBorders>
          </w:tcPr>
          <w:p w14:paraId="4E0BE1B8" w14:textId="77777777" w:rsidR="00AF1F0F" w:rsidRPr="003B6A69" w:rsidRDefault="00AF1F0F" w:rsidP="00AE3EED">
            <w:pPr>
              <w:autoSpaceDE w:val="0"/>
              <w:autoSpaceDN w:val="0"/>
              <w:adjustRightInd w:val="0"/>
            </w:pPr>
            <w:r w:rsidRPr="003B6A69">
              <w:t>Zeta Stream</w:t>
            </w:r>
          </w:p>
        </w:tc>
        <w:tc>
          <w:tcPr>
            <w:tcW w:w="1170" w:type="dxa"/>
            <w:tcBorders>
              <w:top w:val="single" w:sz="6" w:space="0" w:color="auto"/>
              <w:left w:val="single" w:sz="6" w:space="0" w:color="auto"/>
              <w:bottom w:val="single" w:sz="6" w:space="0" w:color="auto"/>
              <w:right w:val="single" w:sz="6" w:space="0" w:color="auto"/>
            </w:tcBorders>
          </w:tcPr>
          <w:p w14:paraId="38DF3479" w14:textId="77777777" w:rsidR="00AF1F0F" w:rsidRPr="003B6A69" w:rsidRDefault="00AF1F0F" w:rsidP="00AE3EED">
            <w:pPr>
              <w:autoSpaceDE w:val="0"/>
              <w:autoSpaceDN w:val="0"/>
              <w:adjustRightInd w:val="0"/>
              <w:jc w:val="right"/>
            </w:pPr>
            <w:r w:rsidRPr="003B6A69">
              <w:t>2,000</w:t>
            </w:r>
          </w:p>
        </w:tc>
        <w:tc>
          <w:tcPr>
            <w:tcW w:w="2520" w:type="dxa"/>
            <w:tcBorders>
              <w:top w:val="single" w:sz="6" w:space="0" w:color="auto"/>
              <w:left w:val="single" w:sz="6" w:space="0" w:color="auto"/>
              <w:bottom w:val="single" w:sz="6" w:space="0" w:color="auto"/>
              <w:right w:val="single" w:sz="6" w:space="0" w:color="auto"/>
            </w:tcBorders>
          </w:tcPr>
          <w:p w14:paraId="65ECDD9F" w14:textId="77777777" w:rsidR="00AF1F0F" w:rsidRPr="003B6A69" w:rsidRDefault="00AF1F0F" w:rsidP="00AE3EED">
            <w:pPr>
              <w:autoSpaceDE w:val="0"/>
              <w:autoSpaceDN w:val="0"/>
              <w:adjustRightInd w:val="0"/>
            </w:pPr>
            <w:r w:rsidRPr="003B6A69">
              <w:t>Nature park</w:t>
            </w:r>
          </w:p>
        </w:tc>
        <w:tc>
          <w:tcPr>
            <w:tcW w:w="2970" w:type="dxa"/>
            <w:tcBorders>
              <w:top w:val="single" w:sz="6" w:space="0" w:color="auto"/>
              <w:left w:val="single" w:sz="6" w:space="0" w:color="auto"/>
              <w:bottom w:val="single" w:sz="6" w:space="0" w:color="auto"/>
              <w:right w:val="single" w:sz="6" w:space="0" w:color="auto"/>
            </w:tcBorders>
          </w:tcPr>
          <w:p w14:paraId="4AFF0A88" w14:textId="77777777" w:rsidR="00AF1F0F" w:rsidRPr="003B6A69" w:rsidRDefault="00AF1F0F" w:rsidP="00AE3EED">
            <w:pPr>
              <w:autoSpaceDE w:val="0"/>
              <w:autoSpaceDN w:val="0"/>
              <w:adjustRightInd w:val="0"/>
            </w:pPr>
            <w:r w:rsidRPr="003B6A69">
              <w:t>EMERALD</w:t>
            </w:r>
          </w:p>
        </w:tc>
      </w:tr>
      <w:tr w:rsidR="00AF1F0F" w:rsidRPr="003B6A69" w14:paraId="243D9BA9" w14:textId="77777777" w:rsidTr="00AE3EED">
        <w:trPr>
          <w:trHeight w:val="53"/>
        </w:trPr>
        <w:tc>
          <w:tcPr>
            <w:tcW w:w="1350" w:type="dxa"/>
            <w:tcBorders>
              <w:top w:val="single" w:sz="6" w:space="0" w:color="auto"/>
              <w:left w:val="single" w:sz="6" w:space="0" w:color="auto"/>
              <w:bottom w:val="single" w:sz="6" w:space="0" w:color="auto"/>
              <w:right w:val="single" w:sz="6" w:space="0" w:color="auto"/>
            </w:tcBorders>
          </w:tcPr>
          <w:p w14:paraId="0823E4B5" w14:textId="77777777" w:rsidR="00AF1F0F" w:rsidRPr="003B6A69" w:rsidRDefault="00AF1F0F" w:rsidP="00AE3EED">
            <w:pPr>
              <w:autoSpaceDE w:val="0"/>
              <w:autoSpaceDN w:val="0"/>
              <w:adjustRightInd w:val="0"/>
              <w:jc w:val="right"/>
            </w:pPr>
            <w:r w:rsidRPr="003B6A69">
              <w:t>31847</w:t>
            </w:r>
          </w:p>
        </w:tc>
        <w:tc>
          <w:tcPr>
            <w:tcW w:w="1980" w:type="dxa"/>
            <w:tcBorders>
              <w:top w:val="single" w:sz="6" w:space="0" w:color="auto"/>
              <w:left w:val="single" w:sz="6" w:space="0" w:color="auto"/>
              <w:bottom w:val="single" w:sz="6" w:space="0" w:color="auto"/>
              <w:right w:val="single" w:sz="6" w:space="0" w:color="auto"/>
            </w:tcBorders>
          </w:tcPr>
          <w:p w14:paraId="6409B28B" w14:textId="77777777" w:rsidR="00AF1F0F" w:rsidRPr="003B6A69" w:rsidRDefault="00AF1F0F" w:rsidP="00AE3EED">
            <w:pPr>
              <w:autoSpaceDE w:val="0"/>
              <w:autoSpaceDN w:val="0"/>
              <w:adjustRightInd w:val="0"/>
            </w:pPr>
            <w:proofErr w:type="spellStart"/>
            <w:r w:rsidRPr="003B6A69">
              <w:t>Lovcen</w:t>
            </w:r>
            <w:proofErr w:type="spellEnd"/>
          </w:p>
        </w:tc>
        <w:tc>
          <w:tcPr>
            <w:tcW w:w="1170" w:type="dxa"/>
            <w:tcBorders>
              <w:top w:val="single" w:sz="6" w:space="0" w:color="auto"/>
              <w:left w:val="single" w:sz="6" w:space="0" w:color="auto"/>
              <w:bottom w:val="single" w:sz="6" w:space="0" w:color="auto"/>
              <w:right w:val="single" w:sz="6" w:space="0" w:color="auto"/>
            </w:tcBorders>
          </w:tcPr>
          <w:p w14:paraId="63136093" w14:textId="77777777" w:rsidR="00AF1F0F" w:rsidRPr="003B6A69" w:rsidRDefault="00AF1F0F" w:rsidP="00AE3EED">
            <w:pPr>
              <w:autoSpaceDE w:val="0"/>
              <w:autoSpaceDN w:val="0"/>
              <w:adjustRightInd w:val="0"/>
              <w:jc w:val="right"/>
            </w:pPr>
            <w:r w:rsidRPr="003B6A69">
              <w:t>6,300</w:t>
            </w:r>
          </w:p>
        </w:tc>
        <w:tc>
          <w:tcPr>
            <w:tcW w:w="2520" w:type="dxa"/>
            <w:tcBorders>
              <w:top w:val="single" w:sz="6" w:space="0" w:color="auto"/>
              <w:left w:val="single" w:sz="6" w:space="0" w:color="auto"/>
              <w:bottom w:val="single" w:sz="6" w:space="0" w:color="auto"/>
              <w:right w:val="single" w:sz="6" w:space="0" w:color="auto"/>
            </w:tcBorders>
          </w:tcPr>
          <w:p w14:paraId="796CDEAF" w14:textId="77777777" w:rsidR="00AF1F0F" w:rsidRPr="003B6A69" w:rsidRDefault="00AF1F0F" w:rsidP="00AE3EED">
            <w:pPr>
              <w:autoSpaceDE w:val="0"/>
              <w:autoSpaceDN w:val="0"/>
              <w:adjustRightInd w:val="0"/>
            </w:pPr>
            <w:r w:rsidRPr="003B6A69">
              <w:t>National park</w:t>
            </w:r>
          </w:p>
        </w:tc>
        <w:tc>
          <w:tcPr>
            <w:tcW w:w="2970" w:type="dxa"/>
            <w:tcBorders>
              <w:top w:val="single" w:sz="6" w:space="0" w:color="auto"/>
              <w:left w:val="single" w:sz="6" w:space="0" w:color="auto"/>
              <w:bottom w:val="single" w:sz="6" w:space="0" w:color="auto"/>
              <w:right w:val="single" w:sz="6" w:space="0" w:color="auto"/>
            </w:tcBorders>
          </w:tcPr>
          <w:p w14:paraId="60A7E65E" w14:textId="77777777" w:rsidR="00AF1F0F" w:rsidRPr="003B6A69" w:rsidRDefault="00AF1F0F" w:rsidP="00AE3EED">
            <w:pPr>
              <w:autoSpaceDE w:val="0"/>
              <w:autoSpaceDN w:val="0"/>
              <w:adjustRightInd w:val="0"/>
            </w:pPr>
            <w:r w:rsidRPr="003B6A69">
              <w:t>EMERALD</w:t>
            </w:r>
          </w:p>
        </w:tc>
      </w:tr>
      <w:tr w:rsidR="00AF1F0F" w:rsidRPr="003B6A69" w14:paraId="20BC231F" w14:textId="77777777" w:rsidTr="00AE3EED">
        <w:trPr>
          <w:trHeight w:val="53"/>
        </w:trPr>
        <w:tc>
          <w:tcPr>
            <w:tcW w:w="1350" w:type="dxa"/>
            <w:tcBorders>
              <w:top w:val="single" w:sz="6" w:space="0" w:color="auto"/>
              <w:left w:val="single" w:sz="6" w:space="0" w:color="auto"/>
              <w:bottom w:val="single" w:sz="6" w:space="0" w:color="auto"/>
              <w:right w:val="single" w:sz="6" w:space="0" w:color="auto"/>
            </w:tcBorders>
          </w:tcPr>
          <w:p w14:paraId="6A89715E" w14:textId="77777777" w:rsidR="00AF1F0F" w:rsidRPr="003B6A69" w:rsidRDefault="00AF1F0F" w:rsidP="00AE3EED">
            <w:pPr>
              <w:autoSpaceDE w:val="0"/>
              <w:autoSpaceDN w:val="0"/>
              <w:adjustRightInd w:val="0"/>
              <w:jc w:val="right"/>
            </w:pPr>
            <w:r w:rsidRPr="003B6A69">
              <w:t>31891</w:t>
            </w:r>
          </w:p>
        </w:tc>
        <w:tc>
          <w:tcPr>
            <w:tcW w:w="1980" w:type="dxa"/>
            <w:tcBorders>
              <w:top w:val="single" w:sz="6" w:space="0" w:color="auto"/>
              <w:left w:val="single" w:sz="6" w:space="0" w:color="auto"/>
              <w:bottom w:val="single" w:sz="6" w:space="0" w:color="auto"/>
              <w:right w:val="single" w:sz="6" w:space="0" w:color="auto"/>
            </w:tcBorders>
          </w:tcPr>
          <w:p w14:paraId="35CF0E39" w14:textId="77777777" w:rsidR="00AF1F0F" w:rsidRPr="003B6A69" w:rsidRDefault="00AF1F0F" w:rsidP="00AE3EED">
            <w:pPr>
              <w:autoSpaceDE w:val="0"/>
              <w:autoSpaceDN w:val="0"/>
              <w:adjustRightInd w:val="0"/>
            </w:pPr>
            <w:proofErr w:type="spellStart"/>
            <w:r w:rsidRPr="003B6A69">
              <w:t>Orjen</w:t>
            </w:r>
            <w:proofErr w:type="spellEnd"/>
          </w:p>
        </w:tc>
        <w:tc>
          <w:tcPr>
            <w:tcW w:w="1170" w:type="dxa"/>
            <w:tcBorders>
              <w:top w:val="single" w:sz="6" w:space="0" w:color="auto"/>
              <w:left w:val="single" w:sz="6" w:space="0" w:color="auto"/>
              <w:bottom w:val="single" w:sz="6" w:space="0" w:color="auto"/>
              <w:right w:val="single" w:sz="6" w:space="0" w:color="auto"/>
            </w:tcBorders>
          </w:tcPr>
          <w:p w14:paraId="636169D6" w14:textId="77777777" w:rsidR="00AF1F0F" w:rsidRPr="003B6A69" w:rsidRDefault="00AF1F0F" w:rsidP="00AE3EED">
            <w:pPr>
              <w:autoSpaceDE w:val="0"/>
              <w:autoSpaceDN w:val="0"/>
              <w:adjustRightInd w:val="0"/>
              <w:jc w:val="right"/>
            </w:pPr>
            <w:r w:rsidRPr="003B6A69">
              <w:t>10,000</w:t>
            </w:r>
          </w:p>
        </w:tc>
        <w:tc>
          <w:tcPr>
            <w:tcW w:w="2520" w:type="dxa"/>
            <w:tcBorders>
              <w:top w:val="single" w:sz="6" w:space="0" w:color="auto"/>
              <w:left w:val="single" w:sz="6" w:space="0" w:color="auto"/>
              <w:bottom w:val="single" w:sz="6" w:space="0" w:color="auto"/>
              <w:right w:val="single" w:sz="6" w:space="0" w:color="auto"/>
            </w:tcBorders>
          </w:tcPr>
          <w:p w14:paraId="2B261B5F" w14:textId="77777777" w:rsidR="00AF1F0F" w:rsidRPr="003B6A69" w:rsidRDefault="00AF1F0F" w:rsidP="00AE3EED">
            <w:pPr>
              <w:autoSpaceDE w:val="0"/>
              <w:autoSpaceDN w:val="0"/>
              <w:adjustRightInd w:val="0"/>
            </w:pPr>
            <w:r w:rsidRPr="003B6A69">
              <w:t>Nature park</w:t>
            </w:r>
          </w:p>
        </w:tc>
        <w:tc>
          <w:tcPr>
            <w:tcW w:w="2970" w:type="dxa"/>
            <w:tcBorders>
              <w:top w:val="single" w:sz="6" w:space="0" w:color="auto"/>
              <w:left w:val="single" w:sz="6" w:space="0" w:color="auto"/>
              <w:bottom w:val="single" w:sz="6" w:space="0" w:color="auto"/>
              <w:right w:val="single" w:sz="6" w:space="0" w:color="auto"/>
            </w:tcBorders>
          </w:tcPr>
          <w:p w14:paraId="6FF4E32D" w14:textId="77777777" w:rsidR="00AF1F0F" w:rsidRPr="003B6A69" w:rsidRDefault="00AF1F0F" w:rsidP="00AE3EED">
            <w:pPr>
              <w:autoSpaceDE w:val="0"/>
              <w:autoSpaceDN w:val="0"/>
              <w:adjustRightInd w:val="0"/>
            </w:pPr>
            <w:r w:rsidRPr="003B6A69">
              <w:t>EMERALD</w:t>
            </w:r>
          </w:p>
        </w:tc>
      </w:tr>
      <w:tr w:rsidR="00AF1F0F" w:rsidRPr="003B6A69" w14:paraId="7A6D6FEC" w14:textId="77777777" w:rsidTr="00AE3EED">
        <w:trPr>
          <w:trHeight w:val="53"/>
        </w:trPr>
        <w:tc>
          <w:tcPr>
            <w:tcW w:w="1350" w:type="dxa"/>
            <w:tcBorders>
              <w:top w:val="single" w:sz="6" w:space="0" w:color="auto"/>
              <w:left w:val="single" w:sz="6" w:space="0" w:color="auto"/>
              <w:bottom w:val="single" w:sz="6" w:space="0" w:color="auto"/>
              <w:right w:val="single" w:sz="6" w:space="0" w:color="auto"/>
            </w:tcBorders>
          </w:tcPr>
          <w:p w14:paraId="6C9C13C8" w14:textId="77777777" w:rsidR="00AF1F0F" w:rsidRPr="003B6A69" w:rsidRDefault="00AF1F0F" w:rsidP="00AE3EED">
            <w:pPr>
              <w:autoSpaceDE w:val="0"/>
              <w:autoSpaceDN w:val="0"/>
              <w:adjustRightInd w:val="0"/>
              <w:jc w:val="right"/>
            </w:pPr>
            <w:r w:rsidRPr="003B6A69">
              <w:t>31928</w:t>
            </w:r>
          </w:p>
        </w:tc>
        <w:tc>
          <w:tcPr>
            <w:tcW w:w="1980" w:type="dxa"/>
            <w:tcBorders>
              <w:top w:val="single" w:sz="6" w:space="0" w:color="auto"/>
              <w:left w:val="single" w:sz="6" w:space="0" w:color="auto"/>
              <w:bottom w:val="single" w:sz="6" w:space="0" w:color="auto"/>
              <w:right w:val="single" w:sz="6" w:space="0" w:color="auto"/>
            </w:tcBorders>
          </w:tcPr>
          <w:p w14:paraId="3AAFD059" w14:textId="77777777" w:rsidR="00AF1F0F" w:rsidRPr="003B6A69" w:rsidRDefault="00AF1F0F" w:rsidP="00AE3EED">
            <w:pPr>
              <w:autoSpaceDE w:val="0"/>
              <w:autoSpaceDN w:val="0"/>
              <w:adjustRightInd w:val="0"/>
            </w:pPr>
            <w:proofErr w:type="spellStart"/>
            <w:r w:rsidRPr="003B6A69">
              <w:t>Trebjesa</w:t>
            </w:r>
            <w:proofErr w:type="spellEnd"/>
          </w:p>
        </w:tc>
        <w:tc>
          <w:tcPr>
            <w:tcW w:w="1170" w:type="dxa"/>
            <w:tcBorders>
              <w:top w:val="single" w:sz="6" w:space="0" w:color="auto"/>
              <w:left w:val="single" w:sz="6" w:space="0" w:color="auto"/>
              <w:bottom w:val="single" w:sz="6" w:space="0" w:color="auto"/>
              <w:right w:val="single" w:sz="6" w:space="0" w:color="auto"/>
            </w:tcBorders>
          </w:tcPr>
          <w:p w14:paraId="05D8C75E" w14:textId="77777777" w:rsidR="00AF1F0F" w:rsidRPr="003B6A69" w:rsidRDefault="00AF1F0F" w:rsidP="00AE3EED">
            <w:pPr>
              <w:autoSpaceDE w:val="0"/>
              <w:autoSpaceDN w:val="0"/>
              <w:adjustRightInd w:val="0"/>
              <w:jc w:val="right"/>
            </w:pPr>
            <w:r w:rsidRPr="003B6A69">
              <w:t>40</w:t>
            </w:r>
          </w:p>
        </w:tc>
        <w:tc>
          <w:tcPr>
            <w:tcW w:w="2520" w:type="dxa"/>
            <w:tcBorders>
              <w:top w:val="single" w:sz="6" w:space="0" w:color="auto"/>
              <w:left w:val="single" w:sz="6" w:space="0" w:color="auto"/>
              <w:bottom w:val="single" w:sz="6" w:space="0" w:color="auto"/>
              <w:right w:val="single" w:sz="6" w:space="0" w:color="auto"/>
            </w:tcBorders>
            <w:vAlign w:val="bottom"/>
          </w:tcPr>
          <w:p w14:paraId="68651D3D" w14:textId="77777777" w:rsidR="00AF1F0F" w:rsidRPr="003B6A69" w:rsidRDefault="00AF1F0F" w:rsidP="00AE3EED">
            <w:r w:rsidRPr="003B6A69">
              <w:t>Protected Landscape</w:t>
            </w:r>
          </w:p>
        </w:tc>
        <w:tc>
          <w:tcPr>
            <w:tcW w:w="2970" w:type="dxa"/>
            <w:tcBorders>
              <w:top w:val="single" w:sz="6" w:space="0" w:color="auto"/>
              <w:left w:val="single" w:sz="6" w:space="0" w:color="auto"/>
              <w:bottom w:val="single" w:sz="6" w:space="0" w:color="auto"/>
              <w:right w:val="single" w:sz="6" w:space="0" w:color="auto"/>
            </w:tcBorders>
          </w:tcPr>
          <w:p w14:paraId="0A1FA0EE" w14:textId="77777777" w:rsidR="00AF1F0F" w:rsidRPr="003B6A69" w:rsidRDefault="00AF1F0F" w:rsidP="00AE3EED">
            <w:pPr>
              <w:autoSpaceDE w:val="0"/>
              <w:autoSpaceDN w:val="0"/>
              <w:adjustRightInd w:val="0"/>
            </w:pPr>
            <w:r w:rsidRPr="003B6A69">
              <w:t>EMERALD</w:t>
            </w:r>
          </w:p>
        </w:tc>
      </w:tr>
      <w:tr w:rsidR="00AF1F0F" w:rsidRPr="003B6A69" w14:paraId="62FFCF2B" w14:textId="77777777" w:rsidTr="00AE3EED">
        <w:trPr>
          <w:trHeight w:val="53"/>
        </w:trPr>
        <w:tc>
          <w:tcPr>
            <w:tcW w:w="1350" w:type="dxa"/>
            <w:tcBorders>
              <w:top w:val="single" w:sz="6" w:space="0" w:color="auto"/>
              <w:left w:val="single" w:sz="6" w:space="0" w:color="auto"/>
              <w:bottom w:val="single" w:sz="6" w:space="0" w:color="auto"/>
              <w:right w:val="single" w:sz="6" w:space="0" w:color="auto"/>
            </w:tcBorders>
          </w:tcPr>
          <w:p w14:paraId="536BAA0B" w14:textId="77777777" w:rsidR="00AF1F0F" w:rsidRPr="003B6A69" w:rsidRDefault="00AF1F0F" w:rsidP="00AE3EED">
            <w:pPr>
              <w:autoSpaceDE w:val="0"/>
              <w:autoSpaceDN w:val="0"/>
              <w:adjustRightInd w:val="0"/>
              <w:jc w:val="right"/>
            </w:pPr>
            <w:r w:rsidRPr="003B6A69">
              <w:lastRenderedPageBreak/>
              <w:t>31958</w:t>
            </w:r>
          </w:p>
        </w:tc>
        <w:tc>
          <w:tcPr>
            <w:tcW w:w="1980" w:type="dxa"/>
            <w:tcBorders>
              <w:top w:val="single" w:sz="6" w:space="0" w:color="auto"/>
              <w:left w:val="single" w:sz="6" w:space="0" w:color="auto"/>
              <w:bottom w:val="single" w:sz="6" w:space="0" w:color="auto"/>
              <w:right w:val="single" w:sz="6" w:space="0" w:color="auto"/>
            </w:tcBorders>
          </w:tcPr>
          <w:p w14:paraId="646744D5" w14:textId="77777777" w:rsidR="00AF1F0F" w:rsidRPr="003B6A69" w:rsidRDefault="00AF1F0F" w:rsidP="00AE3EED">
            <w:pPr>
              <w:autoSpaceDE w:val="0"/>
              <w:autoSpaceDN w:val="0"/>
              <w:adjustRightInd w:val="0"/>
            </w:pPr>
            <w:r w:rsidRPr="003B6A69">
              <w:t>Bojana Delta</w:t>
            </w:r>
          </w:p>
        </w:tc>
        <w:tc>
          <w:tcPr>
            <w:tcW w:w="1170" w:type="dxa"/>
            <w:tcBorders>
              <w:top w:val="single" w:sz="6" w:space="0" w:color="auto"/>
              <w:left w:val="single" w:sz="6" w:space="0" w:color="auto"/>
              <w:bottom w:val="single" w:sz="6" w:space="0" w:color="auto"/>
              <w:right w:val="single" w:sz="6" w:space="0" w:color="auto"/>
            </w:tcBorders>
          </w:tcPr>
          <w:p w14:paraId="68C87B3D" w14:textId="77777777" w:rsidR="00AF1F0F" w:rsidRPr="003B6A69" w:rsidRDefault="00AF1F0F" w:rsidP="00AE3EED">
            <w:pPr>
              <w:autoSpaceDE w:val="0"/>
              <w:autoSpaceDN w:val="0"/>
              <w:adjustRightInd w:val="0"/>
              <w:jc w:val="right"/>
            </w:pPr>
            <w:r w:rsidRPr="003B6A69">
              <w:t>11,000</w:t>
            </w:r>
          </w:p>
        </w:tc>
        <w:tc>
          <w:tcPr>
            <w:tcW w:w="2520" w:type="dxa"/>
            <w:tcBorders>
              <w:top w:val="single" w:sz="6" w:space="0" w:color="auto"/>
              <w:left w:val="single" w:sz="6" w:space="0" w:color="auto"/>
              <w:bottom w:val="single" w:sz="6" w:space="0" w:color="auto"/>
              <w:right w:val="single" w:sz="6" w:space="0" w:color="auto"/>
            </w:tcBorders>
          </w:tcPr>
          <w:p w14:paraId="6E2CC785" w14:textId="77777777" w:rsidR="00AF1F0F" w:rsidRPr="003B6A69" w:rsidRDefault="00AF1F0F" w:rsidP="00AE3EED">
            <w:pPr>
              <w:autoSpaceDE w:val="0"/>
              <w:autoSpaceDN w:val="0"/>
              <w:adjustRightInd w:val="0"/>
              <w:rPr>
                <w:lang w:val="sr-Latn-ME"/>
              </w:rPr>
            </w:pPr>
            <w:r w:rsidRPr="003B6A69">
              <w:rPr>
                <w:lang w:val="sr-Latn-ME"/>
              </w:rPr>
              <w:t>Small part of KBA (part of Velika plaža) is a nature monument</w:t>
            </w:r>
          </w:p>
        </w:tc>
        <w:tc>
          <w:tcPr>
            <w:tcW w:w="2970" w:type="dxa"/>
            <w:tcBorders>
              <w:top w:val="single" w:sz="6" w:space="0" w:color="auto"/>
              <w:left w:val="single" w:sz="6" w:space="0" w:color="auto"/>
              <w:bottom w:val="single" w:sz="6" w:space="0" w:color="auto"/>
              <w:right w:val="single" w:sz="6" w:space="0" w:color="auto"/>
            </w:tcBorders>
          </w:tcPr>
          <w:p w14:paraId="46EF3CE4" w14:textId="77777777" w:rsidR="00AF1F0F" w:rsidRPr="003B6A69" w:rsidRDefault="00AF1F0F" w:rsidP="00AE3EED">
            <w:pPr>
              <w:autoSpaceDE w:val="0"/>
              <w:autoSpaceDN w:val="0"/>
              <w:adjustRightInd w:val="0"/>
            </w:pPr>
            <w:r w:rsidRPr="003B6A69">
              <w:t>IBA, one part is EMERALD, one part (Velika plaza, Ada Bojana) IPA</w:t>
            </w:r>
          </w:p>
        </w:tc>
      </w:tr>
      <w:tr w:rsidR="00AF1F0F" w:rsidRPr="003B6A69" w14:paraId="3F9155DB" w14:textId="77777777" w:rsidTr="00AE3EED">
        <w:trPr>
          <w:trHeight w:val="53"/>
        </w:trPr>
        <w:tc>
          <w:tcPr>
            <w:tcW w:w="1350" w:type="dxa"/>
            <w:tcBorders>
              <w:top w:val="single" w:sz="6" w:space="0" w:color="auto"/>
              <w:left w:val="single" w:sz="6" w:space="0" w:color="auto"/>
              <w:bottom w:val="single" w:sz="6" w:space="0" w:color="auto"/>
              <w:right w:val="single" w:sz="6" w:space="0" w:color="auto"/>
            </w:tcBorders>
          </w:tcPr>
          <w:p w14:paraId="0ABB8462" w14:textId="77777777" w:rsidR="00AF1F0F" w:rsidRPr="003B6A69" w:rsidRDefault="00AF1F0F" w:rsidP="00AE3EED">
            <w:pPr>
              <w:autoSpaceDE w:val="0"/>
              <w:autoSpaceDN w:val="0"/>
              <w:adjustRightInd w:val="0"/>
              <w:jc w:val="right"/>
            </w:pPr>
            <w:r w:rsidRPr="003B6A69">
              <w:t>31959</w:t>
            </w:r>
          </w:p>
        </w:tc>
        <w:tc>
          <w:tcPr>
            <w:tcW w:w="1980" w:type="dxa"/>
            <w:tcBorders>
              <w:top w:val="single" w:sz="6" w:space="0" w:color="auto"/>
              <w:left w:val="single" w:sz="6" w:space="0" w:color="auto"/>
              <w:bottom w:val="single" w:sz="6" w:space="0" w:color="auto"/>
              <w:right w:val="single" w:sz="6" w:space="0" w:color="auto"/>
            </w:tcBorders>
          </w:tcPr>
          <w:p w14:paraId="56D25C52" w14:textId="77777777" w:rsidR="00AF1F0F" w:rsidRPr="003B6A69" w:rsidRDefault="00AF1F0F" w:rsidP="00AE3EED">
            <w:pPr>
              <w:autoSpaceDE w:val="0"/>
              <w:autoSpaceDN w:val="0"/>
              <w:adjustRightInd w:val="0"/>
            </w:pPr>
            <w:proofErr w:type="spellStart"/>
            <w:r w:rsidRPr="003B6A69">
              <w:t>Cemovsko</w:t>
            </w:r>
            <w:proofErr w:type="spellEnd"/>
            <w:r w:rsidRPr="003B6A69">
              <w:t xml:space="preserve"> Field</w:t>
            </w:r>
          </w:p>
        </w:tc>
        <w:tc>
          <w:tcPr>
            <w:tcW w:w="1170" w:type="dxa"/>
            <w:tcBorders>
              <w:top w:val="single" w:sz="6" w:space="0" w:color="auto"/>
              <w:left w:val="single" w:sz="6" w:space="0" w:color="auto"/>
              <w:bottom w:val="single" w:sz="6" w:space="0" w:color="auto"/>
              <w:right w:val="single" w:sz="6" w:space="0" w:color="auto"/>
            </w:tcBorders>
          </w:tcPr>
          <w:p w14:paraId="5F2CA2E2" w14:textId="77777777" w:rsidR="00AF1F0F" w:rsidRPr="003B6A69" w:rsidRDefault="00AF1F0F" w:rsidP="00AE3EED">
            <w:pPr>
              <w:autoSpaceDE w:val="0"/>
              <w:autoSpaceDN w:val="0"/>
              <w:adjustRightInd w:val="0"/>
              <w:jc w:val="right"/>
            </w:pPr>
            <w:r w:rsidRPr="003B6A69">
              <w:t>2,600</w:t>
            </w:r>
          </w:p>
        </w:tc>
        <w:tc>
          <w:tcPr>
            <w:tcW w:w="2520" w:type="dxa"/>
            <w:tcBorders>
              <w:top w:val="single" w:sz="6" w:space="0" w:color="auto"/>
              <w:left w:val="single" w:sz="6" w:space="0" w:color="auto"/>
              <w:bottom w:val="single" w:sz="6" w:space="0" w:color="auto"/>
              <w:right w:val="single" w:sz="6" w:space="0" w:color="auto"/>
            </w:tcBorders>
          </w:tcPr>
          <w:p w14:paraId="4E71A3EC" w14:textId="77777777" w:rsidR="00AF1F0F" w:rsidRPr="003B6A69" w:rsidRDefault="00AF1F0F" w:rsidP="00AE3EED">
            <w:pPr>
              <w:autoSpaceDE w:val="0"/>
              <w:autoSpaceDN w:val="0"/>
              <w:adjustRightInd w:val="0"/>
            </w:pPr>
            <w:r w:rsidRPr="003B6A69">
              <w:t>No</w:t>
            </w:r>
          </w:p>
        </w:tc>
        <w:tc>
          <w:tcPr>
            <w:tcW w:w="2970" w:type="dxa"/>
            <w:tcBorders>
              <w:top w:val="single" w:sz="6" w:space="0" w:color="auto"/>
              <w:left w:val="single" w:sz="6" w:space="0" w:color="auto"/>
              <w:bottom w:val="single" w:sz="6" w:space="0" w:color="auto"/>
              <w:right w:val="single" w:sz="6" w:space="0" w:color="auto"/>
            </w:tcBorders>
          </w:tcPr>
          <w:p w14:paraId="78AA7D2E" w14:textId="77777777" w:rsidR="00AF1F0F" w:rsidRPr="003B6A69" w:rsidRDefault="00AF1F0F" w:rsidP="00AE3EED">
            <w:pPr>
              <w:autoSpaceDE w:val="0"/>
              <w:autoSpaceDN w:val="0"/>
              <w:adjustRightInd w:val="0"/>
            </w:pPr>
            <w:r w:rsidRPr="003B6A69">
              <w:t>EMERALD, IBA</w:t>
            </w:r>
          </w:p>
        </w:tc>
      </w:tr>
      <w:tr w:rsidR="00AF1F0F" w:rsidRPr="003B6A69" w14:paraId="21E19761" w14:textId="77777777" w:rsidTr="00AE3EED">
        <w:trPr>
          <w:trHeight w:val="53"/>
        </w:trPr>
        <w:tc>
          <w:tcPr>
            <w:tcW w:w="1350" w:type="dxa"/>
            <w:tcBorders>
              <w:top w:val="single" w:sz="6" w:space="0" w:color="auto"/>
              <w:left w:val="single" w:sz="6" w:space="0" w:color="auto"/>
              <w:bottom w:val="single" w:sz="6" w:space="0" w:color="auto"/>
              <w:right w:val="single" w:sz="6" w:space="0" w:color="auto"/>
            </w:tcBorders>
          </w:tcPr>
          <w:p w14:paraId="45978E0C" w14:textId="77777777" w:rsidR="00AF1F0F" w:rsidRPr="003B6A69" w:rsidRDefault="00AF1F0F" w:rsidP="00AE3EED">
            <w:pPr>
              <w:autoSpaceDE w:val="0"/>
              <w:autoSpaceDN w:val="0"/>
              <w:adjustRightInd w:val="0"/>
              <w:jc w:val="right"/>
            </w:pPr>
            <w:r w:rsidRPr="003B6A69">
              <w:t>32033</w:t>
            </w:r>
          </w:p>
        </w:tc>
        <w:tc>
          <w:tcPr>
            <w:tcW w:w="1980" w:type="dxa"/>
            <w:tcBorders>
              <w:top w:val="single" w:sz="6" w:space="0" w:color="auto"/>
              <w:left w:val="single" w:sz="6" w:space="0" w:color="auto"/>
              <w:bottom w:val="single" w:sz="6" w:space="0" w:color="auto"/>
              <w:right w:val="single" w:sz="6" w:space="0" w:color="auto"/>
            </w:tcBorders>
          </w:tcPr>
          <w:p w14:paraId="623133E1" w14:textId="77777777" w:rsidR="00AF1F0F" w:rsidRPr="003B6A69" w:rsidRDefault="00AF1F0F" w:rsidP="00AE3EED">
            <w:pPr>
              <w:autoSpaceDE w:val="0"/>
              <w:autoSpaceDN w:val="0"/>
              <w:adjustRightInd w:val="0"/>
            </w:pPr>
            <w:proofErr w:type="spellStart"/>
            <w:r w:rsidRPr="003B6A69">
              <w:t>Katici</w:t>
            </w:r>
            <w:proofErr w:type="spellEnd"/>
            <w:r w:rsidRPr="003B6A69">
              <w:t xml:space="preserve">, </w:t>
            </w:r>
            <w:proofErr w:type="spellStart"/>
            <w:r w:rsidRPr="003B6A69">
              <w:t>Donkova</w:t>
            </w:r>
            <w:proofErr w:type="spellEnd"/>
            <w:r w:rsidRPr="003B6A69">
              <w:t xml:space="preserve"> and </w:t>
            </w:r>
            <w:proofErr w:type="spellStart"/>
            <w:r w:rsidRPr="003B6A69">
              <w:t>Velja</w:t>
            </w:r>
            <w:proofErr w:type="spellEnd"/>
            <w:r w:rsidRPr="003B6A69">
              <w:t xml:space="preserve"> Seka</w:t>
            </w:r>
          </w:p>
        </w:tc>
        <w:tc>
          <w:tcPr>
            <w:tcW w:w="1170" w:type="dxa"/>
            <w:tcBorders>
              <w:top w:val="single" w:sz="6" w:space="0" w:color="auto"/>
              <w:left w:val="single" w:sz="6" w:space="0" w:color="auto"/>
              <w:bottom w:val="single" w:sz="6" w:space="0" w:color="auto"/>
              <w:right w:val="single" w:sz="6" w:space="0" w:color="auto"/>
            </w:tcBorders>
          </w:tcPr>
          <w:p w14:paraId="14A0308F" w14:textId="77777777" w:rsidR="00AF1F0F" w:rsidRPr="003B6A69" w:rsidRDefault="00AF1F0F" w:rsidP="00AE3EED">
            <w:pPr>
              <w:autoSpaceDE w:val="0"/>
              <w:autoSpaceDN w:val="0"/>
              <w:adjustRightInd w:val="0"/>
              <w:jc w:val="right"/>
            </w:pPr>
            <w:r w:rsidRPr="003B6A69">
              <w:t>440</w:t>
            </w:r>
          </w:p>
        </w:tc>
        <w:tc>
          <w:tcPr>
            <w:tcW w:w="2520" w:type="dxa"/>
            <w:tcBorders>
              <w:top w:val="single" w:sz="6" w:space="0" w:color="auto"/>
              <w:left w:val="single" w:sz="6" w:space="0" w:color="auto"/>
              <w:bottom w:val="single" w:sz="6" w:space="0" w:color="auto"/>
              <w:right w:val="single" w:sz="6" w:space="0" w:color="auto"/>
            </w:tcBorders>
          </w:tcPr>
          <w:p w14:paraId="60738E0D" w14:textId="77777777" w:rsidR="00AF1F0F" w:rsidRPr="003B6A69" w:rsidRDefault="00AF1F0F" w:rsidP="00AE3EED">
            <w:pPr>
              <w:autoSpaceDE w:val="0"/>
              <w:autoSpaceDN w:val="0"/>
              <w:adjustRightInd w:val="0"/>
            </w:pPr>
            <w:r w:rsidRPr="003B6A69">
              <w:t>No</w:t>
            </w:r>
          </w:p>
        </w:tc>
        <w:tc>
          <w:tcPr>
            <w:tcW w:w="2970" w:type="dxa"/>
            <w:tcBorders>
              <w:top w:val="single" w:sz="6" w:space="0" w:color="auto"/>
              <w:left w:val="single" w:sz="6" w:space="0" w:color="auto"/>
              <w:bottom w:val="single" w:sz="6" w:space="0" w:color="auto"/>
              <w:right w:val="single" w:sz="6" w:space="0" w:color="auto"/>
            </w:tcBorders>
          </w:tcPr>
          <w:p w14:paraId="4C1D7A17" w14:textId="77777777" w:rsidR="00AF1F0F" w:rsidRPr="003B6A69" w:rsidRDefault="00AF1F0F" w:rsidP="00AE3EED">
            <w:pPr>
              <w:autoSpaceDE w:val="0"/>
              <w:autoSpaceDN w:val="0"/>
              <w:adjustRightInd w:val="0"/>
            </w:pPr>
            <w:r w:rsidRPr="003B6A69">
              <w:t>EMERALD, IPA</w:t>
            </w:r>
          </w:p>
        </w:tc>
      </w:tr>
      <w:tr w:rsidR="00AF1F0F" w:rsidRPr="003B6A69" w14:paraId="12FDCD13" w14:textId="77777777" w:rsidTr="00AE3EED">
        <w:trPr>
          <w:trHeight w:val="53"/>
        </w:trPr>
        <w:tc>
          <w:tcPr>
            <w:tcW w:w="1350" w:type="dxa"/>
            <w:tcBorders>
              <w:top w:val="single" w:sz="6" w:space="0" w:color="auto"/>
              <w:left w:val="single" w:sz="6" w:space="0" w:color="auto"/>
              <w:bottom w:val="single" w:sz="6" w:space="0" w:color="auto"/>
              <w:right w:val="single" w:sz="6" w:space="0" w:color="auto"/>
            </w:tcBorders>
          </w:tcPr>
          <w:p w14:paraId="6679219A" w14:textId="77777777" w:rsidR="00AF1F0F" w:rsidRPr="003B6A69" w:rsidRDefault="00AF1F0F" w:rsidP="00AE3EED">
            <w:pPr>
              <w:autoSpaceDE w:val="0"/>
              <w:autoSpaceDN w:val="0"/>
              <w:adjustRightInd w:val="0"/>
              <w:jc w:val="right"/>
            </w:pPr>
            <w:r w:rsidRPr="003B6A69">
              <w:t>32034</w:t>
            </w:r>
          </w:p>
        </w:tc>
        <w:tc>
          <w:tcPr>
            <w:tcW w:w="1980" w:type="dxa"/>
            <w:tcBorders>
              <w:top w:val="single" w:sz="6" w:space="0" w:color="auto"/>
              <w:left w:val="single" w:sz="6" w:space="0" w:color="auto"/>
              <w:bottom w:val="single" w:sz="6" w:space="0" w:color="auto"/>
              <w:right w:val="single" w:sz="6" w:space="0" w:color="auto"/>
            </w:tcBorders>
          </w:tcPr>
          <w:p w14:paraId="500B0815" w14:textId="77777777" w:rsidR="00AF1F0F" w:rsidRPr="003B6A69" w:rsidRDefault="00AF1F0F" w:rsidP="00AE3EED">
            <w:pPr>
              <w:autoSpaceDE w:val="0"/>
              <w:autoSpaceDN w:val="0"/>
              <w:adjustRightInd w:val="0"/>
            </w:pPr>
            <w:r w:rsidRPr="003B6A69">
              <w:t xml:space="preserve">Kotor </w:t>
            </w:r>
            <w:proofErr w:type="spellStart"/>
            <w:r w:rsidRPr="003B6A69">
              <w:t>Risan</w:t>
            </w:r>
            <w:proofErr w:type="spellEnd"/>
            <w:r w:rsidRPr="003B6A69">
              <w:t xml:space="preserve"> bay</w:t>
            </w:r>
          </w:p>
        </w:tc>
        <w:tc>
          <w:tcPr>
            <w:tcW w:w="1170" w:type="dxa"/>
            <w:tcBorders>
              <w:top w:val="single" w:sz="6" w:space="0" w:color="auto"/>
              <w:left w:val="single" w:sz="6" w:space="0" w:color="auto"/>
              <w:bottom w:val="single" w:sz="6" w:space="0" w:color="auto"/>
              <w:right w:val="single" w:sz="6" w:space="0" w:color="auto"/>
            </w:tcBorders>
          </w:tcPr>
          <w:p w14:paraId="5241E020" w14:textId="77777777" w:rsidR="00AF1F0F" w:rsidRPr="003B6A69" w:rsidRDefault="00AF1F0F" w:rsidP="00AE3EED">
            <w:pPr>
              <w:autoSpaceDE w:val="0"/>
              <w:autoSpaceDN w:val="0"/>
              <w:adjustRightInd w:val="0"/>
              <w:jc w:val="right"/>
            </w:pPr>
            <w:r w:rsidRPr="003B6A69">
              <w:t>2,779</w:t>
            </w:r>
          </w:p>
        </w:tc>
        <w:tc>
          <w:tcPr>
            <w:tcW w:w="2520" w:type="dxa"/>
            <w:tcBorders>
              <w:top w:val="single" w:sz="6" w:space="0" w:color="auto"/>
              <w:left w:val="single" w:sz="6" w:space="0" w:color="auto"/>
              <w:bottom w:val="single" w:sz="6" w:space="0" w:color="auto"/>
              <w:right w:val="single" w:sz="6" w:space="0" w:color="auto"/>
            </w:tcBorders>
          </w:tcPr>
          <w:p w14:paraId="444004F1" w14:textId="77777777" w:rsidR="00AF1F0F" w:rsidRPr="003B6A69" w:rsidRDefault="00AF1F0F" w:rsidP="00AE3EED">
            <w:pPr>
              <w:autoSpaceDE w:val="0"/>
              <w:autoSpaceDN w:val="0"/>
              <w:adjustRightInd w:val="0"/>
            </w:pPr>
            <w:r w:rsidRPr="003B6A69">
              <w:t>No</w:t>
            </w:r>
          </w:p>
        </w:tc>
        <w:tc>
          <w:tcPr>
            <w:tcW w:w="2970" w:type="dxa"/>
            <w:tcBorders>
              <w:top w:val="single" w:sz="6" w:space="0" w:color="auto"/>
              <w:left w:val="single" w:sz="6" w:space="0" w:color="auto"/>
              <w:bottom w:val="single" w:sz="6" w:space="0" w:color="auto"/>
              <w:right w:val="single" w:sz="6" w:space="0" w:color="auto"/>
            </w:tcBorders>
          </w:tcPr>
          <w:p w14:paraId="670A58CE" w14:textId="77777777" w:rsidR="00AF1F0F" w:rsidRPr="003B6A69" w:rsidRDefault="00AF1F0F" w:rsidP="00AE3EED">
            <w:pPr>
              <w:autoSpaceDE w:val="0"/>
              <w:autoSpaceDN w:val="0"/>
              <w:adjustRightInd w:val="0"/>
            </w:pPr>
            <w:r w:rsidRPr="003B6A69">
              <w:t>EMERALD, IPA</w:t>
            </w:r>
          </w:p>
        </w:tc>
      </w:tr>
      <w:tr w:rsidR="00AF1F0F" w:rsidRPr="003B6A69" w14:paraId="7205BD91" w14:textId="77777777" w:rsidTr="00AE3EED">
        <w:trPr>
          <w:trHeight w:val="291"/>
        </w:trPr>
        <w:tc>
          <w:tcPr>
            <w:tcW w:w="1350" w:type="dxa"/>
            <w:tcBorders>
              <w:top w:val="single" w:sz="6" w:space="0" w:color="auto"/>
              <w:left w:val="single" w:sz="6" w:space="0" w:color="auto"/>
              <w:bottom w:val="single" w:sz="6" w:space="0" w:color="auto"/>
              <w:right w:val="single" w:sz="6" w:space="0" w:color="auto"/>
            </w:tcBorders>
          </w:tcPr>
          <w:p w14:paraId="2DB11D82" w14:textId="77777777" w:rsidR="00AF1F0F" w:rsidRPr="003B6A69" w:rsidRDefault="00AF1F0F" w:rsidP="00AE3EED">
            <w:pPr>
              <w:autoSpaceDE w:val="0"/>
              <w:autoSpaceDN w:val="0"/>
              <w:adjustRightInd w:val="0"/>
              <w:jc w:val="right"/>
            </w:pPr>
            <w:r w:rsidRPr="003B6A69">
              <w:t>32035</w:t>
            </w:r>
          </w:p>
        </w:tc>
        <w:tc>
          <w:tcPr>
            <w:tcW w:w="1980" w:type="dxa"/>
            <w:tcBorders>
              <w:top w:val="single" w:sz="6" w:space="0" w:color="auto"/>
              <w:left w:val="single" w:sz="6" w:space="0" w:color="auto"/>
              <w:bottom w:val="single" w:sz="6" w:space="0" w:color="auto"/>
              <w:right w:val="single" w:sz="6" w:space="0" w:color="auto"/>
            </w:tcBorders>
          </w:tcPr>
          <w:p w14:paraId="7EC5C244" w14:textId="77777777" w:rsidR="00AF1F0F" w:rsidRPr="003B6A69" w:rsidRDefault="00AF1F0F" w:rsidP="00AE3EED">
            <w:pPr>
              <w:autoSpaceDE w:val="0"/>
              <w:autoSpaceDN w:val="0"/>
              <w:adjustRightInd w:val="0"/>
            </w:pPr>
            <w:proofErr w:type="spellStart"/>
            <w:r w:rsidRPr="003B6A69">
              <w:t>Platamuni</w:t>
            </w:r>
            <w:proofErr w:type="spellEnd"/>
          </w:p>
        </w:tc>
        <w:tc>
          <w:tcPr>
            <w:tcW w:w="1170" w:type="dxa"/>
            <w:tcBorders>
              <w:top w:val="single" w:sz="6" w:space="0" w:color="auto"/>
              <w:left w:val="single" w:sz="6" w:space="0" w:color="auto"/>
              <w:bottom w:val="single" w:sz="6" w:space="0" w:color="auto"/>
              <w:right w:val="single" w:sz="6" w:space="0" w:color="auto"/>
            </w:tcBorders>
          </w:tcPr>
          <w:p w14:paraId="03BA93D5" w14:textId="77777777" w:rsidR="00AF1F0F" w:rsidRPr="003B6A69" w:rsidRDefault="00AF1F0F" w:rsidP="00AE3EED">
            <w:pPr>
              <w:autoSpaceDE w:val="0"/>
              <w:autoSpaceDN w:val="0"/>
              <w:adjustRightInd w:val="0"/>
              <w:jc w:val="right"/>
            </w:pPr>
            <w:r w:rsidRPr="003B6A69">
              <w:t>1,699</w:t>
            </w:r>
          </w:p>
        </w:tc>
        <w:tc>
          <w:tcPr>
            <w:tcW w:w="2520" w:type="dxa"/>
            <w:tcBorders>
              <w:top w:val="single" w:sz="6" w:space="0" w:color="auto"/>
              <w:left w:val="single" w:sz="6" w:space="0" w:color="auto"/>
              <w:bottom w:val="single" w:sz="6" w:space="0" w:color="auto"/>
              <w:right w:val="single" w:sz="6" w:space="0" w:color="auto"/>
            </w:tcBorders>
          </w:tcPr>
          <w:p w14:paraId="27C5FFDD" w14:textId="77777777" w:rsidR="00AF1F0F" w:rsidRPr="003B6A69" w:rsidRDefault="00AF1F0F" w:rsidP="00AE3EED">
            <w:pPr>
              <w:autoSpaceDE w:val="0"/>
              <w:autoSpaceDN w:val="0"/>
              <w:adjustRightInd w:val="0"/>
            </w:pPr>
            <w:r w:rsidRPr="003B6A69">
              <w:t>No</w:t>
            </w:r>
          </w:p>
        </w:tc>
        <w:tc>
          <w:tcPr>
            <w:tcW w:w="2970" w:type="dxa"/>
            <w:tcBorders>
              <w:top w:val="single" w:sz="6" w:space="0" w:color="auto"/>
              <w:left w:val="single" w:sz="6" w:space="0" w:color="auto"/>
              <w:bottom w:val="single" w:sz="6" w:space="0" w:color="auto"/>
              <w:right w:val="single" w:sz="6" w:space="0" w:color="auto"/>
            </w:tcBorders>
          </w:tcPr>
          <w:p w14:paraId="71F57E93" w14:textId="77777777" w:rsidR="00AF1F0F" w:rsidRPr="003B6A69" w:rsidRDefault="00AF1F0F" w:rsidP="00AE3EED">
            <w:pPr>
              <w:autoSpaceDE w:val="0"/>
              <w:autoSpaceDN w:val="0"/>
              <w:adjustRightInd w:val="0"/>
            </w:pPr>
            <w:r w:rsidRPr="003B6A69">
              <w:t>EMERALD, IPA</w:t>
            </w:r>
          </w:p>
        </w:tc>
      </w:tr>
      <w:tr w:rsidR="00AF1F0F" w:rsidRPr="003B6A69" w14:paraId="46A793FD" w14:textId="77777777" w:rsidTr="00AE3EED">
        <w:trPr>
          <w:trHeight w:val="201"/>
        </w:trPr>
        <w:tc>
          <w:tcPr>
            <w:tcW w:w="1350" w:type="dxa"/>
            <w:tcBorders>
              <w:top w:val="single" w:sz="6" w:space="0" w:color="auto"/>
              <w:left w:val="single" w:sz="6" w:space="0" w:color="auto"/>
              <w:bottom w:val="single" w:sz="6" w:space="0" w:color="auto"/>
              <w:right w:val="single" w:sz="6" w:space="0" w:color="auto"/>
            </w:tcBorders>
          </w:tcPr>
          <w:p w14:paraId="614660BB" w14:textId="77777777" w:rsidR="00AF1F0F" w:rsidRPr="003B6A69" w:rsidRDefault="00AF1F0F" w:rsidP="00AE3EED">
            <w:pPr>
              <w:autoSpaceDE w:val="0"/>
              <w:autoSpaceDN w:val="0"/>
              <w:adjustRightInd w:val="0"/>
              <w:jc w:val="right"/>
            </w:pPr>
            <w:r w:rsidRPr="003B6A69">
              <w:t>32036</w:t>
            </w:r>
          </w:p>
        </w:tc>
        <w:tc>
          <w:tcPr>
            <w:tcW w:w="1980" w:type="dxa"/>
            <w:tcBorders>
              <w:top w:val="single" w:sz="6" w:space="0" w:color="auto"/>
              <w:left w:val="single" w:sz="6" w:space="0" w:color="auto"/>
              <w:bottom w:val="single" w:sz="6" w:space="0" w:color="auto"/>
              <w:right w:val="single" w:sz="6" w:space="0" w:color="auto"/>
            </w:tcBorders>
          </w:tcPr>
          <w:p w14:paraId="63F9C5EA" w14:textId="77777777" w:rsidR="00AF1F0F" w:rsidRPr="003B6A69" w:rsidRDefault="00AF1F0F" w:rsidP="00AE3EED">
            <w:pPr>
              <w:autoSpaceDE w:val="0"/>
              <w:autoSpaceDN w:val="0"/>
              <w:adjustRightInd w:val="0"/>
            </w:pPr>
            <w:proofErr w:type="spellStart"/>
            <w:r w:rsidRPr="003B6A69">
              <w:t>Tivat</w:t>
            </w:r>
            <w:proofErr w:type="spellEnd"/>
            <w:r w:rsidRPr="003B6A69">
              <w:t xml:space="preserve"> Salina</w:t>
            </w:r>
          </w:p>
        </w:tc>
        <w:tc>
          <w:tcPr>
            <w:tcW w:w="1170" w:type="dxa"/>
            <w:tcBorders>
              <w:top w:val="single" w:sz="6" w:space="0" w:color="auto"/>
              <w:left w:val="single" w:sz="6" w:space="0" w:color="auto"/>
              <w:bottom w:val="single" w:sz="6" w:space="0" w:color="auto"/>
              <w:right w:val="single" w:sz="6" w:space="0" w:color="auto"/>
            </w:tcBorders>
          </w:tcPr>
          <w:p w14:paraId="002A9600" w14:textId="77777777" w:rsidR="00AF1F0F" w:rsidRPr="003B6A69" w:rsidRDefault="00AF1F0F" w:rsidP="00AE3EED">
            <w:pPr>
              <w:autoSpaceDE w:val="0"/>
              <w:autoSpaceDN w:val="0"/>
              <w:adjustRightInd w:val="0"/>
              <w:jc w:val="right"/>
            </w:pPr>
            <w:r w:rsidRPr="003B6A69">
              <w:t>150</w:t>
            </w:r>
          </w:p>
        </w:tc>
        <w:tc>
          <w:tcPr>
            <w:tcW w:w="2520" w:type="dxa"/>
            <w:tcBorders>
              <w:top w:val="single" w:sz="6" w:space="0" w:color="auto"/>
              <w:left w:val="single" w:sz="6" w:space="0" w:color="auto"/>
              <w:bottom w:val="single" w:sz="6" w:space="0" w:color="auto"/>
              <w:right w:val="single" w:sz="6" w:space="0" w:color="auto"/>
            </w:tcBorders>
          </w:tcPr>
          <w:p w14:paraId="7CC9385E" w14:textId="77777777" w:rsidR="00AF1F0F" w:rsidRPr="003B6A69" w:rsidRDefault="00AF1F0F" w:rsidP="00AE3EED">
            <w:pPr>
              <w:autoSpaceDE w:val="0"/>
              <w:autoSpaceDN w:val="0"/>
              <w:adjustRightInd w:val="0"/>
            </w:pPr>
            <w:r w:rsidRPr="003B6A69">
              <w:t>Special nature reserve</w:t>
            </w:r>
          </w:p>
        </w:tc>
        <w:tc>
          <w:tcPr>
            <w:tcW w:w="2970" w:type="dxa"/>
            <w:tcBorders>
              <w:top w:val="single" w:sz="6" w:space="0" w:color="auto"/>
              <w:left w:val="single" w:sz="6" w:space="0" w:color="auto"/>
              <w:bottom w:val="single" w:sz="6" w:space="0" w:color="auto"/>
              <w:right w:val="single" w:sz="6" w:space="0" w:color="auto"/>
            </w:tcBorders>
          </w:tcPr>
          <w:p w14:paraId="4E845B18" w14:textId="77777777" w:rsidR="00AF1F0F" w:rsidRPr="003B6A69" w:rsidRDefault="00AF1F0F" w:rsidP="00AE3EED">
            <w:pPr>
              <w:autoSpaceDE w:val="0"/>
              <w:autoSpaceDN w:val="0"/>
              <w:adjustRightInd w:val="0"/>
            </w:pPr>
            <w:r w:rsidRPr="003B6A69">
              <w:t>EMERALD</w:t>
            </w:r>
          </w:p>
        </w:tc>
      </w:tr>
      <w:tr w:rsidR="00AF1F0F" w:rsidRPr="003B6A69" w14:paraId="34AE8535" w14:textId="77777777" w:rsidTr="00AE3EED">
        <w:trPr>
          <w:trHeight w:val="53"/>
        </w:trPr>
        <w:tc>
          <w:tcPr>
            <w:tcW w:w="1350" w:type="dxa"/>
            <w:tcBorders>
              <w:top w:val="single" w:sz="6" w:space="0" w:color="auto"/>
              <w:left w:val="single" w:sz="6" w:space="0" w:color="auto"/>
              <w:bottom w:val="single" w:sz="6" w:space="0" w:color="auto"/>
              <w:right w:val="single" w:sz="6" w:space="0" w:color="auto"/>
            </w:tcBorders>
          </w:tcPr>
          <w:p w14:paraId="25E53CCF" w14:textId="77777777" w:rsidR="00AF1F0F" w:rsidRPr="003B6A69" w:rsidRDefault="00AF1F0F" w:rsidP="00AE3EED">
            <w:pPr>
              <w:autoSpaceDE w:val="0"/>
              <w:autoSpaceDN w:val="0"/>
              <w:adjustRightInd w:val="0"/>
              <w:jc w:val="right"/>
            </w:pPr>
            <w:r w:rsidRPr="003B6A69">
              <w:t>46646</w:t>
            </w:r>
          </w:p>
        </w:tc>
        <w:tc>
          <w:tcPr>
            <w:tcW w:w="1980" w:type="dxa"/>
            <w:tcBorders>
              <w:top w:val="single" w:sz="6" w:space="0" w:color="auto"/>
              <w:left w:val="single" w:sz="6" w:space="0" w:color="auto"/>
              <w:bottom w:val="single" w:sz="6" w:space="0" w:color="auto"/>
              <w:right w:val="single" w:sz="6" w:space="0" w:color="auto"/>
            </w:tcBorders>
          </w:tcPr>
          <w:p w14:paraId="665A9A41" w14:textId="77777777" w:rsidR="00AF1F0F" w:rsidRPr="003B6A69" w:rsidRDefault="00AF1F0F" w:rsidP="00AE3EED">
            <w:pPr>
              <w:autoSpaceDE w:val="0"/>
              <w:autoSpaceDN w:val="0"/>
              <w:adjustRightInd w:val="0"/>
            </w:pPr>
            <w:proofErr w:type="spellStart"/>
            <w:r w:rsidRPr="003B6A69">
              <w:t>Moraca</w:t>
            </w:r>
            <w:proofErr w:type="spellEnd"/>
            <w:r w:rsidRPr="003B6A69">
              <w:t xml:space="preserve"> River</w:t>
            </w:r>
          </w:p>
        </w:tc>
        <w:tc>
          <w:tcPr>
            <w:tcW w:w="1170" w:type="dxa"/>
            <w:tcBorders>
              <w:top w:val="single" w:sz="6" w:space="0" w:color="auto"/>
              <w:left w:val="single" w:sz="6" w:space="0" w:color="auto"/>
              <w:bottom w:val="single" w:sz="6" w:space="0" w:color="auto"/>
              <w:right w:val="single" w:sz="6" w:space="0" w:color="auto"/>
            </w:tcBorders>
          </w:tcPr>
          <w:p w14:paraId="3CDC8D46" w14:textId="77777777" w:rsidR="00AF1F0F" w:rsidRPr="003B6A69" w:rsidRDefault="00AF1F0F" w:rsidP="00AE3EED">
            <w:pPr>
              <w:autoSpaceDE w:val="0"/>
              <w:autoSpaceDN w:val="0"/>
              <w:adjustRightInd w:val="0"/>
              <w:jc w:val="right"/>
            </w:pPr>
            <w:r w:rsidRPr="003B6A69">
              <w:t>5,300</w:t>
            </w:r>
          </w:p>
        </w:tc>
        <w:tc>
          <w:tcPr>
            <w:tcW w:w="2520" w:type="dxa"/>
            <w:tcBorders>
              <w:top w:val="single" w:sz="6" w:space="0" w:color="auto"/>
              <w:left w:val="single" w:sz="6" w:space="0" w:color="auto"/>
              <w:bottom w:val="single" w:sz="6" w:space="0" w:color="auto"/>
              <w:right w:val="single" w:sz="6" w:space="0" w:color="auto"/>
            </w:tcBorders>
          </w:tcPr>
          <w:p w14:paraId="74249237" w14:textId="77777777" w:rsidR="00AF1F0F" w:rsidRPr="003B6A69" w:rsidRDefault="00AF1F0F" w:rsidP="00AE3EED">
            <w:pPr>
              <w:autoSpaceDE w:val="0"/>
              <w:autoSpaceDN w:val="0"/>
              <w:adjustRightInd w:val="0"/>
            </w:pPr>
            <w:r w:rsidRPr="003B6A69">
              <w:t>No</w:t>
            </w:r>
          </w:p>
        </w:tc>
        <w:tc>
          <w:tcPr>
            <w:tcW w:w="2970" w:type="dxa"/>
            <w:tcBorders>
              <w:top w:val="single" w:sz="6" w:space="0" w:color="auto"/>
              <w:left w:val="single" w:sz="6" w:space="0" w:color="auto"/>
              <w:bottom w:val="single" w:sz="6" w:space="0" w:color="auto"/>
              <w:right w:val="single" w:sz="6" w:space="0" w:color="auto"/>
            </w:tcBorders>
          </w:tcPr>
          <w:p w14:paraId="3A0A3560" w14:textId="77777777" w:rsidR="00AF1F0F" w:rsidRPr="003B6A69" w:rsidRDefault="00AF1F0F" w:rsidP="00AE3EED">
            <w:pPr>
              <w:autoSpaceDE w:val="0"/>
              <w:autoSpaceDN w:val="0"/>
              <w:adjustRightInd w:val="0"/>
            </w:pPr>
            <w:r w:rsidRPr="003B6A69">
              <w:t>EMERALD</w:t>
            </w:r>
          </w:p>
        </w:tc>
      </w:tr>
    </w:tbl>
    <w:p w14:paraId="26391A39" w14:textId="68017F4F" w:rsidR="00AF1F0F" w:rsidRPr="003B6A69" w:rsidRDefault="00AF1F0F" w:rsidP="00AF69F1">
      <w:pPr>
        <w:numPr>
          <w:ilvl w:val="0"/>
          <w:numId w:val="14"/>
        </w:numPr>
        <w:tabs>
          <w:tab w:val="left" w:pos="426"/>
        </w:tabs>
        <w:spacing w:after="120"/>
        <w:ind w:left="0" w:firstLine="0"/>
        <w:rPr>
          <w:rFonts w:cs="Calibri"/>
          <w:bCs/>
          <w:szCs w:val="20"/>
          <w:lang w:val="en-GB"/>
        </w:rPr>
      </w:pPr>
      <w:r w:rsidRPr="003B6A69">
        <w:rPr>
          <w:spacing w:val="-2"/>
          <w:lang w:val="sr-Latn-ME"/>
        </w:rPr>
        <w:t>Durmitor, Skadar Lake, Biogradska woods, and Lovcen KBAs are protected in the country as National Parks. Zeta Stream, Ulcinjska solana and Orjen are nature parks, while Cijevna Canyon and a small part of KBA Bojana Delta (part of Velika plaža) are nature monuments. Trebjesa is a protected landscape. A special nature reserve is Tivat Salina. There are nine registered KBAs in Montenegro that do not have a national protection status: Lake Šasko, Kakaricka Gora, Rumija, Bojana Delta, Ćemovsko polje, Katici, Donkova and Velja Seka, Kotor Risan bay, Platamuni, Morača river. Of these areas, four are IBA sites: Lake Šasko, Rumija, Bojana Delta, and Ćemovsko polje. Only the first</w:t>
      </w:r>
      <w:r w:rsidR="005D32D5" w:rsidRPr="003B6A69">
        <w:rPr>
          <w:spacing w:val="-2"/>
          <w:lang w:val="sr-Latn-ME"/>
        </w:rPr>
        <w:t>-</w:t>
      </w:r>
      <w:r w:rsidRPr="003B6A69">
        <w:rPr>
          <w:spacing w:val="-2"/>
          <w:lang w:val="sr-Latn-ME"/>
        </w:rPr>
        <w:t>mentioned of these areas does not belong to the EMERALD network. The following areas were selected for IPA: Kakaricka gora, Katići, Donkova and Velja Seka, Kotor Risan bay and Platamuni. All the KBAs, except the first one, are included in the EMERALD network. Morača river is the only KBA that does not have the status of a protected area in Montenegro and does not have international nominations apart from the EMERALD recognition.</w:t>
      </w:r>
      <w:r w:rsidRPr="003B6A69">
        <w:rPr>
          <w:sz w:val="22"/>
          <w:szCs w:val="22"/>
        </w:rPr>
        <w:t xml:space="preserve"> </w:t>
      </w:r>
    </w:p>
    <w:p w14:paraId="77AFB99F" w14:textId="77777777" w:rsidR="00AF1F0F" w:rsidRPr="003B6A69" w:rsidRDefault="00AF1F0F" w:rsidP="003C6B7B">
      <w:pPr>
        <w:pStyle w:val="Heading2"/>
        <w:numPr>
          <w:ilvl w:val="1"/>
          <w:numId w:val="44"/>
        </w:numPr>
        <w:rPr>
          <w:lang w:val="en-GB"/>
        </w:rPr>
      </w:pPr>
      <w:bookmarkStart w:id="6" w:name="_Toc82018241"/>
      <w:r w:rsidRPr="003B6A69">
        <w:rPr>
          <w:lang w:val="en-GB"/>
        </w:rPr>
        <w:t>Threats and their immediate and root causes</w:t>
      </w:r>
      <w:bookmarkEnd w:id="6"/>
    </w:p>
    <w:p w14:paraId="2B70FC74" w14:textId="1C7DED04" w:rsidR="00AF1F0F" w:rsidRPr="003B6A69" w:rsidRDefault="00AF1F0F" w:rsidP="00AF69F1">
      <w:pPr>
        <w:numPr>
          <w:ilvl w:val="0"/>
          <w:numId w:val="14"/>
        </w:numPr>
        <w:tabs>
          <w:tab w:val="left" w:pos="426"/>
        </w:tabs>
        <w:spacing w:after="120"/>
        <w:ind w:left="0" w:firstLine="0"/>
        <w:rPr>
          <w:rFonts w:asciiTheme="minorHAnsi" w:hAnsiTheme="minorHAnsi" w:cs="Calibri"/>
          <w:bCs/>
          <w:szCs w:val="20"/>
        </w:rPr>
      </w:pPr>
      <w:r w:rsidRPr="003B6A69">
        <w:rPr>
          <w:rFonts w:asciiTheme="minorHAnsi" w:hAnsiTheme="minorHAnsi" w:cs="Calibri"/>
          <w:bCs/>
          <w:szCs w:val="20"/>
          <w:lang w:val="en-GB"/>
        </w:rPr>
        <w:t xml:space="preserve">In </w:t>
      </w:r>
      <w:r w:rsidRPr="003B6A69">
        <w:rPr>
          <w:rFonts w:asciiTheme="minorHAnsi" w:hAnsiTheme="minorHAnsi" w:cs="Calibri"/>
          <w:bCs/>
          <w:szCs w:val="20"/>
        </w:rPr>
        <w:t>the most important biodiversity centers and KBAs, the following threats and drivers of biodiversity loss are common for most of them:</w:t>
      </w:r>
    </w:p>
    <w:p w14:paraId="2891B300" w14:textId="77777777" w:rsidR="00AF1F0F" w:rsidRPr="003B6A69" w:rsidRDefault="00AF1F0F" w:rsidP="003C6B7B">
      <w:pPr>
        <w:numPr>
          <w:ilvl w:val="0"/>
          <w:numId w:val="43"/>
        </w:numPr>
        <w:tabs>
          <w:tab w:val="left" w:pos="426"/>
        </w:tabs>
        <w:spacing w:after="120"/>
        <w:rPr>
          <w:rFonts w:asciiTheme="minorHAnsi" w:hAnsiTheme="minorHAnsi" w:cs="Calibri"/>
          <w:bCs/>
          <w:szCs w:val="20"/>
        </w:rPr>
      </w:pPr>
      <w:r w:rsidRPr="003B6A69">
        <w:rPr>
          <w:rFonts w:asciiTheme="minorHAnsi" w:hAnsiTheme="minorHAnsi" w:cs="Calibri"/>
          <w:bCs/>
          <w:szCs w:val="20"/>
        </w:rPr>
        <w:t xml:space="preserve">Changes in land-use practices, particularly in agriculture and </w:t>
      </w:r>
      <w:proofErr w:type="gramStart"/>
      <w:r w:rsidRPr="003B6A69">
        <w:rPr>
          <w:rFonts w:asciiTheme="minorHAnsi" w:hAnsiTheme="minorHAnsi" w:cs="Calibri"/>
          <w:bCs/>
          <w:szCs w:val="20"/>
        </w:rPr>
        <w:t>forestry;</w:t>
      </w:r>
      <w:proofErr w:type="gramEnd"/>
    </w:p>
    <w:p w14:paraId="788CDE10" w14:textId="77777777" w:rsidR="00AF1F0F" w:rsidRPr="003B6A69" w:rsidRDefault="00AF1F0F" w:rsidP="003C6B7B">
      <w:pPr>
        <w:numPr>
          <w:ilvl w:val="0"/>
          <w:numId w:val="43"/>
        </w:numPr>
        <w:tabs>
          <w:tab w:val="left" w:pos="426"/>
        </w:tabs>
        <w:spacing w:after="120"/>
        <w:rPr>
          <w:rFonts w:asciiTheme="minorHAnsi" w:hAnsiTheme="minorHAnsi" w:cs="Calibri"/>
          <w:bCs/>
          <w:szCs w:val="20"/>
        </w:rPr>
      </w:pPr>
      <w:r w:rsidRPr="003B6A69">
        <w:rPr>
          <w:rFonts w:asciiTheme="minorHAnsi" w:hAnsiTheme="minorHAnsi" w:cs="Calibri"/>
          <w:bCs/>
          <w:szCs w:val="20"/>
        </w:rPr>
        <w:t xml:space="preserve">Unsustainable tourism development with associated infrastructure </w:t>
      </w:r>
      <w:proofErr w:type="gramStart"/>
      <w:r w:rsidRPr="003B6A69">
        <w:rPr>
          <w:rFonts w:asciiTheme="minorHAnsi" w:hAnsiTheme="minorHAnsi" w:cs="Calibri"/>
          <w:bCs/>
          <w:szCs w:val="20"/>
        </w:rPr>
        <w:t>development;</w:t>
      </w:r>
      <w:proofErr w:type="gramEnd"/>
      <w:r w:rsidRPr="003B6A69">
        <w:rPr>
          <w:rFonts w:asciiTheme="minorHAnsi" w:hAnsiTheme="minorHAnsi" w:cs="Calibri"/>
          <w:bCs/>
          <w:szCs w:val="20"/>
        </w:rPr>
        <w:t xml:space="preserve"> </w:t>
      </w:r>
    </w:p>
    <w:p w14:paraId="4F300E90" w14:textId="77777777" w:rsidR="00AF1F0F" w:rsidRPr="003B6A69" w:rsidRDefault="00AF1F0F" w:rsidP="003C6B7B">
      <w:pPr>
        <w:numPr>
          <w:ilvl w:val="0"/>
          <w:numId w:val="43"/>
        </w:numPr>
        <w:tabs>
          <w:tab w:val="left" w:pos="426"/>
        </w:tabs>
        <w:spacing w:after="120"/>
        <w:rPr>
          <w:rFonts w:asciiTheme="minorHAnsi" w:hAnsiTheme="minorHAnsi" w:cs="Calibri"/>
          <w:bCs/>
          <w:szCs w:val="20"/>
        </w:rPr>
      </w:pPr>
      <w:r w:rsidRPr="003B6A69">
        <w:rPr>
          <w:rFonts w:asciiTheme="minorHAnsi" w:hAnsiTheme="minorHAnsi" w:cs="Calibri"/>
          <w:bCs/>
          <w:szCs w:val="20"/>
        </w:rPr>
        <w:t>Unsustainable and illegal use of natural resources, and</w:t>
      </w:r>
    </w:p>
    <w:p w14:paraId="01AB82CF" w14:textId="408C4AAD" w:rsidR="00AF1F0F" w:rsidRPr="003B6A69" w:rsidRDefault="00AF1F0F" w:rsidP="003C6B7B">
      <w:pPr>
        <w:numPr>
          <w:ilvl w:val="0"/>
          <w:numId w:val="43"/>
        </w:numPr>
        <w:tabs>
          <w:tab w:val="left" w:pos="426"/>
        </w:tabs>
        <w:spacing w:after="120"/>
        <w:rPr>
          <w:rFonts w:asciiTheme="minorHAnsi" w:hAnsiTheme="minorHAnsi" w:cs="Calibri"/>
          <w:bCs/>
          <w:szCs w:val="20"/>
          <w:lang w:val="en-GB"/>
        </w:rPr>
      </w:pPr>
      <w:r w:rsidRPr="003B6A69">
        <w:rPr>
          <w:rFonts w:asciiTheme="minorHAnsi" w:hAnsiTheme="minorHAnsi" w:cs="Calibri"/>
          <w:bCs/>
          <w:szCs w:val="20"/>
        </w:rPr>
        <w:t>Climate-change effe</w:t>
      </w:r>
      <w:r w:rsidR="002F39D9" w:rsidRPr="003B6A69">
        <w:rPr>
          <w:rFonts w:asciiTheme="minorHAnsi" w:hAnsiTheme="minorHAnsi" w:cs="Calibri"/>
          <w:bCs/>
          <w:szCs w:val="20"/>
        </w:rPr>
        <w:t>cts.</w:t>
      </w:r>
    </w:p>
    <w:p w14:paraId="2BC5E02B" w14:textId="1ECEFFF4" w:rsidR="00AF1F0F" w:rsidRPr="003B6A69" w:rsidRDefault="00AF1F0F" w:rsidP="00AF69F1">
      <w:pPr>
        <w:numPr>
          <w:ilvl w:val="0"/>
          <w:numId w:val="14"/>
        </w:numPr>
        <w:tabs>
          <w:tab w:val="left" w:pos="426"/>
        </w:tabs>
        <w:spacing w:after="120"/>
        <w:ind w:left="0" w:firstLine="0"/>
        <w:rPr>
          <w:rFonts w:asciiTheme="minorHAnsi" w:hAnsiTheme="minorHAnsi" w:cs="Calibri"/>
          <w:bCs/>
          <w:szCs w:val="20"/>
          <w:lang w:val="en-GB"/>
        </w:rPr>
      </w:pPr>
      <w:r w:rsidRPr="003B6A69">
        <w:rPr>
          <w:rFonts w:asciiTheme="minorHAnsi" w:hAnsiTheme="minorHAnsi" w:cs="Calibri"/>
          <w:spacing w:val="2"/>
          <w:szCs w:val="20"/>
          <w:lang w:val="en-GB"/>
        </w:rPr>
        <w:t>According to the 6</w:t>
      </w:r>
      <w:r w:rsidRPr="003B6A69">
        <w:rPr>
          <w:rFonts w:asciiTheme="minorHAnsi" w:hAnsiTheme="minorHAnsi" w:cs="Calibri"/>
          <w:spacing w:val="2"/>
          <w:szCs w:val="20"/>
          <w:vertAlign w:val="superscript"/>
          <w:lang w:val="en-GB"/>
        </w:rPr>
        <w:t>th</w:t>
      </w:r>
      <w:r w:rsidRPr="003B6A69">
        <w:rPr>
          <w:rFonts w:asciiTheme="minorHAnsi" w:hAnsiTheme="minorHAnsi" w:cs="Calibri"/>
          <w:spacing w:val="2"/>
          <w:szCs w:val="20"/>
          <w:lang w:val="en-GB"/>
        </w:rPr>
        <w:t xml:space="preserve"> CBD National Report (2019), habitat conversion associated with uncontrolled urbani</w:t>
      </w:r>
      <w:r w:rsidR="005D32D5" w:rsidRPr="003B6A69">
        <w:rPr>
          <w:rFonts w:asciiTheme="minorHAnsi" w:hAnsiTheme="minorHAnsi" w:cs="Calibri"/>
          <w:spacing w:val="2"/>
          <w:szCs w:val="20"/>
          <w:lang w:val="en-GB"/>
        </w:rPr>
        <w:t xml:space="preserve">zation, </w:t>
      </w:r>
      <w:proofErr w:type="spellStart"/>
      <w:r w:rsidR="005D32D5" w:rsidRPr="003B6A69">
        <w:rPr>
          <w:rFonts w:asciiTheme="minorHAnsi" w:hAnsiTheme="minorHAnsi" w:cs="Calibri"/>
          <w:spacing w:val="2"/>
          <w:szCs w:val="20"/>
          <w:lang w:val="en-GB"/>
        </w:rPr>
        <w:t>land</w:t>
      </w:r>
      <w:r w:rsidRPr="003B6A69">
        <w:rPr>
          <w:rFonts w:asciiTheme="minorHAnsi" w:hAnsiTheme="minorHAnsi" w:cs="Calibri"/>
          <w:spacing w:val="2"/>
          <w:szCs w:val="20"/>
          <w:lang w:val="en-GB"/>
        </w:rPr>
        <w:t>use</w:t>
      </w:r>
      <w:proofErr w:type="spellEnd"/>
      <w:r w:rsidRPr="003B6A69">
        <w:rPr>
          <w:rFonts w:asciiTheme="minorHAnsi" w:hAnsiTheme="minorHAnsi" w:cs="Calibri"/>
          <w:spacing w:val="2"/>
          <w:szCs w:val="20"/>
          <w:lang w:val="en-GB"/>
        </w:rPr>
        <w:t xml:space="preserve"> changes, construction of transport and energy infrastructure and development of tourism, </w:t>
      </w:r>
      <w:r w:rsidRPr="003B6A69">
        <w:rPr>
          <w:rFonts w:asciiTheme="minorHAnsi" w:hAnsiTheme="minorHAnsi" w:cs="Calibri"/>
          <w:szCs w:val="20"/>
          <w:lang w:val="en-GB"/>
        </w:rPr>
        <w:t xml:space="preserve">especially in the coastal zone and several touristic centres in the mountain region </w:t>
      </w:r>
      <w:r w:rsidRPr="003B6A69">
        <w:rPr>
          <w:rFonts w:asciiTheme="minorHAnsi" w:hAnsiTheme="minorHAnsi" w:cs="Calibri"/>
          <w:spacing w:val="2"/>
          <w:szCs w:val="20"/>
          <w:lang w:val="en-GB"/>
        </w:rPr>
        <w:t>remain the main threats to species and natural ecosystems.</w:t>
      </w:r>
    </w:p>
    <w:p w14:paraId="6135A877" w14:textId="6C1AC11A" w:rsidR="00AF1F0F" w:rsidRPr="003B6A69" w:rsidRDefault="00AF1F0F" w:rsidP="00AF69F1">
      <w:pPr>
        <w:numPr>
          <w:ilvl w:val="0"/>
          <w:numId w:val="14"/>
        </w:numPr>
        <w:tabs>
          <w:tab w:val="left" w:pos="426"/>
        </w:tabs>
        <w:spacing w:after="120"/>
        <w:ind w:left="0" w:firstLine="0"/>
        <w:rPr>
          <w:rFonts w:asciiTheme="minorHAnsi" w:hAnsiTheme="minorHAnsi" w:cs="Calibri"/>
          <w:bCs/>
          <w:szCs w:val="20"/>
          <w:lang w:val="en-GB"/>
        </w:rPr>
      </w:pPr>
      <w:r w:rsidRPr="003B6A69">
        <w:rPr>
          <w:rFonts w:asciiTheme="minorHAnsi" w:hAnsiTheme="minorHAnsi" w:cs="Calibri"/>
          <w:spacing w:val="2"/>
          <w:szCs w:val="20"/>
          <w:lang w:val="en-GB"/>
        </w:rPr>
        <w:t>Habitat fragmentation is associated with unsustainable forestry practices as w</w:t>
      </w:r>
      <w:r w:rsidR="005D32D5" w:rsidRPr="003B6A69">
        <w:rPr>
          <w:rFonts w:asciiTheme="minorHAnsi" w:hAnsiTheme="minorHAnsi" w:cs="Calibri"/>
          <w:spacing w:val="2"/>
          <w:szCs w:val="20"/>
          <w:lang w:val="en-GB"/>
        </w:rPr>
        <w:t xml:space="preserve">ell as with the changes in </w:t>
      </w:r>
      <w:proofErr w:type="spellStart"/>
      <w:r w:rsidR="005D32D5" w:rsidRPr="003B6A69">
        <w:rPr>
          <w:rFonts w:asciiTheme="minorHAnsi" w:hAnsiTheme="minorHAnsi" w:cs="Calibri"/>
          <w:spacing w:val="2"/>
          <w:szCs w:val="20"/>
          <w:lang w:val="en-GB"/>
        </w:rPr>
        <w:t>land</w:t>
      </w:r>
      <w:r w:rsidRPr="003B6A69">
        <w:rPr>
          <w:rFonts w:asciiTheme="minorHAnsi" w:hAnsiTheme="minorHAnsi" w:cs="Calibri"/>
          <w:spacing w:val="2"/>
          <w:szCs w:val="20"/>
          <w:lang w:val="en-GB"/>
        </w:rPr>
        <w:t>use</w:t>
      </w:r>
      <w:proofErr w:type="spellEnd"/>
      <w:r w:rsidRPr="003B6A69">
        <w:rPr>
          <w:rFonts w:asciiTheme="minorHAnsi" w:hAnsiTheme="minorHAnsi" w:cs="Calibri"/>
          <w:spacing w:val="2"/>
          <w:szCs w:val="20"/>
          <w:lang w:val="en-GB"/>
        </w:rPr>
        <w:t xml:space="preserve"> practices in agriculture, primarily by abandoning traditional forms of land use, such as grazing and haymaking, which used to maintain </w:t>
      </w:r>
      <w:r w:rsidR="005D32D5" w:rsidRPr="003B6A69">
        <w:rPr>
          <w:rFonts w:asciiTheme="minorHAnsi" w:hAnsiTheme="minorHAnsi" w:cs="Calibri"/>
          <w:spacing w:val="2"/>
          <w:szCs w:val="20"/>
          <w:lang w:val="en-GB"/>
        </w:rPr>
        <w:t xml:space="preserve">the </w:t>
      </w:r>
      <w:r w:rsidRPr="003B6A69">
        <w:rPr>
          <w:rFonts w:asciiTheme="minorHAnsi" w:hAnsiTheme="minorHAnsi" w:cs="Calibri"/>
          <w:spacing w:val="2"/>
          <w:szCs w:val="20"/>
          <w:lang w:val="en-GB"/>
        </w:rPr>
        <w:t xml:space="preserve">diversity of species and genes in grassland ecosystems. Unsustainable </w:t>
      </w:r>
      <w:r w:rsidRPr="003B6A69">
        <w:rPr>
          <w:rFonts w:asciiTheme="minorHAnsi" w:hAnsiTheme="minorHAnsi" w:cs="Calibri"/>
          <w:szCs w:val="20"/>
          <w:lang w:val="en-GB"/>
        </w:rPr>
        <w:t xml:space="preserve">and illegal use of natural resources - </w:t>
      </w:r>
      <w:r w:rsidRPr="003B6A69">
        <w:rPr>
          <w:rFonts w:asciiTheme="minorHAnsi" w:hAnsiTheme="minorHAnsi" w:cs="Calibri"/>
          <w:spacing w:val="2"/>
          <w:szCs w:val="20"/>
          <w:lang w:val="en-GB"/>
        </w:rPr>
        <w:t xml:space="preserve">harvesting </w:t>
      </w:r>
      <w:r w:rsidRPr="003B6A69">
        <w:rPr>
          <w:rFonts w:asciiTheme="minorHAnsi" w:hAnsiTheme="minorHAnsi" w:cs="Calibri"/>
          <w:szCs w:val="20"/>
          <w:lang w:val="en-GB"/>
        </w:rPr>
        <w:t xml:space="preserve">of medicinal herbs, non-timber forest products, </w:t>
      </w:r>
      <w:r w:rsidRPr="003B6A69">
        <w:rPr>
          <w:rFonts w:asciiTheme="minorHAnsi" w:hAnsiTheme="minorHAnsi" w:cs="Calibri"/>
          <w:spacing w:val="2"/>
          <w:szCs w:val="20"/>
          <w:lang w:val="en-GB"/>
        </w:rPr>
        <w:t xml:space="preserve">hunting and fishing practices, as well as </w:t>
      </w:r>
      <w:r w:rsidRPr="003B6A69">
        <w:rPr>
          <w:rFonts w:asciiTheme="minorHAnsi" w:hAnsiTheme="minorHAnsi" w:cs="Calibri"/>
          <w:szCs w:val="20"/>
          <w:lang w:val="en-GB"/>
        </w:rPr>
        <w:t>persecution of species considered as vermin (birds of prey, wolfs, foxes, badgers) - remain as the main threats to species</w:t>
      </w:r>
      <w:r w:rsidRPr="003B6A69">
        <w:rPr>
          <w:rStyle w:val="FootnoteReference"/>
          <w:rFonts w:asciiTheme="minorHAnsi" w:hAnsiTheme="minorHAnsi" w:cs="Calibri"/>
          <w:sz w:val="20"/>
          <w:szCs w:val="20"/>
        </w:rPr>
        <w:footnoteReference w:id="1"/>
      </w:r>
      <w:r w:rsidRPr="003B6A69">
        <w:rPr>
          <w:rFonts w:asciiTheme="minorHAnsi" w:hAnsiTheme="minorHAnsi" w:cs="Calibri"/>
          <w:szCs w:val="20"/>
          <w:lang w:val="en-GB"/>
        </w:rPr>
        <w:t>.</w:t>
      </w:r>
    </w:p>
    <w:p w14:paraId="628CBBB7" w14:textId="4AFF1872" w:rsidR="00AF1F0F" w:rsidRPr="003B6A69" w:rsidRDefault="00AF1F0F" w:rsidP="00AF69F1">
      <w:pPr>
        <w:numPr>
          <w:ilvl w:val="0"/>
          <w:numId w:val="14"/>
        </w:numPr>
        <w:tabs>
          <w:tab w:val="left" w:pos="426"/>
        </w:tabs>
        <w:spacing w:after="120"/>
        <w:ind w:left="0" w:firstLine="0"/>
        <w:rPr>
          <w:rFonts w:asciiTheme="minorHAnsi" w:hAnsiTheme="minorHAnsi" w:cs="Calibri"/>
          <w:bCs/>
          <w:szCs w:val="20"/>
          <w:lang w:val="en-GB"/>
        </w:rPr>
      </w:pPr>
      <w:r w:rsidRPr="003B6A69">
        <w:rPr>
          <w:rFonts w:asciiTheme="minorHAnsi" w:hAnsiTheme="minorHAnsi" w:cs="Calibri"/>
          <w:szCs w:val="20"/>
          <w:lang w:val="en-GB"/>
        </w:rPr>
        <w:t xml:space="preserve">Impacts of climate change on the ecosystems include primarily the effects of hot and dry periods on forest habitats which cause wildfires. Current assessments predict shifting of vegetation zones, habitat loss and fragmentation, and changes in qualitative and quantitative aspects of </w:t>
      </w:r>
      <w:proofErr w:type="spellStart"/>
      <w:r w:rsidRPr="003B6A69">
        <w:rPr>
          <w:rFonts w:asciiTheme="minorHAnsi" w:hAnsiTheme="minorHAnsi" w:cs="Calibri"/>
          <w:szCs w:val="20"/>
          <w:lang w:val="en-GB"/>
        </w:rPr>
        <w:t>biocoenoses</w:t>
      </w:r>
      <w:proofErr w:type="spellEnd"/>
      <w:r w:rsidRPr="003B6A69">
        <w:rPr>
          <w:rFonts w:asciiTheme="minorHAnsi" w:hAnsiTheme="minorHAnsi" w:cs="Calibri"/>
          <w:szCs w:val="20"/>
          <w:lang w:val="en-GB"/>
        </w:rPr>
        <w:t xml:space="preserve"> </w:t>
      </w:r>
      <w:proofErr w:type="gramStart"/>
      <w:r w:rsidRPr="003B6A69">
        <w:rPr>
          <w:rFonts w:asciiTheme="minorHAnsi" w:hAnsiTheme="minorHAnsi" w:cs="Calibri"/>
          <w:szCs w:val="20"/>
          <w:lang w:val="en-GB"/>
        </w:rPr>
        <w:t>as a result of</w:t>
      </w:r>
      <w:proofErr w:type="gramEnd"/>
      <w:r w:rsidRPr="003B6A69">
        <w:rPr>
          <w:rFonts w:asciiTheme="minorHAnsi" w:hAnsiTheme="minorHAnsi" w:cs="Calibri"/>
          <w:szCs w:val="20"/>
          <w:lang w:val="en-GB"/>
        </w:rPr>
        <w:t xml:space="preserve"> climate change. </w:t>
      </w:r>
      <w:r w:rsidRPr="003B6A69">
        <w:rPr>
          <w:rFonts w:asciiTheme="minorHAnsi" w:hAnsiTheme="minorHAnsi"/>
          <w:noProof/>
          <w:szCs w:val="20"/>
        </w:rPr>
        <w:t xml:space="preserve">A reduction in </w:t>
      </w:r>
      <w:r w:rsidR="005D32D5" w:rsidRPr="003B6A69">
        <w:rPr>
          <w:rFonts w:asciiTheme="minorHAnsi" w:hAnsiTheme="minorHAnsi"/>
          <w:noProof/>
          <w:szCs w:val="20"/>
        </w:rPr>
        <w:t xml:space="preserve">the </w:t>
      </w:r>
      <w:r w:rsidRPr="003B6A69">
        <w:rPr>
          <w:rFonts w:asciiTheme="minorHAnsi" w:hAnsiTheme="minorHAnsi"/>
          <w:noProof/>
          <w:szCs w:val="20"/>
        </w:rPr>
        <w:t xml:space="preserve">number of species is expected, primarily related to freshwater ecosystems, as well as the impact of significant fluctuations in temperature and humidity in the environment on species vulnerable to these effects. The reduction in freshwater volumes and moisture will cause changes in the entire country, but differences will be the most obvious and drastic in the karst areas. Dry periods may be followed by periods with strong and extreme rainfall, which will cause destruction and reduction of populations of land and freshwater species in higher mountainous regions. Temperature increases in the continental part of Montenegro would eventually lead to the acceleration of eutrophication of mountain lakes. Vegetation of higher mountain areas will gradually be replaced, wholly or in part, by the temperate zone flora. </w:t>
      </w:r>
      <w:r w:rsidRPr="003B6A69">
        <w:rPr>
          <w:rFonts w:asciiTheme="minorHAnsi" w:hAnsiTheme="minorHAnsi" w:cs="Calibri"/>
          <w:szCs w:val="20"/>
          <w:lang w:val="en-GB"/>
        </w:rPr>
        <w:t xml:space="preserve">Issues such as the impact of alien and invasive species and </w:t>
      </w:r>
      <w:r w:rsidRPr="003B6A69">
        <w:rPr>
          <w:rFonts w:asciiTheme="minorHAnsi" w:hAnsiTheme="minorHAnsi" w:cs="Calibri"/>
          <w:szCs w:val="20"/>
          <w:lang w:val="en-GB"/>
        </w:rPr>
        <w:lastRenderedPageBreak/>
        <w:t>climate change are still poorly understood but can be expected to have high importance among threats to biodiversity in the future.</w:t>
      </w:r>
    </w:p>
    <w:p w14:paraId="514261E7" w14:textId="77777777" w:rsidR="0096120F" w:rsidRPr="003B6A69" w:rsidRDefault="0096120F" w:rsidP="00AF69F1">
      <w:pPr>
        <w:numPr>
          <w:ilvl w:val="0"/>
          <w:numId w:val="14"/>
        </w:numPr>
        <w:tabs>
          <w:tab w:val="left" w:pos="426"/>
        </w:tabs>
        <w:spacing w:after="120"/>
        <w:ind w:left="0" w:firstLine="0"/>
        <w:rPr>
          <w:rFonts w:asciiTheme="minorHAnsi" w:hAnsiTheme="minorHAnsi" w:cs="Calibri"/>
          <w:bCs/>
          <w:szCs w:val="20"/>
          <w:lang w:val="en-GB"/>
        </w:rPr>
      </w:pPr>
      <w:r w:rsidRPr="003B6A69">
        <w:rPr>
          <w:rFonts w:cstheme="minorHAnsi"/>
          <w:szCs w:val="20"/>
        </w:rPr>
        <w:t>Montenegro is particularly exposed and vulnerable to climate hazards, such as droughts, floods, forest fires, and heatwaves.</w:t>
      </w:r>
      <w:r w:rsidRPr="003B6A69">
        <w:rPr>
          <w:rFonts w:asciiTheme="minorHAnsi" w:eastAsiaTheme="minorHAnsi" w:hAnsiTheme="minorHAnsi" w:cstheme="minorHAnsi"/>
          <w:szCs w:val="20"/>
          <w:lang w:val="en-GB"/>
        </w:rPr>
        <w:t xml:space="preserve"> </w:t>
      </w:r>
      <w:r w:rsidRPr="003B6A69">
        <w:rPr>
          <w:rFonts w:cstheme="minorHAnsi"/>
          <w:szCs w:val="20"/>
        </w:rPr>
        <w:t xml:space="preserve">Climate projections show that these climate extremes will increase in frequency and magnitude in the future. </w:t>
      </w:r>
      <w:r w:rsidRPr="003B6A69">
        <w:rPr>
          <w:rFonts w:cstheme="minorHAnsi"/>
          <w:szCs w:val="20"/>
          <w:lang w:val="en-GB"/>
        </w:rPr>
        <w:t xml:space="preserve">Droughts in Montenegro have been more frequent since 1990s. The drought of 2011 evolved into a social and economic challenge that affected the whole country and led to an extreme hydrological deficit in the </w:t>
      </w:r>
      <w:proofErr w:type="spellStart"/>
      <w:r w:rsidRPr="003B6A69">
        <w:rPr>
          <w:rFonts w:cstheme="minorHAnsi"/>
          <w:szCs w:val="20"/>
          <w:lang w:val="en-GB"/>
        </w:rPr>
        <w:t>Zeta-Bjelopavlići</w:t>
      </w:r>
      <w:proofErr w:type="spellEnd"/>
      <w:r w:rsidRPr="003B6A69">
        <w:rPr>
          <w:rFonts w:cstheme="minorHAnsi"/>
          <w:szCs w:val="20"/>
          <w:lang w:val="en-GB"/>
        </w:rPr>
        <w:t xml:space="preserve"> region, which includes the largest agricultural area in Montenegro. </w:t>
      </w:r>
    </w:p>
    <w:p w14:paraId="7BB449B7" w14:textId="06BDCF82" w:rsidR="0096120F" w:rsidRPr="003B6A69" w:rsidRDefault="0096120F" w:rsidP="00AF69F1">
      <w:pPr>
        <w:numPr>
          <w:ilvl w:val="0"/>
          <w:numId w:val="14"/>
        </w:numPr>
        <w:tabs>
          <w:tab w:val="left" w:pos="426"/>
        </w:tabs>
        <w:spacing w:after="120"/>
        <w:ind w:left="0" w:firstLine="0"/>
        <w:rPr>
          <w:rFonts w:asciiTheme="minorHAnsi" w:hAnsiTheme="minorHAnsi" w:cs="Calibri"/>
          <w:bCs/>
          <w:szCs w:val="20"/>
          <w:lang w:val="en-GB"/>
        </w:rPr>
      </w:pPr>
      <w:r w:rsidRPr="003B6A69">
        <w:rPr>
          <w:rFonts w:cstheme="minorHAnsi"/>
          <w:szCs w:val="20"/>
          <w:lang w:val="en-GB"/>
        </w:rPr>
        <w:t xml:space="preserve">The factors that threaten forest ecosystems are primarily wildfires, abiotic factors (droughts, floods, frost, snow, high winds, etc.), and pests and diseases. The most severe forest fires date to 2017 with 124 fires covering over 30 ha, affecting a total of 51,661 ha. The agricultural sector is highly vulnerable to climate change due to its dependence on specific temperature conditions and water availability, and it is also exposed to climate hazards such as droughts or floods. A large part of the agricultural areas in Montenegro </w:t>
      </w:r>
      <w:proofErr w:type="gramStart"/>
      <w:r w:rsidRPr="003B6A69">
        <w:rPr>
          <w:rFonts w:cstheme="minorHAnsi"/>
          <w:szCs w:val="20"/>
          <w:lang w:val="en-GB"/>
        </w:rPr>
        <w:t>are located in</w:t>
      </w:r>
      <w:proofErr w:type="gramEnd"/>
      <w:r w:rsidRPr="003B6A69">
        <w:rPr>
          <w:rFonts w:cstheme="minorHAnsi"/>
          <w:szCs w:val="20"/>
          <w:lang w:val="en-GB"/>
        </w:rPr>
        <w:t xml:space="preserve"> lowlands, which makes them particularly prone to regular floods.</w:t>
      </w:r>
    </w:p>
    <w:p w14:paraId="4C0A3731" w14:textId="36F769D6" w:rsidR="00AF1F0F" w:rsidRPr="003B6A69" w:rsidRDefault="00AF1F0F" w:rsidP="00AF69F1">
      <w:pPr>
        <w:numPr>
          <w:ilvl w:val="0"/>
          <w:numId w:val="14"/>
        </w:numPr>
        <w:tabs>
          <w:tab w:val="left" w:pos="426"/>
        </w:tabs>
        <w:spacing w:after="120"/>
        <w:ind w:left="0" w:firstLine="0"/>
        <w:rPr>
          <w:rFonts w:asciiTheme="minorHAnsi" w:hAnsiTheme="minorHAnsi" w:cs="Calibri"/>
          <w:bCs/>
          <w:szCs w:val="20"/>
          <w:lang w:val="en-GB"/>
        </w:rPr>
      </w:pPr>
      <w:r w:rsidRPr="003B6A69">
        <w:rPr>
          <w:rFonts w:asciiTheme="minorHAnsi" w:hAnsiTheme="minorHAnsi" w:cs="Calibri"/>
          <w:szCs w:val="20"/>
          <w:lang w:val="en-GB"/>
        </w:rPr>
        <w:t xml:space="preserve">The cumulative effect of the threats to biological diversity is the loss of habitats and their associated (often endemic) species, particularly of rare or endangered species along the coast and in the mountains. This has the potential to cause a reduction in the functionality and stability of natural ecosystems, particularly of forest and water ecosystems. </w:t>
      </w:r>
      <w:r w:rsidRPr="003B6A69">
        <w:rPr>
          <w:rFonts w:asciiTheme="minorHAnsi" w:hAnsiTheme="minorHAnsi" w:cs="Calibri"/>
          <w:bCs/>
          <w:szCs w:val="20"/>
          <w:lang w:val="en-GB"/>
        </w:rPr>
        <w:t xml:space="preserve">The detailed analysis of threats from intense agriculture, tourism, and construction sector developments in the nearby coastal and mountainous regions that do or may negatively affect the individual KBAs and their biodiversity, presented in </w:t>
      </w:r>
      <w:hyperlink w:anchor="_Annex_20:_Targeted" w:history="1">
        <w:r w:rsidRPr="003B6A69">
          <w:rPr>
            <w:rStyle w:val="Hyperlink"/>
            <w:rFonts w:cs="Calibri"/>
            <w:bCs/>
            <w:szCs w:val="20"/>
            <w:lang w:val="en-GB"/>
          </w:rPr>
          <w:t>Annex</w:t>
        </w:r>
        <w:r w:rsidR="006C1C66" w:rsidRPr="003B6A69">
          <w:rPr>
            <w:rStyle w:val="Hyperlink"/>
            <w:rFonts w:cs="Calibri"/>
            <w:bCs/>
            <w:szCs w:val="20"/>
            <w:lang w:val="en-GB"/>
          </w:rPr>
          <w:t xml:space="preserve"> 15</w:t>
        </w:r>
      </w:hyperlink>
      <w:r w:rsidRPr="003B6A69">
        <w:rPr>
          <w:rFonts w:asciiTheme="minorHAnsi" w:hAnsiTheme="minorHAnsi" w:cs="Calibri"/>
          <w:bCs/>
          <w:szCs w:val="20"/>
          <w:lang w:val="en-GB"/>
        </w:rPr>
        <w:t>.</w:t>
      </w:r>
    </w:p>
    <w:p w14:paraId="0A7AA6D8" w14:textId="3CED475A" w:rsidR="007D424C" w:rsidRPr="003B6A69" w:rsidRDefault="004C3717" w:rsidP="00AF1F0F">
      <w:pPr>
        <w:pStyle w:val="Heading1"/>
        <w:spacing w:before="240" w:after="240"/>
        <w:rPr>
          <w:rFonts w:asciiTheme="minorHAnsi" w:hAnsiTheme="minorHAnsi" w:cstheme="minorHAnsi"/>
          <w:lang w:val="en-GB"/>
        </w:rPr>
      </w:pPr>
      <w:bookmarkStart w:id="7" w:name="_Toc82018242"/>
      <w:bookmarkStart w:id="8" w:name="_Toc207800911"/>
      <w:r w:rsidRPr="003B6A69">
        <w:rPr>
          <w:rFonts w:asciiTheme="minorHAnsi" w:hAnsiTheme="minorHAnsi" w:cstheme="minorHAnsi"/>
          <w:lang w:val="en-GB"/>
        </w:rPr>
        <w:t>Strategy</w:t>
      </w:r>
      <w:bookmarkEnd w:id="7"/>
      <w:r w:rsidR="00A25CCB" w:rsidRPr="003B6A69">
        <w:rPr>
          <w:rFonts w:asciiTheme="minorHAnsi" w:hAnsiTheme="minorHAnsi" w:cstheme="minorHAnsi"/>
          <w:lang w:val="en-GB"/>
        </w:rPr>
        <w:t xml:space="preserve"> </w:t>
      </w:r>
      <w:bookmarkEnd w:id="8"/>
    </w:p>
    <w:p w14:paraId="25309D4E" w14:textId="7BA73FE9" w:rsidR="005D05CD" w:rsidRPr="003B6A69" w:rsidRDefault="00BF3E7F" w:rsidP="00B24DF3">
      <w:pPr>
        <w:pStyle w:val="Heading2"/>
        <w:rPr>
          <w:lang w:val="en-GB"/>
        </w:rPr>
      </w:pPr>
      <w:bookmarkStart w:id="9" w:name="_Toc82018243"/>
      <w:r w:rsidRPr="003B6A69">
        <w:rPr>
          <w:lang w:val="en-GB"/>
        </w:rPr>
        <w:t>2.</w:t>
      </w:r>
      <w:r w:rsidR="00020885" w:rsidRPr="003B6A69">
        <w:rPr>
          <w:lang w:val="en-GB"/>
        </w:rPr>
        <w:t>1</w:t>
      </w:r>
      <w:r w:rsidR="006E7BFD" w:rsidRPr="003B6A69">
        <w:rPr>
          <w:lang w:val="en-GB"/>
        </w:rPr>
        <w:t xml:space="preserve"> </w:t>
      </w:r>
      <w:r w:rsidR="001561F1" w:rsidRPr="003B6A69">
        <w:rPr>
          <w:lang w:val="en-GB"/>
        </w:rPr>
        <w:t>The long-term solution</w:t>
      </w:r>
      <w:bookmarkEnd w:id="9"/>
      <w:r w:rsidR="00763A5F" w:rsidRPr="003B6A69">
        <w:rPr>
          <w:lang w:val="en-GB"/>
        </w:rPr>
        <w:t xml:space="preserve"> </w:t>
      </w:r>
    </w:p>
    <w:p w14:paraId="5B3D2FE4" w14:textId="4E6CCF28" w:rsidR="00F22A55" w:rsidRPr="003B6A69" w:rsidRDefault="00FB4157" w:rsidP="00AF69F1">
      <w:pPr>
        <w:numPr>
          <w:ilvl w:val="0"/>
          <w:numId w:val="14"/>
        </w:numPr>
        <w:tabs>
          <w:tab w:val="left" w:pos="426"/>
        </w:tabs>
        <w:spacing w:after="120"/>
        <w:ind w:left="0" w:firstLine="0"/>
        <w:rPr>
          <w:rFonts w:cs="Calibri"/>
          <w:bCs/>
          <w:szCs w:val="20"/>
          <w:lang w:val="en-GB"/>
        </w:rPr>
      </w:pPr>
      <w:r w:rsidRPr="003B6A69">
        <w:rPr>
          <w:szCs w:val="20"/>
        </w:rPr>
        <w:t xml:space="preserve">The long-term solution lays with </w:t>
      </w:r>
      <w:r w:rsidR="005D32D5" w:rsidRPr="003B6A69">
        <w:rPr>
          <w:szCs w:val="20"/>
        </w:rPr>
        <w:t xml:space="preserve">the </w:t>
      </w:r>
      <w:r w:rsidRPr="003B6A69">
        <w:rPr>
          <w:szCs w:val="20"/>
        </w:rPr>
        <w:t>strengthening of KBAs that harbor the globally significant biodiversity of Montenegro and providing for sustainable management within the corridors between KBAs that shelter individual elements of the country’s biodiversity. Strengthening of KBAs included in the national protected area system means improved ecosystem protection and better management of the PA estate of the country. Improved status of KBAs that are not legally protected means work with production sectors, such as tourism, agriculture, and forestry. Impacts on biodiversity that stem from PA management capacity constraints, or inadequate national response to the international status of key BD values, or biodiversity-negative development of tourism, forestry</w:t>
      </w:r>
      <w:r w:rsidR="005D32D5" w:rsidRPr="003B6A69">
        <w:rPr>
          <w:szCs w:val="20"/>
        </w:rPr>
        <w:t>,</w:t>
      </w:r>
      <w:r w:rsidRPr="003B6A69">
        <w:rPr>
          <w:szCs w:val="20"/>
        </w:rPr>
        <w:t xml:space="preserve"> and agriculture, need and can be addressed in an integrated manner since they all are pieces of the puzzle that puts biodiversity of the Key Biodiversity Areas under threat. In a small country like Montenegro, removing an element from this picture would mean considerably less impact towards </w:t>
      </w:r>
      <w:r w:rsidR="005D32D5" w:rsidRPr="003B6A69">
        <w:rPr>
          <w:szCs w:val="20"/>
        </w:rPr>
        <w:t xml:space="preserve">the </w:t>
      </w:r>
      <w:r w:rsidRPr="003B6A69">
        <w:rPr>
          <w:szCs w:val="20"/>
        </w:rPr>
        <w:t>achievement of the main objective of r</w:t>
      </w:r>
      <w:r w:rsidR="00AE6C8E" w:rsidRPr="003B6A69">
        <w:rPr>
          <w:szCs w:val="20"/>
        </w:rPr>
        <w:t xml:space="preserve">educing key threats to globally </w:t>
      </w:r>
      <w:r w:rsidRPr="003B6A69">
        <w:rPr>
          <w:szCs w:val="20"/>
        </w:rPr>
        <w:t>significant biodiversity.</w:t>
      </w:r>
    </w:p>
    <w:p w14:paraId="1503108D" w14:textId="14A22084" w:rsidR="00E05A94" w:rsidRPr="003B6A69" w:rsidRDefault="00BF3E7F" w:rsidP="00B24DF3">
      <w:pPr>
        <w:pStyle w:val="Heading2"/>
        <w:rPr>
          <w:lang w:val="en-GB"/>
        </w:rPr>
      </w:pPr>
      <w:bookmarkStart w:id="10" w:name="_Toc82018244"/>
      <w:r w:rsidRPr="003B6A69">
        <w:rPr>
          <w:lang w:val="en-GB"/>
        </w:rPr>
        <w:t>2.</w:t>
      </w:r>
      <w:r w:rsidR="00020885" w:rsidRPr="003B6A69">
        <w:rPr>
          <w:lang w:val="en-GB"/>
        </w:rPr>
        <w:t>2</w:t>
      </w:r>
      <w:r w:rsidRPr="003B6A69">
        <w:rPr>
          <w:lang w:val="en-GB"/>
        </w:rPr>
        <w:t xml:space="preserve"> </w:t>
      </w:r>
      <w:r w:rsidR="00A936BB" w:rsidRPr="003B6A69">
        <w:rPr>
          <w:lang w:val="en-GB"/>
        </w:rPr>
        <w:t>Key past and ongoing interventions</w:t>
      </w:r>
      <w:bookmarkEnd w:id="10"/>
    </w:p>
    <w:p w14:paraId="5260C8E5" w14:textId="77777777" w:rsidR="00AF1F0F" w:rsidRPr="003B6A69" w:rsidRDefault="00CF606F" w:rsidP="00AF69F1">
      <w:pPr>
        <w:numPr>
          <w:ilvl w:val="0"/>
          <w:numId w:val="14"/>
        </w:numPr>
        <w:tabs>
          <w:tab w:val="left" w:pos="426"/>
        </w:tabs>
        <w:spacing w:after="120"/>
        <w:ind w:left="0" w:firstLine="0"/>
        <w:rPr>
          <w:lang w:val="en-GB"/>
        </w:rPr>
      </w:pPr>
      <w:r w:rsidRPr="003B6A69">
        <w:rPr>
          <w:lang w:val="en-GB"/>
        </w:rPr>
        <w:t xml:space="preserve">The tables below include the most relevant projects that are complementary to the project in question, whether they are setting the stage for implementation, have </w:t>
      </w:r>
      <w:r w:rsidR="00AF1F0F" w:rsidRPr="003B6A69">
        <w:rPr>
          <w:lang w:val="en-GB"/>
        </w:rPr>
        <w:t xml:space="preserve">a </w:t>
      </w:r>
      <w:r w:rsidRPr="003B6A69">
        <w:rPr>
          <w:lang w:val="en-GB"/>
        </w:rPr>
        <w:t xml:space="preserve">direct correlation and synergetic effect with planned activities or will build on project activities and continue further development of processes initiated under this project. </w:t>
      </w:r>
    </w:p>
    <w:p w14:paraId="6607EDED" w14:textId="77777777" w:rsidR="00AE3EED" w:rsidRPr="003B6A69" w:rsidRDefault="00AF1F0F" w:rsidP="00AF1F0F">
      <w:pPr>
        <w:rPr>
          <w:lang w:val="en-GB"/>
        </w:rPr>
      </w:pPr>
      <w:r w:rsidRPr="003B6A69">
        <w:rPr>
          <w:lang w:val="en-GB"/>
        </w:rPr>
        <w:t>Past interventions in the field of relevance:</w:t>
      </w:r>
    </w:p>
    <w:tbl>
      <w:tblPr>
        <w:tblW w:w="9600" w:type="dxa"/>
        <w:tblInd w:w="-5" w:type="dxa"/>
        <w:tblLook w:val="04A0" w:firstRow="1" w:lastRow="0" w:firstColumn="1" w:lastColumn="0" w:noHBand="0" w:noVBand="1"/>
      </w:tblPr>
      <w:tblGrid>
        <w:gridCol w:w="451"/>
        <w:gridCol w:w="1531"/>
        <w:gridCol w:w="1398"/>
        <w:gridCol w:w="3243"/>
        <w:gridCol w:w="1039"/>
        <w:gridCol w:w="790"/>
        <w:gridCol w:w="1148"/>
      </w:tblGrid>
      <w:tr w:rsidR="00AF1F0F" w:rsidRPr="003B6A69" w14:paraId="4A498824" w14:textId="77777777" w:rsidTr="00AE3EED">
        <w:trPr>
          <w:cantSplit/>
          <w:trHeight w:val="204"/>
        </w:trPr>
        <w:tc>
          <w:tcPr>
            <w:tcW w:w="3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36DD32" w14:textId="77777777" w:rsidR="00AF1F0F" w:rsidRPr="003B6A69" w:rsidRDefault="00AF1F0F" w:rsidP="00AE3EED">
            <w:pPr>
              <w:spacing w:after="0"/>
              <w:rPr>
                <w:rFonts w:eastAsia="Times New Roman"/>
                <w:b/>
                <w:bCs/>
                <w:color w:val="000000"/>
                <w:sz w:val="16"/>
                <w:szCs w:val="16"/>
              </w:rPr>
            </w:pPr>
            <w:r w:rsidRPr="003B6A69">
              <w:rPr>
                <w:rFonts w:eastAsia="Times New Roman"/>
                <w:b/>
                <w:bCs/>
                <w:color w:val="000000"/>
                <w:sz w:val="16"/>
                <w:szCs w:val="16"/>
              </w:rPr>
              <w:t>No.</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14:paraId="68D073E5" w14:textId="77777777" w:rsidR="00AF1F0F" w:rsidRPr="003B6A69" w:rsidRDefault="00AF1F0F" w:rsidP="00AE3EED">
            <w:pPr>
              <w:spacing w:after="0"/>
              <w:rPr>
                <w:rFonts w:eastAsia="Times New Roman"/>
                <w:b/>
                <w:bCs/>
                <w:color w:val="000000"/>
                <w:sz w:val="16"/>
                <w:szCs w:val="16"/>
              </w:rPr>
            </w:pPr>
            <w:r w:rsidRPr="003B6A69">
              <w:rPr>
                <w:rFonts w:eastAsia="Times New Roman"/>
                <w:b/>
                <w:bCs/>
                <w:color w:val="000000"/>
                <w:sz w:val="16"/>
                <w:szCs w:val="16"/>
              </w:rPr>
              <w:t>Organization</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14:paraId="1FFB02E4" w14:textId="77777777" w:rsidR="00AF1F0F" w:rsidRPr="003B6A69" w:rsidRDefault="00AF1F0F" w:rsidP="00AE3EED">
            <w:pPr>
              <w:spacing w:after="0"/>
              <w:rPr>
                <w:rFonts w:eastAsia="Times New Roman"/>
                <w:b/>
                <w:bCs/>
                <w:color w:val="000000"/>
                <w:sz w:val="16"/>
                <w:szCs w:val="16"/>
              </w:rPr>
            </w:pPr>
            <w:r w:rsidRPr="003B6A69">
              <w:rPr>
                <w:rFonts w:eastAsia="Times New Roman"/>
                <w:b/>
                <w:bCs/>
                <w:color w:val="000000"/>
                <w:sz w:val="16"/>
                <w:szCs w:val="16"/>
              </w:rPr>
              <w:t>Project name</w:t>
            </w:r>
          </w:p>
        </w:tc>
        <w:tc>
          <w:tcPr>
            <w:tcW w:w="3560" w:type="dxa"/>
            <w:tcBorders>
              <w:top w:val="single" w:sz="4" w:space="0" w:color="auto"/>
              <w:left w:val="nil"/>
              <w:bottom w:val="single" w:sz="4" w:space="0" w:color="auto"/>
              <w:right w:val="single" w:sz="4" w:space="0" w:color="auto"/>
            </w:tcBorders>
            <w:shd w:val="clear" w:color="auto" w:fill="auto"/>
            <w:vAlign w:val="center"/>
            <w:hideMark/>
          </w:tcPr>
          <w:p w14:paraId="7BAAB17A" w14:textId="77777777" w:rsidR="00AF1F0F" w:rsidRPr="003B6A69" w:rsidRDefault="00AF1F0F" w:rsidP="00AE3EED">
            <w:pPr>
              <w:spacing w:after="0"/>
              <w:rPr>
                <w:rFonts w:eastAsia="Times New Roman"/>
                <w:b/>
                <w:bCs/>
                <w:color w:val="000000"/>
                <w:sz w:val="16"/>
                <w:szCs w:val="16"/>
              </w:rPr>
            </w:pPr>
            <w:r w:rsidRPr="003B6A69">
              <w:rPr>
                <w:rFonts w:eastAsia="Times New Roman"/>
                <w:b/>
                <w:bCs/>
                <w:color w:val="000000"/>
                <w:sz w:val="16"/>
                <w:szCs w:val="16"/>
              </w:rPr>
              <w:t>Project description</w:t>
            </w:r>
          </w:p>
        </w:tc>
        <w:tc>
          <w:tcPr>
            <w:tcW w:w="860" w:type="dxa"/>
            <w:tcBorders>
              <w:top w:val="single" w:sz="4" w:space="0" w:color="auto"/>
              <w:left w:val="nil"/>
              <w:bottom w:val="single" w:sz="4" w:space="0" w:color="auto"/>
              <w:right w:val="single" w:sz="4" w:space="0" w:color="auto"/>
            </w:tcBorders>
            <w:shd w:val="clear" w:color="auto" w:fill="auto"/>
            <w:vAlign w:val="center"/>
            <w:hideMark/>
          </w:tcPr>
          <w:p w14:paraId="5E678E8E" w14:textId="77777777" w:rsidR="00AF1F0F" w:rsidRPr="003B6A69" w:rsidRDefault="00AF1F0F" w:rsidP="00AE3EED">
            <w:pPr>
              <w:spacing w:after="0"/>
              <w:rPr>
                <w:rFonts w:eastAsia="Times New Roman"/>
                <w:b/>
                <w:bCs/>
                <w:color w:val="000000"/>
                <w:sz w:val="16"/>
                <w:szCs w:val="16"/>
              </w:rPr>
            </w:pPr>
            <w:r w:rsidRPr="003B6A69">
              <w:rPr>
                <w:rFonts w:eastAsia="Times New Roman"/>
                <w:b/>
                <w:bCs/>
                <w:color w:val="000000"/>
                <w:sz w:val="16"/>
                <w:szCs w:val="16"/>
              </w:rPr>
              <w:t>Donor</w:t>
            </w:r>
          </w:p>
        </w:tc>
        <w:tc>
          <w:tcPr>
            <w:tcW w:w="760" w:type="dxa"/>
            <w:tcBorders>
              <w:top w:val="single" w:sz="4" w:space="0" w:color="auto"/>
              <w:left w:val="nil"/>
              <w:bottom w:val="single" w:sz="4" w:space="0" w:color="auto"/>
              <w:right w:val="single" w:sz="4" w:space="0" w:color="auto"/>
            </w:tcBorders>
            <w:shd w:val="clear" w:color="auto" w:fill="auto"/>
            <w:vAlign w:val="center"/>
            <w:hideMark/>
          </w:tcPr>
          <w:p w14:paraId="45D4B387" w14:textId="77777777" w:rsidR="00AF1F0F" w:rsidRPr="003B6A69" w:rsidRDefault="00AF1F0F" w:rsidP="00AE3EED">
            <w:pPr>
              <w:spacing w:after="0"/>
              <w:rPr>
                <w:rFonts w:eastAsia="Times New Roman"/>
                <w:b/>
                <w:bCs/>
                <w:color w:val="000000"/>
                <w:sz w:val="16"/>
                <w:szCs w:val="16"/>
              </w:rPr>
            </w:pPr>
            <w:r w:rsidRPr="003B6A69">
              <w:rPr>
                <w:rFonts w:eastAsia="Times New Roman"/>
                <w:b/>
                <w:bCs/>
                <w:color w:val="000000"/>
                <w:sz w:val="16"/>
                <w:szCs w:val="16"/>
              </w:rPr>
              <w:t>Period</w:t>
            </w:r>
          </w:p>
        </w:tc>
        <w:tc>
          <w:tcPr>
            <w:tcW w:w="1060" w:type="dxa"/>
            <w:tcBorders>
              <w:top w:val="single" w:sz="4" w:space="0" w:color="auto"/>
              <w:left w:val="nil"/>
              <w:bottom w:val="single" w:sz="4" w:space="0" w:color="auto"/>
              <w:right w:val="single" w:sz="4" w:space="0" w:color="auto"/>
            </w:tcBorders>
            <w:shd w:val="clear" w:color="auto" w:fill="auto"/>
            <w:vAlign w:val="center"/>
            <w:hideMark/>
          </w:tcPr>
          <w:p w14:paraId="0BF828FF" w14:textId="77777777" w:rsidR="00AF1F0F" w:rsidRPr="003B6A69" w:rsidRDefault="00AF1F0F" w:rsidP="00AE3EED">
            <w:pPr>
              <w:spacing w:after="0"/>
              <w:rPr>
                <w:rFonts w:eastAsia="Times New Roman"/>
                <w:b/>
                <w:bCs/>
                <w:color w:val="000000"/>
                <w:sz w:val="16"/>
                <w:szCs w:val="16"/>
              </w:rPr>
            </w:pPr>
            <w:r w:rsidRPr="003B6A69">
              <w:rPr>
                <w:rFonts w:eastAsia="Times New Roman"/>
                <w:b/>
                <w:bCs/>
                <w:color w:val="000000"/>
                <w:sz w:val="16"/>
                <w:szCs w:val="16"/>
              </w:rPr>
              <w:t>Budget EUR</w:t>
            </w:r>
          </w:p>
        </w:tc>
      </w:tr>
      <w:tr w:rsidR="00AF1F0F" w:rsidRPr="003B6A69" w14:paraId="29719966" w14:textId="77777777" w:rsidTr="00AE3EED">
        <w:trPr>
          <w:cantSplit/>
          <w:trHeight w:val="1176"/>
        </w:trPr>
        <w:tc>
          <w:tcPr>
            <w:tcW w:w="320" w:type="dxa"/>
            <w:tcBorders>
              <w:top w:val="nil"/>
              <w:left w:val="single" w:sz="4" w:space="0" w:color="auto"/>
              <w:bottom w:val="single" w:sz="4" w:space="0" w:color="auto"/>
              <w:right w:val="single" w:sz="4" w:space="0" w:color="auto"/>
            </w:tcBorders>
            <w:shd w:val="clear" w:color="auto" w:fill="auto"/>
            <w:vAlign w:val="center"/>
            <w:hideMark/>
          </w:tcPr>
          <w:p w14:paraId="01F8AE30"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1</w:t>
            </w:r>
          </w:p>
        </w:tc>
        <w:tc>
          <w:tcPr>
            <w:tcW w:w="1600" w:type="dxa"/>
            <w:tcBorders>
              <w:top w:val="nil"/>
              <w:left w:val="nil"/>
              <w:bottom w:val="single" w:sz="4" w:space="0" w:color="auto"/>
              <w:right w:val="single" w:sz="4" w:space="0" w:color="auto"/>
            </w:tcBorders>
            <w:shd w:val="clear" w:color="auto" w:fill="auto"/>
            <w:vAlign w:val="center"/>
            <w:hideMark/>
          </w:tcPr>
          <w:p w14:paraId="3C3F2A80"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Ministry of Sustainable Development and Tourism (MSDT)</w:t>
            </w:r>
          </w:p>
        </w:tc>
        <w:tc>
          <w:tcPr>
            <w:tcW w:w="1440" w:type="dxa"/>
            <w:tcBorders>
              <w:top w:val="nil"/>
              <w:left w:val="nil"/>
              <w:bottom w:val="single" w:sz="4" w:space="0" w:color="auto"/>
              <w:right w:val="single" w:sz="4" w:space="0" w:color="auto"/>
            </w:tcBorders>
            <w:shd w:val="clear" w:color="auto" w:fill="auto"/>
            <w:vAlign w:val="center"/>
            <w:hideMark/>
          </w:tcPr>
          <w:p w14:paraId="5E4E39C8"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 xml:space="preserve">Strengthening the Capacity of Governments and Civil Sector in Montenegro and Serbia to Adapt EU Natura 2000 </w:t>
            </w:r>
            <w:proofErr w:type="spellStart"/>
            <w:r w:rsidRPr="003B6A69">
              <w:rPr>
                <w:rFonts w:eastAsia="Times New Roman"/>
                <w:color w:val="000000"/>
                <w:sz w:val="16"/>
                <w:szCs w:val="16"/>
              </w:rPr>
              <w:t>Aquis</w:t>
            </w:r>
            <w:proofErr w:type="spellEnd"/>
          </w:p>
        </w:tc>
        <w:tc>
          <w:tcPr>
            <w:tcW w:w="3560" w:type="dxa"/>
            <w:tcBorders>
              <w:top w:val="nil"/>
              <w:left w:val="nil"/>
              <w:bottom w:val="single" w:sz="4" w:space="0" w:color="auto"/>
              <w:right w:val="single" w:sz="4" w:space="0" w:color="auto"/>
            </w:tcBorders>
            <w:shd w:val="clear" w:color="auto" w:fill="auto"/>
            <w:vAlign w:val="center"/>
            <w:hideMark/>
          </w:tcPr>
          <w:p w14:paraId="7A0B90DC" w14:textId="36AE1F05" w:rsidR="00AF1F0F" w:rsidRPr="003B6A69" w:rsidRDefault="005D32D5" w:rsidP="00AE3EED">
            <w:pPr>
              <w:spacing w:after="0"/>
              <w:rPr>
                <w:rFonts w:eastAsia="Times New Roman"/>
                <w:color w:val="000000"/>
                <w:sz w:val="16"/>
                <w:szCs w:val="16"/>
              </w:rPr>
            </w:pPr>
            <w:r w:rsidRPr="003B6A69">
              <w:rPr>
                <w:rFonts w:eastAsia="Times New Roman"/>
                <w:color w:val="000000"/>
                <w:sz w:val="16"/>
                <w:szCs w:val="16"/>
              </w:rPr>
              <w:t>The p</w:t>
            </w:r>
            <w:r w:rsidR="00AF1F0F" w:rsidRPr="003B6A69">
              <w:rPr>
                <w:rFonts w:eastAsia="Times New Roman"/>
                <w:color w:val="000000"/>
                <w:sz w:val="16"/>
                <w:szCs w:val="16"/>
              </w:rPr>
              <w:t xml:space="preserve">roject focused on strengthening the Capacity of Governments and Civil Sector in Montenegro and Serbia to Adapt EU Natura 2000 </w:t>
            </w:r>
            <w:proofErr w:type="spellStart"/>
            <w:r w:rsidR="00AF1F0F" w:rsidRPr="003B6A69">
              <w:rPr>
                <w:rFonts w:eastAsia="Times New Roman"/>
                <w:color w:val="000000"/>
                <w:sz w:val="16"/>
                <w:szCs w:val="16"/>
              </w:rPr>
              <w:t>Aquis</w:t>
            </w:r>
            <w:proofErr w:type="spellEnd"/>
          </w:p>
        </w:tc>
        <w:tc>
          <w:tcPr>
            <w:tcW w:w="860" w:type="dxa"/>
            <w:tcBorders>
              <w:top w:val="nil"/>
              <w:left w:val="nil"/>
              <w:bottom w:val="single" w:sz="4" w:space="0" w:color="auto"/>
              <w:right w:val="single" w:sz="4" w:space="0" w:color="auto"/>
            </w:tcBorders>
            <w:shd w:val="clear" w:color="auto" w:fill="auto"/>
            <w:vAlign w:val="center"/>
            <w:hideMark/>
          </w:tcPr>
          <w:p w14:paraId="28C134A5"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Norwegian Ministry of Foreign Affairs</w:t>
            </w:r>
          </w:p>
        </w:tc>
        <w:tc>
          <w:tcPr>
            <w:tcW w:w="760" w:type="dxa"/>
            <w:tcBorders>
              <w:top w:val="nil"/>
              <w:left w:val="nil"/>
              <w:bottom w:val="single" w:sz="4" w:space="0" w:color="auto"/>
              <w:right w:val="single" w:sz="4" w:space="0" w:color="auto"/>
            </w:tcBorders>
            <w:shd w:val="clear" w:color="auto" w:fill="auto"/>
            <w:vAlign w:val="center"/>
            <w:hideMark/>
          </w:tcPr>
          <w:p w14:paraId="170D6700"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2009-2012</w:t>
            </w:r>
          </w:p>
        </w:tc>
        <w:tc>
          <w:tcPr>
            <w:tcW w:w="1060" w:type="dxa"/>
            <w:tcBorders>
              <w:top w:val="nil"/>
              <w:left w:val="nil"/>
              <w:bottom w:val="single" w:sz="4" w:space="0" w:color="auto"/>
              <w:right w:val="single" w:sz="4" w:space="0" w:color="auto"/>
            </w:tcBorders>
            <w:shd w:val="clear" w:color="auto" w:fill="auto"/>
            <w:vAlign w:val="center"/>
            <w:hideMark/>
          </w:tcPr>
          <w:p w14:paraId="7835224B"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500.000,00</w:t>
            </w:r>
          </w:p>
        </w:tc>
      </w:tr>
      <w:tr w:rsidR="00AF1F0F" w:rsidRPr="003B6A69" w14:paraId="2EBE0F6B" w14:textId="77777777" w:rsidTr="00AE3EED">
        <w:trPr>
          <w:cantSplit/>
          <w:trHeight w:val="2316"/>
        </w:trPr>
        <w:tc>
          <w:tcPr>
            <w:tcW w:w="320" w:type="dxa"/>
            <w:tcBorders>
              <w:top w:val="nil"/>
              <w:left w:val="single" w:sz="4" w:space="0" w:color="auto"/>
              <w:bottom w:val="single" w:sz="4" w:space="0" w:color="auto"/>
              <w:right w:val="single" w:sz="4" w:space="0" w:color="auto"/>
            </w:tcBorders>
            <w:shd w:val="clear" w:color="auto" w:fill="auto"/>
            <w:vAlign w:val="center"/>
            <w:hideMark/>
          </w:tcPr>
          <w:p w14:paraId="0616A52A"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lastRenderedPageBreak/>
              <w:t>2</w:t>
            </w:r>
          </w:p>
        </w:tc>
        <w:tc>
          <w:tcPr>
            <w:tcW w:w="1600" w:type="dxa"/>
            <w:tcBorders>
              <w:top w:val="nil"/>
              <w:left w:val="nil"/>
              <w:bottom w:val="single" w:sz="4" w:space="0" w:color="auto"/>
              <w:right w:val="single" w:sz="4" w:space="0" w:color="auto"/>
            </w:tcBorders>
            <w:shd w:val="clear" w:color="auto" w:fill="auto"/>
            <w:vAlign w:val="center"/>
            <w:hideMark/>
          </w:tcPr>
          <w:p w14:paraId="2DCAFE32"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 xml:space="preserve">EU funds </w:t>
            </w:r>
            <w:r w:rsidRPr="003B6A69">
              <w:rPr>
                <w:rFonts w:eastAsia="Times New Roman"/>
                <w:color w:val="000000"/>
                <w:sz w:val="16"/>
                <w:szCs w:val="16"/>
              </w:rPr>
              <w:br/>
              <w:t>Ministry of Agriculture and Rural Development (MARD)</w:t>
            </w:r>
          </w:p>
        </w:tc>
        <w:tc>
          <w:tcPr>
            <w:tcW w:w="1440" w:type="dxa"/>
            <w:tcBorders>
              <w:top w:val="nil"/>
              <w:left w:val="nil"/>
              <w:bottom w:val="single" w:sz="4" w:space="0" w:color="auto"/>
              <w:right w:val="single" w:sz="4" w:space="0" w:color="auto"/>
            </w:tcBorders>
            <w:shd w:val="clear" w:color="auto" w:fill="auto"/>
            <w:vAlign w:val="center"/>
            <w:hideMark/>
          </w:tcPr>
          <w:p w14:paraId="5F869802"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 xml:space="preserve">IPARD II </w:t>
            </w:r>
            <w:proofErr w:type="spellStart"/>
            <w:r w:rsidRPr="003B6A69">
              <w:rPr>
                <w:rFonts w:eastAsia="Times New Roman"/>
                <w:color w:val="000000"/>
                <w:sz w:val="16"/>
                <w:szCs w:val="16"/>
              </w:rPr>
              <w:t>programme</w:t>
            </w:r>
            <w:proofErr w:type="spellEnd"/>
          </w:p>
        </w:tc>
        <w:tc>
          <w:tcPr>
            <w:tcW w:w="3560" w:type="dxa"/>
            <w:tcBorders>
              <w:top w:val="nil"/>
              <w:left w:val="nil"/>
              <w:bottom w:val="single" w:sz="4" w:space="0" w:color="auto"/>
              <w:right w:val="single" w:sz="4" w:space="0" w:color="auto"/>
            </w:tcBorders>
            <w:shd w:val="clear" w:color="auto" w:fill="auto"/>
            <w:vAlign w:val="center"/>
            <w:hideMark/>
          </w:tcPr>
          <w:p w14:paraId="49826862" w14:textId="50E8E592"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 xml:space="preserve">Through the implementation of the IPARD II </w:t>
            </w:r>
            <w:proofErr w:type="spellStart"/>
            <w:r w:rsidRPr="003B6A69">
              <w:rPr>
                <w:rFonts w:eastAsia="Times New Roman"/>
                <w:color w:val="000000"/>
                <w:sz w:val="16"/>
                <w:szCs w:val="16"/>
              </w:rPr>
              <w:t>programme</w:t>
            </w:r>
            <w:proofErr w:type="spellEnd"/>
            <w:r w:rsidRPr="003B6A69">
              <w:rPr>
                <w:rFonts w:eastAsia="Times New Roman"/>
                <w:color w:val="000000"/>
                <w:sz w:val="16"/>
                <w:szCs w:val="16"/>
              </w:rPr>
              <w:t xml:space="preserve">, a total of </w:t>
            </w:r>
            <w:proofErr w:type="gramStart"/>
            <w:r w:rsidRPr="003B6A69">
              <w:rPr>
                <w:rFonts w:eastAsia="Times New Roman"/>
                <w:color w:val="000000"/>
                <w:sz w:val="16"/>
                <w:szCs w:val="16"/>
              </w:rPr>
              <w:t>51,816,473 euro</w:t>
            </w:r>
            <w:proofErr w:type="gramEnd"/>
            <w:r w:rsidRPr="003B6A69">
              <w:rPr>
                <w:rFonts w:eastAsia="Times New Roman"/>
                <w:color w:val="000000"/>
                <w:sz w:val="16"/>
                <w:szCs w:val="16"/>
              </w:rPr>
              <w:t xml:space="preserve"> grant was available to the Montenegrin farmers, of which the EU funds amount to 39,000,000 euros, and the national co-financing amounts to 12,816,473 euros. The granting of non-refundable support to end-users paid according to the defined criteria and within the range of 50 to 70%, depending on the type of investment and the geographical location of the holdings</w:t>
            </w:r>
            <w:r w:rsidR="005D32D5" w:rsidRPr="003B6A69">
              <w:rPr>
                <w:rFonts w:eastAsia="Times New Roman"/>
                <w:color w:val="000000"/>
                <w:sz w:val="16"/>
                <w:szCs w:val="16"/>
              </w:rPr>
              <w:t>,</w:t>
            </w:r>
            <w:r w:rsidRPr="003B6A69">
              <w:rPr>
                <w:rFonts w:eastAsia="Times New Roman"/>
                <w:color w:val="000000"/>
                <w:sz w:val="16"/>
                <w:szCs w:val="16"/>
              </w:rPr>
              <w:t xml:space="preserve"> and the location of the investment. </w:t>
            </w:r>
          </w:p>
        </w:tc>
        <w:tc>
          <w:tcPr>
            <w:tcW w:w="860" w:type="dxa"/>
            <w:tcBorders>
              <w:top w:val="nil"/>
              <w:left w:val="nil"/>
              <w:bottom w:val="single" w:sz="4" w:space="0" w:color="auto"/>
              <w:right w:val="single" w:sz="4" w:space="0" w:color="auto"/>
            </w:tcBorders>
            <w:shd w:val="clear" w:color="auto" w:fill="auto"/>
            <w:vAlign w:val="center"/>
            <w:hideMark/>
          </w:tcPr>
          <w:p w14:paraId="2AEB4168"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EU</w:t>
            </w:r>
            <w:r w:rsidRPr="003B6A69">
              <w:rPr>
                <w:rFonts w:eastAsia="Times New Roman"/>
                <w:color w:val="000000"/>
                <w:sz w:val="16"/>
                <w:szCs w:val="16"/>
              </w:rPr>
              <w:br/>
              <w:t>MARD</w:t>
            </w:r>
          </w:p>
        </w:tc>
        <w:tc>
          <w:tcPr>
            <w:tcW w:w="760" w:type="dxa"/>
            <w:tcBorders>
              <w:top w:val="nil"/>
              <w:left w:val="nil"/>
              <w:bottom w:val="single" w:sz="4" w:space="0" w:color="auto"/>
              <w:right w:val="single" w:sz="4" w:space="0" w:color="auto"/>
            </w:tcBorders>
            <w:shd w:val="clear" w:color="auto" w:fill="auto"/>
            <w:vAlign w:val="center"/>
            <w:hideMark/>
          </w:tcPr>
          <w:p w14:paraId="1E390967"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2014-2020</w:t>
            </w:r>
          </w:p>
        </w:tc>
        <w:tc>
          <w:tcPr>
            <w:tcW w:w="1060" w:type="dxa"/>
            <w:tcBorders>
              <w:top w:val="nil"/>
              <w:left w:val="nil"/>
              <w:bottom w:val="single" w:sz="4" w:space="0" w:color="auto"/>
              <w:right w:val="single" w:sz="4" w:space="0" w:color="auto"/>
            </w:tcBorders>
            <w:shd w:val="clear" w:color="auto" w:fill="auto"/>
            <w:vAlign w:val="center"/>
            <w:hideMark/>
          </w:tcPr>
          <w:p w14:paraId="0D2A66FF"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51.816.473,00</w:t>
            </w:r>
          </w:p>
        </w:tc>
      </w:tr>
      <w:tr w:rsidR="00AF1F0F" w:rsidRPr="003B6A69" w14:paraId="016D4929" w14:textId="77777777" w:rsidTr="00AE3EED">
        <w:trPr>
          <w:cantSplit/>
          <w:trHeight w:val="804"/>
        </w:trPr>
        <w:tc>
          <w:tcPr>
            <w:tcW w:w="320" w:type="dxa"/>
            <w:tcBorders>
              <w:top w:val="nil"/>
              <w:left w:val="single" w:sz="4" w:space="0" w:color="auto"/>
              <w:bottom w:val="single" w:sz="4" w:space="0" w:color="auto"/>
              <w:right w:val="single" w:sz="4" w:space="0" w:color="auto"/>
            </w:tcBorders>
            <w:shd w:val="clear" w:color="auto" w:fill="auto"/>
            <w:vAlign w:val="center"/>
            <w:hideMark/>
          </w:tcPr>
          <w:p w14:paraId="4C6239FC"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5</w:t>
            </w:r>
          </w:p>
        </w:tc>
        <w:tc>
          <w:tcPr>
            <w:tcW w:w="1600" w:type="dxa"/>
            <w:tcBorders>
              <w:top w:val="nil"/>
              <w:left w:val="nil"/>
              <w:bottom w:val="single" w:sz="4" w:space="0" w:color="auto"/>
              <w:right w:val="single" w:sz="4" w:space="0" w:color="auto"/>
            </w:tcBorders>
            <w:shd w:val="clear" w:color="auto" w:fill="auto"/>
            <w:vAlign w:val="center"/>
            <w:hideMark/>
          </w:tcPr>
          <w:p w14:paraId="6F5768A3"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MSDT</w:t>
            </w:r>
          </w:p>
        </w:tc>
        <w:tc>
          <w:tcPr>
            <w:tcW w:w="1440" w:type="dxa"/>
            <w:tcBorders>
              <w:top w:val="nil"/>
              <w:left w:val="nil"/>
              <w:bottom w:val="single" w:sz="4" w:space="0" w:color="auto"/>
              <w:right w:val="single" w:sz="4" w:space="0" w:color="auto"/>
            </w:tcBorders>
            <w:shd w:val="clear" w:color="auto" w:fill="auto"/>
            <w:vAlign w:val="center"/>
            <w:hideMark/>
          </w:tcPr>
          <w:p w14:paraId="07562B3B"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Establishment of Natura 2000 network in Montenegro</w:t>
            </w:r>
          </w:p>
        </w:tc>
        <w:tc>
          <w:tcPr>
            <w:tcW w:w="3560" w:type="dxa"/>
            <w:tcBorders>
              <w:top w:val="nil"/>
              <w:left w:val="nil"/>
              <w:bottom w:val="single" w:sz="4" w:space="0" w:color="auto"/>
              <w:right w:val="single" w:sz="4" w:space="0" w:color="auto"/>
            </w:tcBorders>
            <w:shd w:val="clear" w:color="auto" w:fill="auto"/>
            <w:vAlign w:val="center"/>
            <w:hideMark/>
          </w:tcPr>
          <w:p w14:paraId="0FC52D36"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The project included delineation of proposed N2000 sites has been made and arranged into GIS.</w:t>
            </w:r>
          </w:p>
        </w:tc>
        <w:tc>
          <w:tcPr>
            <w:tcW w:w="860" w:type="dxa"/>
            <w:tcBorders>
              <w:top w:val="nil"/>
              <w:left w:val="nil"/>
              <w:bottom w:val="single" w:sz="4" w:space="0" w:color="auto"/>
              <w:right w:val="single" w:sz="4" w:space="0" w:color="auto"/>
            </w:tcBorders>
            <w:shd w:val="clear" w:color="auto" w:fill="auto"/>
            <w:vAlign w:val="center"/>
            <w:hideMark/>
          </w:tcPr>
          <w:p w14:paraId="1A641BA1"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EU</w:t>
            </w:r>
          </w:p>
        </w:tc>
        <w:tc>
          <w:tcPr>
            <w:tcW w:w="760" w:type="dxa"/>
            <w:tcBorders>
              <w:top w:val="nil"/>
              <w:left w:val="nil"/>
              <w:bottom w:val="single" w:sz="4" w:space="0" w:color="auto"/>
              <w:right w:val="single" w:sz="4" w:space="0" w:color="auto"/>
            </w:tcBorders>
            <w:shd w:val="clear" w:color="auto" w:fill="auto"/>
            <w:vAlign w:val="center"/>
            <w:hideMark/>
          </w:tcPr>
          <w:p w14:paraId="0D84AD02"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Duration 2016 - 2019</w:t>
            </w:r>
          </w:p>
        </w:tc>
        <w:tc>
          <w:tcPr>
            <w:tcW w:w="1060" w:type="dxa"/>
            <w:tcBorders>
              <w:top w:val="nil"/>
              <w:left w:val="nil"/>
              <w:bottom w:val="single" w:sz="4" w:space="0" w:color="auto"/>
              <w:right w:val="single" w:sz="4" w:space="0" w:color="auto"/>
            </w:tcBorders>
            <w:shd w:val="clear" w:color="auto" w:fill="auto"/>
            <w:vAlign w:val="center"/>
            <w:hideMark/>
          </w:tcPr>
          <w:p w14:paraId="35EDDE13"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2.550.000,00 USD</w:t>
            </w:r>
          </w:p>
        </w:tc>
      </w:tr>
      <w:tr w:rsidR="00AF1F0F" w:rsidRPr="003B6A69" w14:paraId="60E558E7" w14:textId="77777777" w:rsidTr="00AE3EED">
        <w:trPr>
          <w:cantSplit/>
          <w:trHeight w:val="996"/>
        </w:trPr>
        <w:tc>
          <w:tcPr>
            <w:tcW w:w="320" w:type="dxa"/>
            <w:tcBorders>
              <w:top w:val="nil"/>
              <w:left w:val="single" w:sz="4" w:space="0" w:color="auto"/>
              <w:bottom w:val="single" w:sz="4" w:space="0" w:color="auto"/>
              <w:right w:val="single" w:sz="4" w:space="0" w:color="auto"/>
            </w:tcBorders>
            <w:shd w:val="clear" w:color="auto" w:fill="auto"/>
            <w:vAlign w:val="center"/>
            <w:hideMark/>
          </w:tcPr>
          <w:p w14:paraId="589C5D98"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6</w:t>
            </w:r>
          </w:p>
        </w:tc>
        <w:tc>
          <w:tcPr>
            <w:tcW w:w="1600" w:type="dxa"/>
            <w:tcBorders>
              <w:top w:val="nil"/>
              <w:left w:val="nil"/>
              <w:bottom w:val="single" w:sz="4" w:space="0" w:color="auto"/>
              <w:right w:val="single" w:sz="4" w:space="0" w:color="auto"/>
            </w:tcBorders>
            <w:shd w:val="clear" w:color="auto" w:fill="auto"/>
            <w:vAlign w:val="center"/>
            <w:hideMark/>
          </w:tcPr>
          <w:p w14:paraId="01BF76CD"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GIZ</w:t>
            </w:r>
            <w:r w:rsidRPr="003B6A69">
              <w:rPr>
                <w:rFonts w:eastAsia="Times New Roman"/>
                <w:color w:val="000000"/>
                <w:sz w:val="16"/>
                <w:szCs w:val="16"/>
              </w:rPr>
              <w:br/>
              <w:t>NEPA</w:t>
            </w:r>
          </w:p>
        </w:tc>
        <w:tc>
          <w:tcPr>
            <w:tcW w:w="1440" w:type="dxa"/>
            <w:tcBorders>
              <w:top w:val="nil"/>
              <w:left w:val="nil"/>
              <w:bottom w:val="single" w:sz="4" w:space="0" w:color="auto"/>
              <w:right w:val="single" w:sz="4" w:space="0" w:color="auto"/>
            </w:tcBorders>
            <w:shd w:val="clear" w:color="auto" w:fill="auto"/>
            <w:vAlign w:val="center"/>
            <w:hideMark/>
          </w:tcPr>
          <w:p w14:paraId="293D489A"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 xml:space="preserve">Conservation and sustainable use of biodiversity in the areas of </w:t>
            </w:r>
            <w:proofErr w:type="spellStart"/>
            <w:r w:rsidRPr="003B6A69">
              <w:rPr>
                <w:rFonts w:eastAsia="Times New Roman"/>
                <w:color w:val="000000"/>
                <w:sz w:val="16"/>
                <w:szCs w:val="16"/>
              </w:rPr>
              <w:t>Prespansko</w:t>
            </w:r>
            <w:proofErr w:type="spellEnd"/>
            <w:r w:rsidRPr="003B6A69">
              <w:rPr>
                <w:rFonts w:eastAsia="Times New Roman"/>
                <w:color w:val="000000"/>
                <w:sz w:val="16"/>
                <w:szCs w:val="16"/>
              </w:rPr>
              <w:t xml:space="preserve">, </w:t>
            </w:r>
            <w:proofErr w:type="spellStart"/>
            <w:r w:rsidRPr="003B6A69">
              <w:rPr>
                <w:rFonts w:eastAsia="Times New Roman"/>
                <w:color w:val="000000"/>
                <w:sz w:val="16"/>
                <w:szCs w:val="16"/>
              </w:rPr>
              <w:t>Ohridsko</w:t>
            </w:r>
            <w:proofErr w:type="spellEnd"/>
            <w:r w:rsidRPr="003B6A69">
              <w:rPr>
                <w:rFonts w:eastAsia="Times New Roman"/>
                <w:color w:val="000000"/>
                <w:sz w:val="16"/>
                <w:szCs w:val="16"/>
              </w:rPr>
              <w:t xml:space="preserve"> and </w:t>
            </w:r>
            <w:proofErr w:type="spellStart"/>
            <w:r w:rsidRPr="003B6A69">
              <w:rPr>
                <w:rFonts w:eastAsia="Times New Roman"/>
                <w:color w:val="000000"/>
                <w:sz w:val="16"/>
                <w:szCs w:val="16"/>
              </w:rPr>
              <w:t>Skadar</w:t>
            </w:r>
            <w:proofErr w:type="spellEnd"/>
            <w:r w:rsidRPr="003B6A69">
              <w:rPr>
                <w:rFonts w:eastAsia="Times New Roman"/>
                <w:color w:val="000000"/>
                <w:sz w:val="16"/>
                <w:szCs w:val="16"/>
              </w:rPr>
              <w:t xml:space="preserve"> Lake (CSBL)</w:t>
            </w:r>
          </w:p>
        </w:tc>
        <w:tc>
          <w:tcPr>
            <w:tcW w:w="3560" w:type="dxa"/>
            <w:tcBorders>
              <w:top w:val="nil"/>
              <w:left w:val="nil"/>
              <w:bottom w:val="single" w:sz="4" w:space="0" w:color="auto"/>
              <w:right w:val="single" w:sz="4" w:space="0" w:color="auto"/>
            </w:tcBorders>
            <w:shd w:val="clear" w:color="auto" w:fill="auto"/>
            <w:vAlign w:val="center"/>
            <w:hideMark/>
          </w:tcPr>
          <w:p w14:paraId="2F170348" w14:textId="11BBFB51" w:rsidR="00AF1F0F" w:rsidRPr="003B6A69" w:rsidRDefault="00AF1F0F" w:rsidP="005D32D5">
            <w:pPr>
              <w:spacing w:after="0"/>
              <w:rPr>
                <w:rFonts w:eastAsia="Times New Roman"/>
                <w:color w:val="000000"/>
                <w:sz w:val="16"/>
                <w:szCs w:val="16"/>
              </w:rPr>
            </w:pPr>
            <w:r w:rsidRPr="003B6A69">
              <w:rPr>
                <w:rFonts w:eastAsia="Times New Roman"/>
                <w:color w:val="000000"/>
                <w:sz w:val="16"/>
                <w:szCs w:val="16"/>
              </w:rPr>
              <w:t>The project focused on the appropriate protection regime for lake management on a transboundary basis and in compliance with EU environmental and biodiversity protection targets.</w:t>
            </w:r>
          </w:p>
        </w:tc>
        <w:tc>
          <w:tcPr>
            <w:tcW w:w="860" w:type="dxa"/>
            <w:tcBorders>
              <w:top w:val="nil"/>
              <w:left w:val="nil"/>
              <w:bottom w:val="single" w:sz="4" w:space="0" w:color="auto"/>
              <w:right w:val="single" w:sz="4" w:space="0" w:color="auto"/>
            </w:tcBorders>
            <w:shd w:val="clear" w:color="auto" w:fill="auto"/>
            <w:vAlign w:val="center"/>
            <w:hideMark/>
          </w:tcPr>
          <w:p w14:paraId="20E5A8A4"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Government of Germany</w:t>
            </w:r>
          </w:p>
        </w:tc>
        <w:tc>
          <w:tcPr>
            <w:tcW w:w="760" w:type="dxa"/>
            <w:tcBorders>
              <w:top w:val="nil"/>
              <w:left w:val="nil"/>
              <w:bottom w:val="single" w:sz="4" w:space="0" w:color="auto"/>
              <w:right w:val="single" w:sz="4" w:space="0" w:color="auto"/>
            </w:tcBorders>
            <w:shd w:val="clear" w:color="auto" w:fill="auto"/>
            <w:vAlign w:val="center"/>
            <w:hideMark/>
          </w:tcPr>
          <w:p w14:paraId="258359FF"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2019</w:t>
            </w:r>
          </w:p>
        </w:tc>
        <w:tc>
          <w:tcPr>
            <w:tcW w:w="1060" w:type="dxa"/>
            <w:tcBorders>
              <w:top w:val="nil"/>
              <w:left w:val="nil"/>
              <w:bottom w:val="single" w:sz="4" w:space="0" w:color="auto"/>
              <w:right w:val="single" w:sz="4" w:space="0" w:color="auto"/>
            </w:tcBorders>
            <w:shd w:val="clear" w:color="auto" w:fill="auto"/>
            <w:vAlign w:val="center"/>
            <w:hideMark/>
          </w:tcPr>
          <w:p w14:paraId="3B204AE0"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130.000,00</w:t>
            </w:r>
          </w:p>
        </w:tc>
      </w:tr>
      <w:tr w:rsidR="00AF1F0F" w:rsidRPr="003B6A69" w14:paraId="0DAE9843" w14:textId="77777777" w:rsidTr="00AE3EED">
        <w:trPr>
          <w:cantSplit/>
          <w:trHeight w:val="816"/>
        </w:trPr>
        <w:tc>
          <w:tcPr>
            <w:tcW w:w="320" w:type="dxa"/>
            <w:tcBorders>
              <w:top w:val="nil"/>
              <w:left w:val="single" w:sz="4" w:space="0" w:color="auto"/>
              <w:bottom w:val="single" w:sz="4" w:space="0" w:color="auto"/>
              <w:right w:val="single" w:sz="4" w:space="0" w:color="auto"/>
            </w:tcBorders>
            <w:shd w:val="clear" w:color="auto" w:fill="auto"/>
            <w:vAlign w:val="center"/>
            <w:hideMark/>
          </w:tcPr>
          <w:p w14:paraId="5990747A"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7</w:t>
            </w:r>
          </w:p>
        </w:tc>
        <w:tc>
          <w:tcPr>
            <w:tcW w:w="1600" w:type="dxa"/>
            <w:tcBorders>
              <w:top w:val="nil"/>
              <w:left w:val="nil"/>
              <w:bottom w:val="single" w:sz="4" w:space="0" w:color="auto"/>
              <w:right w:val="single" w:sz="4" w:space="0" w:color="auto"/>
            </w:tcBorders>
            <w:shd w:val="clear" w:color="auto" w:fill="auto"/>
            <w:vAlign w:val="center"/>
            <w:hideMark/>
          </w:tcPr>
          <w:p w14:paraId="15D14F01"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MSDT</w:t>
            </w:r>
          </w:p>
        </w:tc>
        <w:tc>
          <w:tcPr>
            <w:tcW w:w="1440" w:type="dxa"/>
            <w:tcBorders>
              <w:top w:val="nil"/>
              <w:left w:val="nil"/>
              <w:bottom w:val="single" w:sz="4" w:space="0" w:color="auto"/>
              <w:right w:val="single" w:sz="4" w:space="0" w:color="auto"/>
            </w:tcBorders>
            <w:shd w:val="clear" w:color="auto" w:fill="auto"/>
            <w:vAlign w:val="center"/>
            <w:hideMark/>
          </w:tcPr>
          <w:p w14:paraId="19D0954F"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VI National report to CBD</w:t>
            </w:r>
          </w:p>
        </w:tc>
        <w:tc>
          <w:tcPr>
            <w:tcW w:w="3560" w:type="dxa"/>
            <w:tcBorders>
              <w:top w:val="nil"/>
              <w:left w:val="nil"/>
              <w:bottom w:val="single" w:sz="4" w:space="0" w:color="auto"/>
              <w:right w:val="single" w:sz="4" w:space="0" w:color="auto"/>
            </w:tcBorders>
            <w:shd w:val="clear" w:color="auto" w:fill="auto"/>
            <w:vAlign w:val="center"/>
            <w:hideMark/>
          </w:tcPr>
          <w:p w14:paraId="71FCB729"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Implementation of project activities and preparation of the Report were responsibilities of the local team of experts, supported by a wide array of national stakeholders.</w:t>
            </w:r>
          </w:p>
        </w:tc>
        <w:tc>
          <w:tcPr>
            <w:tcW w:w="860" w:type="dxa"/>
            <w:tcBorders>
              <w:top w:val="nil"/>
              <w:left w:val="nil"/>
              <w:bottom w:val="single" w:sz="4" w:space="0" w:color="auto"/>
              <w:right w:val="single" w:sz="4" w:space="0" w:color="auto"/>
            </w:tcBorders>
            <w:shd w:val="clear" w:color="auto" w:fill="auto"/>
            <w:vAlign w:val="center"/>
            <w:hideMark/>
          </w:tcPr>
          <w:p w14:paraId="070B9A55"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GEF; UNEP, MSDT</w:t>
            </w:r>
          </w:p>
        </w:tc>
        <w:tc>
          <w:tcPr>
            <w:tcW w:w="760" w:type="dxa"/>
            <w:tcBorders>
              <w:top w:val="nil"/>
              <w:left w:val="nil"/>
              <w:bottom w:val="single" w:sz="4" w:space="0" w:color="auto"/>
              <w:right w:val="single" w:sz="4" w:space="0" w:color="auto"/>
            </w:tcBorders>
            <w:shd w:val="clear" w:color="auto" w:fill="auto"/>
            <w:vAlign w:val="center"/>
            <w:hideMark/>
          </w:tcPr>
          <w:p w14:paraId="632C5ADC"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Dec-19</w:t>
            </w:r>
          </w:p>
        </w:tc>
        <w:tc>
          <w:tcPr>
            <w:tcW w:w="1060" w:type="dxa"/>
            <w:tcBorders>
              <w:top w:val="nil"/>
              <w:left w:val="nil"/>
              <w:bottom w:val="single" w:sz="4" w:space="0" w:color="auto"/>
              <w:right w:val="single" w:sz="4" w:space="0" w:color="auto"/>
            </w:tcBorders>
            <w:shd w:val="clear" w:color="auto" w:fill="auto"/>
            <w:vAlign w:val="center"/>
            <w:hideMark/>
          </w:tcPr>
          <w:p w14:paraId="37A69BAA"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100.000,00</w:t>
            </w:r>
          </w:p>
        </w:tc>
      </w:tr>
      <w:tr w:rsidR="00AF1F0F" w:rsidRPr="003B6A69" w14:paraId="0B728BE7" w14:textId="77777777" w:rsidTr="00AE3EED">
        <w:trPr>
          <w:cantSplit/>
          <w:trHeight w:val="1164"/>
        </w:trPr>
        <w:tc>
          <w:tcPr>
            <w:tcW w:w="320" w:type="dxa"/>
            <w:tcBorders>
              <w:top w:val="nil"/>
              <w:left w:val="single" w:sz="4" w:space="0" w:color="auto"/>
              <w:bottom w:val="single" w:sz="4" w:space="0" w:color="auto"/>
              <w:right w:val="single" w:sz="4" w:space="0" w:color="auto"/>
            </w:tcBorders>
            <w:shd w:val="clear" w:color="auto" w:fill="auto"/>
            <w:vAlign w:val="center"/>
            <w:hideMark/>
          </w:tcPr>
          <w:p w14:paraId="7E13EB19"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8</w:t>
            </w:r>
          </w:p>
        </w:tc>
        <w:tc>
          <w:tcPr>
            <w:tcW w:w="1600" w:type="dxa"/>
            <w:tcBorders>
              <w:top w:val="nil"/>
              <w:left w:val="nil"/>
              <w:bottom w:val="single" w:sz="4" w:space="0" w:color="auto"/>
              <w:right w:val="single" w:sz="4" w:space="0" w:color="auto"/>
            </w:tcBorders>
            <w:shd w:val="clear" w:color="auto" w:fill="auto"/>
            <w:vAlign w:val="center"/>
            <w:hideMark/>
          </w:tcPr>
          <w:p w14:paraId="5D2F1717"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UNDP</w:t>
            </w:r>
            <w:r w:rsidRPr="003B6A69">
              <w:rPr>
                <w:rFonts w:eastAsia="Times New Roman"/>
                <w:color w:val="000000"/>
                <w:sz w:val="16"/>
                <w:szCs w:val="16"/>
              </w:rPr>
              <w:br/>
              <w:t>MSDT</w:t>
            </w:r>
          </w:p>
        </w:tc>
        <w:tc>
          <w:tcPr>
            <w:tcW w:w="1440" w:type="dxa"/>
            <w:tcBorders>
              <w:top w:val="nil"/>
              <w:left w:val="nil"/>
              <w:bottom w:val="single" w:sz="4" w:space="0" w:color="auto"/>
              <w:right w:val="single" w:sz="4" w:space="0" w:color="auto"/>
            </w:tcBorders>
            <w:shd w:val="clear" w:color="auto" w:fill="auto"/>
            <w:vAlign w:val="center"/>
            <w:hideMark/>
          </w:tcPr>
          <w:p w14:paraId="7295B4AE"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Towards Carbon Neutral Tourism in Montenegro</w:t>
            </w:r>
          </w:p>
        </w:tc>
        <w:tc>
          <w:tcPr>
            <w:tcW w:w="3560" w:type="dxa"/>
            <w:tcBorders>
              <w:top w:val="nil"/>
              <w:left w:val="nil"/>
              <w:bottom w:val="single" w:sz="4" w:space="0" w:color="auto"/>
              <w:right w:val="single" w:sz="4" w:space="0" w:color="auto"/>
            </w:tcBorders>
            <w:shd w:val="clear" w:color="auto" w:fill="auto"/>
            <w:vAlign w:val="center"/>
            <w:hideMark/>
          </w:tcPr>
          <w:p w14:paraId="7441638E" w14:textId="1CFC28D8" w:rsidR="00AF1F0F" w:rsidRPr="003B6A69" w:rsidRDefault="00AF1F0F" w:rsidP="005D32D5">
            <w:pPr>
              <w:spacing w:after="0"/>
              <w:rPr>
                <w:rFonts w:eastAsia="Times New Roman"/>
                <w:color w:val="000000"/>
                <w:sz w:val="16"/>
                <w:szCs w:val="16"/>
              </w:rPr>
            </w:pPr>
            <w:r w:rsidRPr="003B6A69">
              <w:rPr>
                <w:rFonts w:eastAsia="Times New Roman"/>
                <w:color w:val="000000"/>
                <w:sz w:val="16"/>
                <w:szCs w:val="16"/>
              </w:rPr>
              <w:t>Incremental assistance to</w:t>
            </w:r>
            <w:r w:rsidR="005D32D5" w:rsidRPr="003B6A69">
              <w:rPr>
                <w:rFonts w:eastAsia="Times New Roman"/>
                <w:color w:val="000000"/>
                <w:sz w:val="16"/>
                <w:szCs w:val="16"/>
              </w:rPr>
              <w:t xml:space="preserve"> </w:t>
            </w:r>
            <w:r w:rsidRPr="003B6A69">
              <w:rPr>
                <w:rFonts w:eastAsia="Times New Roman"/>
                <w:color w:val="000000"/>
                <w:sz w:val="16"/>
                <w:szCs w:val="16"/>
              </w:rPr>
              <w:t>country’s transition towards carbon</w:t>
            </w:r>
            <w:r w:rsidR="005D32D5" w:rsidRPr="003B6A69">
              <w:rPr>
                <w:rFonts w:eastAsia="Times New Roman"/>
                <w:color w:val="000000"/>
                <w:sz w:val="16"/>
                <w:szCs w:val="16"/>
              </w:rPr>
              <w:t>-</w:t>
            </w:r>
            <w:r w:rsidRPr="003B6A69">
              <w:rPr>
                <w:rFonts w:eastAsia="Times New Roman"/>
                <w:color w:val="000000"/>
                <w:sz w:val="16"/>
                <w:szCs w:val="16"/>
              </w:rPr>
              <w:t>neutral travel by encouraging sustainability and innovation in tourism.</w:t>
            </w:r>
          </w:p>
        </w:tc>
        <w:tc>
          <w:tcPr>
            <w:tcW w:w="860" w:type="dxa"/>
            <w:tcBorders>
              <w:top w:val="nil"/>
              <w:left w:val="nil"/>
              <w:bottom w:val="single" w:sz="4" w:space="0" w:color="auto"/>
              <w:right w:val="single" w:sz="4" w:space="0" w:color="auto"/>
            </w:tcBorders>
            <w:shd w:val="clear" w:color="auto" w:fill="auto"/>
            <w:vAlign w:val="center"/>
            <w:hideMark/>
          </w:tcPr>
          <w:p w14:paraId="0B95319B"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GEF</w:t>
            </w:r>
          </w:p>
        </w:tc>
        <w:tc>
          <w:tcPr>
            <w:tcW w:w="760" w:type="dxa"/>
            <w:tcBorders>
              <w:top w:val="nil"/>
              <w:left w:val="nil"/>
              <w:bottom w:val="single" w:sz="4" w:space="0" w:color="auto"/>
              <w:right w:val="single" w:sz="4" w:space="0" w:color="auto"/>
            </w:tcBorders>
            <w:shd w:val="clear" w:color="auto" w:fill="auto"/>
            <w:vAlign w:val="center"/>
            <w:hideMark/>
          </w:tcPr>
          <w:p w14:paraId="759CB3E3"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2014-2020</w:t>
            </w:r>
          </w:p>
        </w:tc>
        <w:tc>
          <w:tcPr>
            <w:tcW w:w="1060" w:type="dxa"/>
            <w:tcBorders>
              <w:top w:val="nil"/>
              <w:left w:val="nil"/>
              <w:bottom w:val="single" w:sz="4" w:space="0" w:color="auto"/>
              <w:right w:val="single" w:sz="4" w:space="0" w:color="auto"/>
            </w:tcBorders>
            <w:shd w:val="clear" w:color="auto" w:fill="auto"/>
            <w:vAlign w:val="center"/>
            <w:hideMark/>
          </w:tcPr>
          <w:p w14:paraId="17AE0E98"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3.000.000,00</w:t>
            </w:r>
          </w:p>
        </w:tc>
      </w:tr>
      <w:tr w:rsidR="00AF1F0F" w:rsidRPr="003B6A69" w14:paraId="0FD68150" w14:textId="77777777" w:rsidTr="00AE3EED">
        <w:trPr>
          <w:cantSplit/>
          <w:trHeight w:val="1152"/>
        </w:trPr>
        <w:tc>
          <w:tcPr>
            <w:tcW w:w="320" w:type="dxa"/>
            <w:tcBorders>
              <w:top w:val="nil"/>
              <w:left w:val="single" w:sz="4" w:space="0" w:color="auto"/>
              <w:bottom w:val="single" w:sz="4" w:space="0" w:color="auto"/>
              <w:right w:val="single" w:sz="4" w:space="0" w:color="auto"/>
            </w:tcBorders>
            <w:shd w:val="clear" w:color="auto" w:fill="auto"/>
            <w:vAlign w:val="center"/>
            <w:hideMark/>
          </w:tcPr>
          <w:p w14:paraId="446DD69D"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9</w:t>
            </w:r>
          </w:p>
        </w:tc>
        <w:tc>
          <w:tcPr>
            <w:tcW w:w="1600" w:type="dxa"/>
            <w:tcBorders>
              <w:top w:val="nil"/>
              <w:left w:val="nil"/>
              <w:bottom w:val="single" w:sz="4" w:space="0" w:color="auto"/>
              <w:right w:val="single" w:sz="4" w:space="0" w:color="auto"/>
            </w:tcBorders>
            <w:shd w:val="clear" w:color="auto" w:fill="auto"/>
            <w:vAlign w:val="center"/>
            <w:hideMark/>
          </w:tcPr>
          <w:p w14:paraId="44CF19A1"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NEPA</w:t>
            </w:r>
          </w:p>
        </w:tc>
        <w:tc>
          <w:tcPr>
            <w:tcW w:w="1440" w:type="dxa"/>
            <w:tcBorders>
              <w:top w:val="nil"/>
              <w:left w:val="nil"/>
              <w:bottom w:val="single" w:sz="4" w:space="0" w:color="auto"/>
              <w:right w:val="single" w:sz="4" w:space="0" w:color="auto"/>
            </w:tcBorders>
            <w:shd w:val="clear" w:color="auto" w:fill="auto"/>
            <w:vAlign w:val="center"/>
            <w:hideMark/>
          </w:tcPr>
          <w:p w14:paraId="58171219"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Establishing of Natura 2000 network in Montenegro</w:t>
            </w:r>
          </w:p>
        </w:tc>
        <w:tc>
          <w:tcPr>
            <w:tcW w:w="3560" w:type="dxa"/>
            <w:tcBorders>
              <w:top w:val="nil"/>
              <w:left w:val="nil"/>
              <w:bottom w:val="single" w:sz="4" w:space="0" w:color="auto"/>
              <w:right w:val="single" w:sz="4" w:space="0" w:color="auto"/>
            </w:tcBorders>
            <w:shd w:val="clear" w:color="auto" w:fill="auto"/>
            <w:vAlign w:val="center"/>
            <w:hideMark/>
          </w:tcPr>
          <w:p w14:paraId="081E3668"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 xml:space="preserve">Additional effort to complete research in the context of the N2000 </w:t>
            </w:r>
          </w:p>
        </w:tc>
        <w:tc>
          <w:tcPr>
            <w:tcW w:w="860" w:type="dxa"/>
            <w:tcBorders>
              <w:top w:val="nil"/>
              <w:left w:val="nil"/>
              <w:bottom w:val="single" w:sz="4" w:space="0" w:color="auto"/>
              <w:right w:val="single" w:sz="4" w:space="0" w:color="auto"/>
            </w:tcBorders>
            <w:shd w:val="clear" w:color="auto" w:fill="auto"/>
            <w:vAlign w:val="center"/>
            <w:hideMark/>
          </w:tcPr>
          <w:p w14:paraId="0A19E7C9"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NEPA</w:t>
            </w:r>
            <w:r w:rsidRPr="003B6A69">
              <w:rPr>
                <w:rFonts w:eastAsia="Times New Roman"/>
                <w:color w:val="000000"/>
                <w:sz w:val="16"/>
                <w:szCs w:val="16"/>
              </w:rPr>
              <w:br/>
              <w:t>MSDT</w:t>
            </w:r>
          </w:p>
        </w:tc>
        <w:tc>
          <w:tcPr>
            <w:tcW w:w="760" w:type="dxa"/>
            <w:tcBorders>
              <w:top w:val="nil"/>
              <w:left w:val="nil"/>
              <w:bottom w:val="single" w:sz="4" w:space="0" w:color="auto"/>
              <w:right w:val="single" w:sz="4" w:space="0" w:color="auto"/>
            </w:tcBorders>
            <w:shd w:val="clear" w:color="auto" w:fill="auto"/>
            <w:vAlign w:val="center"/>
            <w:hideMark/>
          </w:tcPr>
          <w:p w14:paraId="1EDDBFBF"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2019</w:t>
            </w:r>
          </w:p>
        </w:tc>
        <w:tc>
          <w:tcPr>
            <w:tcW w:w="1060" w:type="dxa"/>
            <w:tcBorders>
              <w:top w:val="nil"/>
              <w:left w:val="nil"/>
              <w:bottom w:val="single" w:sz="4" w:space="0" w:color="auto"/>
              <w:right w:val="single" w:sz="4" w:space="0" w:color="auto"/>
            </w:tcBorders>
            <w:shd w:val="clear" w:color="auto" w:fill="auto"/>
            <w:vAlign w:val="center"/>
            <w:hideMark/>
          </w:tcPr>
          <w:p w14:paraId="3C11BEEE"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200.000,00</w:t>
            </w:r>
          </w:p>
        </w:tc>
      </w:tr>
    </w:tbl>
    <w:p w14:paraId="332B8D2A" w14:textId="77777777" w:rsidR="00AF1F0F" w:rsidRPr="003B6A69" w:rsidRDefault="00AF1F0F" w:rsidP="00AF1F0F">
      <w:pPr>
        <w:rPr>
          <w:lang w:val="en-GB"/>
        </w:rPr>
      </w:pPr>
    </w:p>
    <w:p w14:paraId="28D35974" w14:textId="2CDD5334" w:rsidR="00AE3EED" w:rsidRPr="003B6A69" w:rsidRDefault="00CF606F" w:rsidP="00AF1F0F">
      <w:pPr>
        <w:rPr>
          <w:lang w:val="en-GB"/>
        </w:rPr>
      </w:pPr>
      <w:r w:rsidRPr="003B6A69">
        <w:rPr>
          <w:lang w:val="en-GB"/>
        </w:rPr>
        <w:t xml:space="preserve">The project will rely on </w:t>
      </w:r>
      <w:proofErr w:type="gramStart"/>
      <w:r w:rsidRPr="003B6A69">
        <w:rPr>
          <w:lang w:val="en-GB"/>
        </w:rPr>
        <w:t>past experience</w:t>
      </w:r>
      <w:proofErr w:type="gramEnd"/>
      <w:r w:rsidRPr="003B6A69">
        <w:rPr>
          <w:lang w:val="en-GB"/>
        </w:rPr>
        <w:t xml:space="preserve"> and results of the relevant project with a goal of replicating good practices and established methodologies. Within this context</w:t>
      </w:r>
      <w:r w:rsidR="005D32D5" w:rsidRPr="003B6A69">
        <w:rPr>
          <w:lang w:val="en-GB"/>
        </w:rPr>
        <w:t>,</w:t>
      </w:r>
      <w:r w:rsidRPr="003B6A69">
        <w:rPr>
          <w:lang w:val="en-GB"/>
        </w:rPr>
        <w:t xml:space="preserve"> the project will build on developed research and available data sets produce during research projects such </w:t>
      </w:r>
      <w:r w:rsidR="005D32D5" w:rsidRPr="003B6A69">
        <w:rPr>
          <w:lang w:val="en-GB"/>
        </w:rPr>
        <w:t xml:space="preserve">as </w:t>
      </w:r>
      <w:r w:rsidRPr="003B6A69">
        <w:rPr>
          <w:lang w:val="en-GB"/>
        </w:rPr>
        <w:t xml:space="preserve">those focusing on Natura 2000 network establishment, research in produces during </w:t>
      </w:r>
      <w:r w:rsidR="005D32D5" w:rsidRPr="003B6A69">
        <w:rPr>
          <w:lang w:val="en-GB"/>
        </w:rPr>
        <w:t xml:space="preserve">the </w:t>
      </w:r>
      <w:r w:rsidRPr="003B6A69">
        <w:rPr>
          <w:lang w:val="en-GB"/>
        </w:rPr>
        <w:t xml:space="preserve">implementation of </w:t>
      </w:r>
      <w:proofErr w:type="spellStart"/>
      <w:r w:rsidRPr="003B6A69">
        <w:rPr>
          <w:lang w:val="en-GB"/>
        </w:rPr>
        <w:t>Skadar</w:t>
      </w:r>
      <w:proofErr w:type="spellEnd"/>
      <w:r w:rsidRPr="003B6A69">
        <w:rPr>
          <w:lang w:val="en-GB"/>
        </w:rPr>
        <w:t xml:space="preserve"> lake in the context of the project “Conservation and sustainable use of biodiversity in the areas of </w:t>
      </w:r>
      <w:proofErr w:type="spellStart"/>
      <w:r w:rsidRPr="003B6A69">
        <w:rPr>
          <w:lang w:val="en-GB"/>
        </w:rPr>
        <w:t>Prespansko</w:t>
      </w:r>
      <w:proofErr w:type="spellEnd"/>
      <w:r w:rsidRPr="003B6A69">
        <w:rPr>
          <w:lang w:val="en-GB"/>
        </w:rPr>
        <w:t xml:space="preserve">, </w:t>
      </w:r>
      <w:proofErr w:type="spellStart"/>
      <w:r w:rsidRPr="003B6A69">
        <w:rPr>
          <w:lang w:val="en-GB"/>
        </w:rPr>
        <w:t>Ohridsko</w:t>
      </w:r>
      <w:proofErr w:type="spellEnd"/>
      <w:r w:rsidRPr="003B6A69">
        <w:rPr>
          <w:lang w:val="en-GB"/>
        </w:rPr>
        <w:t xml:space="preserve"> and </w:t>
      </w:r>
      <w:proofErr w:type="spellStart"/>
      <w:r w:rsidRPr="003B6A69">
        <w:rPr>
          <w:lang w:val="en-GB"/>
        </w:rPr>
        <w:t>Skadar</w:t>
      </w:r>
      <w:proofErr w:type="spellEnd"/>
      <w:r w:rsidRPr="003B6A69">
        <w:rPr>
          <w:lang w:val="en-GB"/>
        </w:rPr>
        <w:t xml:space="preserve"> Lake (CSBL)” and work implemented under institutional design consultation work implemented udder process of setting up Marine Biodiversity Conservation Center “Boka Aquarium”, empowering legal fisheries in future Montenegrin MPAs and finally </w:t>
      </w:r>
      <w:r w:rsidR="005D32D5" w:rsidRPr="003B6A69">
        <w:rPr>
          <w:lang w:val="en-GB"/>
        </w:rPr>
        <w:t xml:space="preserve">the </w:t>
      </w:r>
      <w:r w:rsidRPr="003B6A69">
        <w:rPr>
          <w:lang w:val="en-GB"/>
        </w:rPr>
        <w:t xml:space="preserve">preparation of the VI National report to CBD. </w:t>
      </w:r>
    </w:p>
    <w:p w14:paraId="4F1B7EC5" w14:textId="77777777" w:rsidR="00AE3EED" w:rsidRPr="003B6A69" w:rsidRDefault="00CF606F" w:rsidP="00AF1F0F">
      <w:pPr>
        <w:rPr>
          <w:lang w:val="en-GB"/>
        </w:rPr>
      </w:pPr>
      <w:r w:rsidRPr="003B6A69">
        <w:rPr>
          <w:lang w:val="en-GB"/>
        </w:rPr>
        <w:t>In parallel</w:t>
      </w:r>
      <w:r w:rsidR="00AF1F0F" w:rsidRPr="003B6A69">
        <w:rPr>
          <w:lang w:val="en-GB"/>
        </w:rPr>
        <w:t>,</w:t>
      </w:r>
      <w:r w:rsidRPr="003B6A69">
        <w:rPr>
          <w:lang w:val="en-GB"/>
        </w:rPr>
        <w:t xml:space="preserve"> the project will build on </w:t>
      </w:r>
      <w:r w:rsidR="00AF1F0F" w:rsidRPr="003B6A69">
        <w:rPr>
          <w:lang w:val="en-GB"/>
        </w:rPr>
        <w:t xml:space="preserve">the </w:t>
      </w:r>
      <w:r w:rsidRPr="003B6A69">
        <w:rPr>
          <w:lang w:val="en-GB"/>
        </w:rPr>
        <w:t xml:space="preserve">experience of stakeholders’ engagement and private sector engagement produced during implementation of </w:t>
      </w:r>
      <w:proofErr w:type="gramStart"/>
      <w:r w:rsidRPr="003B6A69">
        <w:rPr>
          <w:lang w:val="en-GB"/>
        </w:rPr>
        <w:t>projects  IPARD</w:t>
      </w:r>
      <w:proofErr w:type="gramEnd"/>
      <w:r w:rsidRPr="003B6A69">
        <w:rPr>
          <w:lang w:val="en-GB"/>
        </w:rPr>
        <w:t xml:space="preserve"> II programme and Towards Carbon Neutral Tourism in Montenegro. </w:t>
      </w:r>
    </w:p>
    <w:p w14:paraId="6CDB3E47" w14:textId="77777777" w:rsidR="00AF1F0F" w:rsidRPr="003B6A69" w:rsidRDefault="00CF606F" w:rsidP="00AF1F0F">
      <w:pPr>
        <w:rPr>
          <w:sz w:val="22"/>
          <w:szCs w:val="22"/>
          <w:lang w:val="en-GB"/>
        </w:rPr>
      </w:pPr>
      <w:r w:rsidRPr="003B6A69">
        <w:rPr>
          <w:sz w:val="22"/>
          <w:szCs w:val="22"/>
          <w:lang w:val="en-GB"/>
        </w:rPr>
        <w:t>Ongoing interventions in the field of relevance:</w:t>
      </w:r>
    </w:p>
    <w:tbl>
      <w:tblPr>
        <w:tblW w:w="10120" w:type="dxa"/>
        <w:tblInd w:w="-5" w:type="dxa"/>
        <w:tblLook w:val="04A0" w:firstRow="1" w:lastRow="0" w:firstColumn="1" w:lastColumn="0" w:noHBand="0" w:noVBand="1"/>
      </w:tblPr>
      <w:tblGrid>
        <w:gridCol w:w="451"/>
        <w:gridCol w:w="1561"/>
        <w:gridCol w:w="1624"/>
        <w:gridCol w:w="3298"/>
        <w:gridCol w:w="1260"/>
        <w:gridCol w:w="778"/>
        <w:gridCol w:w="1148"/>
      </w:tblGrid>
      <w:tr w:rsidR="00AF1F0F" w:rsidRPr="003B6A69" w14:paraId="73389004" w14:textId="77777777" w:rsidTr="00AE3EED">
        <w:trPr>
          <w:cantSplit/>
          <w:trHeight w:val="204"/>
        </w:trPr>
        <w:tc>
          <w:tcPr>
            <w:tcW w:w="4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F12D85" w14:textId="77777777" w:rsidR="00AF1F0F" w:rsidRPr="003B6A69" w:rsidRDefault="00AF1F0F" w:rsidP="00AE3EED">
            <w:pPr>
              <w:spacing w:after="0"/>
              <w:rPr>
                <w:rFonts w:eastAsia="Times New Roman"/>
                <w:b/>
                <w:bCs/>
                <w:color w:val="000000"/>
                <w:sz w:val="16"/>
                <w:szCs w:val="16"/>
              </w:rPr>
            </w:pPr>
            <w:r w:rsidRPr="003B6A69">
              <w:rPr>
                <w:rFonts w:eastAsia="Times New Roman"/>
                <w:b/>
                <w:bCs/>
                <w:color w:val="000000"/>
                <w:sz w:val="16"/>
                <w:szCs w:val="16"/>
              </w:rPr>
              <w:t>No.</w:t>
            </w:r>
          </w:p>
        </w:tc>
        <w:tc>
          <w:tcPr>
            <w:tcW w:w="1561" w:type="dxa"/>
            <w:tcBorders>
              <w:top w:val="single" w:sz="4" w:space="0" w:color="auto"/>
              <w:left w:val="nil"/>
              <w:bottom w:val="single" w:sz="4" w:space="0" w:color="auto"/>
              <w:right w:val="single" w:sz="4" w:space="0" w:color="auto"/>
            </w:tcBorders>
            <w:shd w:val="clear" w:color="auto" w:fill="auto"/>
            <w:vAlign w:val="center"/>
            <w:hideMark/>
          </w:tcPr>
          <w:p w14:paraId="0C6C0762" w14:textId="77777777" w:rsidR="00AF1F0F" w:rsidRPr="003B6A69" w:rsidRDefault="00AF1F0F" w:rsidP="00AE3EED">
            <w:pPr>
              <w:spacing w:after="0"/>
              <w:rPr>
                <w:rFonts w:eastAsia="Times New Roman"/>
                <w:b/>
                <w:bCs/>
                <w:color w:val="000000"/>
                <w:sz w:val="16"/>
                <w:szCs w:val="16"/>
              </w:rPr>
            </w:pPr>
            <w:r w:rsidRPr="003B6A69">
              <w:rPr>
                <w:rFonts w:eastAsia="Times New Roman"/>
                <w:b/>
                <w:bCs/>
                <w:color w:val="000000"/>
                <w:sz w:val="16"/>
                <w:szCs w:val="16"/>
              </w:rPr>
              <w:t>Organization</w:t>
            </w:r>
          </w:p>
        </w:tc>
        <w:tc>
          <w:tcPr>
            <w:tcW w:w="1624" w:type="dxa"/>
            <w:tcBorders>
              <w:top w:val="single" w:sz="4" w:space="0" w:color="auto"/>
              <w:left w:val="nil"/>
              <w:bottom w:val="single" w:sz="4" w:space="0" w:color="auto"/>
              <w:right w:val="single" w:sz="4" w:space="0" w:color="auto"/>
            </w:tcBorders>
            <w:shd w:val="clear" w:color="auto" w:fill="auto"/>
            <w:vAlign w:val="center"/>
            <w:hideMark/>
          </w:tcPr>
          <w:p w14:paraId="2763F9B1" w14:textId="77777777" w:rsidR="00AF1F0F" w:rsidRPr="003B6A69" w:rsidRDefault="00AF1F0F" w:rsidP="00AE3EED">
            <w:pPr>
              <w:spacing w:after="0"/>
              <w:rPr>
                <w:rFonts w:eastAsia="Times New Roman"/>
                <w:b/>
                <w:bCs/>
                <w:color w:val="000000"/>
                <w:sz w:val="16"/>
                <w:szCs w:val="16"/>
              </w:rPr>
            </w:pPr>
            <w:r w:rsidRPr="003B6A69">
              <w:rPr>
                <w:rFonts w:eastAsia="Times New Roman"/>
                <w:b/>
                <w:bCs/>
                <w:color w:val="000000"/>
                <w:sz w:val="16"/>
                <w:szCs w:val="16"/>
              </w:rPr>
              <w:t>Project name</w:t>
            </w:r>
          </w:p>
        </w:tc>
        <w:tc>
          <w:tcPr>
            <w:tcW w:w="3298" w:type="dxa"/>
            <w:tcBorders>
              <w:top w:val="single" w:sz="4" w:space="0" w:color="auto"/>
              <w:left w:val="nil"/>
              <w:bottom w:val="single" w:sz="4" w:space="0" w:color="auto"/>
              <w:right w:val="single" w:sz="4" w:space="0" w:color="auto"/>
            </w:tcBorders>
            <w:shd w:val="clear" w:color="auto" w:fill="auto"/>
            <w:vAlign w:val="center"/>
            <w:hideMark/>
          </w:tcPr>
          <w:p w14:paraId="416ED2E4" w14:textId="77777777" w:rsidR="00AF1F0F" w:rsidRPr="003B6A69" w:rsidRDefault="00AF1F0F" w:rsidP="00AE3EED">
            <w:pPr>
              <w:spacing w:after="0"/>
              <w:rPr>
                <w:rFonts w:eastAsia="Times New Roman"/>
                <w:b/>
                <w:bCs/>
                <w:color w:val="000000"/>
                <w:sz w:val="16"/>
                <w:szCs w:val="16"/>
              </w:rPr>
            </w:pPr>
            <w:r w:rsidRPr="003B6A69">
              <w:rPr>
                <w:rFonts w:eastAsia="Times New Roman"/>
                <w:b/>
                <w:bCs/>
                <w:color w:val="000000"/>
                <w:sz w:val="16"/>
                <w:szCs w:val="16"/>
              </w:rPr>
              <w:t>Project description</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14:paraId="539D5BA1" w14:textId="77777777" w:rsidR="00AF1F0F" w:rsidRPr="003B6A69" w:rsidRDefault="00AF1F0F" w:rsidP="00AE3EED">
            <w:pPr>
              <w:spacing w:after="0"/>
              <w:rPr>
                <w:rFonts w:eastAsia="Times New Roman"/>
                <w:b/>
                <w:bCs/>
                <w:color w:val="000000"/>
                <w:sz w:val="16"/>
                <w:szCs w:val="16"/>
              </w:rPr>
            </w:pPr>
            <w:r w:rsidRPr="003B6A69">
              <w:rPr>
                <w:rFonts w:eastAsia="Times New Roman"/>
                <w:b/>
                <w:bCs/>
                <w:color w:val="000000"/>
                <w:sz w:val="16"/>
                <w:szCs w:val="16"/>
              </w:rPr>
              <w:t>Donor</w:t>
            </w:r>
          </w:p>
        </w:tc>
        <w:tc>
          <w:tcPr>
            <w:tcW w:w="778" w:type="dxa"/>
            <w:tcBorders>
              <w:top w:val="single" w:sz="4" w:space="0" w:color="auto"/>
              <w:left w:val="nil"/>
              <w:bottom w:val="single" w:sz="4" w:space="0" w:color="auto"/>
              <w:right w:val="single" w:sz="4" w:space="0" w:color="auto"/>
            </w:tcBorders>
            <w:shd w:val="clear" w:color="auto" w:fill="auto"/>
            <w:vAlign w:val="center"/>
            <w:hideMark/>
          </w:tcPr>
          <w:p w14:paraId="56D1116B" w14:textId="77777777" w:rsidR="00AF1F0F" w:rsidRPr="003B6A69" w:rsidRDefault="00AF1F0F" w:rsidP="00AE3EED">
            <w:pPr>
              <w:spacing w:after="0"/>
              <w:rPr>
                <w:rFonts w:eastAsia="Times New Roman"/>
                <w:b/>
                <w:bCs/>
                <w:color w:val="000000"/>
                <w:sz w:val="16"/>
                <w:szCs w:val="16"/>
              </w:rPr>
            </w:pPr>
            <w:r w:rsidRPr="003B6A69">
              <w:rPr>
                <w:rFonts w:eastAsia="Times New Roman"/>
                <w:b/>
                <w:bCs/>
                <w:color w:val="000000"/>
                <w:sz w:val="16"/>
                <w:szCs w:val="16"/>
              </w:rPr>
              <w:t>Period</w:t>
            </w:r>
          </w:p>
        </w:tc>
        <w:tc>
          <w:tcPr>
            <w:tcW w:w="1148" w:type="dxa"/>
            <w:tcBorders>
              <w:top w:val="single" w:sz="4" w:space="0" w:color="auto"/>
              <w:left w:val="nil"/>
              <w:bottom w:val="single" w:sz="4" w:space="0" w:color="auto"/>
              <w:right w:val="single" w:sz="4" w:space="0" w:color="auto"/>
            </w:tcBorders>
            <w:shd w:val="clear" w:color="auto" w:fill="auto"/>
            <w:vAlign w:val="center"/>
            <w:hideMark/>
          </w:tcPr>
          <w:p w14:paraId="2D961F39" w14:textId="77777777" w:rsidR="00AF1F0F" w:rsidRPr="003B6A69" w:rsidRDefault="00AF1F0F" w:rsidP="00AE3EED">
            <w:pPr>
              <w:spacing w:after="0"/>
              <w:rPr>
                <w:rFonts w:eastAsia="Times New Roman"/>
                <w:b/>
                <w:bCs/>
                <w:color w:val="000000"/>
                <w:sz w:val="16"/>
                <w:szCs w:val="16"/>
              </w:rPr>
            </w:pPr>
            <w:r w:rsidRPr="003B6A69">
              <w:rPr>
                <w:rFonts w:eastAsia="Times New Roman"/>
                <w:b/>
                <w:bCs/>
                <w:color w:val="000000"/>
                <w:sz w:val="16"/>
                <w:szCs w:val="16"/>
              </w:rPr>
              <w:t>Budget EUR</w:t>
            </w:r>
          </w:p>
        </w:tc>
      </w:tr>
      <w:tr w:rsidR="00AF1F0F" w:rsidRPr="003B6A69" w14:paraId="0710B729" w14:textId="77777777" w:rsidTr="00AE3EED">
        <w:trPr>
          <w:cantSplit/>
          <w:trHeight w:val="816"/>
        </w:trPr>
        <w:tc>
          <w:tcPr>
            <w:tcW w:w="451" w:type="dxa"/>
            <w:tcBorders>
              <w:top w:val="nil"/>
              <w:left w:val="single" w:sz="4" w:space="0" w:color="auto"/>
              <w:bottom w:val="single" w:sz="4" w:space="0" w:color="auto"/>
              <w:right w:val="single" w:sz="4" w:space="0" w:color="auto"/>
            </w:tcBorders>
            <w:shd w:val="clear" w:color="auto" w:fill="auto"/>
            <w:vAlign w:val="center"/>
            <w:hideMark/>
          </w:tcPr>
          <w:p w14:paraId="5BF9E023"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1</w:t>
            </w:r>
          </w:p>
        </w:tc>
        <w:tc>
          <w:tcPr>
            <w:tcW w:w="1561" w:type="dxa"/>
            <w:tcBorders>
              <w:top w:val="nil"/>
              <w:left w:val="nil"/>
              <w:bottom w:val="single" w:sz="4" w:space="0" w:color="auto"/>
              <w:right w:val="single" w:sz="4" w:space="0" w:color="auto"/>
            </w:tcBorders>
            <w:shd w:val="clear" w:color="auto" w:fill="auto"/>
            <w:vAlign w:val="center"/>
            <w:hideMark/>
          </w:tcPr>
          <w:p w14:paraId="1C189421"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NEPA</w:t>
            </w:r>
          </w:p>
        </w:tc>
        <w:tc>
          <w:tcPr>
            <w:tcW w:w="1624" w:type="dxa"/>
            <w:tcBorders>
              <w:top w:val="nil"/>
              <w:left w:val="nil"/>
              <w:bottom w:val="single" w:sz="4" w:space="0" w:color="auto"/>
              <w:right w:val="single" w:sz="4" w:space="0" w:color="auto"/>
            </w:tcBorders>
            <w:shd w:val="clear" w:color="auto" w:fill="auto"/>
            <w:vAlign w:val="center"/>
            <w:hideMark/>
          </w:tcPr>
          <w:p w14:paraId="75F781AA"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Establishing of Natura 2000 network in Montenegro</w:t>
            </w:r>
          </w:p>
        </w:tc>
        <w:tc>
          <w:tcPr>
            <w:tcW w:w="3298" w:type="dxa"/>
            <w:tcBorders>
              <w:top w:val="nil"/>
              <w:left w:val="nil"/>
              <w:bottom w:val="single" w:sz="4" w:space="0" w:color="auto"/>
              <w:right w:val="single" w:sz="4" w:space="0" w:color="auto"/>
            </w:tcBorders>
            <w:shd w:val="clear" w:color="auto" w:fill="auto"/>
            <w:vAlign w:val="center"/>
            <w:hideMark/>
          </w:tcPr>
          <w:p w14:paraId="33364222"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Additional effort to complete research in the context of the N2000 as the resources up to date where insufficient to cover the entire territory of Montenegro</w:t>
            </w:r>
          </w:p>
        </w:tc>
        <w:tc>
          <w:tcPr>
            <w:tcW w:w="1260" w:type="dxa"/>
            <w:tcBorders>
              <w:top w:val="nil"/>
              <w:left w:val="nil"/>
              <w:bottom w:val="single" w:sz="4" w:space="0" w:color="auto"/>
              <w:right w:val="single" w:sz="4" w:space="0" w:color="auto"/>
            </w:tcBorders>
            <w:shd w:val="clear" w:color="auto" w:fill="auto"/>
            <w:vAlign w:val="center"/>
            <w:hideMark/>
          </w:tcPr>
          <w:p w14:paraId="4393D111"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NEPA, MSDT</w:t>
            </w:r>
          </w:p>
        </w:tc>
        <w:tc>
          <w:tcPr>
            <w:tcW w:w="778" w:type="dxa"/>
            <w:tcBorders>
              <w:top w:val="nil"/>
              <w:left w:val="nil"/>
              <w:bottom w:val="single" w:sz="4" w:space="0" w:color="auto"/>
              <w:right w:val="single" w:sz="4" w:space="0" w:color="auto"/>
            </w:tcBorders>
            <w:shd w:val="clear" w:color="auto" w:fill="auto"/>
            <w:vAlign w:val="center"/>
            <w:hideMark/>
          </w:tcPr>
          <w:p w14:paraId="18C8544B"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2020</w:t>
            </w:r>
          </w:p>
        </w:tc>
        <w:tc>
          <w:tcPr>
            <w:tcW w:w="1148" w:type="dxa"/>
            <w:tcBorders>
              <w:top w:val="nil"/>
              <w:left w:val="nil"/>
              <w:bottom w:val="single" w:sz="4" w:space="0" w:color="auto"/>
              <w:right w:val="single" w:sz="4" w:space="0" w:color="auto"/>
            </w:tcBorders>
            <w:shd w:val="clear" w:color="auto" w:fill="auto"/>
            <w:vAlign w:val="center"/>
            <w:hideMark/>
          </w:tcPr>
          <w:p w14:paraId="58566FED"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250.000,00</w:t>
            </w:r>
          </w:p>
        </w:tc>
      </w:tr>
      <w:tr w:rsidR="00AF1F0F" w:rsidRPr="003B6A69" w14:paraId="6E630C95" w14:textId="77777777" w:rsidTr="00AE3EED">
        <w:trPr>
          <w:cantSplit/>
          <w:trHeight w:val="612"/>
        </w:trPr>
        <w:tc>
          <w:tcPr>
            <w:tcW w:w="451" w:type="dxa"/>
            <w:tcBorders>
              <w:top w:val="nil"/>
              <w:left w:val="single" w:sz="4" w:space="0" w:color="auto"/>
              <w:bottom w:val="single" w:sz="4" w:space="0" w:color="auto"/>
              <w:right w:val="single" w:sz="4" w:space="0" w:color="auto"/>
            </w:tcBorders>
            <w:shd w:val="clear" w:color="auto" w:fill="auto"/>
            <w:vAlign w:val="center"/>
            <w:hideMark/>
          </w:tcPr>
          <w:p w14:paraId="274F4E21"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2</w:t>
            </w:r>
          </w:p>
        </w:tc>
        <w:tc>
          <w:tcPr>
            <w:tcW w:w="1561" w:type="dxa"/>
            <w:tcBorders>
              <w:top w:val="nil"/>
              <w:left w:val="nil"/>
              <w:bottom w:val="single" w:sz="4" w:space="0" w:color="auto"/>
              <w:right w:val="single" w:sz="4" w:space="0" w:color="auto"/>
            </w:tcBorders>
            <w:shd w:val="clear" w:color="auto" w:fill="auto"/>
            <w:vAlign w:val="center"/>
            <w:hideMark/>
          </w:tcPr>
          <w:p w14:paraId="2874FE3D"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MARD</w:t>
            </w:r>
          </w:p>
        </w:tc>
        <w:tc>
          <w:tcPr>
            <w:tcW w:w="1624" w:type="dxa"/>
            <w:tcBorders>
              <w:top w:val="nil"/>
              <w:left w:val="nil"/>
              <w:bottom w:val="single" w:sz="4" w:space="0" w:color="auto"/>
              <w:right w:val="single" w:sz="4" w:space="0" w:color="auto"/>
            </w:tcBorders>
            <w:shd w:val="clear" w:color="auto" w:fill="auto"/>
            <w:vAlign w:val="center"/>
            <w:hideMark/>
          </w:tcPr>
          <w:p w14:paraId="2B4A311E"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 xml:space="preserve">Annual </w:t>
            </w:r>
            <w:proofErr w:type="spellStart"/>
            <w:r w:rsidRPr="003B6A69">
              <w:rPr>
                <w:rFonts w:eastAsia="Times New Roman"/>
                <w:color w:val="000000"/>
                <w:sz w:val="16"/>
                <w:szCs w:val="16"/>
              </w:rPr>
              <w:t>Agro</w:t>
            </w:r>
            <w:proofErr w:type="spellEnd"/>
            <w:r w:rsidRPr="003B6A69">
              <w:rPr>
                <w:rFonts w:eastAsia="Times New Roman"/>
                <w:color w:val="000000"/>
                <w:sz w:val="16"/>
                <w:szCs w:val="16"/>
              </w:rPr>
              <w:t xml:space="preserve"> - budget</w:t>
            </w:r>
          </w:p>
        </w:tc>
        <w:tc>
          <w:tcPr>
            <w:tcW w:w="3298" w:type="dxa"/>
            <w:tcBorders>
              <w:top w:val="nil"/>
              <w:left w:val="nil"/>
              <w:bottom w:val="single" w:sz="4" w:space="0" w:color="auto"/>
              <w:right w:val="single" w:sz="4" w:space="0" w:color="auto"/>
            </w:tcBorders>
            <w:shd w:val="clear" w:color="auto" w:fill="auto"/>
            <w:vAlign w:val="center"/>
            <w:hideMark/>
          </w:tcPr>
          <w:p w14:paraId="584B2643"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Comprehensive program to support the development of agriculture and rural areas of Montenegro</w:t>
            </w:r>
          </w:p>
        </w:tc>
        <w:tc>
          <w:tcPr>
            <w:tcW w:w="1260" w:type="dxa"/>
            <w:tcBorders>
              <w:top w:val="nil"/>
              <w:left w:val="nil"/>
              <w:bottom w:val="single" w:sz="4" w:space="0" w:color="auto"/>
              <w:right w:val="single" w:sz="4" w:space="0" w:color="auto"/>
            </w:tcBorders>
            <w:shd w:val="clear" w:color="auto" w:fill="auto"/>
            <w:vAlign w:val="center"/>
            <w:hideMark/>
          </w:tcPr>
          <w:p w14:paraId="5607B46D"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MARD</w:t>
            </w:r>
          </w:p>
        </w:tc>
        <w:tc>
          <w:tcPr>
            <w:tcW w:w="778" w:type="dxa"/>
            <w:tcBorders>
              <w:top w:val="nil"/>
              <w:left w:val="nil"/>
              <w:bottom w:val="single" w:sz="4" w:space="0" w:color="auto"/>
              <w:right w:val="single" w:sz="4" w:space="0" w:color="auto"/>
            </w:tcBorders>
            <w:shd w:val="clear" w:color="auto" w:fill="auto"/>
            <w:vAlign w:val="center"/>
            <w:hideMark/>
          </w:tcPr>
          <w:p w14:paraId="00A19C82"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2020</w:t>
            </w:r>
          </w:p>
        </w:tc>
        <w:tc>
          <w:tcPr>
            <w:tcW w:w="1148" w:type="dxa"/>
            <w:tcBorders>
              <w:top w:val="nil"/>
              <w:left w:val="nil"/>
              <w:bottom w:val="single" w:sz="4" w:space="0" w:color="auto"/>
              <w:right w:val="single" w:sz="4" w:space="0" w:color="auto"/>
            </w:tcBorders>
            <w:shd w:val="clear" w:color="auto" w:fill="auto"/>
            <w:vAlign w:val="center"/>
            <w:hideMark/>
          </w:tcPr>
          <w:p w14:paraId="52FDD1B6"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60.722.500,00</w:t>
            </w:r>
          </w:p>
        </w:tc>
      </w:tr>
      <w:tr w:rsidR="00AF1F0F" w:rsidRPr="003B6A69" w14:paraId="7F6AADCC" w14:textId="77777777" w:rsidTr="00AE3EED">
        <w:trPr>
          <w:cantSplit/>
          <w:trHeight w:val="1632"/>
        </w:trPr>
        <w:tc>
          <w:tcPr>
            <w:tcW w:w="451" w:type="dxa"/>
            <w:tcBorders>
              <w:top w:val="nil"/>
              <w:left w:val="single" w:sz="4" w:space="0" w:color="auto"/>
              <w:bottom w:val="single" w:sz="4" w:space="0" w:color="auto"/>
              <w:right w:val="single" w:sz="4" w:space="0" w:color="auto"/>
            </w:tcBorders>
            <w:shd w:val="clear" w:color="auto" w:fill="auto"/>
            <w:vAlign w:val="center"/>
            <w:hideMark/>
          </w:tcPr>
          <w:p w14:paraId="68E690C9"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lastRenderedPageBreak/>
              <w:t>3</w:t>
            </w:r>
          </w:p>
        </w:tc>
        <w:tc>
          <w:tcPr>
            <w:tcW w:w="1561" w:type="dxa"/>
            <w:tcBorders>
              <w:top w:val="nil"/>
              <w:left w:val="nil"/>
              <w:bottom w:val="single" w:sz="4" w:space="0" w:color="auto"/>
              <w:right w:val="single" w:sz="4" w:space="0" w:color="auto"/>
            </w:tcBorders>
            <w:shd w:val="clear" w:color="auto" w:fill="auto"/>
            <w:vAlign w:val="center"/>
            <w:hideMark/>
          </w:tcPr>
          <w:p w14:paraId="704D5525"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MSDT, MARD</w:t>
            </w:r>
          </w:p>
        </w:tc>
        <w:tc>
          <w:tcPr>
            <w:tcW w:w="1624" w:type="dxa"/>
            <w:tcBorders>
              <w:top w:val="nil"/>
              <w:left w:val="nil"/>
              <w:bottom w:val="single" w:sz="4" w:space="0" w:color="auto"/>
              <w:right w:val="single" w:sz="4" w:space="0" w:color="auto"/>
            </w:tcBorders>
            <w:shd w:val="clear" w:color="auto" w:fill="auto"/>
            <w:vAlign w:val="center"/>
            <w:hideMark/>
          </w:tcPr>
          <w:p w14:paraId="61C85C62"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"Enabling Transboundary Cooperation and Integrated Water Resources Management in the Extended Drina River Basin"</w:t>
            </w:r>
          </w:p>
        </w:tc>
        <w:tc>
          <w:tcPr>
            <w:tcW w:w="3298" w:type="dxa"/>
            <w:tcBorders>
              <w:top w:val="nil"/>
              <w:left w:val="nil"/>
              <w:bottom w:val="single" w:sz="4" w:space="0" w:color="auto"/>
              <w:right w:val="single" w:sz="4" w:space="0" w:color="auto"/>
            </w:tcBorders>
            <w:shd w:val="clear" w:color="auto" w:fill="auto"/>
            <w:vAlign w:val="center"/>
            <w:hideMark/>
          </w:tcPr>
          <w:p w14:paraId="5E8D03D3"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Project Objective: To promote joint management of the shared water resources of the White Drin Basin contributing to the activities to foster joint management of the extended transboundary Drina River Basin.</w:t>
            </w:r>
          </w:p>
        </w:tc>
        <w:tc>
          <w:tcPr>
            <w:tcW w:w="1260" w:type="dxa"/>
            <w:tcBorders>
              <w:top w:val="nil"/>
              <w:left w:val="nil"/>
              <w:bottom w:val="single" w:sz="4" w:space="0" w:color="auto"/>
              <w:right w:val="single" w:sz="4" w:space="0" w:color="auto"/>
            </w:tcBorders>
            <w:shd w:val="clear" w:color="auto" w:fill="auto"/>
            <w:vAlign w:val="center"/>
            <w:hideMark/>
          </w:tcPr>
          <w:p w14:paraId="62D8A8E4"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GEF; GWP-Med, UNDP, UNECE</w:t>
            </w:r>
          </w:p>
        </w:tc>
        <w:tc>
          <w:tcPr>
            <w:tcW w:w="778" w:type="dxa"/>
            <w:tcBorders>
              <w:top w:val="nil"/>
              <w:left w:val="nil"/>
              <w:bottom w:val="single" w:sz="4" w:space="0" w:color="auto"/>
              <w:right w:val="single" w:sz="4" w:space="0" w:color="auto"/>
            </w:tcBorders>
            <w:shd w:val="clear" w:color="auto" w:fill="auto"/>
            <w:vAlign w:val="center"/>
            <w:hideMark/>
          </w:tcPr>
          <w:p w14:paraId="2CD41A9B"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2015 - 2021</w:t>
            </w:r>
          </w:p>
        </w:tc>
        <w:tc>
          <w:tcPr>
            <w:tcW w:w="1148" w:type="dxa"/>
            <w:tcBorders>
              <w:top w:val="nil"/>
              <w:left w:val="nil"/>
              <w:bottom w:val="single" w:sz="4" w:space="0" w:color="auto"/>
              <w:right w:val="single" w:sz="4" w:space="0" w:color="auto"/>
            </w:tcBorders>
            <w:shd w:val="clear" w:color="auto" w:fill="auto"/>
            <w:vAlign w:val="center"/>
            <w:hideMark/>
          </w:tcPr>
          <w:p w14:paraId="600D75BD"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 xml:space="preserve">5.500.000,00 </w:t>
            </w:r>
          </w:p>
        </w:tc>
      </w:tr>
      <w:tr w:rsidR="00AF1F0F" w:rsidRPr="003B6A69" w14:paraId="3BA2F96D" w14:textId="77777777" w:rsidTr="00AE3EED">
        <w:trPr>
          <w:cantSplit/>
          <w:trHeight w:val="612"/>
        </w:trPr>
        <w:tc>
          <w:tcPr>
            <w:tcW w:w="451" w:type="dxa"/>
            <w:tcBorders>
              <w:top w:val="nil"/>
              <w:left w:val="single" w:sz="4" w:space="0" w:color="auto"/>
              <w:bottom w:val="single" w:sz="4" w:space="0" w:color="auto"/>
              <w:right w:val="single" w:sz="4" w:space="0" w:color="auto"/>
            </w:tcBorders>
            <w:shd w:val="clear" w:color="auto" w:fill="auto"/>
            <w:vAlign w:val="center"/>
            <w:hideMark/>
          </w:tcPr>
          <w:p w14:paraId="3A9A58A8"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4</w:t>
            </w:r>
          </w:p>
        </w:tc>
        <w:tc>
          <w:tcPr>
            <w:tcW w:w="1561" w:type="dxa"/>
            <w:tcBorders>
              <w:top w:val="nil"/>
              <w:left w:val="nil"/>
              <w:bottom w:val="single" w:sz="4" w:space="0" w:color="auto"/>
              <w:right w:val="single" w:sz="4" w:space="0" w:color="auto"/>
            </w:tcBorders>
            <w:shd w:val="clear" w:color="auto" w:fill="auto"/>
            <w:vAlign w:val="center"/>
            <w:hideMark/>
          </w:tcPr>
          <w:p w14:paraId="4E47EE16"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 xml:space="preserve">(NGOs Green Home, </w:t>
            </w:r>
            <w:proofErr w:type="spellStart"/>
            <w:r w:rsidRPr="003B6A69">
              <w:rPr>
                <w:rFonts w:eastAsia="Times New Roman"/>
                <w:color w:val="000000"/>
                <w:sz w:val="16"/>
                <w:szCs w:val="16"/>
              </w:rPr>
              <w:t>MedCEM</w:t>
            </w:r>
            <w:proofErr w:type="spellEnd"/>
            <w:r w:rsidRPr="003B6A69">
              <w:rPr>
                <w:rFonts w:eastAsia="Times New Roman"/>
                <w:color w:val="000000"/>
                <w:sz w:val="16"/>
                <w:szCs w:val="16"/>
              </w:rPr>
              <w:t>&amp; MES)</w:t>
            </w:r>
          </w:p>
        </w:tc>
        <w:tc>
          <w:tcPr>
            <w:tcW w:w="1624" w:type="dxa"/>
            <w:tcBorders>
              <w:top w:val="nil"/>
              <w:left w:val="nil"/>
              <w:bottom w:val="single" w:sz="4" w:space="0" w:color="auto"/>
              <w:right w:val="single" w:sz="4" w:space="0" w:color="auto"/>
            </w:tcBorders>
            <w:shd w:val="clear" w:color="auto" w:fill="auto"/>
            <w:vAlign w:val="center"/>
            <w:hideMark/>
          </w:tcPr>
          <w:p w14:paraId="38859FA7"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 xml:space="preserve">Protection of Marine protected area of </w:t>
            </w:r>
            <w:proofErr w:type="spellStart"/>
            <w:r w:rsidRPr="003B6A69">
              <w:rPr>
                <w:rFonts w:eastAsia="Times New Roman"/>
                <w:color w:val="000000"/>
                <w:sz w:val="16"/>
                <w:szCs w:val="16"/>
              </w:rPr>
              <w:t>KAti</w:t>
            </w:r>
            <w:proofErr w:type="spellEnd"/>
          </w:p>
        </w:tc>
        <w:tc>
          <w:tcPr>
            <w:tcW w:w="3298" w:type="dxa"/>
            <w:tcBorders>
              <w:top w:val="nil"/>
              <w:left w:val="nil"/>
              <w:bottom w:val="single" w:sz="4" w:space="0" w:color="auto"/>
              <w:right w:val="single" w:sz="4" w:space="0" w:color="auto"/>
            </w:tcBorders>
            <w:shd w:val="clear" w:color="auto" w:fill="auto"/>
            <w:vAlign w:val="center"/>
            <w:hideMark/>
          </w:tcPr>
          <w:p w14:paraId="794AA574"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 xml:space="preserve">Support local community’s involvement in protection and promotion of the potential MPA </w:t>
            </w:r>
            <w:proofErr w:type="spellStart"/>
            <w:r w:rsidRPr="003B6A69">
              <w:rPr>
                <w:rFonts w:eastAsia="Times New Roman"/>
                <w:color w:val="000000"/>
                <w:sz w:val="16"/>
                <w:szCs w:val="16"/>
              </w:rPr>
              <w:t>Katič</w:t>
            </w:r>
            <w:proofErr w:type="spellEnd"/>
          </w:p>
        </w:tc>
        <w:tc>
          <w:tcPr>
            <w:tcW w:w="1260" w:type="dxa"/>
            <w:tcBorders>
              <w:top w:val="nil"/>
              <w:left w:val="nil"/>
              <w:bottom w:val="single" w:sz="4" w:space="0" w:color="auto"/>
              <w:right w:val="single" w:sz="4" w:space="0" w:color="auto"/>
            </w:tcBorders>
            <w:shd w:val="clear" w:color="auto" w:fill="auto"/>
            <w:vAlign w:val="center"/>
            <w:hideMark/>
          </w:tcPr>
          <w:p w14:paraId="3FBA4089"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CEPF</w:t>
            </w:r>
          </w:p>
        </w:tc>
        <w:tc>
          <w:tcPr>
            <w:tcW w:w="778" w:type="dxa"/>
            <w:tcBorders>
              <w:top w:val="nil"/>
              <w:left w:val="nil"/>
              <w:bottom w:val="single" w:sz="4" w:space="0" w:color="auto"/>
              <w:right w:val="single" w:sz="4" w:space="0" w:color="auto"/>
            </w:tcBorders>
            <w:shd w:val="clear" w:color="auto" w:fill="auto"/>
            <w:vAlign w:val="center"/>
            <w:hideMark/>
          </w:tcPr>
          <w:p w14:paraId="674AA919"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2018-2021</w:t>
            </w:r>
          </w:p>
        </w:tc>
        <w:tc>
          <w:tcPr>
            <w:tcW w:w="1148" w:type="dxa"/>
            <w:tcBorders>
              <w:top w:val="nil"/>
              <w:left w:val="nil"/>
              <w:bottom w:val="single" w:sz="4" w:space="0" w:color="auto"/>
              <w:right w:val="single" w:sz="4" w:space="0" w:color="auto"/>
            </w:tcBorders>
            <w:shd w:val="clear" w:color="auto" w:fill="auto"/>
            <w:vAlign w:val="center"/>
            <w:hideMark/>
          </w:tcPr>
          <w:p w14:paraId="36462269"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248.165,00</w:t>
            </w:r>
          </w:p>
        </w:tc>
      </w:tr>
      <w:tr w:rsidR="00AF1F0F" w:rsidRPr="003B6A69" w14:paraId="22BBAF6B" w14:textId="77777777" w:rsidTr="00AE3EED">
        <w:trPr>
          <w:cantSplit/>
          <w:trHeight w:val="600"/>
        </w:trPr>
        <w:tc>
          <w:tcPr>
            <w:tcW w:w="451" w:type="dxa"/>
            <w:vMerge w:val="restart"/>
            <w:tcBorders>
              <w:top w:val="nil"/>
              <w:left w:val="single" w:sz="4" w:space="0" w:color="auto"/>
              <w:bottom w:val="single" w:sz="4" w:space="0" w:color="auto"/>
              <w:right w:val="single" w:sz="4" w:space="0" w:color="auto"/>
            </w:tcBorders>
            <w:shd w:val="clear" w:color="auto" w:fill="auto"/>
            <w:vAlign w:val="center"/>
            <w:hideMark/>
          </w:tcPr>
          <w:p w14:paraId="764797EC"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5</w:t>
            </w:r>
          </w:p>
        </w:tc>
        <w:tc>
          <w:tcPr>
            <w:tcW w:w="1561" w:type="dxa"/>
            <w:tcBorders>
              <w:top w:val="nil"/>
              <w:left w:val="nil"/>
              <w:bottom w:val="single" w:sz="4" w:space="0" w:color="auto"/>
              <w:right w:val="single" w:sz="4" w:space="0" w:color="auto"/>
            </w:tcBorders>
            <w:shd w:val="clear" w:color="auto" w:fill="auto"/>
            <w:vAlign w:val="center"/>
            <w:hideMark/>
          </w:tcPr>
          <w:p w14:paraId="339C23F5" w14:textId="77777777" w:rsidR="00AF1F0F" w:rsidRPr="003B6A69" w:rsidRDefault="00AF1F0F" w:rsidP="00AE3EED">
            <w:pPr>
              <w:spacing w:after="0"/>
              <w:rPr>
                <w:rFonts w:eastAsia="Times New Roman"/>
                <w:color w:val="000000"/>
                <w:sz w:val="16"/>
                <w:szCs w:val="16"/>
              </w:rPr>
            </w:pPr>
            <w:proofErr w:type="spellStart"/>
            <w:r w:rsidRPr="003B6A69">
              <w:rPr>
                <w:rFonts w:eastAsia="Times New Roman"/>
                <w:color w:val="000000"/>
                <w:sz w:val="16"/>
                <w:szCs w:val="16"/>
                <w:lang w:val="en-GB"/>
              </w:rPr>
              <w:t>Bioaqua</w:t>
            </w:r>
            <w:proofErr w:type="spellEnd"/>
            <w:r w:rsidRPr="003B6A69">
              <w:rPr>
                <w:rFonts w:eastAsia="Times New Roman"/>
                <w:color w:val="000000"/>
                <w:sz w:val="16"/>
                <w:szCs w:val="16"/>
                <w:lang w:val="en-GB"/>
              </w:rPr>
              <w:t xml:space="preserve"> Pro </w:t>
            </w:r>
            <w:proofErr w:type="spellStart"/>
            <w:r w:rsidRPr="003B6A69">
              <w:rPr>
                <w:rFonts w:eastAsia="Times New Roman"/>
                <w:color w:val="000000"/>
                <w:sz w:val="16"/>
                <w:szCs w:val="16"/>
                <w:lang w:val="en-GB"/>
              </w:rPr>
              <w:t>Kft</w:t>
            </w:r>
            <w:proofErr w:type="spellEnd"/>
            <w:r w:rsidRPr="003B6A69">
              <w:rPr>
                <w:rFonts w:eastAsia="Times New Roman"/>
                <w:color w:val="000000"/>
                <w:sz w:val="16"/>
                <w:szCs w:val="16"/>
                <w:lang w:val="en-GB"/>
              </w:rPr>
              <w:t xml:space="preserve">. </w:t>
            </w:r>
          </w:p>
        </w:tc>
        <w:tc>
          <w:tcPr>
            <w:tcW w:w="1624" w:type="dxa"/>
            <w:vMerge w:val="restart"/>
            <w:tcBorders>
              <w:top w:val="nil"/>
              <w:left w:val="single" w:sz="4" w:space="0" w:color="auto"/>
              <w:bottom w:val="single" w:sz="4" w:space="0" w:color="auto"/>
              <w:right w:val="single" w:sz="4" w:space="0" w:color="auto"/>
            </w:tcBorders>
            <w:shd w:val="clear" w:color="auto" w:fill="auto"/>
            <w:vAlign w:val="center"/>
            <w:hideMark/>
          </w:tcPr>
          <w:p w14:paraId="081C4526"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Knowledge transfer into the Balkans' nature conservation sector</w:t>
            </w:r>
          </w:p>
        </w:tc>
        <w:tc>
          <w:tcPr>
            <w:tcW w:w="3298" w:type="dxa"/>
            <w:vMerge w:val="restart"/>
            <w:tcBorders>
              <w:top w:val="nil"/>
              <w:left w:val="single" w:sz="4" w:space="0" w:color="auto"/>
              <w:bottom w:val="single" w:sz="4" w:space="0" w:color="auto"/>
              <w:right w:val="single" w:sz="4" w:space="0" w:color="auto"/>
            </w:tcBorders>
            <w:shd w:val="clear" w:color="auto" w:fill="auto"/>
            <w:vAlign w:val="center"/>
            <w:hideMark/>
          </w:tcPr>
          <w:p w14:paraId="3F957FCC"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 xml:space="preserve">Supporting the Western Balkan region in relation to harmonization with EU conservation and climate directives, </w:t>
            </w:r>
            <w:proofErr w:type="gramStart"/>
            <w:r w:rsidRPr="003B6A69">
              <w:rPr>
                <w:rFonts w:eastAsia="Times New Roman"/>
                <w:color w:val="000000"/>
                <w:sz w:val="16"/>
                <w:szCs w:val="16"/>
              </w:rPr>
              <w:t>in order to</w:t>
            </w:r>
            <w:proofErr w:type="gramEnd"/>
            <w:r w:rsidRPr="003B6A69">
              <w:rPr>
                <w:rFonts w:eastAsia="Times New Roman"/>
                <w:color w:val="000000"/>
                <w:sz w:val="16"/>
                <w:szCs w:val="16"/>
              </w:rPr>
              <w:t xml:space="preserve"> promote Hungarian knowledge transfer into the Balkans' nature conservation sector</w:t>
            </w:r>
          </w:p>
        </w:tc>
        <w:tc>
          <w:tcPr>
            <w:tcW w:w="1260" w:type="dxa"/>
            <w:vMerge w:val="restart"/>
            <w:tcBorders>
              <w:top w:val="nil"/>
              <w:left w:val="single" w:sz="4" w:space="0" w:color="auto"/>
              <w:bottom w:val="single" w:sz="4" w:space="0" w:color="auto"/>
              <w:right w:val="single" w:sz="4" w:space="0" w:color="auto"/>
            </w:tcBorders>
            <w:shd w:val="clear" w:color="auto" w:fill="auto"/>
            <w:vAlign w:val="center"/>
            <w:hideMark/>
          </w:tcPr>
          <w:p w14:paraId="65548967"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lang w:val="en-GB"/>
              </w:rPr>
              <w:t xml:space="preserve">Government of Hungary </w:t>
            </w:r>
            <w:proofErr w:type="spellStart"/>
            <w:r w:rsidRPr="003B6A69">
              <w:rPr>
                <w:rFonts w:eastAsia="Times New Roman"/>
                <w:color w:val="000000"/>
                <w:sz w:val="16"/>
                <w:szCs w:val="16"/>
                <w:lang w:val="en-GB"/>
              </w:rPr>
              <w:t>Bioaqua</w:t>
            </w:r>
            <w:proofErr w:type="spellEnd"/>
            <w:r w:rsidRPr="003B6A69">
              <w:rPr>
                <w:rFonts w:eastAsia="Times New Roman"/>
                <w:color w:val="000000"/>
                <w:sz w:val="16"/>
                <w:szCs w:val="16"/>
                <w:lang w:val="en-GB"/>
              </w:rPr>
              <w:t xml:space="preserve"> Pro </w:t>
            </w:r>
            <w:proofErr w:type="spellStart"/>
            <w:r w:rsidRPr="003B6A69">
              <w:rPr>
                <w:rFonts w:eastAsia="Times New Roman"/>
                <w:color w:val="000000"/>
                <w:sz w:val="16"/>
                <w:szCs w:val="16"/>
                <w:lang w:val="en-GB"/>
              </w:rPr>
              <w:t>Kft</w:t>
            </w:r>
            <w:proofErr w:type="spellEnd"/>
            <w:r w:rsidRPr="003B6A69">
              <w:rPr>
                <w:rFonts w:eastAsia="Times New Roman"/>
                <w:color w:val="000000"/>
                <w:sz w:val="16"/>
                <w:szCs w:val="16"/>
                <w:lang w:val="en-GB"/>
              </w:rPr>
              <w:t>.</w:t>
            </w:r>
          </w:p>
        </w:tc>
        <w:tc>
          <w:tcPr>
            <w:tcW w:w="778" w:type="dxa"/>
            <w:vMerge w:val="restart"/>
            <w:tcBorders>
              <w:top w:val="nil"/>
              <w:left w:val="single" w:sz="4" w:space="0" w:color="auto"/>
              <w:bottom w:val="single" w:sz="4" w:space="0" w:color="auto"/>
              <w:right w:val="single" w:sz="4" w:space="0" w:color="auto"/>
            </w:tcBorders>
            <w:shd w:val="clear" w:color="auto" w:fill="auto"/>
            <w:vAlign w:val="center"/>
            <w:hideMark/>
          </w:tcPr>
          <w:p w14:paraId="77281B84"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2020-2022.</w:t>
            </w:r>
          </w:p>
        </w:tc>
        <w:tc>
          <w:tcPr>
            <w:tcW w:w="1148" w:type="dxa"/>
            <w:vMerge w:val="restart"/>
            <w:tcBorders>
              <w:top w:val="nil"/>
              <w:left w:val="single" w:sz="4" w:space="0" w:color="auto"/>
              <w:bottom w:val="single" w:sz="4" w:space="0" w:color="auto"/>
              <w:right w:val="single" w:sz="4" w:space="0" w:color="auto"/>
            </w:tcBorders>
            <w:shd w:val="clear" w:color="auto" w:fill="auto"/>
            <w:vAlign w:val="center"/>
            <w:hideMark/>
          </w:tcPr>
          <w:p w14:paraId="58B494C2"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137.000,00</w:t>
            </w:r>
          </w:p>
        </w:tc>
      </w:tr>
      <w:tr w:rsidR="00AF1F0F" w:rsidRPr="003B6A69" w14:paraId="76340DB8" w14:textId="77777777" w:rsidTr="00AE3EED">
        <w:trPr>
          <w:trHeight w:val="204"/>
        </w:trPr>
        <w:tc>
          <w:tcPr>
            <w:tcW w:w="451" w:type="dxa"/>
            <w:vMerge/>
            <w:tcBorders>
              <w:top w:val="nil"/>
              <w:left w:val="single" w:sz="4" w:space="0" w:color="auto"/>
              <w:bottom w:val="single" w:sz="4" w:space="0" w:color="auto"/>
              <w:right w:val="single" w:sz="4" w:space="0" w:color="auto"/>
            </w:tcBorders>
            <w:vAlign w:val="center"/>
            <w:hideMark/>
          </w:tcPr>
          <w:p w14:paraId="154566A7" w14:textId="77777777" w:rsidR="00AF1F0F" w:rsidRPr="003B6A69" w:rsidRDefault="00AF1F0F" w:rsidP="00AE3EED">
            <w:pPr>
              <w:spacing w:after="0"/>
              <w:jc w:val="left"/>
              <w:rPr>
                <w:rFonts w:eastAsia="Times New Roman"/>
                <w:color w:val="000000"/>
                <w:sz w:val="16"/>
                <w:szCs w:val="16"/>
              </w:rPr>
            </w:pPr>
          </w:p>
        </w:tc>
        <w:tc>
          <w:tcPr>
            <w:tcW w:w="1561" w:type="dxa"/>
            <w:tcBorders>
              <w:top w:val="nil"/>
              <w:left w:val="nil"/>
              <w:bottom w:val="single" w:sz="4" w:space="0" w:color="auto"/>
              <w:right w:val="single" w:sz="4" w:space="0" w:color="auto"/>
            </w:tcBorders>
            <w:shd w:val="clear" w:color="auto" w:fill="auto"/>
            <w:vAlign w:val="center"/>
            <w:hideMark/>
          </w:tcPr>
          <w:p w14:paraId="227FD2C9"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NEPA</w:t>
            </w:r>
          </w:p>
        </w:tc>
        <w:tc>
          <w:tcPr>
            <w:tcW w:w="1624" w:type="dxa"/>
            <w:vMerge/>
            <w:tcBorders>
              <w:top w:val="nil"/>
              <w:left w:val="single" w:sz="4" w:space="0" w:color="auto"/>
              <w:bottom w:val="single" w:sz="4" w:space="0" w:color="auto"/>
              <w:right w:val="single" w:sz="4" w:space="0" w:color="auto"/>
            </w:tcBorders>
            <w:vAlign w:val="center"/>
            <w:hideMark/>
          </w:tcPr>
          <w:p w14:paraId="1CC632C0" w14:textId="77777777" w:rsidR="00AF1F0F" w:rsidRPr="003B6A69" w:rsidRDefault="00AF1F0F" w:rsidP="00AE3EED">
            <w:pPr>
              <w:spacing w:after="0"/>
              <w:jc w:val="left"/>
              <w:rPr>
                <w:rFonts w:eastAsia="Times New Roman"/>
                <w:color w:val="000000"/>
                <w:sz w:val="16"/>
                <w:szCs w:val="16"/>
              </w:rPr>
            </w:pPr>
          </w:p>
        </w:tc>
        <w:tc>
          <w:tcPr>
            <w:tcW w:w="3298" w:type="dxa"/>
            <w:vMerge/>
            <w:tcBorders>
              <w:top w:val="nil"/>
              <w:left w:val="single" w:sz="4" w:space="0" w:color="auto"/>
              <w:bottom w:val="single" w:sz="4" w:space="0" w:color="auto"/>
              <w:right w:val="single" w:sz="4" w:space="0" w:color="auto"/>
            </w:tcBorders>
            <w:vAlign w:val="center"/>
            <w:hideMark/>
          </w:tcPr>
          <w:p w14:paraId="7A95BF65" w14:textId="77777777" w:rsidR="00AF1F0F" w:rsidRPr="003B6A69" w:rsidRDefault="00AF1F0F" w:rsidP="00AE3EED">
            <w:pPr>
              <w:spacing w:after="0"/>
              <w:jc w:val="left"/>
              <w:rPr>
                <w:rFonts w:eastAsia="Times New Roman"/>
                <w:color w:val="000000"/>
                <w:sz w:val="16"/>
                <w:szCs w:val="16"/>
              </w:rPr>
            </w:pPr>
          </w:p>
        </w:tc>
        <w:tc>
          <w:tcPr>
            <w:tcW w:w="1260" w:type="dxa"/>
            <w:vMerge/>
            <w:tcBorders>
              <w:top w:val="nil"/>
              <w:left w:val="single" w:sz="4" w:space="0" w:color="auto"/>
              <w:bottom w:val="single" w:sz="4" w:space="0" w:color="auto"/>
              <w:right w:val="single" w:sz="4" w:space="0" w:color="auto"/>
            </w:tcBorders>
            <w:vAlign w:val="center"/>
            <w:hideMark/>
          </w:tcPr>
          <w:p w14:paraId="5DDC891D" w14:textId="77777777" w:rsidR="00AF1F0F" w:rsidRPr="003B6A69" w:rsidRDefault="00AF1F0F" w:rsidP="00AE3EED">
            <w:pPr>
              <w:spacing w:after="0"/>
              <w:jc w:val="left"/>
              <w:rPr>
                <w:rFonts w:eastAsia="Times New Roman"/>
                <w:color w:val="000000"/>
                <w:sz w:val="16"/>
                <w:szCs w:val="16"/>
              </w:rPr>
            </w:pPr>
          </w:p>
        </w:tc>
        <w:tc>
          <w:tcPr>
            <w:tcW w:w="778" w:type="dxa"/>
            <w:vMerge/>
            <w:tcBorders>
              <w:top w:val="nil"/>
              <w:left w:val="single" w:sz="4" w:space="0" w:color="auto"/>
              <w:bottom w:val="single" w:sz="4" w:space="0" w:color="auto"/>
              <w:right w:val="single" w:sz="4" w:space="0" w:color="auto"/>
            </w:tcBorders>
            <w:vAlign w:val="center"/>
            <w:hideMark/>
          </w:tcPr>
          <w:p w14:paraId="70850E73" w14:textId="77777777" w:rsidR="00AF1F0F" w:rsidRPr="003B6A69" w:rsidRDefault="00AF1F0F" w:rsidP="00AE3EED">
            <w:pPr>
              <w:spacing w:after="0"/>
              <w:jc w:val="left"/>
              <w:rPr>
                <w:rFonts w:eastAsia="Times New Roman"/>
                <w:color w:val="000000"/>
                <w:sz w:val="16"/>
                <w:szCs w:val="16"/>
              </w:rPr>
            </w:pPr>
          </w:p>
        </w:tc>
        <w:tc>
          <w:tcPr>
            <w:tcW w:w="1148" w:type="dxa"/>
            <w:vMerge/>
            <w:tcBorders>
              <w:top w:val="nil"/>
              <w:left w:val="single" w:sz="4" w:space="0" w:color="auto"/>
              <w:bottom w:val="single" w:sz="4" w:space="0" w:color="auto"/>
              <w:right w:val="single" w:sz="4" w:space="0" w:color="auto"/>
            </w:tcBorders>
            <w:vAlign w:val="center"/>
            <w:hideMark/>
          </w:tcPr>
          <w:p w14:paraId="3B8847B7" w14:textId="77777777" w:rsidR="00AF1F0F" w:rsidRPr="003B6A69" w:rsidRDefault="00AF1F0F" w:rsidP="00AE3EED">
            <w:pPr>
              <w:spacing w:after="0"/>
              <w:jc w:val="left"/>
              <w:rPr>
                <w:rFonts w:eastAsia="Times New Roman"/>
                <w:color w:val="000000"/>
                <w:sz w:val="16"/>
                <w:szCs w:val="16"/>
              </w:rPr>
            </w:pPr>
          </w:p>
        </w:tc>
      </w:tr>
      <w:tr w:rsidR="00AF1F0F" w:rsidRPr="003B6A69" w14:paraId="18E8F1C0" w14:textId="77777777" w:rsidTr="00AE3EED">
        <w:trPr>
          <w:cantSplit/>
          <w:trHeight w:val="1836"/>
        </w:trPr>
        <w:tc>
          <w:tcPr>
            <w:tcW w:w="451" w:type="dxa"/>
            <w:tcBorders>
              <w:top w:val="nil"/>
              <w:left w:val="single" w:sz="4" w:space="0" w:color="auto"/>
              <w:bottom w:val="single" w:sz="4" w:space="0" w:color="auto"/>
              <w:right w:val="single" w:sz="4" w:space="0" w:color="auto"/>
            </w:tcBorders>
            <w:shd w:val="clear" w:color="auto" w:fill="auto"/>
            <w:vAlign w:val="center"/>
            <w:hideMark/>
          </w:tcPr>
          <w:p w14:paraId="45FF4EAB"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6</w:t>
            </w:r>
          </w:p>
        </w:tc>
        <w:tc>
          <w:tcPr>
            <w:tcW w:w="1561" w:type="dxa"/>
            <w:tcBorders>
              <w:top w:val="nil"/>
              <w:left w:val="nil"/>
              <w:bottom w:val="single" w:sz="4" w:space="0" w:color="auto"/>
              <w:right w:val="single" w:sz="4" w:space="0" w:color="auto"/>
            </w:tcBorders>
            <w:shd w:val="clear" w:color="auto" w:fill="auto"/>
            <w:vAlign w:val="center"/>
            <w:hideMark/>
          </w:tcPr>
          <w:p w14:paraId="6E79D5A7"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 xml:space="preserve">Investment for Development Fund and </w:t>
            </w:r>
            <w:proofErr w:type="spellStart"/>
            <w:r w:rsidRPr="003B6A69">
              <w:rPr>
                <w:rFonts w:eastAsia="Times New Roman"/>
                <w:color w:val="000000"/>
                <w:sz w:val="16"/>
                <w:szCs w:val="16"/>
              </w:rPr>
              <w:t>Agence</w:t>
            </w:r>
            <w:proofErr w:type="spellEnd"/>
            <w:r w:rsidRPr="003B6A69">
              <w:rPr>
                <w:rFonts w:eastAsia="Times New Roman"/>
                <w:color w:val="000000"/>
                <w:sz w:val="16"/>
                <w:szCs w:val="16"/>
              </w:rPr>
              <w:t xml:space="preserve"> </w:t>
            </w:r>
            <w:proofErr w:type="spellStart"/>
            <w:r w:rsidRPr="003B6A69">
              <w:rPr>
                <w:rFonts w:eastAsia="Times New Roman"/>
                <w:color w:val="000000"/>
                <w:sz w:val="16"/>
                <w:szCs w:val="16"/>
              </w:rPr>
              <w:t>Française</w:t>
            </w:r>
            <w:proofErr w:type="spellEnd"/>
            <w:r w:rsidRPr="003B6A69">
              <w:rPr>
                <w:rFonts w:eastAsia="Times New Roman"/>
                <w:color w:val="000000"/>
                <w:sz w:val="16"/>
                <w:szCs w:val="16"/>
              </w:rPr>
              <w:t xml:space="preserve"> de </w:t>
            </w:r>
            <w:proofErr w:type="spellStart"/>
            <w:r w:rsidRPr="003B6A69">
              <w:rPr>
                <w:rFonts w:eastAsia="Times New Roman"/>
                <w:color w:val="000000"/>
                <w:sz w:val="16"/>
                <w:szCs w:val="16"/>
              </w:rPr>
              <w:t>Développement</w:t>
            </w:r>
            <w:proofErr w:type="spellEnd"/>
          </w:p>
        </w:tc>
        <w:tc>
          <w:tcPr>
            <w:tcW w:w="1624" w:type="dxa"/>
            <w:tcBorders>
              <w:top w:val="nil"/>
              <w:left w:val="nil"/>
              <w:bottom w:val="single" w:sz="4" w:space="0" w:color="auto"/>
              <w:right w:val="single" w:sz="4" w:space="0" w:color="auto"/>
            </w:tcBorders>
            <w:shd w:val="clear" w:color="auto" w:fill="auto"/>
            <w:vAlign w:val="center"/>
            <w:hideMark/>
          </w:tcPr>
          <w:p w14:paraId="53065836"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 xml:space="preserve">IFD Credit Facility </w:t>
            </w:r>
          </w:p>
        </w:tc>
        <w:tc>
          <w:tcPr>
            <w:tcW w:w="3298" w:type="dxa"/>
            <w:tcBorders>
              <w:top w:val="nil"/>
              <w:left w:val="nil"/>
              <w:bottom w:val="single" w:sz="4" w:space="0" w:color="auto"/>
              <w:right w:val="single" w:sz="4" w:space="0" w:color="auto"/>
            </w:tcBorders>
            <w:shd w:val="clear" w:color="auto" w:fill="auto"/>
            <w:vAlign w:val="center"/>
            <w:hideMark/>
          </w:tcPr>
          <w:p w14:paraId="3572E2DD"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Credit Facility with two components: Climate investments (min 60-65% of the credit line) and Vulnerable groups investments and investments in Northern and underdeveloped regions (40-35% of the credit line).</w:t>
            </w:r>
          </w:p>
        </w:tc>
        <w:tc>
          <w:tcPr>
            <w:tcW w:w="1260" w:type="dxa"/>
            <w:tcBorders>
              <w:top w:val="nil"/>
              <w:left w:val="nil"/>
              <w:bottom w:val="single" w:sz="4" w:space="0" w:color="auto"/>
              <w:right w:val="single" w:sz="4" w:space="0" w:color="auto"/>
            </w:tcBorders>
            <w:shd w:val="clear" w:color="auto" w:fill="auto"/>
            <w:vAlign w:val="center"/>
            <w:hideMark/>
          </w:tcPr>
          <w:p w14:paraId="13760A8F"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 xml:space="preserve">Government of Montenegro loan from </w:t>
            </w:r>
            <w:proofErr w:type="spellStart"/>
            <w:r w:rsidRPr="003B6A69">
              <w:rPr>
                <w:rFonts w:eastAsia="Times New Roman"/>
                <w:color w:val="000000"/>
                <w:sz w:val="16"/>
                <w:szCs w:val="16"/>
              </w:rPr>
              <w:t>Agence</w:t>
            </w:r>
            <w:proofErr w:type="spellEnd"/>
            <w:r w:rsidRPr="003B6A69">
              <w:rPr>
                <w:rFonts w:eastAsia="Times New Roman"/>
                <w:color w:val="000000"/>
                <w:sz w:val="16"/>
                <w:szCs w:val="16"/>
              </w:rPr>
              <w:t xml:space="preserve"> </w:t>
            </w:r>
            <w:proofErr w:type="spellStart"/>
            <w:r w:rsidRPr="003B6A69">
              <w:rPr>
                <w:rFonts w:eastAsia="Times New Roman"/>
                <w:color w:val="000000"/>
                <w:sz w:val="16"/>
                <w:szCs w:val="16"/>
              </w:rPr>
              <w:t>Française</w:t>
            </w:r>
            <w:proofErr w:type="spellEnd"/>
            <w:r w:rsidRPr="003B6A69">
              <w:rPr>
                <w:rFonts w:eastAsia="Times New Roman"/>
                <w:color w:val="000000"/>
                <w:sz w:val="16"/>
                <w:szCs w:val="16"/>
              </w:rPr>
              <w:t xml:space="preserve"> de </w:t>
            </w:r>
            <w:proofErr w:type="spellStart"/>
            <w:r w:rsidRPr="003B6A69">
              <w:rPr>
                <w:rFonts w:eastAsia="Times New Roman"/>
                <w:color w:val="000000"/>
                <w:sz w:val="16"/>
                <w:szCs w:val="16"/>
              </w:rPr>
              <w:t>Développement</w:t>
            </w:r>
            <w:proofErr w:type="spellEnd"/>
          </w:p>
        </w:tc>
        <w:tc>
          <w:tcPr>
            <w:tcW w:w="778" w:type="dxa"/>
            <w:tcBorders>
              <w:top w:val="nil"/>
              <w:left w:val="nil"/>
              <w:bottom w:val="single" w:sz="4" w:space="0" w:color="auto"/>
              <w:right w:val="single" w:sz="4" w:space="0" w:color="auto"/>
            </w:tcBorders>
            <w:shd w:val="clear" w:color="auto" w:fill="auto"/>
            <w:vAlign w:val="center"/>
            <w:hideMark/>
          </w:tcPr>
          <w:p w14:paraId="327FD45C"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 xml:space="preserve">2020 – 2026 </w:t>
            </w:r>
          </w:p>
        </w:tc>
        <w:tc>
          <w:tcPr>
            <w:tcW w:w="1148" w:type="dxa"/>
            <w:tcBorders>
              <w:top w:val="nil"/>
              <w:left w:val="nil"/>
              <w:bottom w:val="single" w:sz="4" w:space="0" w:color="auto"/>
              <w:right w:val="single" w:sz="4" w:space="0" w:color="auto"/>
            </w:tcBorders>
            <w:shd w:val="clear" w:color="auto" w:fill="auto"/>
            <w:vAlign w:val="center"/>
            <w:hideMark/>
          </w:tcPr>
          <w:p w14:paraId="6D02A10A"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50.000.000,00</w:t>
            </w:r>
          </w:p>
        </w:tc>
      </w:tr>
      <w:tr w:rsidR="00AF1F0F" w:rsidRPr="003B6A69" w14:paraId="3A480139" w14:textId="77777777" w:rsidTr="00AE3EED">
        <w:trPr>
          <w:cantSplit/>
          <w:trHeight w:val="600"/>
        </w:trPr>
        <w:tc>
          <w:tcPr>
            <w:tcW w:w="451" w:type="dxa"/>
            <w:vMerge w:val="restart"/>
            <w:tcBorders>
              <w:top w:val="nil"/>
              <w:left w:val="single" w:sz="4" w:space="0" w:color="auto"/>
              <w:bottom w:val="single" w:sz="4" w:space="0" w:color="auto"/>
              <w:right w:val="single" w:sz="4" w:space="0" w:color="auto"/>
            </w:tcBorders>
            <w:shd w:val="clear" w:color="auto" w:fill="auto"/>
            <w:vAlign w:val="center"/>
            <w:hideMark/>
          </w:tcPr>
          <w:p w14:paraId="3B8F02A1"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7</w:t>
            </w:r>
          </w:p>
        </w:tc>
        <w:tc>
          <w:tcPr>
            <w:tcW w:w="1561" w:type="dxa"/>
            <w:vMerge w:val="restart"/>
            <w:tcBorders>
              <w:top w:val="nil"/>
              <w:left w:val="single" w:sz="4" w:space="0" w:color="auto"/>
              <w:bottom w:val="single" w:sz="4" w:space="0" w:color="auto"/>
              <w:right w:val="single" w:sz="4" w:space="0" w:color="auto"/>
            </w:tcBorders>
            <w:shd w:val="clear" w:color="auto" w:fill="auto"/>
            <w:vAlign w:val="center"/>
            <w:hideMark/>
          </w:tcPr>
          <w:p w14:paraId="7864B6F2"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 xml:space="preserve">Ministry of Ecology, spatial </w:t>
            </w:r>
            <w:proofErr w:type="gramStart"/>
            <w:r w:rsidRPr="003B6A69">
              <w:rPr>
                <w:rFonts w:eastAsia="Times New Roman"/>
                <w:color w:val="000000"/>
                <w:sz w:val="16"/>
                <w:szCs w:val="16"/>
              </w:rPr>
              <w:t>planning</w:t>
            </w:r>
            <w:proofErr w:type="gramEnd"/>
            <w:r w:rsidRPr="003B6A69">
              <w:rPr>
                <w:rFonts w:eastAsia="Times New Roman"/>
                <w:color w:val="000000"/>
                <w:sz w:val="16"/>
                <w:szCs w:val="16"/>
              </w:rPr>
              <w:t xml:space="preserve"> and urbanism (former MSDT) (MESPU)</w:t>
            </w:r>
          </w:p>
        </w:tc>
        <w:tc>
          <w:tcPr>
            <w:tcW w:w="1624" w:type="dxa"/>
            <w:vMerge w:val="restart"/>
            <w:tcBorders>
              <w:top w:val="nil"/>
              <w:left w:val="single" w:sz="4" w:space="0" w:color="auto"/>
              <w:bottom w:val="single" w:sz="4" w:space="0" w:color="auto"/>
              <w:right w:val="single" w:sz="4" w:space="0" w:color="auto"/>
            </w:tcBorders>
            <w:shd w:val="clear" w:color="auto" w:fill="auto"/>
            <w:vAlign w:val="center"/>
            <w:hideMark/>
          </w:tcPr>
          <w:p w14:paraId="4ACB67A9"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IPA 2016 Action document for Environment and climate action</w:t>
            </w:r>
          </w:p>
        </w:tc>
        <w:tc>
          <w:tcPr>
            <w:tcW w:w="3298" w:type="dxa"/>
            <w:vMerge w:val="restart"/>
            <w:tcBorders>
              <w:top w:val="nil"/>
              <w:left w:val="single" w:sz="4" w:space="0" w:color="auto"/>
              <w:bottom w:val="single" w:sz="4" w:space="0" w:color="auto"/>
              <w:right w:val="single" w:sz="4" w:space="0" w:color="auto"/>
            </w:tcBorders>
            <w:shd w:val="clear" w:color="auto" w:fill="auto"/>
            <w:vAlign w:val="center"/>
            <w:hideMark/>
          </w:tcPr>
          <w:p w14:paraId="7854A112"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Grant schemes to NGOs, where some of the main goals are promoting communication and promotion of biodiversity conservation activities</w:t>
            </w:r>
          </w:p>
        </w:tc>
        <w:tc>
          <w:tcPr>
            <w:tcW w:w="1260" w:type="dxa"/>
            <w:vMerge w:val="restart"/>
            <w:tcBorders>
              <w:top w:val="nil"/>
              <w:left w:val="single" w:sz="4" w:space="0" w:color="auto"/>
              <w:bottom w:val="single" w:sz="4" w:space="0" w:color="auto"/>
              <w:right w:val="single" w:sz="4" w:space="0" w:color="auto"/>
            </w:tcBorders>
            <w:shd w:val="clear" w:color="auto" w:fill="auto"/>
            <w:vAlign w:val="center"/>
            <w:hideMark/>
          </w:tcPr>
          <w:p w14:paraId="61B43835"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EU, MESPU</w:t>
            </w:r>
          </w:p>
        </w:tc>
        <w:tc>
          <w:tcPr>
            <w:tcW w:w="778" w:type="dxa"/>
            <w:vMerge w:val="restart"/>
            <w:tcBorders>
              <w:top w:val="nil"/>
              <w:left w:val="single" w:sz="4" w:space="0" w:color="auto"/>
              <w:bottom w:val="single" w:sz="4" w:space="0" w:color="auto"/>
              <w:right w:val="single" w:sz="4" w:space="0" w:color="auto"/>
            </w:tcBorders>
            <w:shd w:val="clear" w:color="auto" w:fill="auto"/>
            <w:vAlign w:val="center"/>
            <w:hideMark/>
          </w:tcPr>
          <w:p w14:paraId="59DD2F15"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2021 - 2022</w:t>
            </w:r>
          </w:p>
        </w:tc>
        <w:tc>
          <w:tcPr>
            <w:tcW w:w="1148" w:type="dxa"/>
            <w:vMerge w:val="restart"/>
            <w:tcBorders>
              <w:top w:val="nil"/>
              <w:left w:val="single" w:sz="4" w:space="0" w:color="auto"/>
              <w:bottom w:val="single" w:sz="4" w:space="0" w:color="auto"/>
              <w:right w:val="single" w:sz="4" w:space="0" w:color="auto"/>
            </w:tcBorders>
            <w:shd w:val="clear" w:color="auto" w:fill="auto"/>
            <w:vAlign w:val="center"/>
            <w:hideMark/>
          </w:tcPr>
          <w:p w14:paraId="15640CB4"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731.218</w:t>
            </w:r>
          </w:p>
        </w:tc>
      </w:tr>
      <w:tr w:rsidR="00AF1F0F" w:rsidRPr="003B6A69" w14:paraId="67645B91" w14:textId="77777777" w:rsidTr="00AE3EED">
        <w:trPr>
          <w:trHeight w:val="408"/>
        </w:trPr>
        <w:tc>
          <w:tcPr>
            <w:tcW w:w="451" w:type="dxa"/>
            <w:vMerge/>
            <w:tcBorders>
              <w:top w:val="nil"/>
              <w:left w:val="single" w:sz="4" w:space="0" w:color="auto"/>
              <w:bottom w:val="single" w:sz="4" w:space="0" w:color="auto"/>
              <w:right w:val="single" w:sz="4" w:space="0" w:color="auto"/>
            </w:tcBorders>
            <w:vAlign w:val="center"/>
            <w:hideMark/>
          </w:tcPr>
          <w:p w14:paraId="7763CB82" w14:textId="77777777" w:rsidR="00AF1F0F" w:rsidRPr="003B6A69" w:rsidRDefault="00AF1F0F" w:rsidP="00AE3EED">
            <w:pPr>
              <w:spacing w:after="0"/>
              <w:jc w:val="left"/>
              <w:rPr>
                <w:rFonts w:eastAsia="Times New Roman"/>
                <w:color w:val="000000"/>
                <w:sz w:val="16"/>
                <w:szCs w:val="16"/>
              </w:rPr>
            </w:pPr>
          </w:p>
        </w:tc>
        <w:tc>
          <w:tcPr>
            <w:tcW w:w="1561" w:type="dxa"/>
            <w:vMerge/>
            <w:tcBorders>
              <w:top w:val="nil"/>
              <w:left w:val="single" w:sz="4" w:space="0" w:color="auto"/>
              <w:bottom w:val="single" w:sz="4" w:space="0" w:color="auto"/>
              <w:right w:val="single" w:sz="4" w:space="0" w:color="auto"/>
            </w:tcBorders>
            <w:vAlign w:val="center"/>
            <w:hideMark/>
          </w:tcPr>
          <w:p w14:paraId="4A833855" w14:textId="77777777" w:rsidR="00AF1F0F" w:rsidRPr="003B6A69" w:rsidRDefault="00AF1F0F" w:rsidP="00AE3EED">
            <w:pPr>
              <w:spacing w:after="0"/>
              <w:jc w:val="left"/>
              <w:rPr>
                <w:rFonts w:eastAsia="Times New Roman"/>
                <w:color w:val="000000"/>
                <w:sz w:val="16"/>
                <w:szCs w:val="16"/>
              </w:rPr>
            </w:pPr>
          </w:p>
        </w:tc>
        <w:tc>
          <w:tcPr>
            <w:tcW w:w="1624" w:type="dxa"/>
            <w:vMerge/>
            <w:tcBorders>
              <w:top w:val="nil"/>
              <w:left w:val="single" w:sz="4" w:space="0" w:color="auto"/>
              <w:bottom w:val="single" w:sz="4" w:space="0" w:color="auto"/>
              <w:right w:val="single" w:sz="4" w:space="0" w:color="auto"/>
            </w:tcBorders>
            <w:vAlign w:val="center"/>
            <w:hideMark/>
          </w:tcPr>
          <w:p w14:paraId="2714E355" w14:textId="77777777" w:rsidR="00AF1F0F" w:rsidRPr="003B6A69" w:rsidRDefault="00AF1F0F" w:rsidP="00AE3EED">
            <w:pPr>
              <w:spacing w:after="0"/>
              <w:jc w:val="left"/>
              <w:rPr>
                <w:rFonts w:eastAsia="Times New Roman"/>
                <w:color w:val="000000"/>
                <w:sz w:val="16"/>
                <w:szCs w:val="16"/>
              </w:rPr>
            </w:pPr>
          </w:p>
        </w:tc>
        <w:tc>
          <w:tcPr>
            <w:tcW w:w="3298" w:type="dxa"/>
            <w:vMerge/>
            <w:tcBorders>
              <w:top w:val="nil"/>
              <w:left w:val="single" w:sz="4" w:space="0" w:color="auto"/>
              <w:bottom w:val="single" w:sz="4" w:space="0" w:color="auto"/>
              <w:right w:val="single" w:sz="4" w:space="0" w:color="auto"/>
            </w:tcBorders>
            <w:vAlign w:val="center"/>
            <w:hideMark/>
          </w:tcPr>
          <w:p w14:paraId="6761EE2C" w14:textId="77777777" w:rsidR="00AF1F0F" w:rsidRPr="003B6A69" w:rsidRDefault="00AF1F0F" w:rsidP="00AE3EED">
            <w:pPr>
              <w:spacing w:after="0"/>
              <w:jc w:val="left"/>
              <w:rPr>
                <w:rFonts w:eastAsia="Times New Roman"/>
                <w:color w:val="000000"/>
                <w:sz w:val="16"/>
                <w:szCs w:val="16"/>
              </w:rPr>
            </w:pPr>
          </w:p>
        </w:tc>
        <w:tc>
          <w:tcPr>
            <w:tcW w:w="1260" w:type="dxa"/>
            <w:vMerge/>
            <w:tcBorders>
              <w:top w:val="nil"/>
              <w:left w:val="single" w:sz="4" w:space="0" w:color="auto"/>
              <w:bottom w:val="single" w:sz="4" w:space="0" w:color="auto"/>
              <w:right w:val="single" w:sz="4" w:space="0" w:color="auto"/>
            </w:tcBorders>
            <w:vAlign w:val="center"/>
            <w:hideMark/>
          </w:tcPr>
          <w:p w14:paraId="32FAF3F7" w14:textId="77777777" w:rsidR="00AF1F0F" w:rsidRPr="003B6A69" w:rsidRDefault="00AF1F0F" w:rsidP="00AE3EED">
            <w:pPr>
              <w:spacing w:after="0"/>
              <w:jc w:val="left"/>
              <w:rPr>
                <w:rFonts w:eastAsia="Times New Roman"/>
                <w:color w:val="000000"/>
                <w:sz w:val="16"/>
                <w:szCs w:val="16"/>
              </w:rPr>
            </w:pPr>
          </w:p>
        </w:tc>
        <w:tc>
          <w:tcPr>
            <w:tcW w:w="778" w:type="dxa"/>
            <w:vMerge/>
            <w:tcBorders>
              <w:top w:val="nil"/>
              <w:left w:val="single" w:sz="4" w:space="0" w:color="auto"/>
              <w:bottom w:val="single" w:sz="4" w:space="0" w:color="auto"/>
              <w:right w:val="single" w:sz="4" w:space="0" w:color="auto"/>
            </w:tcBorders>
            <w:vAlign w:val="center"/>
            <w:hideMark/>
          </w:tcPr>
          <w:p w14:paraId="606E065F" w14:textId="77777777" w:rsidR="00AF1F0F" w:rsidRPr="003B6A69" w:rsidRDefault="00AF1F0F" w:rsidP="00AE3EED">
            <w:pPr>
              <w:spacing w:after="0"/>
              <w:jc w:val="left"/>
              <w:rPr>
                <w:rFonts w:eastAsia="Times New Roman"/>
                <w:color w:val="000000"/>
                <w:sz w:val="16"/>
                <w:szCs w:val="16"/>
              </w:rPr>
            </w:pPr>
          </w:p>
        </w:tc>
        <w:tc>
          <w:tcPr>
            <w:tcW w:w="1148" w:type="dxa"/>
            <w:vMerge/>
            <w:tcBorders>
              <w:top w:val="nil"/>
              <w:left w:val="single" w:sz="4" w:space="0" w:color="auto"/>
              <w:bottom w:val="single" w:sz="4" w:space="0" w:color="auto"/>
              <w:right w:val="single" w:sz="4" w:space="0" w:color="auto"/>
            </w:tcBorders>
            <w:vAlign w:val="center"/>
            <w:hideMark/>
          </w:tcPr>
          <w:p w14:paraId="77F75AD3" w14:textId="77777777" w:rsidR="00AF1F0F" w:rsidRPr="003B6A69" w:rsidRDefault="00AF1F0F" w:rsidP="00AE3EED">
            <w:pPr>
              <w:spacing w:after="0"/>
              <w:jc w:val="left"/>
              <w:rPr>
                <w:rFonts w:eastAsia="Times New Roman"/>
                <w:color w:val="000000"/>
                <w:sz w:val="16"/>
                <w:szCs w:val="16"/>
              </w:rPr>
            </w:pPr>
          </w:p>
        </w:tc>
      </w:tr>
      <w:tr w:rsidR="00AF1F0F" w:rsidRPr="003B6A69" w14:paraId="6B811D17" w14:textId="77777777" w:rsidTr="00AE3EED">
        <w:trPr>
          <w:cantSplit/>
          <w:trHeight w:val="408"/>
        </w:trPr>
        <w:tc>
          <w:tcPr>
            <w:tcW w:w="451" w:type="dxa"/>
            <w:tcBorders>
              <w:top w:val="nil"/>
              <w:left w:val="single" w:sz="4" w:space="0" w:color="auto"/>
              <w:bottom w:val="single" w:sz="4" w:space="0" w:color="auto"/>
              <w:right w:val="single" w:sz="4" w:space="0" w:color="auto"/>
            </w:tcBorders>
            <w:shd w:val="clear" w:color="auto" w:fill="auto"/>
            <w:vAlign w:val="center"/>
            <w:hideMark/>
          </w:tcPr>
          <w:p w14:paraId="1019C0E4"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 </w:t>
            </w:r>
          </w:p>
        </w:tc>
        <w:tc>
          <w:tcPr>
            <w:tcW w:w="1561" w:type="dxa"/>
            <w:tcBorders>
              <w:top w:val="nil"/>
              <w:left w:val="nil"/>
              <w:bottom w:val="single" w:sz="4" w:space="0" w:color="auto"/>
              <w:right w:val="single" w:sz="4" w:space="0" w:color="auto"/>
            </w:tcBorders>
            <w:shd w:val="clear" w:color="auto" w:fill="auto"/>
            <w:vAlign w:val="center"/>
            <w:hideMark/>
          </w:tcPr>
          <w:p w14:paraId="47099DEE"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MESPU</w:t>
            </w:r>
          </w:p>
        </w:tc>
        <w:tc>
          <w:tcPr>
            <w:tcW w:w="1624" w:type="dxa"/>
            <w:tcBorders>
              <w:top w:val="nil"/>
              <w:left w:val="nil"/>
              <w:bottom w:val="single" w:sz="4" w:space="0" w:color="auto"/>
              <w:right w:val="single" w:sz="4" w:space="0" w:color="auto"/>
            </w:tcBorders>
            <w:shd w:val="clear" w:color="auto" w:fill="auto"/>
            <w:vAlign w:val="center"/>
            <w:hideMark/>
          </w:tcPr>
          <w:p w14:paraId="56FC88A7"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 xml:space="preserve">IPA – EUIF 2017 </w:t>
            </w:r>
            <w:proofErr w:type="spellStart"/>
            <w:r w:rsidRPr="003B6A69">
              <w:rPr>
                <w:rFonts w:eastAsia="Times New Roman"/>
                <w:color w:val="000000"/>
                <w:sz w:val="16"/>
                <w:szCs w:val="16"/>
              </w:rPr>
              <w:t>programme</w:t>
            </w:r>
            <w:proofErr w:type="spellEnd"/>
          </w:p>
        </w:tc>
        <w:tc>
          <w:tcPr>
            <w:tcW w:w="3298" w:type="dxa"/>
            <w:tcBorders>
              <w:top w:val="nil"/>
              <w:left w:val="nil"/>
              <w:bottom w:val="single" w:sz="4" w:space="0" w:color="auto"/>
              <w:right w:val="single" w:sz="4" w:space="0" w:color="auto"/>
            </w:tcBorders>
            <w:shd w:val="clear" w:color="auto" w:fill="auto"/>
            <w:vAlign w:val="center"/>
            <w:hideMark/>
          </w:tcPr>
          <w:p w14:paraId="31135CAA"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Contribution to the establishment of the Natura 2000 Network for Montenegro</w:t>
            </w:r>
          </w:p>
        </w:tc>
        <w:tc>
          <w:tcPr>
            <w:tcW w:w="1260" w:type="dxa"/>
            <w:tcBorders>
              <w:top w:val="nil"/>
              <w:left w:val="nil"/>
              <w:bottom w:val="single" w:sz="4" w:space="0" w:color="auto"/>
              <w:right w:val="single" w:sz="4" w:space="0" w:color="auto"/>
            </w:tcBorders>
            <w:shd w:val="clear" w:color="auto" w:fill="auto"/>
            <w:vAlign w:val="center"/>
            <w:hideMark/>
          </w:tcPr>
          <w:p w14:paraId="4ED6B21C"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EU</w:t>
            </w:r>
          </w:p>
        </w:tc>
        <w:tc>
          <w:tcPr>
            <w:tcW w:w="778" w:type="dxa"/>
            <w:tcBorders>
              <w:top w:val="nil"/>
              <w:left w:val="nil"/>
              <w:bottom w:val="single" w:sz="4" w:space="0" w:color="auto"/>
              <w:right w:val="single" w:sz="4" w:space="0" w:color="auto"/>
            </w:tcBorders>
            <w:shd w:val="clear" w:color="auto" w:fill="auto"/>
            <w:vAlign w:val="center"/>
            <w:hideMark/>
          </w:tcPr>
          <w:p w14:paraId="1D7BB989"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2022</w:t>
            </w:r>
          </w:p>
        </w:tc>
        <w:tc>
          <w:tcPr>
            <w:tcW w:w="1148" w:type="dxa"/>
            <w:tcBorders>
              <w:top w:val="nil"/>
              <w:left w:val="nil"/>
              <w:bottom w:val="single" w:sz="4" w:space="0" w:color="auto"/>
              <w:right w:val="single" w:sz="4" w:space="0" w:color="auto"/>
            </w:tcBorders>
            <w:shd w:val="clear" w:color="auto" w:fill="auto"/>
            <w:vAlign w:val="center"/>
            <w:hideMark/>
          </w:tcPr>
          <w:p w14:paraId="2E897CAF"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299</w:t>
            </w:r>
          </w:p>
        </w:tc>
      </w:tr>
      <w:tr w:rsidR="00AF1F0F" w:rsidRPr="003B6A69" w14:paraId="466FE2A9" w14:textId="77777777" w:rsidTr="00AE3EED">
        <w:trPr>
          <w:cantSplit/>
          <w:trHeight w:val="816"/>
        </w:trPr>
        <w:tc>
          <w:tcPr>
            <w:tcW w:w="451" w:type="dxa"/>
            <w:tcBorders>
              <w:top w:val="nil"/>
              <w:left w:val="single" w:sz="4" w:space="0" w:color="auto"/>
              <w:bottom w:val="single" w:sz="4" w:space="0" w:color="auto"/>
              <w:right w:val="single" w:sz="4" w:space="0" w:color="auto"/>
            </w:tcBorders>
            <w:shd w:val="clear" w:color="auto" w:fill="auto"/>
            <w:vAlign w:val="center"/>
            <w:hideMark/>
          </w:tcPr>
          <w:p w14:paraId="5345DB30"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8</w:t>
            </w:r>
          </w:p>
        </w:tc>
        <w:tc>
          <w:tcPr>
            <w:tcW w:w="1561" w:type="dxa"/>
            <w:tcBorders>
              <w:top w:val="nil"/>
              <w:left w:val="nil"/>
              <w:bottom w:val="single" w:sz="4" w:space="0" w:color="auto"/>
              <w:right w:val="single" w:sz="4" w:space="0" w:color="auto"/>
            </w:tcBorders>
            <w:shd w:val="clear" w:color="auto" w:fill="auto"/>
            <w:vAlign w:val="center"/>
            <w:hideMark/>
          </w:tcPr>
          <w:p w14:paraId="39F6A691"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MESPU</w:t>
            </w:r>
          </w:p>
        </w:tc>
        <w:tc>
          <w:tcPr>
            <w:tcW w:w="1624" w:type="dxa"/>
            <w:tcBorders>
              <w:top w:val="nil"/>
              <w:left w:val="nil"/>
              <w:bottom w:val="single" w:sz="4" w:space="0" w:color="auto"/>
              <w:right w:val="single" w:sz="4" w:space="0" w:color="auto"/>
            </w:tcBorders>
            <w:shd w:val="clear" w:color="auto" w:fill="auto"/>
            <w:vAlign w:val="center"/>
            <w:hideMark/>
          </w:tcPr>
          <w:p w14:paraId="4660D241"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IPA 2021 Action document for Environment and climate action</w:t>
            </w:r>
          </w:p>
        </w:tc>
        <w:tc>
          <w:tcPr>
            <w:tcW w:w="3298" w:type="dxa"/>
            <w:tcBorders>
              <w:top w:val="nil"/>
              <w:left w:val="nil"/>
              <w:bottom w:val="single" w:sz="4" w:space="0" w:color="auto"/>
              <w:right w:val="single" w:sz="4" w:space="0" w:color="auto"/>
            </w:tcBorders>
            <w:shd w:val="clear" w:color="auto" w:fill="auto"/>
            <w:vAlign w:val="center"/>
            <w:hideMark/>
          </w:tcPr>
          <w:p w14:paraId="0B6EEFB1"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Contribution to the establishment of the Natura 2000 Network for Montenegro</w:t>
            </w:r>
          </w:p>
        </w:tc>
        <w:tc>
          <w:tcPr>
            <w:tcW w:w="1260" w:type="dxa"/>
            <w:tcBorders>
              <w:top w:val="nil"/>
              <w:left w:val="nil"/>
              <w:bottom w:val="single" w:sz="4" w:space="0" w:color="auto"/>
              <w:right w:val="single" w:sz="4" w:space="0" w:color="auto"/>
            </w:tcBorders>
            <w:shd w:val="clear" w:color="auto" w:fill="auto"/>
            <w:vAlign w:val="center"/>
            <w:hideMark/>
          </w:tcPr>
          <w:p w14:paraId="39EE183E"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EU</w:t>
            </w:r>
          </w:p>
        </w:tc>
        <w:tc>
          <w:tcPr>
            <w:tcW w:w="778" w:type="dxa"/>
            <w:tcBorders>
              <w:top w:val="nil"/>
              <w:left w:val="nil"/>
              <w:bottom w:val="single" w:sz="4" w:space="0" w:color="auto"/>
              <w:right w:val="single" w:sz="4" w:space="0" w:color="auto"/>
            </w:tcBorders>
            <w:shd w:val="clear" w:color="auto" w:fill="auto"/>
            <w:vAlign w:val="center"/>
            <w:hideMark/>
          </w:tcPr>
          <w:p w14:paraId="7E24CC2D"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2022 - 2026</w:t>
            </w:r>
          </w:p>
        </w:tc>
        <w:tc>
          <w:tcPr>
            <w:tcW w:w="1148" w:type="dxa"/>
            <w:tcBorders>
              <w:top w:val="nil"/>
              <w:left w:val="nil"/>
              <w:bottom w:val="single" w:sz="4" w:space="0" w:color="auto"/>
              <w:right w:val="single" w:sz="4" w:space="0" w:color="auto"/>
            </w:tcBorders>
            <w:shd w:val="clear" w:color="auto" w:fill="auto"/>
            <w:vAlign w:val="center"/>
            <w:hideMark/>
          </w:tcPr>
          <w:p w14:paraId="64B9C964"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2.500.000,00</w:t>
            </w:r>
          </w:p>
        </w:tc>
      </w:tr>
      <w:tr w:rsidR="00AF1F0F" w:rsidRPr="003B6A69" w14:paraId="068CA641" w14:textId="77777777" w:rsidTr="00AE3EED">
        <w:trPr>
          <w:cantSplit/>
          <w:trHeight w:val="2652"/>
        </w:trPr>
        <w:tc>
          <w:tcPr>
            <w:tcW w:w="451" w:type="dxa"/>
            <w:tcBorders>
              <w:top w:val="nil"/>
              <w:left w:val="single" w:sz="4" w:space="0" w:color="auto"/>
              <w:bottom w:val="single" w:sz="4" w:space="0" w:color="auto"/>
              <w:right w:val="single" w:sz="4" w:space="0" w:color="auto"/>
            </w:tcBorders>
            <w:shd w:val="clear" w:color="auto" w:fill="auto"/>
            <w:vAlign w:val="center"/>
            <w:hideMark/>
          </w:tcPr>
          <w:p w14:paraId="4D57455C"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9</w:t>
            </w:r>
          </w:p>
        </w:tc>
        <w:tc>
          <w:tcPr>
            <w:tcW w:w="1561" w:type="dxa"/>
            <w:tcBorders>
              <w:top w:val="nil"/>
              <w:left w:val="nil"/>
              <w:bottom w:val="single" w:sz="4" w:space="0" w:color="auto"/>
              <w:right w:val="single" w:sz="4" w:space="0" w:color="auto"/>
            </w:tcBorders>
            <w:shd w:val="clear" w:color="auto" w:fill="auto"/>
            <w:vAlign w:val="center"/>
            <w:hideMark/>
          </w:tcPr>
          <w:p w14:paraId="280CBDB4"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 xml:space="preserve">Ministry of Interior </w:t>
            </w:r>
          </w:p>
        </w:tc>
        <w:tc>
          <w:tcPr>
            <w:tcW w:w="1624" w:type="dxa"/>
            <w:tcBorders>
              <w:top w:val="nil"/>
              <w:left w:val="nil"/>
              <w:bottom w:val="single" w:sz="4" w:space="0" w:color="auto"/>
              <w:right w:val="single" w:sz="4" w:space="0" w:color="auto"/>
            </w:tcBorders>
            <w:shd w:val="clear" w:color="auto" w:fill="auto"/>
            <w:vAlign w:val="center"/>
            <w:hideMark/>
          </w:tcPr>
          <w:p w14:paraId="0BD66FB8"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Science and technology research partnership for sustainable development (SATREPS) of Japans Technical Cooperation support for improved natural resource and disaster risk management</w:t>
            </w:r>
          </w:p>
        </w:tc>
        <w:tc>
          <w:tcPr>
            <w:tcW w:w="3298" w:type="dxa"/>
            <w:tcBorders>
              <w:top w:val="nil"/>
              <w:left w:val="nil"/>
              <w:bottom w:val="single" w:sz="4" w:space="0" w:color="auto"/>
              <w:right w:val="single" w:sz="4" w:space="0" w:color="auto"/>
            </w:tcBorders>
            <w:shd w:val="clear" w:color="auto" w:fill="auto"/>
            <w:vAlign w:val="center"/>
            <w:hideMark/>
          </w:tcPr>
          <w:p w14:paraId="3C88AAB4"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National Forest Fire Information System of Montenegro</w:t>
            </w:r>
          </w:p>
        </w:tc>
        <w:tc>
          <w:tcPr>
            <w:tcW w:w="1260" w:type="dxa"/>
            <w:tcBorders>
              <w:top w:val="nil"/>
              <w:left w:val="nil"/>
              <w:bottom w:val="single" w:sz="4" w:space="0" w:color="auto"/>
              <w:right w:val="single" w:sz="4" w:space="0" w:color="auto"/>
            </w:tcBorders>
            <w:shd w:val="clear" w:color="auto" w:fill="auto"/>
            <w:vAlign w:val="center"/>
            <w:hideMark/>
          </w:tcPr>
          <w:p w14:paraId="62099275"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JICA</w:t>
            </w:r>
          </w:p>
        </w:tc>
        <w:tc>
          <w:tcPr>
            <w:tcW w:w="778" w:type="dxa"/>
            <w:tcBorders>
              <w:top w:val="nil"/>
              <w:left w:val="nil"/>
              <w:bottom w:val="single" w:sz="4" w:space="0" w:color="auto"/>
              <w:right w:val="single" w:sz="4" w:space="0" w:color="auto"/>
            </w:tcBorders>
            <w:shd w:val="clear" w:color="auto" w:fill="auto"/>
            <w:vAlign w:val="center"/>
            <w:hideMark/>
          </w:tcPr>
          <w:p w14:paraId="24446EE4"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2022-2026</w:t>
            </w:r>
          </w:p>
        </w:tc>
        <w:tc>
          <w:tcPr>
            <w:tcW w:w="1148" w:type="dxa"/>
            <w:tcBorders>
              <w:top w:val="nil"/>
              <w:left w:val="nil"/>
              <w:bottom w:val="single" w:sz="4" w:space="0" w:color="auto"/>
              <w:right w:val="single" w:sz="4" w:space="0" w:color="auto"/>
            </w:tcBorders>
            <w:shd w:val="clear" w:color="auto" w:fill="auto"/>
            <w:vAlign w:val="center"/>
            <w:hideMark/>
          </w:tcPr>
          <w:p w14:paraId="705EF93E"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500.000,00</w:t>
            </w:r>
          </w:p>
        </w:tc>
      </w:tr>
      <w:tr w:rsidR="00AF1F0F" w:rsidRPr="003B6A69" w14:paraId="6BACC20F" w14:textId="77777777" w:rsidTr="00AE3EED">
        <w:trPr>
          <w:cantSplit/>
          <w:trHeight w:val="408"/>
        </w:trPr>
        <w:tc>
          <w:tcPr>
            <w:tcW w:w="451" w:type="dxa"/>
            <w:tcBorders>
              <w:top w:val="nil"/>
              <w:left w:val="single" w:sz="4" w:space="0" w:color="auto"/>
              <w:bottom w:val="single" w:sz="4" w:space="0" w:color="auto"/>
              <w:right w:val="single" w:sz="4" w:space="0" w:color="auto"/>
            </w:tcBorders>
            <w:shd w:val="clear" w:color="auto" w:fill="auto"/>
            <w:vAlign w:val="center"/>
            <w:hideMark/>
          </w:tcPr>
          <w:p w14:paraId="5CD2C049"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10</w:t>
            </w:r>
          </w:p>
        </w:tc>
        <w:tc>
          <w:tcPr>
            <w:tcW w:w="1561" w:type="dxa"/>
            <w:tcBorders>
              <w:top w:val="nil"/>
              <w:left w:val="nil"/>
              <w:bottom w:val="single" w:sz="4" w:space="0" w:color="auto"/>
              <w:right w:val="single" w:sz="4" w:space="0" w:color="auto"/>
            </w:tcBorders>
            <w:shd w:val="clear" w:color="auto" w:fill="auto"/>
            <w:vAlign w:val="center"/>
            <w:hideMark/>
          </w:tcPr>
          <w:p w14:paraId="1C27A4F6"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Ministry of Interior</w:t>
            </w:r>
          </w:p>
        </w:tc>
        <w:tc>
          <w:tcPr>
            <w:tcW w:w="1624" w:type="dxa"/>
            <w:tcBorders>
              <w:top w:val="nil"/>
              <w:left w:val="nil"/>
              <w:bottom w:val="single" w:sz="4" w:space="0" w:color="auto"/>
              <w:right w:val="single" w:sz="4" w:space="0" w:color="auto"/>
            </w:tcBorders>
            <w:shd w:val="clear" w:color="auto" w:fill="auto"/>
            <w:vAlign w:val="center"/>
            <w:hideMark/>
          </w:tcPr>
          <w:p w14:paraId="37F02F2F"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IPA Floods and Fires</w:t>
            </w:r>
          </w:p>
        </w:tc>
        <w:tc>
          <w:tcPr>
            <w:tcW w:w="3298" w:type="dxa"/>
            <w:tcBorders>
              <w:top w:val="nil"/>
              <w:left w:val="nil"/>
              <w:bottom w:val="single" w:sz="4" w:space="0" w:color="auto"/>
              <w:right w:val="single" w:sz="4" w:space="0" w:color="auto"/>
            </w:tcBorders>
            <w:shd w:val="clear" w:color="auto" w:fill="auto"/>
            <w:vAlign w:val="center"/>
            <w:hideMark/>
          </w:tcPr>
          <w:p w14:paraId="144EF24C"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Support to flood prevention and forest fires risk management in the Western Balkans and Turkey</w:t>
            </w:r>
          </w:p>
        </w:tc>
        <w:tc>
          <w:tcPr>
            <w:tcW w:w="1260" w:type="dxa"/>
            <w:tcBorders>
              <w:top w:val="nil"/>
              <w:left w:val="nil"/>
              <w:bottom w:val="single" w:sz="4" w:space="0" w:color="auto"/>
              <w:right w:val="single" w:sz="4" w:space="0" w:color="auto"/>
            </w:tcBorders>
            <w:shd w:val="clear" w:color="auto" w:fill="auto"/>
            <w:vAlign w:val="center"/>
            <w:hideMark/>
          </w:tcPr>
          <w:p w14:paraId="33B20761"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 xml:space="preserve">EU </w:t>
            </w:r>
          </w:p>
        </w:tc>
        <w:tc>
          <w:tcPr>
            <w:tcW w:w="778" w:type="dxa"/>
            <w:tcBorders>
              <w:top w:val="nil"/>
              <w:left w:val="nil"/>
              <w:bottom w:val="single" w:sz="4" w:space="0" w:color="auto"/>
              <w:right w:val="single" w:sz="4" w:space="0" w:color="auto"/>
            </w:tcBorders>
            <w:shd w:val="clear" w:color="auto" w:fill="auto"/>
            <w:vAlign w:val="center"/>
            <w:hideMark/>
          </w:tcPr>
          <w:p w14:paraId="4FD1EFCD"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2022 - 2025</w:t>
            </w:r>
          </w:p>
        </w:tc>
        <w:tc>
          <w:tcPr>
            <w:tcW w:w="1148" w:type="dxa"/>
            <w:tcBorders>
              <w:top w:val="nil"/>
              <w:left w:val="nil"/>
              <w:bottom w:val="single" w:sz="4" w:space="0" w:color="auto"/>
              <w:right w:val="single" w:sz="4" w:space="0" w:color="auto"/>
            </w:tcBorders>
            <w:shd w:val="clear" w:color="auto" w:fill="auto"/>
            <w:vAlign w:val="center"/>
            <w:hideMark/>
          </w:tcPr>
          <w:p w14:paraId="43E963F7"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400.000,00</w:t>
            </w:r>
          </w:p>
        </w:tc>
      </w:tr>
      <w:tr w:rsidR="00AF1F0F" w:rsidRPr="003B6A69" w14:paraId="074CAC57" w14:textId="77777777" w:rsidTr="00AE3EED">
        <w:trPr>
          <w:cantSplit/>
          <w:trHeight w:val="1428"/>
        </w:trPr>
        <w:tc>
          <w:tcPr>
            <w:tcW w:w="451" w:type="dxa"/>
            <w:tcBorders>
              <w:top w:val="nil"/>
              <w:left w:val="single" w:sz="4" w:space="0" w:color="auto"/>
              <w:bottom w:val="single" w:sz="4" w:space="0" w:color="auto"/>
              <w:right w:val="single" w:sz="4" w:space="0" w:color="auto"/>
            </w:tcBorders>
            <w:shd w:val="clear" w:color="auto" w:fill="auto"/>
            <w:vAlign w:val="center"/>
            <w:hideMark/>
          </w:tcPr>
          <w:p w14:paraId="5D9DB6A7"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11</w:t>
            </w:r>
          </w:p>
        </w:tc>
        <w:tc>
          <w:tcPr>
            <w:tcW w:w="1561" w:type="dxa"/>
            <w:tcBorders>
              <w:top w:val="nil"/>
              <w:left w:val="nil"/>
              <w:bottom w:val="single" w:sz="4" w:space="0" w:color="auto"/>
              <w:right w:val="single" w:sz="4" w:space="0" w:color="auto"/>
            </w:tcBorders>
            <w:shd w:val="clear" w:color="auto" w:fill="auto"/>
            <w:vAlign w:val="center"/>
            <w:hideMark/>
          </w:tcPr>
          <w:p w14:paraId="06751297"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MESPU</w:t>
            </w:r>
          </w:p>
        </w:tc>
        <w:tc>
          <w:tcPr>
            <w:tcW w:w="1624" w:type="dxa"/>
            <w:tcBorders>
              <w:top w:val="nil"/>
              <w:left w:val="nil"/>
              <w:bottom w:val="single" w:sz="4" w:space="0" w:color="auto"/>
              <w:right w:val="single" w:sz="4" w:space="0" w:color="auto"/>
            </w:tcBorders>
            <w:shd w:val="clear" w:color="auto" w:fill="auto"/>
            <w:vAlign w:val="center"/>
            <w:hideMark/>
          </w:tcPr>
          <w:p w14:paraId="5456F03D"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DUE MARI</w:t>
            </w:r>
          </w:p>
        </w:tc>
        <w:tc>
          <w:tcPr>
            <w:tcW w:w="3298" w:type="dxa"/>
            <w:tcBorders>
              <w:top w:val="nil"/>
              <w:left w:val="nil"/>
              <w:bottom w:val="single" w:sz="4" w:space="0" w:color="auto"/>
              <w:right w:val="single" w:sz="4" w:space="0" w:color="auto"/>
            </w:tcBorders>
            <w:shd w:val="clear" w:color="auto" w:fill="auto"/>
            <w:vAlign w:val="center"/>
            <w:hideMark/>
          </w:tcPr>
          <w:p w14:paraId="264B35A5"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 xml:space="preserve">Promotion of sustainable tourism development for lesser-known destinations, local </w:t>
            </w:r>
            <w:proofErr w:type="gramStart"/>
            <w:r w:rsidRPr="003B6A69">
              <w:rPr>
                <w:rFonts w:eastAsia="Times New Roman"/>
                <w:color w:val="000000"/>
                <w:sz w:val="16"/>
                <w:szCs w:val="16"/>
              </w:rPr>
              <w:t>products</w:t>
            </w:r>
            <w:proofErr w:type="gramEnd"/>
            <w:r w:rsidRPr="003B6A69">
              <w:rPr>
                <w:rFonts w:eastAsia="Times New Roman"/>
                <w:color w:val="000000"/>
                <w:sz w:val="16"/>
                <w:szCs w:val="16"/>
              </w:rPr>
              <w:t xml:space="preserve"> and innovative services for new tourist routes</w:t>
            </w:r>
          </w:p>
        </w:tc>
        <w:tc>
          <w:tcPr>
            <w:tcW w:w="1260" w:type="dxa"/>
            <w:tcBorders>
              <w:top w:val="nil"/>
              <w:left w:val="nil"/>
              <w:bottom w:val="single" w:sz="4" w:space="0" w:color="auto"/>
              <w:right w:val="single" w:sz="4" w:space="0" w:color="auto"/>
            </w:tcBorders>
            <w:shd w:val="clear" w:color="auto" w:fill="auto"/>
            <w:vAlign w:val="center"/>
            <w:hideMark/>
          </w:tcPr>
          <w:p w14:paraId="2E55BA7B"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EU - INTERREG IPA CBC Italy-Albania-Montenegro</w:t>
            </w:r>
          </w:p>
        </w:tc>
        <w:tc>
          <w:tcPr>
            <w:tcW w:w="778" w:type="dxa"/>
            <w:tcBorders>
              <w:top w:val="nil"/>
              <w:left w:val="nil"/>
              <w:bottom w:val="single" w:sz="4" w:space="0" w:color="auto"/>
              <w:right w:val="single" w:sz="4" w:space="0" w:color="auto"/>
            </w:tcBorders>
            <w:shd w:val="clear" w:color="auto" w:fill="auto"/>
            <w:vAlign w:val="center"/>
            <w:hideMark/>
          </w:tcPr>
          <w:p w14:paraId="29DFDBB9"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2021 - 2022</w:t>
            </w:r>
          </w:p>
        </w:tc>
        <w:tc>
          <w:tcPr>
            <w:tcW w:w="1148" w:type="dxa"/>
            <w:tcBorders>
              <w:top w:val="nil"/>
              <w:left w:val="nil"/>
              <w:bottom w:val="single" w:sz="4" w:space="0" w:color="auto"/>
              <w:right w:val="single" w:sz="4" w:space="0" w:color="auto"/>
            </w:tcBorders>
            <w:shd w:val="clear" w:color="auto" w:fill="auto"/>
            <w:vAlign w:val="center"/>
            <w:hideMark/>
          </w:tcPr>
          <w:p w14:paraId="0BFD1649"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250.000,00</w:t>
            </w:r>
          </w:p>
        </w:tc>
      </w:tr>
      <w:tr w:rsidR="00AF1F0F" w:rsidRPr="003B6A69" w14:paraId="0FE85CA3" w14:textId="77777777" w:rsidTr="00AE3EED">
        <w:trPr>
          <w:cantSplit/>
          <w:trHeight w:val="816"/>
        </w:trPr>
        <w:tc>
          <w:tcPr>
            <w:tcW w:w="451" w:type="dxa"/>
            <w:tcBorders>
              <w:top w:val="nil"/>
              <w:left w:val="single" w:sz="4" w:space="0" w:color="auto"/>
              <w:bottom w:val="single" w:sz="4" w:space="0" w:color="auto"/>
              <w:right w:val="single" w:sz="4" w:space="0" w:color="auto"/>
            </w:tcBorders>
            <w:shd w:val="clear" w:color="auto" w:fill="auto"/>
            <w:vAlign w:val="center"/>
            <w:hideMark/>
          </w:tcPr>
          <w:p w14:paraId="237C3377"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12</w:t>
            </w:r>
          </w:p>
        </w:tc>
        <w:tc>
          <w:tcPr>
            <w:tcW w:w="1561" w:type="dxa"/>
            <w:tcBorders>
              <w:top w:val="nil"/>
              <w:left w:val="nil"/>
              <w:bottom w:val="single" w:sz="4" w:space="0" w:color="auto"/>
              <w:right w:val="single" w:sz="4" w:space="0" w:color="auto"/>
            </w:tcBorders>
            <w:shd w:val="clear" w:color="auto" w:fill="auto"/>
            <w:vAlign w:val="center"/>
            <w:hideMark/>
          </w:tcPr>
          <w:p w14:paraId="6ECF15FF"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MESPU</w:t>
            </w:r>
          </w:p>
        </w:tc>
        <w:tc>
          <w:tcPr>
            <w:tcW w:w="1624" w:type="dxa"/>
            <w:tcBorders>
              <w:top w:val="nil"/>
              <w:left w:val="nil"/>
              <w:bottom w:val="single" w:sz="4" w:space="0" w:color="auto"/>
              <w:right w:val="single" w:sz="4" w:space="0" w:color="auto"/>
            </w:tcBorders>
            <w:shd w:val="clear" w:color="auto" w:fill="auto"/>
            <w:vAlign w:val="center"/>
            <w:hideMark/>
          </w:tcPr>
          <w:p w14:paraId="198BD991"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 xml:space="preserve">Spatial planning in Montenegro </w:t>
            </w:r>
          </w:p>
        </w:tc>
        <w:tc>
          <w:tcPr>
            <w:tcW w:w="3298" w:type="dxa"/>
            <w:tcBorders>
              <w:top w:val="nil"/>
              <w:left w:val="nil"/>
              <w:bottom w:val="single" w:sz="4" w:space="0" w:color="auto"/>
              <w:right w:val="single" w:sz="4" w:space="0" w:color="auto"/>
            </w:tcBorders>
            <w:shd w:val="clear" w:color="auto" w:fill="auto"/>
            <w:vAlign w:val="center"/>
            <w:hideMark/>
          </w:tcPr>
          <w:p w14:paraId="252641F4"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Preparation and development of a Spatial plan of Montenegro and General Regulation plan of Montenegro</w:t>
            </w:r>
          </w:p>
        </w:tc>
        <w:tc>
          <w:tcPr>
            <w:tcW w:w="1260" w:type="dxa"/>
            <w:tcBorders>
              <w:top w:val="nil"/>
              <w:left w:val="nil"/>
              <w:bottom w:val="single" w:sz="4" w:space="0" w:color="auto"/>
              <w:right w:val="single" w:sz="4" w:space="0" w:color="auto"/>
            </w:tcBorders>
            <w:shd w:val="clear" w:color="auto" w:fill="auto"/>
            <w:vAlign w:val="center"/>
            <w:hideMark/>
          </w:tcPr>
          <w:p w14:paraId="47BD02E9"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 xml:space="preserve">Government of Montenegro </w:t>
            </w:r>
          </w:p>
        </w:tc>
        <w:tc>
          <w:tcPr>
            <w:tcW w:w="778" w:type="dxa"/>
            <w:tcBorders>
              <w:top w:val="nil"/>
              <w:left w:val="nil"/>
              <w:bottom w:val="single" w:sz="4" w:space="0" w:color="auto"/>
              <w:right w:val="single" w:sz="4" w:space="0" w:color="auto"/>
            </w:tcBorders>
            <w:shd w:val="clear" w:color="auto" w:fill="auto"/>
            <w:vAlign w:val="center"/>
            <w:hideMark/>
          </w:tcPr>
          <w:p w14:paraId="3925733F"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2021 onwards</w:t>
            </w:r>
          </w:p>
        </w:tc>
        <w:tc>
          <w:tcPr>
            <w:tcW w:w="1148" w:type="dxa"/>
            <w:tcBorders>
              <w:top w:val="nil"/>
              <w:left w:val="nil"/>
              <w:bottom w:val="single" w:sz="4" w:space="0" w:color="auto"/>
              <w:right w:val="single" w:sz="4" w:space="0" w:color="auto"/>
            </w:tcBorders>
            <w:shd w:val="clear" w:color="auto" w:fill="auto"/>
            <w:vAlign w:val="center"/>
            <w:hideMark/>
          </w:tcPr>
          <w:p w14:paraId="6CC3001D"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2.500.000,00</w:t>
            </w:r>
          </w:p>
        </w:tc>
      </w:tr>
      <w:tr w:rsidR="00AF1F0F" w:rsidRPr="003B6A69" w14:paraId="74AD65B2" w14:textId="77777777" w:rsidTr="00AE3EED">
        <w:trPr>
          <w:cantSplit/>
          <w:trHeight w:val="600"/>
        </w:trPr>
        <w:tc>
          <w:tcPr>
            <w:tcW w:w="451" w:type="dxa"/>
            <w:vMerge w:val="restart"/>
            <w:tcBorders>
              <w:top w:val="nil"/>
              <w:left w:val="single" w:sz="4" w:space="0" w:color="auto"/>
              <w:bottom w:val="single" w:sz="4" w:space="0" w:color="auto"/>
              <w:right w:val="single" w:sz="4" w:space="0" w:color="auto"/>
            </w:tcBorders>
            <w:shd w:val="clear" w:color="auto" w:fill="auto"/>
            <w:vAlign w:val="center"/>
            <w:hideMark/>
          </w:tcPr>
          <w:p w14:paraId="603695AE"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13</w:t>
            </w:r>
          </w:p>
        </w:tc>
        <w:tc>
          <w:tcPr>
            <w:tcW w:w="1561" w:type="dxa"/>
            <w:vMerge w:val="restart"/>
            <w:tcBorders>
              <w:top w:val="nil"/>
              <w:left w:val="single" w:sz="4" w:space="0" w:color="auto"/>
              <w:bottom w:val="single" w:sz="4" w:space="0" w:color="auto"/>
              <w:right w:val="single" w:sz="4" w:space="0" w:color="auto"/>
            </w:tcBorders>
            <w:shd w:val="clear" w:color="auto" w:fill="auto"/>
            <w:vAlign w:val="center"/>
            <w:hideMark/>
          </w:tcPr>
          <w:p w14:paraId="29192475" w14:textId="40E1107E"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MESP</w:t>
            </w:r>
            <w:r w:rsidR="005F1967" w:rsidRPr="003B6A69">
              <w:rPr>
                <w:rFonts w:eastAsia="Times New Roman"/>
                <w:color w:val="000000"/>
                <w:sz w:val="16"/>
                <w:szCs w:val="16"/>
              </w:rPr>
              <w:t>U</w:t>
            </w:r>
            <w:r w:rsidRPr="003B6A69">
              <w:rPr>
                <w:rFonts w:eastAsia="Times New Roman"/>
                <w:color w:val="000000"/>
                <w:sz w:val="16"/>
                <w:szCs w:val="16"/>
              </w:rPr>
              <w:t xml:space="preserve">, Public enterprise National </w:t>
            </w:r>
            <w:r w:rsidRPr="003B6A69">
              <w:rPr>
                <w:rFonts w:eastAsia="Times New Roman"/>
                <w:color w:val="000000"/>
                <w:sz w:val="16"/>
                <w:szCs w:val="16"/>
              </w:rPr>
              <w:lastRenderedPageBreak/>
              <w:t xml:space="preserve">parks of Montenegro </w:t>
            </w:r>
          </w:p>
        </w:tc>
        <w:tc>
          <w:tcPr>
            <w:tcW w:w="1624" w:type="dxa"/>
            <w:vMerge w:val="restart"/>
            <w:tcBorders>
              <w:top w:val="nil"/>
              <w:left w:val="single" w:sz="4" w:space="0" w:color="auto"/>
              <w:bottom w:val="single" w:sz="4" w:space="0" w:color="auto"/>
              <w:right w:val="single" w:sz="4" w:space="0" w:color="auto"/>
            </w:tcBorders>
            <w:shd w:val="clear" w:color="auto" w:fill="auto"/>
            <w:vAlign w:val="center"/>
            <w:hideMark/>
          </w:tcPr>
          <w:p w14:paraId="449853BA"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lastRenderedPageBreak/>
              <w:t xml:space="preserve">Protected areas management </w:t>
            </w:r>
          </w:p>
        </w:tc>
        <w:tc>
          <w:tcPr>
            <w:tcW w:w="3298" w:type="dxa"/>
            <w:tcBorders>
              <w:top w:val="nil"/>
              <w:left w:val="nil"/>
              <w:bottom w:val="single" w:sz="4" w:space="0" w:color="auto"/>
              <w:right w:val="single" w:sz="4" w:space="0" w:color="auto"/>
            </w:tcBorders>
            <w:shd w:val="clear" w:color="auto" w:fill="auto"/>
            <w:vAlign w:val="center"/>
            <w:hideMark/>
          </w:tcPr>
          <w:p w14:paraId="22D0DB64"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Management of the Ulcinj Salina Nature</w:t>
            </w:r>
          </w:p>
        </w:tc>
        <w:tc>
          <w:tcPr>
            <w:tcW w:w="1260" w:type="dxa"/>
            <w:vMerge w:val="restart"/>
            <w:tcBorders>
              <w:top w:val="nil"/>
              <w:left w:val="single" w:sz="4" w:space="0" w:color="auto"/>
              <w:bottom w:val="single" w:sz="4" w:space="0" w:color="auto"/>
              <w:right w:val="single" w:sz="4" w:space="0" w:color="auto"/>
            </w:tcBorders>
            <w:shd w:val="clear" w:color="auto" w:fill="auto"/>
            <w:vAlign w:val="center"/>
            <w:hideMark/>
          </w:tcPr>
          <w:p w14:paraId="417D567B"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 xml:space="preserve">MESP, Public enterprise </w:t>
            </w:r>
            <w:r w:rsidRPr="003B6A69">
              <w:rPr>
                <w:rFonts w:eastAsia="Times New Roman"/>
                <w:color w:val="000000"/>
                <w:sz w:val="16"/>
                <w:szCs w:val="16"/>
              </w:rPr>
              <w:lastRenderedPageBreak/>
              <w:t>National parks of Montenegro</w:t>
            </w:r>
          </w:p>
        </w:tc>
        <w:tc>
          <w:tcPr>
            <w:tcW w:w="778" w:type="dxa"/>
            <w:vMerge w:val="restart"/>
            <w:tcBorders>
              <w:top w:val="nil"/>
              <w:left w:val="single" w:sz="4" w:space="0" w:color="auto"/>
              <w:bottom w:val="single" w:sz="4" w:space="0" w:color="auto"/>
              <w:right w:val="single" w:sz="4" w:space="0" w:color="auto"/>
            </w:tcBorders>
            <w:shd w:val="clear" w:color="auto" w:fill="auto"/>
            <w:vAlign w:val="center"/>
            <w:hideMark/>
          </w:tcPr>
          <w:p w14:paraId="006B8DA5"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lastRenderedPageBreak/>
              <w:t>2021</w:t>
            </w:r>
          </w:p>
        </w:tc>
        <w:tc>
          <w:tcPr>
            <w:tcW w:w="1148" w:type="dxa"/>
            <w:vMerge w:val="restart"/>
            <w:tcBorders>
              <w:top w:val="nil"/>
              <w:left w:val="single" w:sz="4" w:space="0" w:color="auto"/>
              <w:bottom w:val="single" w:sz="4" w:space="0" w:color="auto"/>
              <w:right w:val="single" w:sz="4" w:space="0" w:color="auto"/>
            </w:tcBorders>
            <w:shd w:val="clear" w:color="auto" w:fill="auto"/>
            <w:vAlign w:val="center"/>
            <w:hideMark/>
          </w:tcPr>
          <w:p w14:paraId="3925A811"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1.500.000</w:t>
            </w:r>
          </w:p>
        </w:tc>
      </w:tr>
      <w:tr w:rsidR="00AF1F0F" w:rsidRPr="003B6A69" w14:paraId="2EB75AD2" w14:textId="77777777" w:rsidTr="00AE3EED">
        <w:trPr>
          <w:trHeight w:val="612"/>
        </w:trPr>
        <w:tc>
          <w:tcPr>
            <w:tcW w:w="451" w:type="dxa"/>
            <w:vMerge/>
            <w:tcBorders>
              <w:top w:val="nil"/>
              <w:left w:val="single" w:sz="4" w:space="0" w:color="auto"/>
              <w:bottom w:val="single" w:sz="4" w:space="0" w:color="auto"/>
              <w:right w:val="single" w:sz="4" w:space="0" w:color="auto"/>
            </w:tcBorders>
            <w:vAlign w:val="center"/>
            <w:hideMark/>
          </w:tcPr>
          <w:p w14:paraId="3B235AF2" w14:textId="77777777" w:rsidR="00AF1F0F" w:rsidRPr="003B6A69" w:rsidRDefault="00AF1F0F" w:rsidP="00AE3EED">
            <w:pPr>
              <w:spacing w:after="0"/>
              <w:jc w:val="left"/>
              <w:rPr>
                <w:rFonts w:eastAsia="Times New Roman"/>
                <w:color w:val="000000"/>
                <w:sz w:val="16"/>
                <w:szCs w:val="16"/>
              </w:rPr>
            </w:pPr>
          </w:p>
        </w:tc>
        <w:tc>
          <w:tcPr>
            <w:tcW w:w="1561" w:type="dxa"/>
            <w:vMerge/>
            <w:tcBorders>
              <w:top w:val="nil"/>
              <w:left w:val="single" w:sz="4" w:space="0" w:color="auto"/>
              <w:bottom w:val="single" w:sz="4" w:space="0" w:color="auto"/>
              <w:right w:val="single" w:sz="4" w:space="0" w:color="auto"/>
            </w:tcBorders>
            <w:vAlign w:val="center"/>
            <w:hideMark/>
          </w:tcPr>
          <w:p w14:paraId="5664C45D" w14:textId="77777777" w:rsidR="00AF1F0F" w:rsidRPr="003B6A69" w:rsidRDefault="00AF1F0F" w:rsidP="00AE3EED">
            <w:pPr>
              <w:spacing w:after="0"/>
              <w:jc w:val="left"/>
              <w:rPr>
                <w:rFonts w:eastAsia="Times New Roman"/>
                <w:color w:val="000000"/>
                <w:sz w:val="16"/>
                <w:szCs w:val="16"/>
              </w:rPr>
            </w:pPr>
          </w:p>
        </w:tc>
        <w:tc>
          <w:tcPr>
            <w:tcW w:w="1624" w:type="dxa"/>
            <w:vMerge/>
            <w:tcBorders>
              <w:top w:val="nil"/>
              <w:left w:val="single" w:sz="4" w:space="0" w:color="auto"/>
              <w:bottom w:val="single" w:sz="4" w:space="0" w:color="auto"/>
              <w:right w:val="single" w:sz="4" w:space="0" w:color="auto"/>
            </w:tcBorders>
            <w:vAlign w:val="center"/>
            <w:hideMark/>
          </w:tcPr>
          <w:p w14:paraId="72CE0471" w14:textId="77777777" w:rsidR="00AF1F0F" w:rsidRPr="003B6A69" w:rsidRDefault="00AF1F0F" w:rsidP="00AE3EED">
            <w:pPr>
              <w:spacing w:after="0"/>
              <w:jc w:val="left"/>
              <w:rPr>
                <w:rFonts w:eastAsia="Times New Roman"/>
                <w:color w:val="000000"/>
                <w:sz w:val="16"/>
                <w:szCs w:val="16"/>
              </w:rPr>
            </w:pPr>
          </w:p>
        </w:tc>
        <w:tc>
          <w:tcPr>
            <w:tcW w:w="3298" w:type="dxa"/>
            <w:tcBorders>
              <w:top w:val="nil"/>
              <w:left w:val="nil"/>
              <w:bottom w:val="single" w:sz="4" w:space="0" w:color="auto"/>
              <w:right w:val="single" w:sz="4" w:space="0" w:color="auto"/>
            </w:tcBorders>
            <w:shd w:val="clear" w:color="auto" w:fill="auto"/>
            <w:vAlign w:val="center"/>
            <w:hideMark/>
          </w:tcPr>
          <w:p w14:paraId="648D4907" w14:textId="77777777" w:rsidR="00AF1F0F" w:rsidRPr="003B6A69" w:rsidRDefault="00AF1F0F" w:rsidP="00AE3EED">
            <w:pPr>
              <w:spacing w:after="0"/>
              <w:rPr>
                <w:rFonts w:eastAsia="Times New Roman"/>
                <w:color w:val="000000"/>
                <w:sz w:val="16"/>
                <w:szCs w:val="16"/>
              </w:rPr>
            </w:pPr>
            <w:r w:rsidRPr="003B6A69">
              <w:rPr>
                <w:rFonts w:eastAsia="Times New Roman"/>
                <w:color w:val="000000"/>
                <w:sz w:val="16"/>
                <w:szCs w:val="16"/>
              </w:rPr>
              <w:t>Strengthening of the protection of biodiversity of Montenegrin national parks (</w:t>
            </w:r>
            <w:proofErr w:type="spellStart"/>
            <w:r w:rsidRPr="003B6A69">
              <w:rPr>
                <w:rFonts w:eastAsia="Times New Roman"/>
                <w:color w:val="000000"/>
                <w:sz w:val="16"/>
                <w:szCs w:val="16"/>
              </w:rPr>
              <w:t>Skadar</w:t>
            </w:r>
            <w:proofErr w:type="spellEnd"/>
            <w:r w:rsidRPr="003B6A69">
              <w:rPr>
                <w:rFonts w:eastAsia="Times New Roman"/>
                <w:color w:val="000000"/>
                <w:sz w:val="16"/>
                <w:szCs w:val="16"/>
              </w:rPr>
              <w:t xml:space="preserve"> Lake, </w:t>
            </w:r>
            <w:proofErr w:type="spellStart"/>
            <w:r w:rsidRPr="003B6A69">
              <w:rPr>
                <w:rFonts w:eastAsia="Times New Roman"/>
                <w:color w:val="000000"/>
                <w:sz w:val="16"/>
                <w:szCs w:val="16"/>
              </w:rPr>
              <w:t>Durmitor</w:t>
            </w:r>
            <w:proofErr w:type="spellEnd"/>
            <w:r w:rsidRPr="003B6A69">
              <w:rPr>
                <w:rFonts w:eastAsia="Times New Roman"/>
                <w:color w:val="000000"/>
                <w:sz w:val="16"/>
                <w:szCs w:val="16"/>
              </w:rPr>
              <w:t xml:space="preserve"> and </w:t>
            </w:r>
            <w:proofErr w:type="spellStart"/>
            <w:r w:rsidRPr="003B6A69">
              <w:rPr>
                <w:rFonts w:eastAsia="Times New Roman"/>
                <w:color w:val="000000"/>
                <w:sz w:val="16"/>
                <w:szCs w:val="16"/>
              </w:rPr>
              <w:t>Biogradska</w:t>
            </w:r>
            <w:proofErr w:type="spellEnd"/>
            <w:r w:rsidRPr="003B6A69">
              <w:rPr>
                <w:rFonts w:eastAsia="Times New Roman"/>
                <w:color w:val="000000"/>
                <w:sz w:val="16"/>
                <w:szCs w:val="16"/>
              </w:rPr>
              <w:t xml:space="preserve"> Gora)</w:t>
            </w:r>
          </w:p>
        </w:tc>
        <w:tc>
          <w:tcPr>
            <w:tcW w:w="1260" w:type="dxa"/>
            <w:vMerge/>
            <w:tcBorders>
              <w:top w:val="nil"/>
              <w:left w:val="single" w:sz="4" w:space="0" w:color="auto"/>
              <w:bottom w:val="single" w:sz="4" w:space="0" w:color="auto"/>
              <w:right w:val="single" w:sz="4" w:space="0" w:color="auto"/>
            </w:tcBorders>
            <w:vAlign w:val="center"/>
            <w:hideMark/>
          </w:tcPr>
          <w:p w14:paraId="1B3773A0" w14:textId="77777777" w:rsidR="00AF1F0F" w:rsidRPr="003B6A69" w:rsidRDefault="00AF1F0F" w:rsidP="00AE3EED">
            <w:pPr>
              <w:spacing w:after="0"/>
              <w:jc w:val="left"/>
              <w:rPr>
                <w:rFonts w:eastAsia="Times New Roman"/>
                <w:color w:val="000000"/>
                <w:sz w:val="16"/>
                <w:szCs w:val="16"/>
              </w:rPr>
            </w:pPr>
          </w:p>
        </w:tc>
        <w:tc>
          <w:tcPr>
            <w:tcW w:w="778" w:type="dxa"/>
            <w:vMerge/>
            <w:tcBorders>
              <w:top w:val="nil"/>
              <w:left w:val="single" w:sz="4" w:space="0" w:color="auto"/>
              <w:bottom w:val="single" w:sz="4" w:space="0" w:color="auto"/>
              <w:right w:val="single" w:sz="4" w:space="0" w:color="auto"/>
            </w:tcBorders>
            <w:vAlign w:val="center"/>
            <w:hideMark/>
          </w:tcPr>
          <w:p w14:paraId="395B920C" w14:textId="77777777" w:rsidR="00AF1F0F" w:rsidRPr="003B6A69" w:rsidRDefault="00AF1F0F" w:rsidP="00AE3EED">
            <w:pPr>
              <w:spacing w:after="0"/>
              <w:jc w:val="left"/>
              <w:rPr>
                <w:rFonts w:eastAsia="Times New Roman"/>
                <w:color w:val="000000"/>
                <w:sz w:val="16"/>
                <w:szCs w:val="16"/>
              </w:rPr>
            </w:pPr>
          </w:p>
        </w:tc>
        <w:tc>
          <w:tcPr>
            <w:tcW w:w="1148" w:type="dxa"/>
            <w:vMerge/>
            <w:tcBorders>
              <w:top w:val="nil"/>
              <w:left w:val="single" w:sz="4" w:space="0" w:color="auto"/>
              <w:bottom w:val="single" w:sz="4" w:space="0" w:color="auto"/>
              <w:right w:val="single" w:sz="4" w:space="0" w:color="auto"/>
            </w:tcBorders>
            <w:vAlign w:val="center"/>
            <w:hideMark/>
          </w:tcPr>
          <w:p w14:paraId="08FEB6CC" w14:textId="77777777" w:rsidR="00AF1F0F" w:rsidRPr="003B6A69" w:rsidRDefault="00AF1F0F" w:rsidP="00AE3EED">
            <w:pPr>
              <w:spacing w:after="0"/>
              <w:jc w:val="left"/>
              <w:rPr>
                <w:rFonts w:eastAsia="Times New Roman"/>
                <w:color w:val="000000"/>
                <w:sz w:val="16"/>
                <w:szCs w:val="16"/>
              </w:rPr>
            </w:pPr>
          </w:p>
        </w:tc>
      </w:tr>
    </w:tbl>
    <w:p w14:paraId="7D806221" w14:textId="77777777" w:rsidR="007D424C" w:rsidRPr="003B6A69" w:rsidRDefault="007D424C" w:rsidP="007D424C">
      <w:pPr>
        <w:pStyle w:val="Header"/>
        <w:tabs>
          <w:tab w:val="clear" w:pos="4153"/>
          <w:tab w:val="clear" w:pos="8306"/>
          <w:tab w:val="left" w:pos="426"/>
        </w:tabs>
        <w:spacing w:after="120"/>
        <w:rPr>
          <w:rFonts w:cs="Calibri"/>
          <w:bCs/>
          <w:color w:val="0070C0"/>
        </w:rPr>
      </w:pPr>
    </w:p>
    <w:p w14:paraId="69C80FBE" w14:textId="0C11D396" w:rsidR="008F4104" w:rsidRPr="003B6A69" w:rsidRDefault="008F4104" w:rsidP="00B24DF3">
      <w:pPr>
        <w:pStyle w:val="Heading2"/>
        <w:rPr>
          <w:lang w:val="en-GB"/>
        </w:rPr>
      </w:pPr>
      <w:bookmarkStart w:id="11" w:name="_Toc82018245"/>
      <w:bookmarkStart w:id="12" w:name="_Hlk5017197"/>
      <w:r w:rsidRPr="003B6A69">
        <w:rPr>
          <w:lang w:val="en-GB"/>
        </w:rPr>
        <w:t>2.</w:t>
      </w:r>
      <w:r w:rsidR="00DB1E45" w:rsidRPr="003B6A69">
        <w:rPr>
          <w:lang w:val="en-GB"/>
        </w:rPr>
        <w:t>3</w:t>
      </w:r>
      <w:r w:rsidRPr="003B6A69">
        <w:rPr>
          <w:lang w:val="en-GB"/>
        </w:rPr>
        <w:t xml:space="preserve"> The projected baseline scenario</w:t>
      </w:r>
      <w:bookmarkEnd w:id="11"/>
    </w:p>
    <w:p w14:paraId="11489CE2" w14:textId="77777777" w:rsidR="00AF1F0F" w:rsidRPr="003B6A69" w:rsidRDefault="00AF1F0F" w:rsidP="00AF1F0F">
      <w:pPr>
        <w:pStyle w:val="Header"/>
        <w:tabs>
          <w:tab w:val="left" w:pos="426"/>
        </w:tabs>
        <w:spacing w:after="120"/>
        <w:rPr>
          <w:rFonts w:cs="Calibri"/>
          <w:b/>
          <w:bCs/>
          <w:u w:val="single"/>
          <w:lang w:val="en-GB"/>
        </w:rPr>
      </w:pPr>
      <w:r w:rsidRPr="003B6A69">
        <w:rPr>
          <w:rFonts w:cs="Calibri"/>
          <w:b/>
          <w:bCs/>
          <w:u w:val="single"/>
          <w:lang w:val="en-GB"/>
        </w:rPr>
        <w:t>Biodiversity conservation and PA management baseline</w:t>
      </w:r>
    </w:p>
    <w:p w14:paraId="29B73616" w14:textId="41CDB33A" w:rsidR="00AF1F0F" w:rsidRPr="003B6A69" w:rsidRDefault="00AF1F0F" w:rsidP="00AF69F1">
      <w:pPr>
        <w:pStyle w:val="Header"/>
        <w:numPr>
          <w:ilvl w:val="0"/>
          <w:numId w:val="14"/>
        </w:numPr>
        <w:tabs>
          <w:tab w:val="clear" w:pos="4153"/>
          <w:tab w:val="clear" w:pos="8306"/>
          <w:tab w:val="left" w:pos="426"/>
        </w:tabs>
        <w:spacing w:after="120"/>
        <w:ind w:left="0" w:firstLine="0"/>
        <w:rPr>
          <w:rFonts w:cs="Calibri"/>
          <w:bCs/>
          <w:szCs w:val="20"/>
          <w:lang w:val="en-GB"/>
        </w:rPr>
      </w:pPr>
      <w:r w:rsidRPr="003B6A69">
        <w:rPr>
          <w:rFonts w:cs="Calibri"/>
          <w:bCs/>
          <w:szCs w:val="20"/>
          <w:lang w:val="en-GB"/>
        </w:rPr>
        <w:t>Despite being exposed to numerous pressures, Montenegro’s biodiversity and its other natural and landscape values are immense. Over the last two decades</w:t>
      </w:r>
      <w:r w:rsidR="005D32D5" w:rsidRPr="003B6A69">
        <w:rPr>
          <w:rFonts w:cs="Calibri"/>
          <w:bCs/>
          <w:szCs w:val="20"/>
          <w:lang w:val="en-GB"/>
        </w:rPr>
        <w:t>,</w:t>
      </w:r>
      <w:r w:rsidRPr="003B6A69">
        <w:rPr>
          <w:rFonts w:cs="Calibri"/>
          <w:bCs/>
          <w:szCs w:val="20"/>
          <w:lang w:val="en-GB"/>
        </w:rPr>
        <w:t xml:space="preserve"> nature and biodiversity protection were declaratively set among top national political priorities. Since 1991 when Montenegro was proclaimed an ecological state, and as the country is declaring sustainable development as the norm, certain improvements have been made in the areas of planning and legislation. However, the institutional framework and the implementation and enforcement of regulations still </w:t>
      </w:r>
      <w:proofErr w:type="gramStart"/>
      <w:r w:rsidRPr="003B6A69">
        <w:rPr>
          <w:rFonts w:cs="Calibri"/>
          <w:bCs/>
          <w:szCs w:val="20"/>
          <w:lang w:val="en-GB"/>
        </w:rPr>
        <w:t>lag behind</w:t>
      </w:r>
      <w:proofErr w:type="gramEnd"/>
      <w:r w:rsidRPr="003B6A69">
        <w:rPr>
          <w:rFonts w:cs="Calibri"/>
          <w:bCs/>
          <w:szCs w:val="20"/>
          <w:lang w:val="en-GB"/>
        </w:rPr>
        <w:t xml:space="preserve">. </w:t>
      </w:r>
    </w:p>
    <w:p w14:paraId="74A2B55E" w14:textId="77777777" w:rsidR="00AF1F0F" w:rsidRPr="003B6A69" w:rsidRDefault="00AF1F0F" w:rsidP="00AF69F1">
      <w:pPr>
        <w:pStyle w:val="Header"/>
        <w:numPr>
          <w:ilvl w:val="0"/>
          <w:numId w:val="14"/>
        </w:numPr>
        <w:tabs>
          <w:tab w:val="clear" w:pos="4153"/>
          <w:tab w:val="clear" w:pos="8306"/>
          <w:tab w:val="left" w:pos="426"/>
        </w:tabs>
        <w:spacing w:after="120"/>
        <w:ind w:left="0" w:firstLine="0"/>
        <w:rPr>
          <w:rFonts w:cs="Calibri"/>
          <w:bCs/>
          <w:szCs w:val="20"/>
          <w:lang w:val="en-GB"/>
        </w:rPr>
      </w:pPr>
      <w:r w:rsidRPr="003B6A69">
        <w:rPr>
          <w:rFonts w:cs="Calibri"/>
          <w:bCs/>
          <w:szCs w:val="20"/>
          <w:lang w:val="en-GB"/>
        </w:rPr>
        <w:t xml:space="preserve">The environmental administration system in Montenegro is under-resourced considering the extent of new environmental legislation and the current legislative and institutional framework, and it cannot guarantee that all nature conservation obligations are properly met. The lack of data and real-time information on species, habitats, changes of ecosystems and their causes are stumbling blocks to the planning and decision-making processes. Furthermore, nature protection and biodiversity sometimes fall under different authorities – agriculture, hunting, forestry, fisheries, water management sectors; intersectoral cooperation is lacking, and joint planning with due account of biodiversity conservation priorities is in question. </w:t>
      </w:r>
    </w:p>
    <w:p w14:paraId="2114CD03" w14:textId="5E05C0DA" w:rsidR="00AF1F0F" w:rsidRPr="003B6A69" w:rsidRDefault="00AF1F0F" w:rsidP="00AF69F1">
      <w:pPr>
        <w:pStyle w:val="Header"/>
        <w:numPr>
          <w:ilvl w:val="0"/>
          <w:numId w:val="14"/>
        </w:numPr>
        <w:tabs>
          <w:tab w:val="clear" w:pos="4153"/>
          <w:tab w:val="clear" w:pos="8306"/>
          <w:tab w:val="left" w:pos="426"/>
        </w:tabs>
        <w:spacing w:after="120"/>
        <w:ind w:left="0" w:firstLine="0"/>
        <w:rPr>
          <w:rFonts w:cs="Calibri"/>
          <w:bCs/>
          <w:szCs w:val="20"/>
          <w:lang w:val="en-GB"/>
        </w:rPr>
      </w:pPr>
      <w:r w:rsidRPr="003B6A69">
        <w:rPr>
          <w:rFonts w:cs="Calibri"/>
          <w:bCs/>
          <w:szCs w:val="20"/>
          <w:lang w:val="en-GB"/>
        </w:rPr>
        <w:t xml:space="preserve">The existing legal and institutional framework for the protected areas does not provide a sufficient level of efficiency regarding these protected areas; neither does it provide a good framework for </w:t>
      </w:r>
      <w:r w:rsidR="005D32D5" w:rsidRPr="003B6A69">
        <w:rPr>
          <w:rFonts w:cs="Calibri"/>
          <w:bCs/>
          <w:szCs w:val="20"/>
          <w:lang w:val="en-GB"/>
        </w:rPr>
        <w:t xml:space="preserve">the </w:t>
      </w:r>
      <w:r w:rsidRPr="003B6A69">
        <w:rPr>
          <w:rFonts w:cs="Calibri"/>
          <w:bCs/>
          <w:szCs w:val="20"/>
          <w:lang w:val="en-GB"/>
        </w:rPr>
        <w:t>establishment of new ones. Over the last five years</w:t>
      </w:r>
      <w:r w:rsidR="005D32D5" w:rsidRPr="003B6A69">
        <w:rPr>
          <w:rFonts w:cs="Calibri"/>
          <w:bCs/>
          <w:szCs w:val="20"/>
          <w:lang w:val="en-GB"/>
        </w:rPr>
        <w:t>,</w:t>
      </w:r>
      <w:r w:rsidRPr="003B6A69">
        <w:rPr>
          <w:rFonts w:cs="Calibri"/>
          <w:bCs/>
          <w:szCs w:val="20"/>
          <w:lang w:val="en-GB"/>
        </w:rPr>
        <w:t xml:space="preserve"> several new protected areas were established, raising the PA area ratio to 12%. However, the PA network does not fully represent the diversity of ecosystems and habitats in need for protection; marine, karst and some grassland types are underrep</w:t>
      </w:r>
      <w:r w:rsidR="00BD4C79" w:rsidRPr="003B6A69">
        <w:rPr>
          <w:rFonts w:cs="Calibri"/>
          <w:bCs/>
          <w:szCs w:val="20"/>
          <w:lang w:val="en-GB"/>
        </w:rPr>
        <w:t>resented in the current network</w:t>
      </w:r>
      <w:r w:rsidRPr="003B6A69">
        <w:rPr>
          <w:rFonts w:cs="Calibri"/>
          <w:bCs/>
          <w:szCs w:val="20"/>
          <w:lang w:val="en-GB"/>
        </w:rPr>
        <w:t>. More than half of the 72 proclaimed protected areas in Montenegro (44) have appointed managers, and 8 PAs have adopted management plans – but in many cases</w:t>
      </w:r>
      <w:r w:rsidR="005D32D5" w:rsidRPr="003B6A69">
        <w:rPr>
          <w:rFonts w:cs="Calibri"/>
          <w:bCs/>
          <w:szCs w:val="20"/>
          <w:lang w:val="en-GB"/>
        </w:rPr>
        <w:t>,</w:t>
      </w:r>
      <w:r w:rsidRPr="003B6A69">
        <w:rPr>
          <w:rFonts w:cs="Calibri"/>
          <w:bCs/>
          <w:szCs w:val="20"/>
          <w:lang w:val="en-GB"/>
        </w:rPr>
        <w:t xml:space="preserve"> th</w:t>
      </w:r>
      <w:r w:rsidR="005D32D5" w:rsidRPr="003B6A69">
        <w:rPr>
          <w:rFonts w:cs="Calibri"/>
          <w:bCs/>
          <w:szCs w:val="20"/>
          <w:lang w:val="en-GB"/>
        </w:rPr>
        <w:t xml:space="preserve">e </w:t>
      </w:r>
      <w:r w:rsidRPr="003B6A69">
        <w:rPr>
          <w:rFonts w:cs="Calibri"/>
          <w:bCs/>
          <w:szCs w:val="20"/>
          <w:lang w:val="en-GB"/>
        </w:rPr>
        <w:t xml:space="preserve">management exists on paper only. The management plans often lack clearly defined conservation objectives and are monitored and evaluated </w:t>
      </w:r>
      <w:proofErr w:type="gramStart"/>
      <w:r w:rsidRPr="003B6A69">
        <w:rPr>
          <w:rFonts w:cs="Calibri"/>
          <w:bCs/>
          <w:szCs w:val="20"/>
          <w:lang w:val="en-GB"/>
        </w:rPr>
        <w:t>on the basis of</w:t>
      </w:r>
      <w:proofErr w:type="gramEnd"/>
      <w:r w:rsidRPr="003B6A69">
        <w:rPr>
          <w:rFonts w:cs="Calibri"/>
          <w:bCs/>
          <w:szCs w:val="20"/>
          <w:lang w:val="en-GB"/>
        </w:rPr>
        <w:t xml:space="preserve"> status indicators. PA management plans may have a reference to international status, but none of the plans have specific measures aligned with relevant guidance. </w:t>
      </w:r>
    </w:p>
    <w:p w14:paraId="3609BB4A" w14:textId="7EF1C53A" w:rsidR="00AF1F0F" w:rsidRPr="003B6A69" w:rsidRDefault="00AF1F0F" w:rsidP="00AF69F1">
      <w:pPr>
        <w:pStyle w:val="Header"/>
        <w:numPr>
          <w:ilvl w:val="0"/>
          <w:numId w:val="14"/>
        </w:numPr>
        <w:tabs>
          <w:tab w:val="clear" w:pos="4153"/>
          <w:tab w:val="clear" w:pos="8306"/>
          <w:tab w:val="left" w:pos="426"/>
        </w:tabs>
        <w:spacing w:after="120"/>
        <w:ind w:left="0" w:firstLine="0"/>
        <w:rPr>
          <w:rFonts w:cs="Calibri"/>
          <w:bCs/>
          <w:szCs w:val="20"/>
          <w:lang w:val="en-GB"/>
        </w:rPr>
      </w:pPr>
      <w:r w:rsidRPr="003B6A69">
        <w:rPr>
          <w:rFonts w:cs="Calibri"/>
          <w:bCs/>
          <w:szCs w:val="20"/>
          <w:lang w:val="en-GB"/>
        </w:rPr>
        <w:t xml:space="preserve">In the baseline scenario, </w:t>
      </w:r>
      <w:r w:rsidR="008C6008" w:rsidRPr="003B6A69">
        <w:rPr>
          <w:rFonts w:cs="Calibri"/>
          <w:bCs/>
          <w:szCs w:val="20"/>
          <w:lang w:val="en-GB"/>
        </w:rPr>
        <w:t xml:space="preserve">many individual elements of the </w:t>
      </w:r>
      <w:r w:rsidRPr="003B6A69">
        <w:rPr>
          <w:rFonts w:cs="Calibri"/>
          <w:bCs/>
          <w:szCs w:val="20"/>
          <w:lang w:val="en-GB"/>
        </w:rPr>
        <w:t xml:space="preserve">PA system </w:t>
      </w:r>
      <w:r w:rsidR="008C6008" w:rsidRPr="003B6A69">
        <w:rPr>
          <w:rFonts w:cs="Calibri"/>
          <w:bCs/>
          <w:szCs w:val="20"/>
          <w:lang w:val="en-GB"/>
        </w:rPr>
        <w:t>are</w:t>
      </w:r>
      <w:r w:rsidRPr="003B6A69">
        <w:rPr>
          <w:rFonts w:cs="Calibri"/>
          <w:bCs/>
          <w:szCs w:val="20"/>
          <w:lang w:val="en-GB"/>
        </w:rPr>
        <w:t xml:space="preserve"> at risk of </w:t>
      </w:r>
      <w:r w:rsidR="008C6008" w:rsidRPr="003B6A69">
        <w:rPr>
          <w:rFonts w:cs="Calibri"/>
          <w:bCs/>
          <w:szCs w:val="20"/>
          <w:lang w:val="en-GB"/>
        </w:rPr>
        <w:t>existence</w:t>
      </w:r>
      <w:r w:rsidRPr="003B6A69">
        <w:rPr>
          <w:rFonts w:cs="Calibri"/>
          <w:bCs/>
          <w:szCs w:val="20"/>
          <w:lang w:val="en-GB"/>
        </w:rPr>
        <w:t xml:space="preserve"> in name only, in the register</w:t>
      </w:r>
      <w:r w:rsidR="005D32D5" w:rsidRPr="003B6A69">
        <w:rPr>
          <w:rFonts w:cs="Calibri"/>
          <w:bCs/>
          <w:szCs w:val="20"/>
          <w:lang w:val="en-GB"/>
        </w:rPr>
        <w:t>,</w:t>
      </w:r>
      <w:r w:rsidRPr="003B6A69">
        <w:rPr>
          <w:rFonts w:cs="Calibri"/>
          <w:bCs/>
          <w:szCs w:val="20"/>
          <w:lang w:val="en-GB"/>
        </w:rPr>
        <w:t xml:space="preserve"> and on paper. Inadequate management and business planning have stalled the appropriate understanding of the potential role that PAs can play. The lack of understanding, incorporating</w:t>
      </w:r>
      <w:r w:rsidR="005D32D5" w:rsidRPr="003B6A69">
        <w:rPr>
          <w:rFonts w:cs="Calibri"/>
          <w:bCs/>
          <w:szCs w:val="20"/>
          <w:lang w:val="en-GB"/>
        </w:rPr>
        <w:t>,</w:t>
      </w:r>
      <w:r w:rsidRPr="003B6A69">
        <w:rPr>
          <w:rFonts w:cs="Calibri"/>
          <w:bCs/>
          <w:szCs w:val="20"/>
          <w:lang w:val="en-GB"/>
        </w:rPr>
        <w:t xml:space="preserve"> and implementing international best practice guidelines through management planning leads to deterioration of the biodiversity values with the risk of serious damages and eventual loss of the international designations</w:t>
      </w:r>
      <w:r w:rsidRPr="003B6A69">
        <w:rPr>
          <w:rFonts w:cs="Calibri"/>
          <w:bCs/>
          <w:szCs w:val="20"/>
        </w:rPr>
        <w:t xml:space="preserve">. Virtually no biodiversity conservation arrangements are in place for the biodiversity </w:t>
      </w:r>
      <w:proofErr w:type="gramStart"/>
      <w:r w:rsidRPr="003B6A69">
        <w:rPr>
          <w:rFonts w:cs="Calibri"/>
          <w:bCs/>
          <w:szCs w:val="20"/>
        </w:rPr>
        <w:t>hot-spots</w:t>
      </w:r>
      <w:proofErr w:type="gramEnd"/>
      <w:r w:rsidRPr="003B6A69">
        <w:rPr>
          <w:rFonts w:cs="Calibri"/>
          <w:bCs/>
          <w:szCs w:val="20"/>
        </w:rPr>
        <w:t xml:space="preserve"> outside the PAs.</w:t>
      </w:r>
    </w:p>
    <w:p w14:paraId="2E62DF80" w14:textId="77777777" w:rsidR="00AF1F0F" w:rsidRPr="003B6A69" w:rsidRDefault="00AF1F0F" w:rsidP="00AF1F0F">
      <w:pPr>
        <w:pStyle w:val="Header"/>
        <w:tabs>
          <w:tab w:val="left" w:pos="426"/>
        </w:tabs>
        <w:spacing w:after="120"/>
        <w:rPr>
          <w:rFonts w:cs="Calibri"/>
          <w:b/>
          <w:bCs/>
          <w:sz w:val="22"/>
          <w:szCs w:val="22"/>
          <w:u w:val="single"/>
          <w:lang w:val="en-GB"/>
        </w:rPr>
      </w:pPr>
      <w:r w:rsidRPr="003B6A69">
        <w:rPr>
          <w:rFonts w:cs="Calibri"/>
          <w:b/>
          <w:bCs/>
          <w:sz w:val="22"/>
          <w:szCs w:val="22"/>
          <w:u w:val="single"/>
          <w:lang w:val="en-GB"/>
        </w:rPr>
        <w:t>Biodiversity mainstreaming baseline</w:t>
      </w:r>
    </w:p>
    <w:p w14:paraId="2224EE45" w14:textId="77777777" w:rsidR="00AF1F0F" w:rsidRPr="003B6A69" w:rsidRDefault="00AF1F0F" w:rsidP="00AF69F1">
      <w:pPr>
        <w:pStyle w:val="Header"/>
        <w:numPr>
          <w:ilvl w:val="0"/>
          <w:numId w:val="14"/>
        </w:numPr>
        <w:tabs>
          <w:tab w:val="clear" w:pos="4153"/>
          <w:tab w:val="clear" w:pos="8306"/>
          <w:tab w:val="left" w:pos="426"/>
        </w:tabs>
        <w:spacing w:after="120"/>
        <w:ind w:left="0" w:firstLine="0"/>
        <w:rPr>
          <w:rFonts w:cs="Calibri"/>
          <w:bCs/>
          <w:szCs w:val="20"/>
          <w:lang w:val="en-GB"/>
        </w:rPr>
      </w:pPr>
      <w:r w:rsidRPr="003B6A69">
        <w:rPr>
          <w:rFonts w:cs="Calibri"/>
          <w:bCs/>
          <w:szCs w:val="20"/>
          <w:lang w:val="en-GB"/>
        </w:rPr>
        <w:t>Biodiversity conservation agenda is somehow mainstreamed through the following key development framework documents adopted within the last 5 years:</w:t>
      </w:r>
    </w:p>
    <w:p w14:paraId="7DD58C74" w14:textId="270703DA" w:rsidR="00AF1F0F" w:rsidRPr="003B6A69" w:rsidRDefault="00AF1F0F" w:rsidP="00AF1F0F">
      <w:pPr>
        <w:pStyle w:val="Header"/>
        <w:tabs>
          <w:tab w:val="left" w:pos="426"/>
        </w:tabs>
        <w:spacing w:after="120"/>
        <w:rPr>
          <w:rFonts w:cs="Calibri"/>
          <w:bCs/>
          <w:szCs w:val="20"/>
          <w:lang w:val="en-GB"/>
        </w:rPr>
      </w:pPr>
      <w:r w:rsidRPr="003B6A69">
        <w:rPr>
          <w:rFonts w:cs="Calibri"/>
          <w:bCs/>
          <w:szCs w:val="20"/>
          <w:lang w:val="en-GB"/>
        </w:rPr>
        <w:t xml:space="preserve">- </w:t>
      </w:r>
      <w:hyperlink r:id="rId16" w:history="1">
        <w:r w:rsidRPr="003B6A69">
          <w:rPr>
            <w:rStyle w:val="Hyperlink"/>
            <w:rFonts w:cs="Calibri"/>
            <w:bCs/>
            <w:color w:val="1F4E79" w:themeColor="accent1" w:themeShade="80"/>
            <w:szCs w:val="20"/>
            <w:lang w:val="en-GB"/>
          </w:rPr>
          <w:t>National Strategy for Sustainable Development until 2030</w:t>
        </w:r>
      </w:hyperlink>
      <w:r w:rsidRPr="003B6A69">
        <w:rPr>
          <w:rFonts w:cs="Calibri"/>
          <w:bCs/>
          <w:color w:val="1F4E79" w:themeColor="accent1" w:themeShade="80"/>
          <w:szCs w:val="20"/>
          <w:lang w:val="en-GB"/>
        </w:rPr>
        <w:t xml:space="preserve"> </w:t>
      </w:r>
      <w:r w:rsidRPr="003B6A69">
        <w:rPr>
          <w:rFonts w:cs="Calibri"/>
          <w:bCs/>
          <w:szCs w:val="20"/>
          <w:lang w:val="en-GB"/>
        </w:rPr>
        <w:t xml:space="preserve">(adopted in 2016) envisages nature protection measures focused on </w:t>
      </w:r>
      <w:r w:rsidR="005D32D5" w:rsidRPr="003B6A69">
        <w:rPr>
          <w:rFonts w:cs="Calibri"/>
          <w:bCs/>
          <w:szCs w:val="20"/>
          <w:lang w:val="en-GB"/>
        </w:rPr>
        <w:t xml:space="preserve">the </w:t>
      </w:r>
      <w:r w:rsidRPr="003B6A69">
        <w:rPr>
          <w:rFonts w:cs="Calibri"/>
          <w:bCs/>
          <w:szCs w:val="20"/>
          <w:lang w:val="en-GB"/>
        </w:rPr>
        <w:t xml:space="preserve">improvement of PA management, expansion of PA network, reduction of pressures on biodiversity (from sectoral plans and projects as well as from the climate change effects), as well as the improvement in the knowledge base, EIA and SEA mechanisms and public participation and introduction of financial mechanisms for sustainable funding of nature protection. </w:t>
      </w:r>
    </w:p>
    <w:p w14:paraId="047A319C" w14:textId="532B8435" w:rsidR="00AF1F0F" w:rsidRPr="003B6A69" w:rsidRDefault="00AF1F0F" w:rsidP="00AF1F0F">
      <w:pPr>
        <w:pStyle w:val="Header"/>
        <w:tabs>
          <w:tab w:val="left" w:pos="426"/>
        </w:tabs>
        <w:spacing w:after="120"/>
        <w:rPr>
          <w:rFonts w:cs="Calibri"/>
          <w:bCs/>
          <w:szCs w:val="20"/>
          <w:lang w:val="en-GB"/>
        </w:rPr>
      </w:pPr>
      <w:r w:rsidRPr="003B6A69">
        <w:rPr>
          <w:rFonts w:cs="Calibri"/>
          <w:bCs/>
          <w:szCs w:val="20"/>
          <w:lang w:val="en-GB"/>
        </w:rPr>
        <w:t xml:space="preserve">- National Strategy for Integrated Coastal Zone Management of Montenegro (NSICZM) was adopted in 2015 as a national strategic framework contributing to the implementation of the EU strategies for the Adriatic and Ionian Regions. It includes a considerable number of measures for ensuring </w:t>
      </w:r>
      <w:r w:rsidR="005D32D5" w:rsidRPr="003B6A69">
        <w:rPr>
          <w:rFonts w:cs="Calibri"/>
          <w:bCs/>
          <w:szCs w:val="20"/>
          <w:lang w:val="en-GB"/>
        </w:rPr>
        <w:t xml:space="preserve">the </w:t>
      </w:r>
      <w:r w:rsidRPr="003B6A69">
        <w:rPr>
          <w:rFonts w:cs="Calibri"/>
          <w:bCs/>
          <w:szCs w:val="20"/>
          <w:lang w:val="en-GB"/>
        </w:rPr>
        <w:t>conservation of ecologically valuable habitats and ecosystems.</w:t>
      </w:r>
    </w:p>
    <w:p w14:paraId="5ECDDDB3" w14:textId="477BC011" w:rsidR="00AF1F0F" w:rsidRPr="003B6A69" w:rsidRDefault="00AF1F0F" w:rsidP="00AF1F0F">
      <w:pPr>
        <w:pStyle w:val="Header"/>
        <w:tabs>
          <w:tab w:val="left" w:pos="426"/>
        </w:tabs>
        <w:spacing w:after="120"/>
        <w:rPr>
          <w:rFonts w:cs="Calibri"/>
          <w:bCs/>
          <w:szCs w:val="20"/>
          <w:lang w:val="en-GB"/>
        </w:rPr>
      </w:pPr>
      <w:r w:rsidRPr="003B6A69">
        <w:rPr>
          <w:rFonts w:cs="Calibri"/>
          <w:bCs/>
          <w:szCs w:val="20"/>
          <w:lang w:val="en-GB"/>
        </w:rPr>
        <w:t xml:space="preserve">- National Forest Strategy for the period 2014-2023 integrates biodiversity protection through an ecosystem approach in forest management and nature protection, regulation of pastures and forests use, integration of requirements from Natura 2000 into forest management plans, improvement of forest management in national parks, improvement of </w:t>
      </w:r>
      <w:r w:rsidR="005D32D5" w:rsidRPr="003B6A69">
        <w:rPr>
          <w:rFonts w:cs="Calibri"/>
          <w:bCs/>
          <w:szCs w:val="20"/>
          <w:lang w:val="en-GB"/>
        </w:rPr>
        <w:t xml:space="preserve">the </w:t>
      </w:r>
      <w:r w:rsidRPr="003B6A69">
        <w:rPr>
          <w:rFonts w:cs="Calibri"/>
          <w:bCs/>
          <w:szCs w:val="20"/>
          <w:lang w:val="en-GB"/>
        </w:rPr>
        <w:t>fire protection system, and sustainable use of non-timber forest products.</w:t>
      </w:r>
    </w:p>
    <w:p w14:paraId="1ABF066E" w14:textId="5524630A" w:rsidR="00AF1F0F" w:rsidRPr="003B6A69" w:rsidRDefault="00AF1F0F" w:rsidP="00AF1F0F">
      <w:pPr>
        <w:pStyle w:val="Header"/>
        <w:tabs>
          <w:tab w:val="left" w:pos="426"/>
        </w:tabs>
        <w:spacing w:after="120"/>
        <w:rPr>
          <w:rFonts w:cs="Calibri"/>
          <w:bCs/>
          <w:szCs w:val="20"/>
          <w:lang w:val="en-GB"/>
        </w:rPr>
      </w:pPr>
      <w:r w:rsidRPr="003B6A69">
        <w:rPr>
          <w:rFonts w:cs="Calibri"/>
          <w:bCs/>
          <w:szCs w:val="20"/>
          <w:lang w:val="en-GB"/>
        </w:rPr>
        <w:t xml:space="preserve">- Strategy for the Development of Agriculture and Rural Areas for the period 2015-2020 states that recovery, conservation and strengthening of ecosystems dependent on agriculture will be achieved through safeguards and sustainable use of </w:t>
      </w:r>
      <w:r w:rsidRPr="003B6A69">
        <w:rPr>
          <w:rFonts w:cs="Calibri"/>
          <w:bCs/>
          <w:szCs w:val="20"/>
          <w:lang w:val="en-GB"/>
        </w:rPr>
        <w:lastRenderedPageBreak/>
        <w:t>genetic resources in agriculture, support to sustainable use of mountain pastures</w:t>
      </w:r>
      <w:r w:rsidR="005D32D5" w:rsidRPr="003B6A69">
        <w:rPr>
          <w:rFonts w:cs="Calibri"/>
          <w:bCs/>
          <w:szCs w:val="20"/>
          <w:lang w:val="en-GB"/>
        </w:rPr>
        <w:t>,</w:t>
      </w:r>
      <w:r w:rsidRPr="003B6A69">
        <w:rPr>
          <w:rFonts w:cs="Calibri"/>
          <w:bCs/>
          <w:szCs w:val="20"/>
          <w:lang w:val="en-GB"/>
        </w:rPr>
        <w:t xml:space="preserve"> and the development of organic production, but information on financial measures </w:t>
      </w:r>
      <w:r w:rsidR="005D32D5" w:rsidRPr="003B6A69">
        <w:rPr>
          <w:rFonts w:cs="Calibri"/>
          <w:bCs/>
          <w:szCs w:val="20"/>
          <w:lang w:val="en-GB"/>
        </w:rPr>
        <w:t xml:space="preserve">and implementation mechanisms </w:t>
      </w:r>
      <w:r w:rsidRPr="003B6A69">
        <w:rPr>
          <w:rFonts w:cs="Calibri"/>
          <w:bCs/>
          <w:szCs w:val="20"/>
          <w:lang w:val="en-GB"/>
        </w:rPr>
        <w:t>for those types of support is limited and unclear.</w:t>
      </w:r>
    </w:p>
    <w:p w14:paraId="2D665ABE" w14:textId="23598D76" w:rsidR="00AF1F0F" w:rsidRPr="003B6A69" w:rsidRDefault="00AF1F0F" w:rsidP="00AF69F1">
      <w:pPr>
        <w:pStyle w:val="Header"/>
        <w:numPr>
          <w:ilvl w:val="0"/>
          <w:numId w:val="14"/>
        </w:numPr>
        <w:tabs>
          <w:tab w:val="clear" w:pos="4153"/>
          <w:tab w:val="clear" w:pos="8306"/>
          <w:tab w:val="left" w:pos="426"/>
        </w:tabs>
        <w:spacing w:after="120"/>
        <w:ind w:left="0" w:firstLine="0"/>
        <w:rPr>
          <w:rFonts w:cs="Calibri"/>
          <w:bCs/>
          <w:szCs w:val="20"/>
          <w:lang w:val="en-GB"/>
        </w:rPr>
      </w:pPr>
      <w:r w:rsidRPr="003B6A69">
        <w:rPr>
          <w:rFonts w:cs="Calibri"/>
          <w:bCs/>
          <w:szCs w:val="20"/>
          <w:lang w:val="en-GB"/>
        </w:rPr>
        <w:t xml:space="preserve">While </w:t>
      </w:r>
      <w:r w:rsidR="005D32D5" w:rsidRPr="003B6A69">
        <w:rPr>
          <w:rFonts w:cs="Calibri"/>
          <w:bCs/>
          <w:szCs w:val="20"/>
          <w:lang w:val="en-GB"/>
        </w:rPr>
        <w:t xml:space="preserve">the </w:t>
      </w:r>
      <w:r w:rsidRPr="003B6A69">
        <w:rPr>
          <w:rFonts w:cs="Calibri"/>
          <w:bCs/>
          <w:szCs w:val="20"/>
          <w:lang w:val="en-GB"/>
        </w:rPr>
        <w:t>integration of biodiversity conservation priorities into the development agenda is mainly driven by the EU accession process, there is in implementation, practical experience</w:t>
      </w:r>
      <w:r w:rsidR="005D32D5" w:rsidRPr="003B6A69">
        <w:rPr>
          <w:rFonts w:cs="Calibri"/>
          <w:bCs/>
          <w:szCs w:val="20"/>
          <w:lang w:val="en-GB"/>
        </w:rPr>
        <w:t>,</w:t>
      </w:r>
      <w:r w:rsidRPr="003B6A69">
        <w:rPr>
          <w:rFonts w:cs="Calibri"/>
          <w:bCs/>
          <w:szCs w:val="20"/>
          <w:lang w:val="en-GB"/>
        </w:rPr>
        <w:t xml:space="preserve"> and enforcement where the progress is apparently lacking.</w:t>
      </w:r>
    </w:p>
    <w:p w14:paraId="561ECEE5" w14:textId="7C4ECA36" w:rsidR="008C6008" w:rsidRPr="003B6A69" w:rsidRDefault="00AF1F0F" w:rsidP="008C6008">
      <w:pPr>
        <w:pStyle w:val="Header"/>
        <w:numPr>
          <w:ilvl w:val="0"/>
          <w:numId w:val="14"/>
        </w:numPr>
        <w:tabs>
          <w:tab w:val="clear" w:pos="4153"/>
          <w:tab w:val="clear" w:pos="8306"/>
          <w:tab w:val="left" w:pos="426"/>
        </w:tabs>
        <w:spacing w:after="120"/>
        <w:ind w:left="0" w:firstLine="0"/>
        <w:rPr>
          <w:rFonts w:cs="Calibri"/>
          <w:bCs/>
          <w:szCs w:val="20"/>
          <w:lang w:val="en-GB"/>
        </w:rPr>
      </w:pPr>
      <w:r w:rsidRPr="003B6A69">
        <w:rPr>
          <w:rFonts w:cs="Calibri"/>
          <w:bCs/>
          <w:szCs w:val="20"/>
          <w:lang w:val="en-GB"/>
        </w:rPr>
        <w:t>The key strategic framework documents do not contain a detailed description of measures to finance biodiversity conservation. The exception is the National Biodiversity Strategy with the Action Plan for the period 2016-2020. There is a growing need for more regular and more regulated monitoring and checks of potential “harmful” financial subsidies and investments at the national level. There are no adequate incentives for pro-environmental behaviour. The main barrier for a balanced relation between subsidies, incentives</w:t>
      </w:r>
      <w:r w:rsidR="005D32D5" w:rsidRPr="003B6A69">
        <w:rPr>
          <w:rFonts w:cs="Calibri"/>
          <w:bCs/>
          <w:szCs w:val="20"/>
          <w:lang w:val="en-GB"/>
        </w:rPr>
        <w:t>,</w:t>
      </w:r>
      <w:r w:rsidRPr="003B6A69">
        <w:rPr>
          <w:rFonts w:cs="Calibri"/>
          <w:bCs/>
          <w:szCs w:val="20"/>
          <w:lang w:val="en-GB"/>
        </w:rPr>
        <w:t xml:space="preserve"> and biodiversity conservation seems to be the lack of a consistent approach among sectoral policies, especially when considering tourism and agriculture.</w:t>
      </w:r>
      <w:r w:rsidR="008C6008" w:rsidRPr="003B6A69">
        <w:rPr>
          <w:rFonts w:cs="Calibri"/>
          <w:bCs/>
          <w:szCs w:val="20"/>
          <w:lang w:val="en-GB"/>
        </w:rPr>
        <w:t xml:space="preserve"> Overall, in the business-as-usual scenario, the sensitivity of sectoral development to BD conservation remains declarative with little practical application.</w:t>
      </w:r>
    </w:p>
    <w:p w14:paraId="6F404F33" w14:textId="77777777" w:rsidR="00AF1F0F" w:rsidRPr="003B6A69" w:rsidRDefault="00AF1F0F" w:rsidP="00AF1F0F">
      <w:pPr>
        <w:rPr>
          <w:b/>
          <w:u w:val="single"/>
          <w:lang w:val="en-GB"/>
        </w:rPr>
      </w:pPr>
      <w:r w:rsidRPr="003B6A69">
        <w:rPr>
          <w:b/>
          <w:u w:val="single"/>
          <w:lang w:val="en-GB"/>
        </w:rPr>
        <w:t>Spatial planning baseline</w:t>
      </w:r>
    </w:p>
    <w:p w14:paraId="112B5B8E" w14:textId="5B5A67B2" w:rsidR="00AF1F0F" w:rsidRPr="003B6A69" w:rsidRDefault="00AF1F0F" w:rsidP="00AF1F0F">
      <w:pPr>
        <w:rPr>
          <w:lang w:val="en-GB"/>
        </w:rPr>
      </w:pPr>
      <w:r w:rsidRPr="003B6A69">
        <w:rPr>
          <w:lang w:val="en-GB"/>
        </w:rPr>
        <w:t>20.</w:t>
      </w:r>
      <w:r w:rsidRPr="003B6A69">
        <w:rPr>
          <w:lang w:val="en-GB"/>
        </w:rPr>
        <w:tab/>
        <w:t>The Spatial Plan of Montenegro is a strategic document and a general basis for the spatial organi</w:t>
      </w:r>
      <w:r w:rsidR="005D32D5" w:rsidRPr="003B6A69">
        <w:rPr>
          <w:lang w:val="en-GB"/>
        </w:rPr>
        <w:t>z</w:t>
      </w:r>
      <w:r w:rsidRPr="003B6A69">
        <w:rPr>
          <w:lang w:val="en-GB"/>
        </w:rPr>
        <w:t xml:space="preserve">ation and planning of spatial development in the country. The Plan is a general framework document </w:t>
      </w:r>
      <w:r w:rsidR="005D32D5" w:rsidRPr="003B6A69">
        <w:rPr>
          <w:lang w:val="en-GB"/>
        </w:rPr>
        <w:t>that</w:t>
      </w:r>
      <w:r w:rsidRPr="003B6A69">
        <w:rPr>
          <w:lang w:val="en-GB"/>
        </w:rPr>
        <w:t xml:space="preserve"> defines national goals and measures of spatial development, in line with the overall economic, social, ecological</w:t>
      </w:r>
      <w:r w:rsidR="005D32D5" w:rsidRPr="003B6A69">
        <w:rPr>
          <w:lang w:val="en-GB"/>
        </w:rPr>
        <w:t>,</w:t>
      </w:r>
      <w:r w:rsidRPr="003B6A69">
        <w:rPr>
          <w:lang w:val="en-GB"/>
        </w:rPr>
        <w:t xml:space="preserve"> cultural</w:t>
      </w:r>
      <w:r w:rsidR="005D32D5" w:rsidRPr="003B6A69">
        <w:rPr>
          <w:lang w:val="en-GB"/>
        </w:rPr>
        <w:t>,</w:t>
      </w:r>
      <w:r w:rsidRPr="003B6A69">
        <w:rPr>
          <w:lang w:val="en-GB"/>
        </w:rPr>
        <w:t xml:space="preserve"> and historic development of the country. The Spatial Plan of Montenegro specifically defines space use policy and development of functions and activities in Montenegro; position and directions of </w:t>
      </w:r>
      <w:r w:rsidR="005D32D5" w:rsidRPr="003B6A69">
        <w:rPr>
          <w:lang w:val="en-GB"/>
        </w:rPr>
        <w:t xml:space="preserve">the </w:t>
      </w:r>
      <w:r w:rsidRPr="003B6A69">
        <w:rPr>
          <w:lang w:val="en-GB"/>
        </w:rPr>
        <w:t>spatial development of Montenegro in relation to its surroundings; programme projections of long-term development and spatial organi</w:t>
      </w:r>
      <w:r w:rsidR="005D32D5" w:rsidRPr="003B6A69">
        <w:rPr>
          <w:lang w:val="en-GB"/>
        </w:rPr>
        <w:t>z</w:t>
      </w:r>
      <w:r w:rsidRPr="003B6A69">
        <w:rPr>
          <w:lang w:val="en-GB"/>
        </w:rPr>
        <w:t xml:space="preserve">ation; fundaments of long-term planning policy; </w:t>
      </w:r>
      <w:r w:rsidR="005D32D5" w:rsidRPr="003B6A69">
        <w:rPr>
          <w:lang w:val="en-GB"/>
        </w:rPr>
        <w:t xml:space="preserve">the </w:t>
      </w:r>
      <w:r w:rsidRPr="003B6A69">
        <w:rPr>
          <w:lang w:val="en-GB"/>
        </w:rPr>
        <w:t>concept of organi</w:t>
      </w:r>
      <w:r w:rsidR="005D32D5" w:rsidRPr="003B6A69">
        <w:rPr>
          <w:lang w:val="en-GB"/>
        </w:rPr>
        <w:t>z</w:t>
      </w:r>
      <w:r w:rsidRPr="003B6A69">
        <w:rPr>
          <w:lang w:val="en-GB"/>
        </w:rPr>
        <w:t>ation of spatial planning and space utili</w:t>
      </w:r>
      <w:r w:rsidR="005D32D5" w:rsidRPr="003B6A69">
        <w:rPr>
          <w:lang w:val="en-GB"/>
        </w:rPr>
        <w:t>z</w:t>
      </w:r>
      <w:r w:rsidRPr="003B6A69">
        <w:rPr>
          <w:lang w:val="en-GB"/>
        </w:rPr>
        <w:t xml:space="preserve">ation with a network of settlements; </w:t>
      </w:r>
      <w:r w:rsidR="005D32D5" w:rsidRPr="003B6A69">
        <w:rPr>
          <w:lang w:val="en-GB"/>
        </w:rPr>
        <w:t xml:space="preserve">the </w:t>
      </w:r>
      <w:r w:rsidRPr="003B6A69">
        <w:rPr>
          <w:lang w:val="en-GB"/>
        </w:rPr>
        <w:t>concept of sea area planning; infrastructure systems and the manner in which to connect them to infrastructure systems in the surroundings. The Spatial Plan of Montenegro contains the guidelines for developing the General Regulation Plan of Montenegro; guidelines for environmental protection; guidelines for terrain protection, management</w:t>
      </w:r>
      <w:r w:rsidR="005D32D5" w:rsidRPr="003B6A69">
        <w:rPr>
          <w:lang w:val="en-GB"/>
        </w:rPr>
        <w:t>,</w:t>
      </w:r>
      <w:r w:rsidRPr="003B6A69">
        <w:rPr>
          <w:lang w:val="en-GB"/>
        </w:rPr>
        <w:t xml:space="preserve"> and planning; guidelines for cultural heritage protection; guidelines for the prevention and protection against natural disasters, technical and technological and other accidents; guidelines for adapting the General Regulation Plan of Montenegro to climate change; guidelines for improving energy efficiency and using renewable energy sources; guidelines for concession areas; and other guidelines for the implementation of the plan. The plan is being adopted </w:t>
      </w:r>
      <w:r w:rsidR="005D32D5" w:rsidRPr="003B6A69">
        <w:rPr>
          <w:lang w:val="en-GB"/>
        </w:rPr>
        <w:t>every</w:t>
      </w:r>
      <w:r w:rsidRPr="003B6A69">
        <w:rPr>
          <w:lang w:val="en-GB"/>
        </w:rPr>
        <w:t xml:space="preserve"> 20 years.</w:t>
      </w:r>
    </w:p>
    <w:p w14:paraId="47640C29" w14:textId="7D40E89A" w:rsidR="00AF1F0F" w:rsidRPr="003B6A69" w:rsidRDefault="00AF1F0F" w:rsidP="00AF1F0F">
      <w:pPr>
        <w:rPr>
          <w:lang w:val="en-GB"/>
        </w:rPr>
      </w:pPr>
      <w:r w:rsidRPr="003B6A69">
        <w:rPr>
          <w:lang w:val="en-GB"/>
        </w:rPr>
        <w:t>21.</w:t>
      </w:r>
      <w:r w:rsidRPr="003B6A69">
        <w:rPr>
          <w:lang w:val="en-GB"/>
        </w:rPr>
        <w:tab/>
        <w:t xml:space="preserve">Development of the new Spatial Plan of Montenegro is in progress. It should be </w:t>
      </w:r>
      <w:proofErr w:type="gramStart"/>
      <w:r w:rsidRPr="003B6A69">
        <w:rPr>
          <w:lang w:val="en-GB"/>
        </w:rPr>
        <w:t>taken into account</w:t>
      </w:r>
      <w:proofErr w:type="gramEnd"/>
      <w:r w:rsidRPr="003B6A69">
        <w:rPr>
          <w:lang w:val="en-GB"/>
        </w:rPr>
        <w:t xml:space="preserve"> that S</w:t>
      </w:r>
      <w:r w:rsidR="008C6008" w:rsidRPr="003B6A69">
        <w:rPr>
          <w:lang w:val="en-GB"/>
        </w:rPr>
        <w:t xml:space="preserve">patial </w:t>
      </w:r>
      <w:r w:rsidRPr="003B6A69">
        <w:rPr>
          <w:lang w:val="en-GB"/>
        </w:rPr>
        <w:t>P</w:t>
      </w:r>
      <w:r w:rsidR="008C6008" w:rsidRPr="003B6A69">
        <w:rPr>
          <w:lang w:val="en-GB"/>
        </w:rPr>
        <w:t>lan</w:t>
      </w:r>
      <w:r w:rsidRPr="003B6A69">
        <w:rPr>
          <w:lang w:val="en-GB"/>
        </w:rPr>
        <w:t xml:space="preserve"> is a strategic planning document, which gives general projections for the development, arrangement</w:t>
      </w:r>
      <w:r w:rsidR="005D32D5" w:rsidRPr="003B6A69">
        <w:rPr>
          <w:lang w:val="en-GB"/>
        </w:rPr>
        <w:t>,</w:t>
      </w:r>
      <w:r w:rsidRPr="003B6A69">
        <w:rPr>
          <w:lang w:val="en-GB"/>
        </w:rPr>
        <w:t xml:space="preserve"> and use of space, without realistic possibilities for considering the details. On the other hand, the General Regulation Plan of Montenegro is a planning document that governs in more detail the goals and measures of spatial and urban development of Montenegro, while respecting specific needs arising from regional particularities, elaborating the objectives of spatial </w:t>
      </w:r>
      <w:proofErr w:type="gramStart"/>
      <w:r w:rsidRPr="003B6A69">
        <w:rPr>
          <w:lang w:val="en-GB"/>
        </w:rPr>
        <w:t>planning</w:t>
      </w:r>
      <w:proofErr w:type="gramEnd"/>
      <w:r w:rsidRPr="003B6A69">
        <w:rPr>
          <w:lang w:val="en-GB"/>
        </w:rPr>
        <w:t xml:space="preserve"> and regulating rational space utili</w:t>
      </w:r>
      <w:r w:rsidR="005D32D5" w:rsidRPr="003B6A69">
        <w:rPr>
          <w:lang w:val="en-GB"/>
        </w:rPr>
        <w:t>z</w:t>
      </w:r>
      <w:r w:rsidRPr="003B6A69">
        <w:rPr>
          <w:lang w:val="en-GB"/>
        </w:rPr>
        <w:t>ation and sea area, in accordance with economic, social, environmental and cultural and historic development. The General Regulation Plan of Montenegro shall cover the northern, central</w:t>
      </w:r>
      <w:r w:rsidR="005D32D5" w:rsidRPr="003B6A69">
        <w:rPr>
          <w:lang w:val="en-GB"/>
        </w:rPr>
        <w:t>,</w:t>
      </w:r>
      <w:r w:rsidRPr="003B6A69">
        <w:rPr>
          <w:lang w:val="en-GB"/>
        </w:rPr>
        <w:t xml:space="preserve"> and coastal regions, as well as the area of national parks and the UNESCO areas. The coverage of regions shall be stipulated in accordance with the law governing regional development, </w:t>
      </w:r>
      <w:proofErr w:type="gramStart"/>
      <w:r w:rsidRPr="003B6A69">
        <w:rPr>
          <w:lang w:val="en-GB"/>
        </w:rPr>
        <w:t>with the exception of</w:t>
      </w:r>
      <w:proofErr w:type="gramEnd"/>
      <w:r w:rsidRPr="003B6A69">
        <w:rPr>
          <w:lang w:val="en-GB"/>
        </w:rPr>
        <w:t xml:space="preserve"> areas of national parks and territories under UNESCO protection. The General Regulation Plan of Montenegro is designed to define, in particular: designated use of surfaces; conditions of space planning, construction</w:t>
      </w:r>
      <w:r w:rsidR="005D32D5" w:rsidRPr="003B6A69">
        <w:rPr>
          <w:lang w:val="en-GB"/>
        </w:rPr>
        <w:t>,</w:t>
      </w:r>
      <w:r w:rsidRPr="003B6A69">
        <w:rPr>
          <w:lang w:val="en-GB"/>
        </w:rPr>
        <w:t xml:space="preserve"> and space use; corridors and capacities for infrastructure; boundaries of settlement construction areas; boundaries of designated construction areas outside of settlements; boundaries of designated parts of settlement construction areas; boundaries of coverage for which detailed urban schemes are elaborated; boundaries of urban remediation zones; space intended to be covered by urban development designs; boundaries of protected areas up to IUCN category II, international PA nominations.  The General Regulation Plan of Montenegro shall include, in particular: the rules of planning and </w:t>
      </w:r>
      <w:r w:rsidR="005D32D5" w:rsidRPr="003B6A69">
        <w:rPr>
          <w:lang w:val="en-GB"/>
        </w:rPr>
        <w:t xml:space="preserve">building </w:t>
      </w:r>
      <w:r w:rsidRPr="003B6A69">
        <w:rPr>
          <w:lang w:val="en-GB"/>
        </w:rPr>
        <w:t>rules by zones; land allotment rules; urban remediation guidelines; development guidelines for urban development designs; landscape architecture guidelines; cultural heritage protection guidelines; nature and environment</w:t>
      </w:r>
      <w:r w:rsidR="005D32D5" w:rsidRPr="003B6A69">
        <w:rPr>
          <w:lang w:val="en-GB"/>
        </w:rPr>
        <w:t>al</w:t>
      </w:r>
      <w:r w:rsidRPr="003B6A69">
        <w:rPr>
          <w:lang w:val="en-GB"/>
        </w:rPr>
        <w:t xml:space="preserve"> improvement and protection guidelines; prevention and protection guidelines against natural disasters, technical and technological and other accidents; climate change adaptation guidelines; guidelines for reducing seismic risk; guidelines for improving energy efficiency and using renewable energy sources; guidelines for concession areas; economic and market projection; other guidelines for the implementation of the plan. For centres of local self-government units, the General Regulation Plan of Montenegro shall contain the detailed urban scheme. In view of </w:t>
      </w:r>
      <w:r w:rsidR="005D32D5" w:rsidRPr="003B6A69">
        <w:rPr>
          <w:lang w:val="en-GB"/>
        </w:rPr>
        <w:t xml:space="preserve">the </w:t>
      </w:r>
      <w:r w:rsidRPr="003B6A69">
        <w:rPr>
          <w:lang w:val="en-GB"/>
        </w:rPr>
        <w:t xml:space="preserve">spatial development of rural areas and encouraging their sustainable development and </w:t>
      </w:r>
      <w:proofErr w:type="gramStart"/>
      <w:r w:rsidRPr="003B6A69">
        <w:rPr>
          <w:lang w:val="en-GB"/>
        </w:rPr>
        <w:t>taking into account</w:t>
      </w:r>
      <w:proofErr w:type="gramEnd"/>
      <w:r w:rsidRPr="003B6A69">
        <w:rPr>
          <w:lang w:val="en-GB"/>
        </w:rPr>
        <w:t xml:space="preserve"> geomorphological diversities (hilly, mountainous, coastal, etc.), as well as regional and traditional characteristics (compacted, dispersed type, periodically and continuously inhabited), the General Regulation Plan of Montenegro shall contain the basis for planning rural areas. The </w:t>
      </w:r>
      <w:r w:rsidRPr="003B6A69">
        <w:rPr>
          <w:lang w:val="en-GB"/>
        </w:rPr>
        <w:lastRenderedPageBreak/>
        <w:t xml:space="preserve">General Regulation Plan is adopted for a period of 10 years. The MSDT is responsible for the design of the plan. </w:t>
      </w:r>
      <w:proofErr w:type="gramStart"/>
      <w:r w:rsidRPr="003B6A69">
        <w:rPr>
          <w:lang w:val="en-GB"/>
        </w:rPr>
        <w:t>In order to</w:t>
      </w:r>
      <w:proofErr w:type="gramEnd"/>
      <w:r w:rsidRPr="003B6A69">
        <w:rPr>
          <w:lang w:val="en-GB"/>
        </w:rPr>
        <w:t xml:space="preserve"> implement the General Regulation Plan of Montenegro, the assembly of the local self-government unit adopts an urban project, on the proposal of the executive body of the local self-government unit.</w:t>
      </w:r>
    </w:p>
    <w:p w14:paraId="643355DD" w14:textId="1E53735D" w:rsidR="00AF1F0F" w:rsidRPr="003B6A69" w:rsidRDefault="00AF1F0F" w:rsidP="00AF1F0F">
      <w:pPr>
        <w:rPr>
          <w:lang w:val="en-GB"/>
        </w:rPr>
      </w:pPr>
      <w:r w:rsidRPr="003B6A69">
        <w:rPr>
          <w:lang w:val="en-GB"/>
        </w:rPr>
        <w:t>22.</w:t>
      </w:r>
      <w:r w:rsidRPr="003B6A69">
        <w:rPr>
          <w:lang w:val="en-GB"/>
        </w:rPr>
        <w:tab/>
        <w:t xml:space="preserve">In the baseline scenario, the spatial planning framework of the country provides little room for </w:t>
      </w:r>
      <w:r w:rsidR="005D32D5" w:rsidRPr="003B6A69">
        <w:rPr>
          <w:lang w:val="en-GB"/>
        </w:rPr>
        <w:t xml:space="preserve">the </w:t>
      </w:r>
      <w:r w:rsidRPr="003B6A69">
        <w:rPr>
          <w:lang w:val="en-GB"/>
        </w:rPr>
        <w:t xml:space="preserve">protection of key biodiversity </w:t>
      </w:r>
      <w:proofErr w:type="gramStart"/>
      <w:r w:rsidRPr="003B6A69">
        <w:rPr>
          <w:lang w:val="en-GB"/>
        </w:rPr>
        <w:t>hot-spots</w:t>
      </w:r>
      <w:proofErr w:type="gramEnd"/>
      <w:r w:rsidRPr="003B6A69">
        <w:rPr>
          <w:lang w:val="en-GB"/>
        </w:rPr>
        <w:t xml:space="preserve"> outside the already existing protected areas. There are plans for expansion of the PA network but those are not particularly reflective of KBAs or other internationally recognised </w:t>
      </w:r>
      <w:proofErr w:type="gramStart"/>
      <w:r w:rsidRPr="003B6A69">
        <w:rPr>
          <w:lang w:val="en-GB"/>
        </w:rPr>
        <w:t>hot-spots</w:t>
      </w:r>
      <w:proofErr w:type="gramEnd"/>
      <w:r w:rsidRPr="003B6A69">
        <w:rPr>
          <w:lang w:val="en-GB"/>
        </w:rPr>
        <w:t xml:space="preserve">. </w:t>
      </w:r>
    </w:p>
    <w:p w14:paraId="2071D861" w14:textId="77777777" w:rsidR="00AF1F0F" w:rsidRPr="003B6A69" w:rsidRDefault="00AF1F0F" w:rsidP="00AF1F0F">
      <w:pPr>
        <w:rPr>
          <w:lang w:val="en-GB"/>
        </w:rPr>
      </w:pPr>
      <w:r w:rsidRPr="003B6A69">
        <w:rPr>
          <w:lang w:val="en-GB"/>
        </w:rPr>
        <w:t>23.</w:t>
      </w:r>
      <w:r w:rsidRPr="003B6A69">
        <w:rPr>
          <w:lang w:val="en-GB"/>
        </w:rPr>
        <w:tab/>
        <w:t>The current Spatial Plan of Montenegro (for 2008 – 2020) mentioned the following options for expanding borders of the existing PAs to provide national protection and adequate management to the internationally recognized biodiversity centres; however, these long-term plans for better protection of KBAs/nature heritage have not been realized:</w:t>
      </w:r>
    </w:p>
    <w:p w14:paraId="4A86B397" w14:textId="77777777" w:rsidR="00AF1F0F" w:rsidRPr="003B6A69" w:rsidRDefault="00AF1F0F" w:rsidP="00AF1F0F">
      <w:pPr>
        <w:rPr>
          <w:lang w:val="en-GB"/>
        </w:rPr>
      </w:pPr>
      <w:r w:rsidRPr="003B6A69">
        <w:rPr>
          <w:lang w:val="en-GB"/>
        </w:rPr>
        <w:t>-</w:t>
      </w:r>
      <w:r w:rsidRPr="003B6A69">
        <w:rPr>
          <w:lang w:val="en-GB"/>
        </w:rPr>
        <w:tab/>
        <w:t>expansion of the UNESCO area of Kotor-</w:t>
      </w:r>
      <w:proofErr w:type="spellStart"/>
      <w:r w:rsidRPr="003B6A69">
        <w:rPr>
          <w:lang w:val="en-GB"/>
        </w:rPr>
        <w:t>Risan</w:t>
      </w:r>
      <w:proofErr w:type="spellEnd"/>
      <w:r w:rsidRPr="003B6A69">
        <w:rPr>
          <w:lang w:val="en-GB"/>
        </w:rPr>
        <w:t xml:space="preserve"> Bay to the southern part of </w:t>
      </w:r>
      <w:proofErr w:type="spellStart"/>
      <w:r w:rsidRPr="003B6A69">
        <w:rPr>
          <w:lang w:val="en-GB"/>
        </w:rPr>
        <w:t>Vrmac</w:t>
      </w:r>
      <w:proofErr w:type="spellEnd"/>
      <w:r w:rsidRPr="003B6A69">
        <w:rPr>
          <w:lang w:val="en-GB"/>
        </w:rPr>
        <w:t>,</w:t>
      </w:r>
    </w:p>
    <w:p w14:paraId="2CA48418" w14:textId="77777777" w:rsidR="00AF1F0F" w:rsidRPr="003B6A69" w:rsidRDefault="00AF1F0F" w:rsidP="00AF1F0F">
      <w:pPr>
        <w:rPr>
          <w:lang w:val="en-GB"/>
        </w:rPr>
      </w:pPr>
      <w:r w:rsidRPr="003B6A69">
        <w:rPr>
          <w:lang w:val="en-GB"/>
        </w:rPr>
        <w:t>-</w:t>
      </w:r>
      <w:r w:rsidRPr="003B6A69">
        <w:rPr>
          <w:lang w:val="en-GB"/>
        </w:rPr>
        <w:tab/>
        <w:t xml:space="preserve">extension of the boundaries of the National Park </w:t>
      </w:r>
      <w:proofErr w:type="spellStart"/>
      <w:r w:rsidRPr="003B6A69">
        <w:rPr>
          <w:lang w:val="en-GB"/>
        </w:rPr>
        <w:t>Skadar</w:t>
      </w:r>
      <w:proofErr w:type="spellEnd"/>
      <w:r w:rsidRPr="003B6A69">
        <w:rPr>
          <w:lang w:val="en-GB"/>
        </w:rPr>
        <w:t xml:space="preserve"> Lake to the Regional Park </w:t>
      </w:r>
      <w:proofErr w:type="spellStart"/>
      <w:r w:rsidRPr="003B6A69">
        <w:rPr>
          <w:lang w:val="en-GB"/>
        </w:rPr>
        <w:t>Rumija</w:t>
      </w:r>
      <w:proofErr w:type="spellEnd"/>
      <w:r w:rsidRPr="003B6A69">
        <w:rPr>
          <w:lang w:val="en-GB"/>
        </w:rPr>
        <w:t xml:space="preserve"> or the area of </w:t>
      </w:r>
      <w:proofErr w:type="spellStart"/>
      <w:r w:rsidRPr="003B6A69">
        <w:rPr>
          <w:lang w:val="en-GB"/>
        </w:rPr>
        <w:t>Šasko</w:t>
      </w:r>
      <w:proofErr w:type="spellEnd"/>
      <w:r w:rsidRPr="003B6A69">
        <w:rPr>
          <w:lang w:val="en-GB"/>
        </w:rPr>
        <w:t xml:space="preserve"> Lake / Bojana Delta,</w:t>
      </w:r>
    </w:p>
    <w:p w14:paraId="3E6C5733" w14:textId="77777777" w:rsidR="00AF1F0F" w:rsidRPr="003B6A69" w:rsidRDefault="00AF1F0F" w:rsidP="00AF1F0F">
      <w:pPr>
        <w:rPr>
          <w:lang w:val="en-GB"/>
        </w:rPr>
      </w:pPr>
      <w:r w:rsidRPr="003B6A69">
        <w:rPr>
          <w:lang w:val="en-GB"/>
        </w:rPr>
        <w:t>-</w:t>
      </w:r>
      <w:r w:rsidRPr="003B6A69">
        <w:rPr>
          <w:lang w:val="en-GB"/>
        </w:rPr>
        <w:tab/>
        <w:t>connecting the National Park "</w:t>
      </w:r>
      <w:proofErr w:type="spellStart"/>
      <w:r w:rsidRPr="003B6A69">
        <w:rPr>
          <w:lang w:val="en-GB"/>
        </w:rPr>
        <w:t>Biogradska</w:t>
      </w:r>
      <w:proofErr w:type="spellEnd"/>
      <w:r w:rsidRPr="003B6A69">
        <w:rPr>
          <w:lang w:val="en-GB"/>
        </w:rPr>
        <w:t xml:space="preserve"> </w:t>
      </w:r>
      <w:proofErr w:type="spellStart"/>
      <w:r w:rsidRPr="003B6A69">
        <w:rPr>
          <w:lang w:val="en-GB"/>
        </w:rPr>
        <w:t>gora</w:t>
      </w:r>
      <w:proofErr w:type="spellEnd"/>
      <w:r w:rsidRPr="003B6A69">
        <w:rPr>
          <w:lang w:val="en-GB"/>
        </w:rPr>
        <w:t xml:space="preserve">" with the mountain massif of the planned Regional Park (Nature Park) </w:t>
      </w:r>
      <w:proofErr w:type="spellStart"/>
      <w:r w:rsidRPr="003B6A69">
        <w:rPr>
          <w:lang w:val="en-GB"/>
        </w:rPr>
        <w:t>Komovi</w:t>
      </w:r>
      <w:proofErr w:type="spellEnd"/>
      <w:r w:rsidRPr="003B6A69">
        <w:rPr>
          <w:lang w:val="en-GB"/>
        </w:rPr>
        <w:t>, nor</w:t>
      </w:r>
    </w:p>
    <w:p w14:paraId="5D5A0822" w14:textId="77777777" w:rsidR="00AF1F0F" w:rsidRPr="003B6A69" w:rsidRDefault="00AF1F0F" w:rsidP="00AF1F0F">
      <w:pPr>
        <w:rPr>
          <w:lang w:val="en-GB"/>
        </w:rPr>
      </w:pPr>
      <w:r w:rsidRPr="003B6A69">
        <w:rPr>
          <w:lang w:val="en-GB"/>
        </w:rPr>
        <w:t>-</w:t>
      </w:r>
      <w:r w:rsidRPr="003B6A69">
        <w:rPr>
          <w:lang w:val="en-GB"/>
        </w:rPr>
        <w:tab/>
        <w:t>establishment of the new National Park “</w:t>
      </w:r>
      <w:proofErr w:type="spellStart"/>
      <w:r w:rsidRPr="003B6A69">
        <w:rPr>
          <w:lang w:val="en-GB"/>
        </w:rPr>
        <w:t>Orjen</w:t>
      </w:r>
      <w:proofErr w:type="spellEnd"/>
      <w:r w:rsidRPr="003B6A69">
        <w:rPr>
          <w:lang w:val="en-GB"/>
        </w:rPr>
        <w:t xml:space="preserve">”. A part of </w:t>
      </w:r>
      <w:proofErr w:type="spellStart"/>
      <w:r w:rsidRPr="003B6A69">
        <w:rPr>
          <w:lang w:val="en-GB"/>
        </w:rPr>
        <w:t>Orjen</w:t>
      </w:r>
      <w:proofErr w:type="spellEnd"/>
      <w:r w:rsidRPr="003B6A69">
        <w:rPr>
          <w:lang w:val="en-GB"/>
        </w:rPr>
        <w:t xml:space="preserve"> territory was established as a Nature Park but </w:t>
      </w:r>
      <w:proofErr w:type="gramStart"/>
      <w:r w:rsidRPr="003B6A69">
        <w:rPr>
          <w:lang w:val="en-GB"/>
        </w:rPr>
        <w:t>taking into account</w:t>
      </w:r>
      <w:proofErr w:type="gramEnd"/>
      <w:r w:rsidRPr="003B6A69">
        <w:rPr>
          <w:lang w:val="en-GB"/>
        </w:rPr>
        <w:t xml:space="preserve"> the lack of management arrangement of the latter, the KBA remains mostly unprotected.</w:t>
      </w:r>
    </w:p>
    <w:p w14:paraId="61F6DA90" w14:textId="2208EB01" w:rsidR="00AF1F0F" w:rsidRPr="003B6A69" w:rsidRDefault="00AF1F0F" w:rsidP="00AF1F0F">
      <w:pPr>
        <w:rPr>
          <w:lang w:val="en-GB"/>
        </w:rPr>
      </w:pPr>
      <w:r w:rsidRPr="003B6A69">
        <w:rPr>
          <w:lang w:val="en-GB"/>
        </w:rPr>
        <w:t>24.</w:t>
      </w:r>
      <w:r w:rsidRPr="003B6A69">
        <w:rPr>
          <w:lang w:val="en-GB"/>
        </w:rPr>
        <w:tab/>
      </w:r>
      <w:proofErr w:type="gramStart"/>
      <w:r w:rsidRPr="003B6A69">
        <w:rPr>
          <w:lang w:val="en-GB"/>
        </w:rPr>
        <w:t>In order for</w:t>
      </w:r>
      <w:proofErr w:type="gramEnd"/>
      <w:r w:rsidRPr="003B6A69">
        <w:rPr>
          <w:lang w:val="en-GB"/>
        </w:rPr>
        <w:t xml:space="preserve"> the KBAs to be effective in </w:t>
      </w:r>
      <w:r w:rsidR="005D32D5" w:rsidRPr="003B6A69">
        <w:rPr>
          <w:lang w:val="en-GB"/>
        </w:rPr>
        <w:t xml:space="preserve">the </w:t>
      </w:r>
      <w:r w:rsidRPr="003B6A69">
        <w:rPr>
          <w:lang w:val="en-GB"/>
        </w:rPr>
        <w:t xml:space="preserve">conservation of viable species populations, they need to be adequately interconnected. The Spatial Plan of Montenegro refers to ecological corridors, but the concept is not specifically defined in the Plan. The following corridors are identified: the mountains belonging to the Dinaric arc (west-east distribution, most mountains in the north of Montenegro), and </w:t>
      </w:r>
      <w:r w:rsidR="005D32D5" w:rsidRPr="003B6A69">
        <w:rPr>
          <w:lang w:val="en-GB"/>
        </w:rPr>
        <w:t xml:space="preserve">the </w:t>
      </w:r>
      <w:r w:rsidRPr="003B6A69">
        <w:rPr>
          <w:lang w:val="en-GB"/>
        </w:rPr>
        <w:t>southern coastal mountains corridor (</w:t>
      </w:r>
      <w:proofErr w:type="spellStart"/>
      <w:r w:rsidRPr="003B6A69">
        <w:rPr>
          <w:lang w:val="en-GB"/>
        </w:rPr>
        <w:t>Orjen-Lovcen-Rumija</w:t>
      </w:r>
      <w:proofErr w:type="spellEnd"/>
      <w:r w:rsidRPr="003B6A69">
        <w:rPr>
          <w:lang w:val="en-GB"/>
        </w:rPr>
        <w:t xml:space="preserve">). These are the two primary corridors, and the third is running </w:t>
      </w:r>
      <w:proofErr w:type="spellStart"/>
      <w:r w:rsidRPr="003B6A69">
        <w:rPr>
          <w:lang w:val="en-GB"/>
        </w:rPr>
        <w:t>Orjen</w:t>
      </w:r>
      <w:proofErr w:type="spellEnd"/>
      <w:r w:rsidRPr="003B6A69">
        <w:rPr>
          <w:lang w:val="en-GB"/>
        </w:rPr>
        <w:t xml:space="preserve"> - </w:t>
      </w:r>
      <w:proofErr w:type="spellStart"/>
      <w:r w:rsidRPr="003B6A69">
        <w:rPr>
          <w:lang w:val="en-GB"/>
        </w:rPr>
        <w:t>Pusti</w:t>
      </w:r>
      <w:proofErr w:type="spellEnd"/>
      <w:r w:rsidRPr="003B6A69">
        <w:rPr>
          <w:lang w:val="en-GB"/>
        </w:rPr>
        <w:t xml:space="preserve"> </w:t>
      </w:r>
      <w:proofErr w:type="spellStart"/>
      <w:r w:rsidRPr="003B6A69">
        <w:rPr>
          <w:lang w:val="en-GB"/>
        </w:rPr>
        <w:t>Lisac</w:t>
      </w:r>
      <w:proofErr w:type="spellEnd"/>
      <w:r w:rsidRPr="003B6A69">
        <w:rPr>
          <w:lang w:val="en-GB"/>
        </w:rPr>
        <w:t xml:space="preserve"> - </w:t>
      </w:r>
      <w:proofErr w:type="spellStart"/>
      <w:r w:rsidRPr="003B6A69">
        <w:rPr>
          <w:lang w:val="en-GB"/>
        </w:rPr>
        <w:t>Maganik</w:t>
      </w:r>
      <w:proofErr w:type="spellEnd"/>
      <w:r w:rsidRPr="003B6A69">
        <w:rPr>
          <w:lang w:val="en-GB"/>
        </w:rPr>
        <w:t xml:space="preserve"> – </w:t>
      </w:r>
      <w:proofErr w:type="spellStart"/>
      <w:r w:rsidRPr="003B6A69">
        <w:rPr>
          <w:lang w:val="en-GB"/>
        </w:rPr>
        <w:t>Sinjajevina</w:t>
      </w:r>
      <w:proofErr w:type="spellEnd"/>
      <w:r w:rsidRPr="003B6A69">
        <w:rPr>
          <w:lang w:val="en-GB"/>
        </w:rPr>
        <w:t xml:space="preserve"> – </w:t>
      </w:r>
      <w:proofErr w:type="spellStart"/>
      <w:r w:rsidRPr="003B6A69">
        <w:rPr>
          <w:lang w:val="en-GB"/>
        </w:rPr>
        <w:t>Kovren</w:t>
      </w:r>
      <w:proofErr w:type="spellEnd"/>
      <w:r w:rsidRPr="003B6A69">
        <w:rPr>
          <w:lang w:val="en-GB"/>
        </w:rPr>
        <w:t xml:space="preserve"> (south-north, in the western part of Montenegro). This somewhat corresponds to the PA gap analysis commissioned in 2012, but no reference to either the migratory/habitat protection corridor traditional concept, nor to the PA buffer zones is made. Green belt (north-south along the border with Albania – includes Prokletije and Bojana River system) is also mentioned.</w:t>
      </w:r>
    </w:p>
    <w:p w14:paraId="562BBAD3" w14:textId="77777777" w:rsidR="00AF1F0F" w:rsidRPr="003B6A69" w:rsidRDefault="00AF1F0F" w:rsidP="00AF1F0F">
      <w:pPr>
        <w:rPr>
          <w:lang w:val="en-GB"/>
        </w:rPr>
      </w:pPr>
      <w:r w:rsidRPr="003B6A69">
        <w:rPr>
          <w:lang w:val="en-GB"/>
        </w:rPr>
        <w:t>Sectoral development baseline</w:t>
      </w:r>
    </w:p>
    <w:p w14:paraId="66AB1BCC" w14:textId="7BAFCBB7" w:rsidR="00AF1F0F" w:rsidRPr="003B6A69" w:rsidRDefault="00AF1F0F" w:rsidP="00AF1F0F">
      <w:pPr>
        <w:rPr>
          <w:lang w:val="en-GB"/>
        </w:rPr>
      </w:pPr>
      <w:r w:rsidRPr="003B6A69">
        <w:rPr>
          <w:lang w:val="en-GB"/>
        </w:rPr>
        <w:t>25.</w:t>
      </w:r>
      <w:r w:rsidRPr="003B6A69">
        <w:rPr>
          <w:lang w:val="en-GB"/>
        </w:rPr>
        <w:tab/>
        <w:t>In the baseline scenario, although certain BD conservation consideration</w:t>
      </w:r>
      <w:r w:rsidR="005D32D5" w:rsidRPr="003B6A69">
        <w:rPr>
          <w:lang w:val="en-GB"/>
        </w:rPr>
        <w:t>s</w:t>
      </w:r>
      <w:r w:rsidRPr="003B6A69">
        <w:rPr>
          <w:lang w:val="en-GB"/>
        </w:rPr>
        <w:t xml:space="preserve"> are embedded into the sectoral policy framework documents, little or nothing is provided for </w:t>
      </w:r>
      <w:r w:rsidR="005D32D5" w:rsidRPr="003B6A69">
        <w:rPr>
          <w:lang w:val="en-GB"/>
        </w:rPr>
        <w:t xml:space="preserve">the </w:t>
      </w:r>
      <w:r w:rsidRPr="003B6A69">
        <w:rPr>
          <w:lang w:val="en-GB"/>
        </w:rPr>
        <w:t>implementation of biodiversity-friendly practices in the priority sectors (tourism, forestry, agriculture). Private business in the vicinity of KBAs (tourism, agriculture, forestry) does not mainstream biodiversity conservation as a priority. No incentives to support biodiversity-friendly practices for the small-scale production and service businesses (tourism, farming) are in place.</w:t>
      </w:r>
    </w:p>
    <w:p w14:paraId="4D565792" w14:textId="54B4025E" w:rsidR="00AF1F0F" w:rsidRPr="003B6A69" w:rsidRDefault="00AF1F0F" w:rsidP="00AF1F0F">
      <w:pPr>
        <w:rPr>
          <w:lang w:val="en-GB"/>
        </w:rPr>
      </w:pPr>
      <w:r w:rsidRPr="003B6A69">
        <w:rPr>
          <w:lang w:val="en-GB"/>
        </w:rPr>
        <w:t>26.</w:t>
      </w:r>
      <w:r w:rsidRPr="003B6A69">
        <w:rPr>
          <w:lang w:val="en-GB"/>
        </w:rPr>
        <w:tab/>
        <w:t xml:space="preserve">According to the current Tourism Development Strategy, </w:t>
      </w:r>
      <w:r w:rsidR="005D32D5" w:rsidRPr="003B6A69">
        <w:rPr>
          <w:lang w:val="en-GB"/>
        </w:rPr>
        <w:t xml:space="preserve">the </w:t>
      </w:r>
      <w:r w:rsidRPr="003B6A69">
        <w:rPr>
          <w:lang w:val="en-GB"/>
        </w:rPr>
        <w:t>development of tourism in Montenegro should be based on nature potentials, and nature-based tourism should be encouraged. Over the past several years, activities have been implemented on encouraging nature-based tourism (</w:t>
      </w:r>
      <w:proofErr w:type="gramStart"/>
      <w:r w:rsidRPr="003B6A69">
        <w:rPr>
          <w:lang w:val="en-GB"/>
        </w:rPr>
        <w:t>e.g.</w:t>
      </w:r>
      <w:proofErr w:type="gramEnd"/>
      <w:r w:rsidRPr="003B6A69">
        <w:rPr>
          <w:lang w:val="en-GB"/>
        </w:rPr>
        <w:t xml:space="preserve"> mountaineering, cycling), directly, and through support to the development of rural tourism, for which a specific strategy had been adopted. It, however, does not define specific measures for biodiversity protection. Although there is a significant grow</w:t>
      </w:r>
      <w:r w:rsidR="005D32D5" w:rsidRPr="003B6A69">
        <w:rPr>
          <w:lang w:val="en-GB"/>
        </w:rPr>
        <w:t>th</w:t>
      </w:r>
      <w:r w:rsidRPr="003B6A69">
        <w:rPr>
          <w:lang w:val="en-GB"/>
        </w:rPr>
        <w:t xml:space="preserve"> trend in the number of visitors in protected areas over the past several years, the assessment of carrying capacity and impact of visitors to biodiversity have not been so far conducted for any protected area.</w:t>
      </w:r>
    </w:p>
    <w:p w14:paraId="046A5C8D" w14:textId="4F62874D" w:rsidR="00AF1F0F" w:rsidRPr="003B6A69" w:rsidRDefault="00AF1F0F" w:rsidP="00AF1F0F">
      <w:pPr>
        <w:rPr>
          <w:lang w:val="en-GB"/>
        </w:rPr>
      </w:pPr>
      <w:r w:rsidRPr="003B6A69">
        <w:rPr>
          <w:lang w:val="en-GB"/>
        </w:rPr>
        <w:t>27.</w:t>
      </w:r>
      <w:r w:rsidRPr="003B6A69">
        <w:rPr>
          <w:lang w:val="en-GB"/>
        </w:rPr>
        <w:tab/>
        <w:t>There have been recent developments in the tourism sector related to eco-certification: a</w:t>
      </w:r>
      <w:r w:rsidR="005D32D5" w:rsidRPr="003B6A69">
        <w:rPr>
          <w:lang w:val="en-GB"/>
        </w:rPr>
        <w:t>n</w:t>
      </w:r>
      <w:r w:rsidRPr="003B6A69">
        <w:rPr>
          <w:lang w:val="en-GB"/>
        </w:rPr>
        <w:t xml:space="preserve"> EU Ecolabel for tourism accommodations was introduced with the following criteria: a) limited energy consumption; b) limited water consumption; c) reduced amount of waste; d) use of renewable resources; e) promotion of education and communication on environmental topics with the staff, </w:t>
      </w:r>
      <w:proofErr w:type="gramStart"/>
      <w:r w:rsidRPr="003B6A69">
        <w:rPr>
          <w:lang w:val="en-GB"/>
        </w:rPr>
        <w:t>guests</w:t>
      </w:r>
      <w:proofErr w:type="gramEnd"/>
      <w:r w:rsidRPr="003B6A69">
        <w:rPr>
          <w:lang w:val="en-GB"/>
        </w:rPr>
        <w:t xml:space="preserve"> and partners. The Ministry of Sustainable Development and Tourism co-finances certification costs through low carbon tourism project financed by GEF and implemented by UNDP, through earmarked funds for auditing costs, while certified facilities have the obligation to pay </w:t>
      </w:r>
      <w:r w:rsidR="005D32D5" w:rsidRPr="003B6A69">
        <w:rPr>
          <w:lang w:val="en-GB"/>
        </w:rPr>
        <w:t xml:space="preserve">an </w:t>
      </w:r>
      <w:r w:rsidRPr="003B6A69">
        <w:rPr>
          <w:lang w:val="en-GB"/>
        </w:rPr>
        <w:t xml:space="preserve">annual membership fee (2 years for </w:t>
      </w:r>
      <w:proofErr w:type="spellStart"/>
      <w:r w:rsidRPr="003B6A69">
        <w:rPr>
          <w:lang w:val="en-GB"/>
        </w:rPr>
        <w:t>Travelife</w:t>
      </w:r>
      <w:proofErr w:type="spellEnd"/>
      <w:r w:rsidRPr="003B6A69">
        <w:rPr>
          <w:lang w:val="en-GB"/>
        </w:rPr>
        <w:t xml:space="preserve"> and up to 5 years for the EU Eco-label certificate), thus encouraging the certification programme.</w:t>
      </w:r>
    </w:p>
    <w:p w14:paraId="7F6D3EE6" w14:textId="49BB6B09" w:rsidR="00AF1F0F" w:rsidRPr="003B6A69" w:rsidRDefault="00AF1F0F" w:rsidP="00AF1F0F">
      <w:pPr>
        <w:rPr>
          <w:lang w:val="en-GB"/>
        </w:rPr>
      </w:pPr>
      <w:r w:rsidRPr="003B6A69">
        <w:rPr>
          <w:lang w:val="en-GB"/>
        </w:rPr>
        <w:t>28.</w:t>
      </w:r>
      <w:r w:rsidRPr="003B6A69">
        <w:rPr>
          <w:lang w:val="en-GB"/>
        </w:rPr>
        <w:tab/>
        <w:t>The PPG preparatory analysis of the existing certification schemes in Montenegro and the relevant certification baseline in the EU (</w:t>
      </w:r>
      <w:hyperlink w:anchor="_Annex_4:_Agricultural" w:history="1">
        <w:r w:rsidRPr="003B6A69">
          <w:rPr>
            <w:rStyle w:val="Hyperlink"/>
            <w:lang w:val="en-GB"/>
          </w:rPr>
          <w:t xml:space="preserve">Annex </w:t>
        </w:r>
        <w:r w:rsidR="006C1C66" w:rsidRPr="003B6A69">
          <w:rPr>
            <w:rStyle w:val="Hyperlink"/>
            <w:lang w:val="en-GB"/>
          </w:rPr>
          <w:t>16</w:t>
        </w:r>
      </w:hyperlink>
      <w:r w:rsidRPr="003B6A69">
        <w:rPr>
          <w:lang w:val="en-GB"/>
        </w:rPr>
        <w:t>) shows that the currently used certificates/mechanisms do not contain specific criteria that would particular</w:t>
      </w:r>
      <w:r w:rsidR="005D32D5" w:rsidRPr="003B6A69">
        <w:rPr>
          <w:lang w:val="en-GB"/>
        </w:rPr>
        <w:t xml:space="preserve">ly indicate the application of </w:t>
      </w:r>
      <w:r w:rsidRPr="003B6A69">
        <w:rPr>
          <w:lang w:val="en-GB"/>
        </w:rPr>
        <w:t>nature-based, environmentally responsive, biodiversity sensitive tourism developments/operations, and provide for comprehensive monitoring and assessment. Out of a handful of certification schemes working in various EU countries, the eco-certification baseline study for Montenegro (</w:t>
      </w:r>
      <w:hyperlink w:anchor="_Annex_4:_Agricultural" w:history="1">
        <w:r w:rsidRPr="003B6A69">
          <w:rPr>
            <w:rStyle w:val="Hyperlink"/>
            <w:lang w:val="en-GB"/>
          </w:rPr>
          <w:t xml:space="preserve">Annex </w:t>
        </w:r>
        <w:r w:rsidR="006C1C66" w:rsidRPr="003B6A69">
          <w:rPr>
            <w:rStyle w:val="Hyperlink"/>
            <w:lang w:val="en-GB"/>
          </w:rPr>
          <w:t>16</w:t>
        </w:r>
      </w:hyperlink>
      <w:r w:rsidRPr="003B6A69">
        <w:rPr>
          <w:lang w:val="en-GB"/>
        </w:rPr>
        <w:t xml:space="preserve">) showcases a very few certification systems and indicators that are in use. While an initial survey in 2015 showed 58% of business owners willing to pay for eco-certification, 5 years later the evidence is that momentum for the certification scheme has not caught on. The stakeholder consultations indicated that the main limitation to applying for certification is the lack of understanding </w:t>
      </w:r>
      <w:r w:rsidRPr="003B6A69">
        <w:rPr>
          <w:lang w:val="en-GB"/>
        </w:rPr>
        <w:lastRenderedPageBreak/>
        <w:t>of the opportunities these labels bring. For an average size company, obtaining certification is seen as an additional burden to the management to comply with the standards, and a burden on the finances to pay annual membership fees and audit fees, as the management is not aware of the wider benefits certification would bring to them.</w:t>
      </w:r>
    </w:p>
    <w:p w14:paraId="1D12E7CE" w14:textId="36061F72" w:rsidR="00AF1F0F" w:rsidRPr="003B6A69" w:rsidRDefault="00AF1F0F" w:rsidP="00AF1F0F">
      <w:pPr>
        <w:rPr>
          <w:lang w:val="en-GB"/>
        </w:rPr>
      </w:pPr>
      <w:r w:rsidRPr="003B6A69">
        <w:rPr>
          <w:lang w:val="en-GB"/>
        </w:rPr>
        <w:t>29.</w:t>
      </w:r>
      <w:r w:rsidRPr="003B6A69">
        <w:rPr>
          <w:lang w:val="en-GB"/>
        </w:rPr>
        <w:tab/>
        <w:t xml:space="preserve">The baseline development of tourism in Montenegro was severely affected by the COVI19 pandemic in 2020, and the effects are still present. Several recovery scenarios and assistance windows are in place to support the small business that suffered the most from the lost tourist season 2020 and the uncertain prospects for the future. It is somewhat clear that the KBAs and the biodiversity hot-spots will be subject to more intense tourism pressure in the post-COVID-19 era. Remoteness and wilderness will have more value in the eyes of </w:t>
      </w:r>
      <w:proofErr w:type="spellStart"/>
      <w:r w:rsidRPr="003B6A69">
        <w:rPr>
          <w:lang w:val="en-GB"/>
        </w:rPr>
        <w:t>travelers</w:t>
      </w:r>
      <w:proofErr w:type="spellEnd"/>
      <w:r w:rsidRPr="003B6A69">
        <w:rPr>
          <w:lang w:val="en-GB"/>
        </w:rPr>
        <w:t xml:space="preserve">, and the KBAs can expect a significant increase in the number of visitors. These implications of the “new reality” will require more responsible management of negative effects </w:t>
      </w:r>
      <w:proofErr w:type="gramStart"/>
      <w:r w:rsidRPr="003B6A69">
        <w:rPr>
          <w:lang w:val="en-GB"/>
        </w:rPr>
        <w:t>in order to</w:t>
      </w:r>
      <w:proofErr w:type="gramEnd"/>
      <w:r w:rsidRPr="003B6A69">
        <w:rPr>
          <w:lang w:val="en-GB"/>
        </w:rPr>
        <w:t xml:space="preserve"> identify new solutions, develop more sustainable tourism in biodiversity hot-spots, and increase resilience in response to future shocks and instability.</w:t>
      </w:r>
    </w:p>
    <w:p w14:paraId="79539330" w14:textId="23F136D3" w:rsidR="00AF1F0F" w:rsidRPr="003B6A69" w:rsidRDefault="00AF1F0F" w:rsidP="00AF1F0F">
      <w:pPr>
        <w:rPr>
          <w:lang w:val="en-GB"/>
        </w:rPr>
      </w:pPr>
      <w:r w:rsidRPr="003B6A69">
        <w:rPr>
          <w:lang w:val="en-GB"/>
        </w:rPr>
        <w:t>30.</w:t>
      </w:r>
      <w:r w:rsidRPr="003B6A69">
        <w:rPr>
          <w:lang w:val="en-GB"/>
        </w:rPr>
        <w:tab/>
        <w:t xml:space="preserve">The revised national forestry policies (for the period 2014-2023) envisage a range of measures aimed at achieving sustainable and multifunctional forest management. The Strategy recognizes the concept of ecosystem services and their importance for human wellbeing and development, promotes the ecosystem approach in forestry management, and calls for improved forest management in national parks. The action plan for fighting illegal activities in the forest areas was adopted on the national level. Montenegro has also developed the action plan for forest </w:t>
      </w:r>
      <w:proofErr w:type="gramStart"/>
      <w:r w:rsidRPr="003B6A69">
        <w:rPr>
          <w:lang w:val="en-GB"/>
        </w:rPr>
        <w:t>certification,</w:t>
      </w:r>
      <w:proofErr w:type="gramEnd"/>
      <w:r w:rsidRPr="003B6A69">
        <w:rPr>
          <w:lang w:val="en-GB"/>
        </w:rPr>
        <w:t xml:space="preserve"> however, no forest areas have been certified so far. In 2018, a Rulebook on the manner and conditions for the collection and use of non-timber forest products was adopted, thus creating the conditions for concluding the contracts for use.</w:t>
      </w:r>
    </w:p>
    <w:p w14:paraId="164291F9" w14:textId="5DEB47D6" w:rsidR="00AF1F0F" w:rsidRPr="003B6A69" w:rsidRDefault="00AF1F0F" w:rsidP="00AF1F0F">
      <w:pPr>
        <w:rPr>
          <w:lang w:val="en-GB"/>
        </w:rPr>
      </w:pPr>
      <w:r w:rsidRPr="003B6A69">
        <w:rPr>
          <w:lang w:val="en-GB"/>
        </w:rPr>
        <w:t>31.</w:t>
      </w:r>
      <w:r w:rsidRPr="003B6A69">
        <w:rPr>
          <w:lang w:val="en-GB"/>
        </w:rPr>
        <w:tab/>
        <w:t>One significant drawback of the baseline forestry policies is the lack of recognition of High Conservation Value Forests, both conceptually and in practical terms. Also, in the baseline scenario, NTFP regulations do not work or do not serve the purpose. The Law on Forests defines the conditions for the use of non-timber forest products, emphasizing that it is necessary to collect them "in a way that does not endanger the ecosystems and functions of forests".  However, there are no defined limits on the amount of non-wood products that can be collected for commercial purposes, but only the amount that can be collected for non-commercial purposes (2 kg per day). The same law stipulates that “a forest ranger has the right and obligation to control the collection of non-timber forest products in forests and on forest lands” (Article 34), but this does not work in practice. The Law allows the collection of non-wood products in state forests, and not in private ones (not even the owner himself).</w:t>
      </w:r>
    </w:p>
    <w:p w14:paraId="12E6C8EA" w14:textId="41AA7EC9" w:rsidR="00AF1F0F" w:rsidRPr="003B6A69" w:rsidRDefault="00AF1F0F" w:rsidP="00AF1F0F">
      <w:pPr>
        <w:rPr>
          <w:lang w:val="en-GB"/>
        </w:rPr>
      </w:pPr>
      <w:r w:rsidRPr="003B6A69">
        <w:rPr>
          <w:lang w:val="en-GB"/>
        </w:rPr>
        <w:t>32.</w:t>
      </w:r>
      <w:r w:rsidRPr="003B6A69">
        <w:rPr>
          <w:lang w:val="en-GB"/>
        </w:rPr>
        <w:tab/>
        <w:t xml:space="preserve">One current trend in the forestry policy is that private forests are somewhat left behind. The management practices vary between public and private forests. While approximately 49% of </w:t>
      </w:r>
      <w:r w:rsidR="005D32D5" w:rsidRPr="003B6A69">
        <w:rPr>
          <w:lang w:val="en-GB"/>
        </w:rPr>
        <w:t xml:space="preserve">the </w:t>
      </w:r>
      <w:r w:rsidRPr="003B6A69">
        <w:rPr>
          <w:lang w:val="en-GB"/>
        </w:rPr>
        <w:t>forest is private property the volume (88m3/ha, or less than 27% of total volume),</w:t>
      </w:r>
      <w:r w:rsidR="005D32D5" w:rsidRPr="003B6A69">
        <w:rPr>
          <w:lang w:val="en-GB"/>
        </w:rPr>
        <w:t xml:space="preserve"> the data on the</w:t>
      </w:r>
      <w:r w:rsidRPr="003B6A69">
        <w:rPr>
          <w:lang w:val="en-GB"/>
        </w:rPr>
        <w:t xml:space="preserve"> increment (2.2m3/ha) and quality (69% coppice) indicate </w:t>
      </w:r>
      <w:r w:rsidR="005D32D5" w:rsidRPr="003B6A69">
        <w:rPr>
          <w:lang w:val="en-GB"/>
        </w:rPr>
        <w:t xml:space="preserve">a </w:t>
      </w:r>
      <w:r w:rsidRPr="003B6A69">
        <w:rPr>
          <w:lang w:val="en-GB"/>
        </w:rPr>
        <w:t>very low level of overall quality of these forests. The quality of private forests is lower compared to state forests since private forests are not sustainably managed and often abandoned, due to lack of organization, knowledge, and skills of the owners.</w:t>
      </w:r>
    </w:p>
    <w:p w14:paraId="3AB6691D" w14:textId="14C5B4CF" w:rsidR="00AF1F0F" w:rsidRPr="003B6A69" w:rsidRDefault="00AF1F0F" w:rsidP="00AF1F0F">
      <w:pPr>
        <w:rPr>
          <w:lang w:val="en-GB"/>
        </w:rPr>
      </w:pPr>
      <w:r w:rsidRPr="003B6A69">
        <w:rPr>
          <w:lang w:val="en-GB"/>
        </w:rPr>
        <w:t>33.</w:t>
      </w:r>
      <w:r w:rsidRPr="003B6A69">
        <w:rPr>
          <w:lang w:val="en-GB"/>
        </w:rPr>
        <w:tab/>
        <w:t xml:space="preserve">In accordance with the Law on Forests, funds from the state budget can be allocated to private forest management units, which are entered in the register of forest management units. Funds can be allocated to strengthen competitiveness in forestry and improve environmental conditions. According to the available data, </w:t>
      </w:r>
      <w:r w:rsidR="00AE6C8E" w:rsidRPr="003B6A69">
        <w:rPr>
          <w:lang w:val="en-GB"/>
        </w:rPr>
        <w:t>no funds have</w:t>
      </w:r>
      <w:r w:rsidRPr="003B6A69">
        <w:rPr>
          <w:lang w:val="en-GB"/>
        </w:rPr>
        <w:t xml:space="preserve"> been allocated so far, but the state has </w:t>
      </w:r>
      <w:proofErr w:type="gramStart"/>
      <w:r w:rsidRPr="003B6A69">
        <w:rPr>
          <w:lang w:val="en-GB"/>
        </w:rPr>
        <w:t>provided assistance to</w:t>
      </w:r>
      <w:proofErr w:type="gramEnd"/>
      <w:r w:rsidRPr="003B6A69">
        <w:rPr>
          <w:lang w:val="en-GB"/>
        </w:rPr>
        <w:t xml:space="preserve"> private owners in the form of free planting material. Based on available data, no other green incentives for the private forest owners have been recorded. </w:t>
      </w:r>
    </w:p>
    <w:p w14:paraId="02EB488B" w14:textId="44CEAFB9" w:rsidR="00AF1F0F" w:rsidRPr="003B6A69" w:rsidRDefault="00AF1F0F" w:rsidP="00AF1F0F">
      <w:pPr>
        <w:rPr>
          <w:lang w:val="en-GB"/>
        </w:rPr>
      </w:pPr>
      <w:r w:rsidRPr="003B6A69">
        <w:rPr>
          <w:lang w:val="en-GB"/>
        </w:rPr>
        <w:t>34.</w:t>
      </w:r>
      <w:r w:rsidRPr="003B6A69">
        <w:rPr>
          <w:lang w:val="en-GB"/>
        </w:rPr>
        <w:tab/>
        <w:t>The private forests lack practical instruments for sustainable management. The Law on Forests envisages the development of a Forest Management Program, in both, state and private ownership, if a private forest has an area of more than 5 hectares, but in practice</w:t>
      </w:r>
      <w:r w:rsidR="005D32D5" w:rsidRPr="003B6A69">
        <w:rPr>
          <w:lang w:val="en-GB"/>
        </w:rPr>
        <w:t>,</w:t>
      </w:r>
      <w:r w:rsidRPr="003B6A69">
        <w:rPr>
          <w:lang w:val="en-GB"/>
        </w:rPr>
        <w:t xml:space="preserve"> the development of a Plan for private forests is very rare. So far, only a few projects have been undertaken, primarily on the initiative of the owner, who believed that with the possession of the Plan, one can achieve a larger volume of felling.</w:t>
      </w:r>
    </w:p>
    <w:p w14:paraId="174AA928" w14:textId="124DC358" w:rsidR="00AF1F0F" w:rsidRPr="003B6A69" w:rsidRDefault="00AF1F0F" w:rsidP="00AF1F0F">
      <w:pPr>
        <w:rPr>
          <w:lang w:val="en-GB"/>
        </w:rPr>
      </w:pPr>
      <w:r w:rsidRPr="003B6A69">
        <w:rPr>
          <w:lang w:val="en-GB"/>
        </w:rPr>
        <w:t>35.</w:t>
      </w:r>
      <w:r w:rsidRPr="003B6A69">
        <w:rPr>
          <w:lang w:val="en-GB"/>
        </w:rPr>
        <w:tab/>
        <w:t>The Strategy for the Development of Agriculture and Rural Areas envisages the support for sustainable use of mountain pastures, which are recognized as a specific resource that contributes to biodiversity conservation (specific flora and fauna, cultivated local breeds), and they are of special economic and cultural significance. The support is given to agricultural farmsteads involved in cattle breeding (their own cattle and cattle rented for milking) for at least three months a year in alpine grazing lands. The support is provided through payments valid per conditional head.</w:t>
      </w:r>
    </w:p>
    <w:p w14:paraId="264820E7" w14:textId="59C36B93" w:rsidR="00AF1F0F" w:rsidRPr="003B6A69" w:rsidRDefault="00AF1F0F" w:rsidP="00AF1F0F">
      <w:pPr>
        <w:rPr>
          <w:lang w:val="en-GB"/>
        </w:rPr>
      </w:pPr>
      <w:r w:rsidRPr="003B6A69">
        <w:rPr>
          <w:lang w:val="en-GB"/>
        </w:rPr>
        <w:t>36.</w:t>
      </w:r>
      <w:r w:rsidRPr="003B6A69">
        <w:rPr>
          <w:lang w:val="en-GB"/>
        </w:rPr>
        <w:tab/>
        <w:t xml:space="preserve">Montenegro is in the process of </w:t>
      </w:r>
      <w:r w:rsidR="005D32D5" w:rsidRPr="003B6A69">
        <w:rPr>
          <w:lang w:val="en-GB"/>
        </w:rPr>
        <w:t xml:space="preserve">a </w:t>
      </w:r>
      <w:r w:rsidRPr="003B6A69">
        <w:rPr>
          <w:lang w:val="en-GB"/>
        </w:rPr>
        <w:t xml:space="preserve">gradual introduction of rural development measures </w:t>
      </w:r>
      <w:proofErr w:type="gramStart"/>
      <w:r w:rsidRPr="003B6A69">
        <w:rPr>
          <w:lang w:val="en-GB"/>
        </w:rPr>
        <w:t>similar to</w:t>
      </w:r>
      <w:proofErr w:type="gramEnd"/>
      <w:r w:rsidRPr="003B6A69">
        <w:rPr>
          <w:lang w:val="en-GB"/>
        </w:rPr>
        <w:t xml:space="preserve"> those applied in the EU. In accordance with the principles of the EU Common Agricultural Policy, EU farmers can apply for the green direct payments if they can show that they comply with three obligatory practices which are good for the environment (soil and biodiversity in particular) and for </w:t>
      </w:r>
      <w:r w:rsidR="005D32D5" w:rsidRPr="003B6A69">
        <w:rPr>
          <w:lang w:val="en-GB"/>
        </w:rPr>
        <w:t xml:space="preserve">the </w:t>
      </w:r>
      <w:r w:rsidRPr="003B6A69">
        <w:rPr>
          <w:lang w:val="en-GB"/>
        </w:rPr>
        <w:t xml:space="preserve">climate. The three greening obligations are 1) crop diversification, 2) maintenance of permanent grassland – a fixed ratio of permanent grassland plus no </w:t>
      </w:r>
      <w:proofErr w:type="spellStart"/>
      <w:r w:rsidRPr="003B6A69">
        <w:rPr>
          <w:lang w:val="en-GB"/>
        </w:rPr>
        <w:t>plo</w:t>
      </w:r>
      <w:r w:rsidR="005D32D5" w:rsidRPr="003B6A69">
        <w:rPr>
          <w:lang w:val="en-GB"/>
        </w:rPr>
        <w:t>w</w:t>
      </w:r>
      <w:r w:rsidRPr="003B6A69">
        <w:rPr>
          <w:lang w:val="en-GB"/>
        </w:rPr>
        <w:t>ing</w:t>
      </w:r>
      <w:proofErr w:type="spellEnd"/>
      <w:r w:rsidRPr="003B6A69">
        <w:rPr>
          <w:lang w:val="en-GB"/>
        </w:rPr>
        <w:t xml:space="preserve"> or converting permanent grassland in designated sensitive areas, and 3) at least 5% ecological focus areas - fallow land, landscape features, afforested areas, </w:t>
      </w:r>
      <w:r w:rsidRPr="003B6A69">
        <w:rPr>
          <w:lang w:val="en-GB"/>
        </w:rPr>
        <w:lastRenderedPageBreak/>
        <w:t>terraces, hedges/wooded strips and other areas for BD conservation and protection of habitats for birds and other species. The principle behind these greening methods is to remunerate farmers for their efforts to protect the environment and biodiversity since market prices do not reflect the work involved. Countries like Denmark and Slovenia also practice top-up payments to farmers working in the areas with natural constraints (ANCs) where farming is handicapped by natural or other specific constraints - typically mountain areas, but not limited to these.</w:t>
      </w:r>
    </w:p>
    <w:p w14:paraId="3822FF55" w14:textId="6A9AE5E9" w:rsidR="00AF1F0F" w:rsidRPr="003B6A69" w:rsidRDefault="00AF1F0F" w:rsidP="00AF1F0F">
      <w:pPr>
        <w:rPr>
          <w:lang w:val="en-GB"/>
        </w:rPr>
      </w:pPr>
      <w:r w:rsidRPr="003B6A69">
        <w:rPr>
          <w:lang w:val="en-GB"/>
        </w:rPr>
        <w:t>37.</w:t>
      </w:r>
      <w:r w:rsidRPr="003B6A69">
        <w:rPr>
          <w:lang w:val="en-GB"/>
        </w:rPr>
        <w:tab/>
        <w:t xml:space="preserve">The national direct payment schemes are yet to be aligned with the ones currently applied in the EU. Currently, direct payments relate mainly to the payments per animal, per area, or based on the quantity of the product (payment per cow/heifer, payment for fattening per head, payment per ewe and she-goat, payment per </w:t>
      </w:r>
      <w:proofErr w:type="spellStart"/>
      <w:r w:rsidRPr="003B6A69">
        <w:rPr>
          <w:lang w:val="en-GB"/>
        </w:rPr>
        <w:t>lit</w:t>
      </w:r>
      <w:r w:rsidR="005D32D5" w:rsidRPr="003B6A69">
        <w:rPr>
          <w:lang w:val="en-GB"/>
        </w:rPr>
        <w:t>er</w:t>
      </w:r>
      <w:proofErr w:type="spellEnd"/>
      <w:r w:rsidRPr="003B6A69">
        <w:rPr>
          <w:lang w:val="en-GB"/>
        </w:rPr>
        <w:t xml:space="preserve"> of delivered milk, payment per ha of different crops). In 2019 and 2020, MARD provided direct payments per hectare for orchards, vines, medicinal and aromatic plants</w:t>
      </w:r>
      <w:r w:rsidR="005D32D5" w:rsidRPr="003B6A69">
        <w:rPr>
          <w:lang w:val="en-GB"/>
        </w:rPr>
        <w:t>,</w:t>
      </w:r>
      <w:r w:rsidRPr="003B6A69">
        <w:rPr>
          <w:lang w:val="en-GB"/>
        </w:rPr>
        <w:t xml:space="preserve"> and </w:t>
      </w:r>
      <w:r w:rsidR="005D32D5" w:rsidRPr="003B6A69">
        <w:rPr>
          <w:lang w:val="en-GB"/>
        </w:rPr>
        <w:t xml:space="preserve">organic production. </w:t>
      </w:r>
      <w:r w:rsidRPr="003B6A69">
        <w:rPr>
          <w:lang w:val="en-GB"/>
        </w:rPr>
        <w:t>The national approach to agricultural incentives is very much production-oriented; the farmers are not stimulated to manage their land in an integrated manner that produces economic, social</w:t>
      </w:r>
      <w:r w:rsidR="005D32D5" w:rsidRPr="003B6A69">
        <w:rPr>
          <w:lang w:val="en-GB"/>
        </w:rPr>
        <w:t>,</w:t>
      </w:r>
      <w:r w:rsidRPr="003B6A69">
        <w:rPr>
          <w:lang w:val="en-GB"/>
        </w:rPr>
        <w:t xml:space="preserve"> and environmental benefits, and extends the care to the nearby biodiversity, cultural values</w:t>
      </w:r>
      <w:r w:rsidR="005D32D5" w:rsidRPr="003B6A69">
        <w:rPr>
          <w:lang w:val="en-GB"/>
        </w:rPr>
        <w:t>,</w:t>
      </w:r>
      <w:r w:rsidRPr="003B6A69">
        <w:rPr>
          <w:lang w:val="en-GB"/>
        </w:rPr>
        <w:t xml:space="preserve"> and rural vitality. </w:t>
      </w:r>
    </w:p>
    <w:p w14:paraId="24D4C2F9" w14:textId="53730B36" w:rsidR="00AF1F0F" w:rsidRPr="003B6A69" w:rsidRDefault="00AF1F0F" w:rsidP="00AF1F0F">
      <w:pPr>
        <w:rPr>
          <w:lang w:val="en-GB"/>
        </w:rPr>
      </w:pPr>
      <w:r w:rsidRPr="003B6A69">
        <w:rPr>
          <w:lang w:val="en-GB"/>
        </w:rPr>
        <w:t>38.</w:t>
      </w:r>
      <w:r w:rsidRPr="003B6A69">
        <w:rPr>
          <w:lang w:val="en-GB"/>
        </w:rPr>
        <w:tab/>
        <w:t xml:space="preserve">Another important element of the national direct payment scheme that is not particularly in line with the current regional trends is the fact that the direct payment schemes and investment supports primarily target the large agricultural holdings. Payments per animal are limited to households raising more than four cows or heifers, more than 30 sheep or more than 20 goats, without the possibility of cumulative application for premiums for different animal species, or for households raising a variety of animals, which means that farmers who breed more animals of individual species are </w:t>
      </w:r>
      <w:proofErr w:type="spellStart"/>
      <w:r w:rsidRPr="003B6A69">
        <w:rPr>
          <w:lang w:val="en-GB"/>
        </w:rPr>
        <w:t>favored</w:t>
      </w:r>
      <w:proofErr w:type="spellEnd"/>
      <w:r w:rsidRPr="003B6A69">
        <w:rPr>
          <w:lang w:val="en-GB"/>
        </w:rPr>
        <w:t xml:space="preserve"> by this set of support measures. On the other hand, the real fact is that in Montenegro the average number of cows per farm is 3.5, so this measure should be </w:t>
      </w:r>
      <w:proofErr w:type="gramStart"/>
      <w:r w:rsidRPr="003B6A69">
        <w:rPr>
          <w:lang w:val="en-GB"/>
        </w:rPr>
        <w:t>reconsidered</w:t>
      </w:r>
      <w:proofErr w:type="gramEnd"/>
      <w:r w:rsidRPr="003B6A69">
        <w:rPr>
          <w:lang w:val="en-GB"/>
        </w:rPr>
        <w:t xml:space="preserve"> and the threshold reduced in order to stimulate small farmers, and at the same time</w:t>
      </w:r>
      <w:r w:rsidR="005D32D5" w:rsidRPr="003B6A69">
        <w:rPr>
          <w:lang w:val="en-GB"/>
        </w:rPr>
        <w:t>,</w:t>
      </w:r>
      <w:r w:rsidRPr="003B6A69">
        <w:rPr>
          <w:lang w:val="en-GB"/>
        </w:rPr>
        <w:t xml:space="preserve"> the upper limit for the number of animals should keep larger producers from using their economic market advantage.</w:t>
      </w:r>
    </w:p>
    <w:p w14:paraId="235DE7DE" w14:textId="1A629CDC" w:rsidR="00DB1E45" w:rsidRPr="003B6A69" w:rsidRDefault="00DB1E45" w:rsidP="00B24DF3">
      <w:pPr>
        <w:pStyle w:val="Heading2"/>
        <w:rPr>
          <w:lang w:val="en-GB"/>
        </w:rPr>
      </w:pPr>
      <w:bookmarkStart w:id="13" w:name="_Toc82018246"/>
      <w:bookmarkStart w:id="14" w:name="_Hlk5017022"/>
      <w:bookmarkEnd w:id="12"/>
      <w:r w:rsidRPr="003B6A69">
        <w:rPr>
          <w:lang w:val="en-GB"/>
        </w:rPr>
        <w:t>2.4 Barriers</w:t>
      </w:r>
      <w:r w:rsidR="00667562" w:rsidRPr="003B6A69">
        <w:rPr>
          <w:lang w:val="en-GB"/>
        </w:rPr>
        <w:t xml:space="preserve"> and </w:t>
      </w:r>
      <w:r w:rsidRPr="003B6A69">
        <w:rPr>
          <w:lang w:val="en-GB"/>
        </w:rPr>
        <w:t>theory of change</w:t>
      </w:r>
      <w:bookmarkEnd w:id="13"/>
      <w:r w:rsidR="00F23A71" w:rsidRPr="003B6A69">
        <w:rPr>
          <w:lang w:val="en-GB"/>
        </w:rPr>
        <w:t xml:space="preserve"> </w:t>
      </w:r>
    </w:p>
    <w:p w14:paraId="1B098EC5" w14:textId="77777777" w:rsidR="00AF1F0F" w:rsidRPr="003B6A69" w:rsidRDefault="00AF1F0F" w:rsidP="00AF69F1">
      <w:pPr>
        <w:pStyle w:val="Header"/>
        <w:numPr>
          <w:ilvl w:val="0"/>
          <w:numId w:val="14"/>
        </w:numPr>
        <w:tabs>
          <w:tab w:val="clear" w:pos="4153"/>
          <w:tab w:val="clear" w:pos="8306"/>
          <w:tab w:val="left" w:pos="426"/>
        </w:tabs>
        <w:spacing w:after="120"/>
        <w:ind w:left="0" w:firstLine="0"/>
        <w:rPr>
          <w:lang w:val="en-GB"/>
        </w:rPr>
      </w:pPr>
      <w:r w:rsidRPr="003B6A69">
        <w:rPr>
          <w:szCs w:val="20"/>
        </w:rPr>
        <w:t>The underlying causes of declining biodiversity are linked to various economic activities and management/ governance weaknesses. Tourism and associated construction, forestry and are the main economic sectors imparting negative changes in Montenegro.</w:t>
      </w:r>
      <w:r w:rsidRPr="003B6A69">
        <w:rPr>
          <w:lang w:val="en-GB"/>
        </w:rPr>
        <w:t xml:space="preserve"> </w:t>
      </w:r>
    </w:p>
    <w:p w14:paraId="58B6EBBD" w14:textId="399BCB87" w:rsidR="00AF1F0F" w:rsidRPr="003B6A69" w:rsidRDefault="00AF1F0F" w:rsidP="00AF69F1">
      <w:pPr>
        <w:pStyle w:val="Header"/>
        <w:numPr>
          <w:ilvl w:val="0"/>
          <w:numId w:val="14"/>
        </w:numPr>
        <w:tabs>
          <w:tab w:val="clear" w:pos="4153"/>
          <w:tab w:val="clear" w:pos="8306"/>
          <w:tab w:val="left" w:pos="426"/>
        </w:tabs>
        <w:spacing w:after="120"/>
        <w:ind w:left="0" w:firstLine="0"/>
        <w:rPr>
          <w:lang w:val="en-GB"/>
        </w:rPr>
      </w:pPr>
      <w:r w:rsidRPr="003B6A69">
        <w:rPr>
          <w:lang w:val="en-GB"/>
        </w:rPr>
        <w:t>Biodiversity conservation, in p</w:t>
      </w:r>
      <w:r w:rsidR="005D32D5" w:rsidRPr="003B6A69">
        <w:rPr>
          <w:lang w:val="en-GB"/>
        </w:rPr>
        <w:t>ractice, relies primarily on in-</w:t>
      </w:r>
      <w:r w:rsidRPr="003B6A69">
        <w:rPr>
          <w:lang w:val="en-GB"/>
        </w:rPr>
        <w:t xml:space="preserve">situ protection, within the existing protected areas which do not cover all species and habitats important for conservation, like those in the marine ecosystem, which are exposed to various threats and </w:t>
      </w:r>
      <w:r w:rsidR="006672C3" w:rsidRPr="003B6A69">
        <w:rPr>
          <w:lang w:val="en-GB"/>
        </w:rPr>
        <w:t>pressures</w:t>
      </w:r>
      <w:r w:rsidRPr="003B6A69">
        <w:rPr>
          <w:lang w:val="en-GB"/>
        </w:rPr>
        <w:t xml:space="preserve">. </w:t>
      </w:r>
    </w:p>
    <w:p w14:paraId="7C7E9922" w14:textId="53767D8F" w:rsidR="00AF1F0F" w:rsidRPr="003B6A69" w:rsidRDefault="00AF1F0F" w:rsidP="00AF69F1">
      <w:pPr>
        <w:pStyle w:val="Header"/>
        <w:numPr>
          <w:ilvl w:val="0"/>
          <w:numId w:val="14"/>
        </w:numPr>
        <w:tabs>
          <w:tab w:val="clear" w:pos="4153"/>
          <w:tab w:val="clear" w:pos="8306"/>
          <w:tab w:val="left" w:pos="426"/>
        </w:tabs>
        <w:spacing w:after="120"/>
        <w:ind w:left="0" w:firstLine="0"/>
        <w:rPr>
          <w:szCs w:val="20"/>
          <w:lang w:val="en-GB"/>
        </w:rPr>
      </w:pPr>
      <w:r w:rsidRPr="003B6A69">
        <w:rPr>
          <w:rFonts w:cs="Calibri"/>
          <w:bCs/>
          <w:szCs w:val="20"/>
          <w:lang w:val="en-GB"/>
        </w:rPr>
        <w:t xml:space="preserve"> Several PAs and biodiversity corridors in Montenegro have been internationally recogni</w:t>
      </w:r>
      <w:r w:rsidR="005D32D5" w:rsidRPr="003B6A69">
        <w:rPr>
          <w:rFonts w:cs="Calibri"/>
          <w:bCs/>
          <w:szCs w:val="20"/>
          <w:lang w:val="en-GB"/>
        </w:rPr>
        <w:t>z</w:t>
      </w:r>
      <w:r w:rsidRPr="003B6A69">
        <w:rPr>
          <w:rFonts w:cs="Calibri"/>
          <w:bCs/>
          <w:szCs w:val="20"/>
          <w:lang w:val="en-GB"/>
        </w:rPr>
        <w:t xml:space="preserve">ed as biodiversity </w:t>
      </w:r>
      <w:proofErr w:type="gramStart"/>
      <w:r w:rsidRPr="003B6A69">
        <w:rPr>
          <w:rFonts w:cs="Calibri"/>
          <w:bCs/>
          <w:szCs w:val="20"/>
          <w:lang w:val="en-GB"/>
        </w:rPr>
        <w:t>hot-spots</w:t>
      </w:r>
      <w:proofErr w:type="gramEnd"/>
      <w:r w:rsidRPr="003B6A69">
        <w:rPr>
          <w:rFonts w:cs="Calibri"/>
          <w:bCs/>
          <w:szCs w:val="20"/>
          <w:lang w:val="en-GB"/>
        </w:rPr>
        <w:t>. However, an integration of the KBA protection objectives into the national PA management has yet to be achieved. Also, specific threats related to changes in land-use practices, infrastructure development (especially in relation to tourism), unsustainable and illegal use of natural resources</w:t>
      </w:r>
      <w:r w:rsidR="005D32D5" w:rsidRPr="003B6A69">
        <w:rPr>
          <w:rFonts w:cs="Calibri"/>
          <w:bCs/>
          <w:szCs w:val="20"/>
          <w:lang w:val="en-GB"/>
        </w:rPr>
        <w:t>,</w:t>
      </w:r>
      <w:r w:rsidRPr="003B6A69">
        <w:rPr>
          <w:rFonts w:cs="Calibri"/>
          <w:bCs/>
          <w:szCs w:val="20"/>
          <w:lang w:val="en-GB"/>
        </w:rPr>
        <w:t xml:space="preserve"> and climate threats </w:t>
      </w:r>
      <w:proofErr w:type="gramStart"/>
      <w:r w:rsidRPr="003B6A69">
        <w:rPr>
          <w:rFonts w:cs="Calibri"/>
          <w:bCs/>
          <w:szCs w:val="20"/>
          <w:lang w:val="en-GB"/>
        </w:rPr>
        <w:t>have to</w:t>
      </w:r>
      <w:proofErr w:type="gramEnd"/>
      <w:r w:rsidRPr="003B6A69">
        <w:rPr>
          <w:rFonts w:cs="Calibri"/>
          <w:bCs/>
          <w:szCs w:val="20"/>
          <w:lang w:val="en-GB"/>
        </w:rPr>
        <w:t xml:space="preserve"> be adequately addressed through the existing protection mechanisms. </w:t>
      </w:r>
      <w:r w:rsidRPr="003B6A69">
        <w:rPr>
          <w:rFonts w:cs="Calibri"/>
          <w:bCs/>
          <w:szCs w:val="20"/>
        </w:rPr>
        <w:t>The existing legal and institutional framework for the protected areas does not provide for adequate regulations regarding the international biodiversity nominations.</w:t>
      </w:r>
    </w:p>
    <w:p w14:paraId="1FC5A7A3" w14:textId="26365BB0" w:rsidR="00AF1F0F" w:rsidRPr="003B6A69" w:rsidRDefault="00AF1F0F" w:rsidP="00AF69F1">
      <w:pPr>
        <w:pStyle w:val="Header"/>
        <w:numPr>
          <w:ilvl w:val="0"/>
          <w:numId w:val="14"/>
        </w:numPr>
        <w:tabs>
          <w:tab w:val="clear" w:pos="4153"/>
          <w:tab w:val="clear" w:pos="8306"/>
          <w:tab w:val="left" w:pos="426"/>
        </w:tabs>
        <w:spacing w:after="120"/>
        <w:ind w:left="0" w:firstLine="0"/>
        <w:rPr>
          <w:szCs w:val="20"/>
          <w:lang w:val="en-GB"/>
        </w:rPr>
      </w:pPr>
      <w:r w:rsidRPr="003B6A69">
        <w:rPr>
          <w:szCs w:val="20"/>
        </w:rPr>
        <w:t xml:space="preserve">PA management barriers are associated with deficiencies in management planning and implementation of PA management plans, insufficient capacities for patrolling and monitoring, unrealized opportunities for sustainable tourism development and income generation, and lack of outreach and public engagement. The main weakness in the enforcement chain </w:t>
      </w:r>
      <w:r w:rsidR="005D32D5" w:rsidRPr="003B6A69">
        <w:rPr>
          <w:szCs w:val="20"/>
        </w:rPr>
        <w:t>is</w:t>
      </w:r>
      <w:r w:rsidRPr="003B6A69">
        <w:rPr>
          <w:szCs w:val="20"/>
        </w:rPr>
        <w:t xml:space="preserve"> not with the rangers or the police, but with the juridical system (prosecutors and judges). Very little awareness, knowledge</w:t>
      </w:r>
      <w:r w:rsidR="005D32D5" w:rsidRPr="003B6A69">
        <w:rPr>
          <w:szCs w:val="20"/>
        </w:rPr>
        <w:t>,</w:t>
      </w:r>
      <w:r w:rsidRPr="003B6A69">
        <w:rPr>
          <w:szCs w:val="20"/>
        </w:rPr>
        <w:t xml:space="preserve"> and experience in environmental crime in general, nature </w:t>
      </w:r>
      <w:proofErr w:type="gramStart"/>
      <w:r w:rsidRPr="003B6A69">
        <w:rPr>
          <w:szCs w:val="20"/>
        </w:rPr>
        <w:t>protection in particular</w:t>
      </w:r>
      <w:proofErr w:type="gramEnd"/>
      <w:r w:rsidRPr="003B6A69">
        <w:rPr>
          <w:szCs w:val="20"/>
        </w:rPr>
        <w:t>.</w:t>
      </w:r>
    </w:p>
    <w:p w14:paraId="7CBCDC79" w14:textId="77777777" w:rsidR="00AF1F0F" w:rsidRPr="003B6A69" w:rsidRDefault="00AF1F0F" w:rsidP="00AF69F1">
      <w:pPr>
        <w:pStyle w:val="Header"/>
        <w:numPr>
          <w:ilvl w:val="0"/>
          <w:numId w:val="14"/>
        </w:numPr>
        <w:tabs>
          <w:tab w:val="clear" w:pos="4153"/>
          <w:tab w:val="clear" w:pos="8306"/>
          <w:tab w:val="left" w:pos="426"/>
        </w:tabs>
        <w:spacing w:after="120"/>
        <w:ind w:left="0" w:firstLine="0"/>
        <w:rPr>
          <w:szCs w:val="20"/>
          <w:lang w:val="en-GB"/>
        </w:rPr>
      </w:pPr>
      <w:r w:rsidRPr="003B6A69">
        <w:rPr>
          <w:szCs w:val="20"/>
        </w:rPr>
        <w:t>Inadequate enforcement of relevant regulations remains one of the important underlying causes of biodiversity loss. Weaknesses in the management of protected areas (including insufficient funding, technical and human capacities) and the low priority this administrative group has in decision making also give rise to a range of pressures leading to negative trends in biodiversity.</w:t>
      </w:r>
    </w:p>
    <w:p w14:paraId="7462FA00" w14:textId="4EA92F66" w:rsidR="00AF1F0F" w:rsidRPr="003B6A69" w:rsidRDefault="005D32D5" w:rsidP="00AF69F1">
      <w:pPr>
        <w:pStyle w:val="Header"/>
        <w:numPr>
          <w:ilvl w:val="0"/>
          <w:numId w:val="14"/>
        </w:numPr>
        <w:tabs>
          <w:tab w:val="clear" w:pos="4153"/>
          <w:tab w:val="clear" w:pos="8306"/>
          <w:tab w:val="left" w:pos="426"/>
        </w:tabs>
        <w:spacing w:after="120"/>
        <w:ind w:left="0" w:firstLine="0"/>
        <w:rPr>
          <w:szCs w:val="20"/>
          <w:lang w:val="en-GB"/>
        </w:rPr>
      </w:pPr>
      <w:r w:rsidRPr="003B6A69">
        <w:rPr>
          <w:szCs w:val="20"/>
        </w:rPr>
        <w:t>The s</w:t>
      </w:r>
      <w:r w:rsidR="00AF1F0F" w:rsidRPr="003B6A69">
        <w:rPr>
          <w:szCs w:val="20"/>
        </w:rPr>
        <w:t>patial planning framework remains declarative, with no practical solutions for valuable BD conservation outside PAs. BD conservation outside PAs in most cases is a paper action only.</w:t>
      </w:r>
    </w:p>
    <w:p w14:paraId="459687E6" w14:textId="77777777" w:rsidR="004911C4" w:rsidRPr="003B6A69" w:rsidRDefault="00AF1F0F" w:rsidP="004911C4">
      <w:pPr>
        <w:pStyle w:val="Header"/>
        <w:numPr>
          <w:ilvl w:val="0"/>
          <w:numId w:val="14"/>
        </w:numPr>
        <w:tabs>
          <w:tab w:val="clear" w:pos="4153"/>
          <w:tab w:val="clear" w:pos="8306"/>
          <w:tab w:val="left" w:pos="426"/>
        </w:tabs>
        <w:spacing w:after="120"/>
        <w:ind w:left="0" w:hanging="14"/>
        <w:rPr>
          <w:szCs w:val="20"/>
        </w:rPr>
      </w:pPr>
      <w:r w:rsidRPr="003B6A69">
        <w:rPr>
          <w:szCs w:val="20"/>
          <w:lang w:val="en-GB"/>
        </w:rPr>
        <w:t>Although BD conservation agenda is declaratively mainstreamed into the key strategic framework documents, the practical experience in BD mainstreaming is missing, and there are no incentives for biodiversity-sensitive small-scale sectoral business (tourism, forestry, agriculture).</w:t>
      </w:r>
      <w:r w:rsidR="004911C4" w:rsidRPr="003B6A69">
        <w:rPr>
          <w:szCs w:val="20"/>
          <w:lang w:val="en-GB"/>
        </w:rPr>
        <w:t xml:space="preserve"> </w:t>
      </w:r>
    </w:p>
    <w:p w14:paraId="0A919AB1" w14:textId="28CE165B" w:rsidR="002E06C7" w:rsidRPr="003B6A69" w:rsidRDefault="006C31D8" w:rsidP="002E06C7">
      <w:pPr>
        <w:pStyle w:val="Header"/>
        <w:numPr>
          <w:ilvl w:val="0"/>
          <w:numId w:val="14"/>
        </w:numPr>
        <w:tabs>
          <w:tab w:val="clear" w:pos="4153"/>
          <w:tab w:val="clear" w:pos="8306"/>
          <w:tab w:val="left" w:pos="426"/>
        </w:tabs>
        <w:spacing w:after="120"/>
        <w:ind w:left="0" w:hanging="14"/>
        <w:rPr>
          <w:szCs w:val="20"/>
        </w:rPr>
      </w:pPr>
      <w:r w:rsidRPr="003B6A69">
        <w:rPr>
          <w:szCs w:val="20"/>
        </w:rPr>
        <w:t>The problem tree elements described above form the basis for the project Theory of Change (</w:t>
      </w:r>
      <w:proofErr w:type="spellStart"/>
      <w:r w:rsidRPr="003B6A69">
        <w:rPr>
          <w:szCs w:val="20"/>
        </w:rPr>
        <w:t>ToC</w:t>
      </w:r>
      <w:proofErr w:type="spellEnd"/>
      <w:r w:rsidRPr="003B6A69">
        <w:rPr>
          <w:szCs w:val="20"/>
        </w:rPr>
        <w:t xml:space="preserve">) as presented in the </w:t>
      </w:r>
      <w:proofErr w:type="spellStart"/>
      <w:r w:rsidRPr="003B6A69">
        <w:rPr>
          <w:szCs w:val="20"/>
        </w:rPr>
        <w:t>ToC</w:t>
      </w:r>
      <w:proofErr w:type="spellEnd"/>
      <w:r w:rsidRPr="003B6A69">
        <w:rPr>
          <w:szCs w:val="20"/>
        </w:rPr>
        <w:t xml:space="preserve"> diagram attached as </w:t>
      </w:r>
      <w:hyperlink w:anchor="_Annex_2:_Project" w:history="1">
        <w:r w:rsidRPr="003B6A69">
          <w:rPr>
            <w:rStyle w:val="Hyperlink"/>
            <w:szCs w:val="20"/>
          </w:rPr>
          <w:t>Annex 2</w:t>
        </w:r>
      </w:hyperlink>
      <w:r w:rsidRPr="003B6A69">
        <w:rPr>
          <w:szCs w:val="20"/>
        </w:rPr>
        <w:t xml:space="preserve"> to this Project Document. The </w:t>
      </w:r>
      <w:r w:rsidR="002E06C7" w:rsidRPr="003B6A69">
        <w:rPr>
          <w:szCs w:val="20"/>
        </w:rPr>
        <w:t xml:space="preserve">project design is focused </w:t>
      </w:r>
      <w:r w:rsidR="007A3313" w:rsidRPr="003B6A69">
        <w:rPr>
          <w:szCs w:val="20"/>
        </w:rPr>
        <w:t>on</w:t>
      </w:r>
      <w:r w:rsidR="002E06C7" w:rsidRPr="003B6A69">
        <w:rPr>
          <w:szCs w:val="20"/>
        </w:rPr>
        <w:t xml:space="preserve"> the </w:t>
      </w:r>
      <w:proofErr w:type="gramStart"/>
      <w:r w:rsidR="002E06C7" w:rsidRPr="003B6A69">
        <w:rPr>
          <w:szCs w:val="20"/>
        </w:rPr>
        <w:t>ultimate goal</w:t>
      </w:r>
      <w:proofErr w:type="gramEnd"/>
      <w:r w:rsidR="002E06C7" w:rsidRPr="003B6A69">
        <w:rPr>
          <w:szCs w:val="20"/>
        </w:rPr>
        <w:t xml:space="preserve"> of protecting globally significant biodiversity harbored by the national PA estate, contained within the unprotected biodiversity hot-spots</w:t>
      </w:r>
      <w:r w:rsidR="00B34024" w:rsidRPr="003B6A69">
        <w:rPr>
          <w:szCs w:val="20"/>
        </w:rPr>
        <w:t>,</w:t>
      </w:r>
      <w:r w:rsidR="002E06C7" w:rsidRPr="003B6A69">
        <w:rPr>
          <w:szCs w:val="20"/>
        </w:rPr>
        <w:t xml:space="preserve"> </w:t>
      </w:r>
      <w:r w:rsidR="002E06C7" w:rsidRPr="003B6A69">
        <w:rPr>
          <w:szCs w:val="20"/>
        </w:rPr>
        <w:lastRenderedPageBreak/>
        <w:t>and sheltered through the biodiversity corridors. The project interventions are called to reduce threats, barriers</w:t>
      </w:r>
      <w:r w:rsidR="007A3313" w:rsidRPr="003B6A69">
        <w:rPr>
          <w:szCs w:val="20"/>
        </w:rPr>
        <w:t>,</w:t>
      </w:r>
      <w:r w:rsidR="002E06C7" w:rsidRPr="003B6A69">
        <w:rPr>
          <w:szCs w:val="20"/>
        </w:rPr>
        <w:t xml:space="preserve"> and negative effects on BD values deriving from sectoral land and resource use (tourism, forestry, and agriculture), insufficient conservation arrangements, and climate change. The project seeks for a </w:t>
      </w:r>
      <w:r w:rsidRPr="003B6A69">
        <w:rPr>
          <w:szCs w:val="20"/>
        </w:rPr>
        <w:t xml:space="preserve">transformational change in the management of the PA estate and </w:t>
      </w:r>
      <w:r w:rsidR="002E06C7" w:rsidRPr="003B6A69">
        <w:rPr>
          <w:szCs w:val="20"/>
        </w:rPr>
        <w:t xml:space="preserve">land use practices within and around the globally significant BD </w:t>
      </w:r>
      <w:proofErr w:type="gramStart"/>
      <w:r w:rsidR="002E06C7" w:rsidRPr="003B6A69">
        <w:rPr>
          <w:szCs w:val="20"/>
        </w:rPr>
        <w:t>hot-spots</w:t>
      </w:r>
      <w:proofErr w:type="gramEnd"/>
      <w:r w:rsidR="002E06C7" w:rsidRPr="003B6A69">
        <w:rPr>
          <w:szCs w:val="20"/>
        </w:rPr>
        <w:t>.</w:t>
      </w:r>
    </w:p>
    <w:p w14:paraId="66508E3C" w14:textId="0D3EB954" w:rsidR="00B34024" w:rsidRPr="003B6A69" w:rsidRDefault="002E06C7" w:rsidP="002E06C7">
      <w:pPr>
        <w:pStyle w:val="Header"/>
        <w:numPr>
          <w:ilvl w:val="0"/>
          <w:numId w:val="14"/>
        </w:numPr>
        <w:tabs>
          <w:tab w:val="clear" w:pos="4153"/>
          <w:tab w:val="clear" w:pos="8306"/>
          <w:tab w:val="left" w:pos="426"/>
        </w:tabs>
        <w:spacing w:after="120"/>
        <w:ind w:left="0" w:hanging="14"/>
        <w:rPr>
          <w:szCs w:val="20"/>
        </w:rPr>
      </w:pPr>
      <w:r w:rsidRPr="003B6A69">
        <w:rPr>
          <w:szCs w:val="20"/>
        </w:rPr>
        <w:t xml:space="preserve">KBAs of Montenegro hosting globally important biodiversity should be protected from habitat fragmentation, biodiversity loss and climate-induced negative effects. A combination of the most imminent PA management strengthening interventions, provision of working mechanisms for BD conservation outside PAs, demonstration of modern biodiversity-sensitive practices for production landscapes, and </w:t>
      </w:r>
      <w:r w:rsidR="007A3313" w:rsidRPr="003B6A69">
        <w:rPr>
          <w:szCs w:val="20"/>
        </w:rPr>
        <w:t xml:space="preserve">encouragement of </w:t>
      </w:r>
      <w:r w:rsidRPr="003B6A69">
        <w:rPr>
          <w:szCs w:val="20"/>
        </w:rPr>
        <w:t xml:space="preserve">incentives for their application </w:t>
      </w:r>
      <w:r w:rsidR="007A3313" w:rsidRPr="003B6A69">
        <w:rPr>
          <w:szCs w:val="20"/>
        </w:rPr>
        <w:t>is required as an integral solution</w:t>
      </w:r>
      <w:r w:rsidRPr="003B6A69">
        <w:rPr>
          <w:szCs w:val="20"/>
        </w:rPr>
        <w:t xml:space="preserve"> </w:t>
      </w:r>
      <w:r w:rsidR="007A3313" w:rsidRPr="003B6A69">
        <w:rPr>
          <w:szCs w:val="20"/>
        </w:rPr>
        <w:t>and a pathway towards</w:t>
      </w:r>
      <w:r w:rsidRPr="003B6A69">
        <w:rPr>
          <w:szCs w:val="20"/>
        </w:rPr>
        <w:t xml:space="preserve"> </w:t>
      </w:r>
      <w:r w:rsidR="00B34024" w:rsidRPr="003B6A69">
        <w:rPr>
          <w:szCs w:val="20"/>
        </w:rPr>
        <w:t>achieving the transformation change in the sectoral land-use approaches</w:t>
      </w:r>
      <w:r w:rsidR="007A3313" w:rsidRPr="003B6A69">
        <w:rPr>
          <w:szCs w:val="20"/>
        </w:rPr>
        <w:t xml:space="preserve"> and protection arrangements for KBAs</w:t>
      </w:r>
      <w:r w:rsidRPr="003B6A69">
        <w:rPr>
          <w:szCs w:val="20"/>
        </w:rPr>
        <w:t xml:space="preserve">. </w:t>
      </w:r>
    </w:p>
    <w:p w14:paraId="56AE6B4B" w14:textId="1C0ACC89" w:rsidR="00AF1F0F" w:rsidRPr="003B6A69" w:rsidRDefault="006C31D8" w:rsidP="00AF69F1">
      <w:pPr>
        <w:pStyle w:val="Header"/>
        <w:numPr>
          <w:ilvl w:val="0"/>
          <w:numId w:val="14"/>
        </w:numPr>
        <w:tabs>
          <w:tab w:val="clear" w:pos="4153"/>
          <w:tab w:val="clear" w:pos="8306"/>
          <w:tab w:val="left" w:pos="426"/>
        </w:tabs>
        <w:spacing w:after="120"/>
        <w:ind w:left="0" w:firstLine="0"/>
        <w:rPr>
          <w:szCs w:val="20"/>
          <w:lang w:val="en-GB"/>
        </w:rPr>
      </w:pPr>
      <w:r w:rsidRPr="003B6A69">
        <w:rPr>
          <w:szCs w:val="20"/>
        </w:rPr>
        <w:t>C</w:t>
      </w:r>
      <w:r w:rsidR="00AF1F0F" w:rsidRPr="003B6A69">
        <w:rPr>
          <w:szCs w:val="20"/>
        </w:rPr>
        <w:t xml:space="preserve">ombining in one project the PA management strengthening, </w:t>
      </w:r>
      <w:r w:rsidR="005D32D5" w:rsidRPr="003B6A69">
        <w:rPr>
          <w:szCs w:val="20"/>
        </w:rPr>
        <w:t xml:space="preserve">the </w:t>
      </w:r>
      <w:r w:rsidR="00AF1F0F" w:rsidRPr="003B6A69">
        <w:rPr>
          <w:szCs w:val="20"/>
        </w:rPr>
        <w:t xml:space="preserve">establishment of mechanisms for conservation of KBA values outside PAs via spatial </w:t>
      </w:r>
      <w:proofErr w:type="gramStart"/>
      <w:r w:rsidR="00AF1F0F" w:rsidRPr="003B6A69">
        <w:rPr>
          <w:szCs w:val="20"/>
        </w:rPr>
        <w:t>planning, and</w:t>
      </w:r>
      <w:proofErr w:type="gramEnd"/>
      <w:r w:rsidR="00AF1F0F" w:rsidRPr="003B6A69">
        <w:rPr>
          <w:szCs w:val="20"/>
        </w:rPr>
        <w:t xml:space="preserve"> demonstrating concrete solutions for BD mainstreaming in policies and practices of the three production sectors that negatively affect the KBAs, will be likely to produce a higher and more sustainable impact than a single-sector intervention. With the current baseline of little or no consideration of BD conservation objectives in the sectoral development, a demonstration of sectoral practices that are modern, efficient</w:t>
      </w:r>
      <w:r w:rsidR="005D32D5" w:rsidRPr="003B6A69">
        <w:rPr>
          <w:szCs w:val="20"/>
        </w:rPr>
        <w:t>,</w:t>
      </w:r>
      <w:r w:rsidR="00AF1F0F" w:rsidRPr="003B6A69">
        <w:rPr>
          <w:szCs w:val="20"/>
        </w:rPr>
        <w:t xml:space="preserve"> and at the same time responsive to the BD conservation considerations will give way to </w:t>
      </w:r>
      <w:r w:rsidR="005D32D5" w:rsidRPr="003B6A69">
        <w:rPr>
          <w:szCs w:val="20"/>
        </w:rPr>
        <w:t xml:space="preserve">the </w:t>
      </w:r>
      <w:r w:rsidR="00AF1F0F" w:rsidRPr="003B6A69">
        <w:rPr>
          <w:szCs w:val="20"/>
        </w:rPr>
        <w:t xml:space="preserve">larger scale and more systematic sectoral changes. </w:t>
      </w:r>
      <w:r w:rsidR="007A3313" w:rsidRPr="003B6A69">
        <w:rPr>
          <w:szCs w:val="20"/>
        </w:rPr>
        <w:t xml:space="preserve">The practical solutions will however remain one-time and “patchy” if not accompanied by regulatory changes, </w:t>
      </w:r>
      <w:r w:rsidR="008C6008" w:rsidRPr="003B6A69">
        <w:rPr>
          <w:szCs w:val="20"/>
        </w:rPr>
        <w:t xml:space="preserve">the </w:t>
      </w:r>
      <w:r w:rsidR="007A3313" w:rsidRPr="003B6A69">
        <w:rPr>
          <w:szCs w:val="20"/>
        </w:rPr>
        <w:t>introduction of best-practice standards</w:t>
      </w:r>
      <w:r w:rsidR="008C6008" w:rsidRPr="003B6A69">
        <w:rPr>
          <w:szCs w:val="20"/>
        </w:rPr>
        <w:t>,</w:t>
      </w:r>
      <w:r w:rsidR="007A3313" w:rsidRPr="003B6A69">
        <w:rPr>
          <w:szCs w:val="20"/>
        </w:rPr>
        <w:t xml:space="preserve"> and knowledge dissemination. </w:t>
      </w:r>
      <w:r w:rsidR="00AF1F0F" w:rsidRPr="003B6A69">
        <w:rPr>
          <w:szCs w:val="20"/>
        </w:rPr>
        <w:t>Carefully chosen and successfully demonstrated practices, combined with viable policy changes and the appropriate knowledge dissemination effort will create enabling environment for further application of the BD-</w:t>
      </w:r>
      <w:r w:rsidR="008C6008" w:rsidRPr="003B6A69">
        <w:rPr>
          <w:szCs w:val="20"/>
        </w:rPr>
        <w:t>sensitive</w:t>
      </w:r>
      <w:r w:rsidR="00AF1F0F" w:rsidRPr="003B6A69">
        <w:rPr>
          <w:szCs w:val="20"/>
        </w:rPr>
        <w:t xml:space="preserve"> practices. </w:t>
      </w:r>
    </w:p>
    <w:p w14:paraId="260C3370" w14:textId="66E737E3" w:rsidR="007A3313" w:rsidRPr="003B6A69" w:rsidRDefault="00FC2B0B" w:rsidP="00AF69F1">
      <w:pPr>
        <w:pStyle w:val="Header"/>
        <w:numPr>
          <w:ilvl w:val="0"/>
          <w:numId w:val="14"/>
        </w:numPr>
        <w:tabs>
          <w:tab w:val="clear" w:pos="4153"/>
          <w:tab w:val="clear" w:pos="8306"/>
          <w:tab w:val="left" w:pos="426"/>
        </w:tabs>
        <w:spacing w:after="120"/>
        <w:ind w:left="0" w:firstLine="0"/>
        <w:rPr>
          <w:szCs w:val="20"/>
          <w:lang w:val="en-GB"/>
        </w:rPr>
      </w:pPr>
      <w:r w:rsidRPr="003B6A69">
        <w:rPr>
          <w:szCs w:val="20"/>
          <w:lang w:val="en-GB"/>
        </w:rPr>
        <w:t xml:space="preserve">The key assumptions associated with the </w:t>
      </w:r>
      <w:proofErr w:type="spellStart"/>
      <w:r w:rsidRPr="003B6A69">
        <w:rPr>
          <w:szCs w:val="20"/>
          <w:lang w:val="en-GB"/>
        </w:rPr>
        <w:t>ToC</w:t>
      </w:r>
      <w:proofErr w:type="spellEnd"/>
      <w:r w:rsidRPr="003B6A69">
        <w:rPr>
          <w:szCs w:val="20"/>
          <w:lang w:val="en-GB"/>
        </w:rPr>
        <w:t xml:space="preserve"> and the key elements of the project strategy are as follows: </w:t>
      </w:r>
    </w:p>
    <w:p w14:paraId="37B2FA0A" w14:textId="3B21752D" w:rsidR="00FC2B0B" w:rsidRPr="003B6A69" w:rsidRDefault="00FC2B0B" w:rsidP="00FC2B0B">
      <w:pPr>
        <w:pStyle w:val="Header"/>
        <w:tabs>
          <w:tab w:val="clear" w:pos="4153"/>
          <w:tab w:val="clear" w:pos="8306"/>
          <w:tab w:val="left" w:pos="426"/>
        </w:tabs>
        <w:spacing w:after="120"/>
        <w:ind w:left="360"/>
        <w:rPr>
          <w:szCs w:val="20"/>
          <w:lang w:val="en-GB"/>
        </w:rPr>
      </w:pPr>
      <w:r w:rsidRPr="003B6A69">
        <w:rPr>
          <w:szCs w:val="20"/>
          <w:lang w:val="en-GB"/>
        </w:rPr>
        <w:t xml:space="preserve">- The project will provide an essential increment (associated with a limited investment) to collect the knowledge base and support research into key species and habitats to assess their baseline status and formulate objectives for their conservation through spatial planning. A much bigger contribution, both in terms of finance, institutional capacity and coordination should come from the national counterparts, primarily MESPU and NEPA. </w:t>
      </w:r>
    </w:p>
    <w:p w14:paraId="0D9915E5" w14:textId="3448E71F" w:rsidR="00FC2B0B" w:rsidRPr="003B6A69" w:rsidRDefault="00FC2B0B" w:rsidP="003C6B7B">
      <w:pPr>
        <w:pStyle w:val="Header"/>
        <w:numPr>
          <w:ilvl w:val="0"/>
          <w:numId w:val="43"/>
        </w:numPr>
        <w:tabs>
          <w:tab w:val="clear" w:pos="4153"/>
          <w:tab w:val="clear" w:pos="8306"/>
          <w:tab w:val="left" w:pos="426"/>
        </w:tabs>
        <w:spacing w:after="120"/>
        <w:rPr>
          <w:szCs w:val="20"/>
          <w:lang w:val="en-GB"/>
        </w:rPr>
      </w:pPr>
      <w:r w:rsidRPr="003B6A69">
        <w:rPr>
          <w:szCs w:val="20"/>
          <w:lang w:val="en-GB"/>
        </w:rPr>
        <w:t xml:space="preserve"> The high level of stakeholders’ commitment to ensuring better management of internationally recognized BD </w:t>
      </w:r>
      <w:proofErr w:type="gramStart"/>
      <w:r w:rsidRPr="003B6A69">
        <w:rPr>
          <w:szCs w:val="20"/>
          <w:lang w:val="en-GB"/>
        </w:rPr>
        <w:t>hot-spots</w:t>
      </w:r>
      <w:proofErr w:type="gramEnd"/>
      <w:r w:rsidRPr="003B6A69">
        <w:rPr>
          <w:szCs w:val="20"/>
          <w:lang w:val="en-GB"/>
        </w:rPr>
        <w:t xml:space="preserve"> in the country will remain unchanged as primarily driven by the international obligations of the country assigned to the project implementing </w:t>
      </w:r>
      <w:proofErr w:type="spellStart"/>
      <w:r w:rsidRPr="003B6A69">
        <w:rPr>
          <w:szCs w:val="20"/>
          <w:lang w:val="en-GB"/>
        </w:rPr>
        <w:t>parther</w:t>
      </w:r>
      <w:proofErr w:type="spellEnd"/>
      <w:r w:rsidRPr="003B6A69">
        <w:rPr>
          <w:szCs w:val="20"/>
          <w:lang w:val="en-GB"/>
        </w:rPr>
        <w:t>(s).</w:t>
      </w:r>
    </w:p>
    <w:p w14:paraId="6BD75605" w14:textId="6382F8AD" w:rsidR="00FC2B0B" w:rsidRPr="003B6A69" w:rsidRDefault="00FC2B0B" w:rsidP="003C6B7B">
      <w:pPr>
        <w:pStyle w:val="Header"/>
        <w:numPr>
          <w:ilvl w:val="0"/>
          <w:numId w:val="43"/>
        </w:numPr>
        <w:tabs>
          <w:tab w:val="clear" w:pos="4153"/>
          <w:tab w:val="clear" w:pos="8306"/>
          <w:tab w:val="left" w:pos="426"/>
        </w:tabs>
        <w:spacing w:after="120"/>
        <w:rPr>
          <w:szCs w:val="20"/>
          <w:lang w:val="en-GB"/>
        </w:rPr>
      </w:pPr>
      <w:r w:rsidRPr="003B6A69">
        <w:rPr>
          <w:szCs w:val="20"/>
          <w:lang w:val="en-GB"/>
        </w:rPr>
        <w:t xml:space="preserve"> MESPU welcomes the proposal for a better account of BD conservation consideration with the newly developed Spatial Planning Framework of the country. Specifically, </w:t>
      </w:r>
      <w:r w:rsidRPr="003B6A69">
        <w:rPr>
          <w:rFonts w:cs="Calibri"/>
          <w:bCs/>
          <w:szCs w:val="20"/>
          <w:lang w:val="en-GB"/>
        </w:rPr>
        <w:t>the Spatial Plan will have the space to include the concrete elements of the BD conservation corridors concept and to streamline the necessity for assigning the national protection status of the internationally recognized KBAs.</w:t>
      </w:r>
    </w:p>
    <w:p w14:paraId="69971163" w14:textId="675DC91F" w:rsidR="00FC2B0B" w:rsidRPr="003B6A69" w:rsidRDefault="00FC2B0B" w:rsidP="003C6B7B">
      <w:pPr>
        <w:pStyle w:val="Header"/>
        <w:numPr>
          <w:ilvl w:val="0"/>
          <w:numId w:val="43"/>
        </w:numPr>
        <w:tabs>
          <w:tab w:val="clear" w:pos="4153"/>
          <w:tab w:val="clear" w:pos="8306"/>
          <w:tab w:val="left" w:pos="426"/>
        </w:tabs>
        <w:spacing w:after="120"/>
        <w:rPr>
          <w:szCs w:val="20"/>
          <w:lang w:val="en-GB"/>
        </w:rPr>
      </w:pPr>
      <w:r w:rsidRPr="003B6A69">
        <w:rPr>
          <w:szCs w:val="20"/>
          <w:lang w:val="en-GB"/>
        </w:rPr>
        <w:t xml:space="preserve"> Eco-certification remains among the development priorities of the recently restructured Ministry of Economic Development (that became responsible for tourism development starting from 2021).</w:t>
      </w:r>
    </w:p>
    <w:p w14:paraId="1FD70F9A" w14:textId="230B20FF" w:rsidR="00FC2B0B" w:rsidRPr="003B6A69" w:rsidRDefault="00FC2B0B" w:rsidP="003C6B7B">
      <w:pPr>
        <w:pStyle w:val="Header"/>
        <w:numPr>
          <w:ilvl w:val="0"/>
          <w:numId w:val="43"/>
        </w:numPr>
        <w:tabs>
          <w:tab w:val="clear" w:pos="4153"/>
          <w:tab w:val="clear" w:pos="8306"/>
          <w:tab w:val="left" w:pos="426"/>
        </w:tabs>
        <w:spacing w:after="120"/>
        <w:rPr>
          <w:szCs w:val="20"/>
          <w:lang w:val="en-GB"/>
        </w:rPr>
      </w:pPr>
      <w:r w:rsidRPr="003B6A69">
        <w:rPr>
          <w:szCs w:val="20"/>
          <w:lang w:val="en-GB"/>
        </w:rPr>
        <w:t xml:space="preserve"> Post-COVID recovery agenda for the key economic sectors, </w:t>
      </w:r>
      <w:proofErr w:type="gramStart"/>
      <w:r w:rsidRPr="003B6A69">
        <w:rPr>
          <w:szCs w:val="20"/>
          <w:lang w:val="en-GB"/>
        </w:rPr>
        <w:t>first of all</w:t>
      </w:r>
      <w:proofErr w:type="gramEnd"/>
      <w:r w:rsidRPr="003B6A69">
        <w:rPr>
          <w:szCs w:val="20"/>
          <w:lang w:val="en-GB"/>
        </w:rPr>
        <w:t>, tourism is open to adaptive change and outside expert contributions.</w:t>
      </w:r>
    </w:p>
    <w:p w14:paraId="7CFD97BF" w14:textId="151AA0DB" w:rsidR="00FC2B0B" w:rsidRPr="003B6A69" w:rsidRDefault="00FC2B0B" w:rsidP="003C6B7B">
      <w:pPr>
        <w:pStyle w:val="Header"/>
        <w:numPr>
          <w:ilvl w:val="0"/>
          <w:numId w:val="43"/>
        </w:numPr>
        <w:tabs>
          <w:tab w:val="clear" w:pos="4153"/>
          <w:tab w:val="clear" w:pos="8306"/>
          <w:tab w:val="left" w:pos="426"/>
        </w:tabs>
        <w:spacing w:after="120"/>
        <w:rPr>
          <w:szCs w:val="20"/>
          <w:lang w:val="en-GB"/>
        </w:rPr>
      </w:pPr>
      <w:r w:rsidRPr="003B6A69">
        <w:rPr>
          <w:szCs w:val="20"/>
          <w:lang w:val="en-GB"/>
        </w:rPr>
        <w:t xml:space="preserve"> Tourism business has sufficiently recovered after the recession caused by COVID restrictions in 2020-2021, to partner with the project.</w:t>
      </w:r>
    </w:p>
    <w:p w14:paraId="22E30E79" w14:textId="1F7739AB" w:rsidR="00FC2B0B" w:rsidRPr="003B6A69" w:rsidRDefault="00FC2B0B" w:rsidP="003C6B7B">
      <w:pPr>
        <w:pStyle w:val="Header"/>
        <w:numPr>
          <w:ilvl w:val="0"/>
          <w:numId w:val="43"/>
        </w:numPr>
        <w:tabs>
          <w:tab w:val="clear" w:pos="4153"/>
          <w:tab w:val="clear" w:pos="8306"/>
          <w:tab w:val="left" w:pos="426"/>
        </w:tabs>
        <w:spacing w:after="120"/>
        <w:rPr>
          <w:szCs w:val="20"/>
          <w:lang w:val="en-GB"/>
        </w:rPr>
      </w:pPr>
      <w:r w:rsidRPr="003B6A69">
        <w:rPr>
          <w:szCs w:val="20"/>
          <w:lang w:val="en-GB"/>
        </w:rPr>
        <w:t xml:space="preserve"> The Government pursues the declared support and renders services to private forest owners.</w:t>
      </w:r>
    </w:p>
    <w:p w14:paraId="1F3225E4" w14:textId="48883882" w:rsidR="00FC2B0B" w:rsidRPr="003B6A69" w:rsidRDefault="00FC2B0B" w:rsidP="003C6B7B">
      <w:pPr>
        <w:pStyle w:val="Header"/>
        <w:numPr>
          <w:ilvl w:val="0"/>
          <w:numId w:val="43"/>
        </w:numPr>
        <w:tabs>
          <w:tab w:val="clear" w:pos="4153"/>
          <w:tab w:val="clear" w:pos="8306"/>
          <w:tab w:val="left" w:pos="426"/>
        </w:tabs>
        <w:spacing w:after="120"/>
        <w:rPr>
          <w:szCs w:val="20"/>
          <w:lang w:val="en-GB"/>
        </w:rPr>
      </w:pPr>
      <w:r w:rsidRPr="003B6A69">
        <w:rPr>
          <w:szCs w:val="20"/>
          <w:lang w:val="en-GB"/>
        </w:rPr>
        <w:t xml:space="preserve"> Project incremental effort and reducing forest fire threats are complemented by the relevant national and regional effort, both as the capacity building and as finance.</w:t>
      </w:r>
    </w:p>
    <w:p w14:paraId="5D5AEA38" w14:textId="19EA766D" w:rsidR="00FC2B0B" w:rsidRPr="003B6A69" w:rsidRDefault="00FC2B0B" w:rsidP="003C6B7B">
      <w:pPr>
        <w:pStyle w:val="Header"/>
        <w:numPr>
          <w:ilvl w:val="0"/>
          <w:numId w:val="43"/>
        </w:numPr>
        <w:tabs>
          <w:tab w:val="clear" w:pos="4153"/>
          <w:tab w:val="clear" w:pos="8306"/>
          <w:tab w:val="left" w:pos="426"/>
        </w:tabs>
        <w:spacing w:after="120"/>
        <w:rPr>
          <w:szCs w:val="20"/>
          <w:lang w:val="en-GB"/>
        </w:rPr>
      </w:pPr>
      <w:r w:rsidRPr="003B6A69">
        <w:rPr>
          <w:rFonts w:cs="Calibri"/>
          <w:bCs/>
          <w:szCs w:val="20"/>
        </w:rPr>
        <w:t xml:space="preserve"> The Government continues supporting the </w:t>
      </w:r>
      <w:proofErr w:type="spellStart"/>
      <w:r w:rsidRPr="003B6A69">
        <w:rPr>
          <w:rFonts w:cs="Calibri"/>
          <w:bCs/>
          <w:szCs w:val="20"/>
        </w:rPr>
        <w:t>agro</w:t>
      </w:r>
      <w:proofErr w:type="spellEnd"/>
      <w:r w:rsidRPr="003B6A69">
        <w:rPr>
          <w:rFonts w:cs="Calibri"/>
          <w:bCs/>
          <w:szCs w:val="20"/>
        </w:rPr>
        <w:t>-environmental incentive policies and sustainable agricultural practices.</w:t>
      </w:r>
    </w:p>
    <w:p w14:paraId="6D59D78C" w14:textId="27B88E14" w:rsidR="00FC2B0B" w:rsidRPr="003B6A69" w:rsidRDefault="00FC2B0B" w:rsidP="003C6B7B">
      <w:pPr>
        <w:pStyle w:val="Header"/>
        <w:numPr>
          <w:ilvl w:val="0"/>
          <w:numId w:val="43"/>
        </w:numPr>
        <w:tabs>
          <w:tab w:val="clear" w:pos="4153"/>
          <w:tab w:val="clear" w:pos="8306"/>
          <w:tab w:val="left" w:pos="426"/>
        </w:tabs>
        <w:spacing w:after="120"/>
        <w:rPr>
          <w:szCs w:val="20"/>
          <w:lang w:val="en-GB"/>
        </w:rPr>
      </w:pPr>
      <w:r w:rsidRPr="003B6A69">
        <w:rPr>
          <w:szCs w:val="20"/>
          <w:lang w:val="en-GB"/>
        </w:rPr>
        <w:t xml:space="preserve"> Overall, project stakeholders stay committed to the project and provide the declared co-financing.</w:t>
      </w:r>
    </w:p>
    <w:p w14:paraId="0C38F9F6" w14:textId="71039104" w:rsidR="00FC2B0B" w:rsidRPr="003B6A69" w:rsidRDefault="00FC2B0B" w:rsidP="003C6B7B">
      <w:pPr>
        <w:pStyle w:val="Header"/>
        <w:numPr>
          <w:ilvl w:val="0"/>
          <w:numId w:val="43"/>
        </w:numPr>
        <w:tabs>
          <w:tab w:val="clear" w:pos="4153"/>
          <w:tab w:val="clear" w:pos="8306"/>
          <w:tab w:val="left" w:pos="426"/>
        </w:tabs>
        <w:spacing w:after="120"/>
        <w:rPr>
          <w:szCs w:val="20"/>
          <w:lang w:val="en-GB"/>
        </w:rPr>
      </w:pPr>
      <w:r w:rsidRPr="003B6A69">
        <w:rPr>
          <w:szCs w:val="20"/>
          <w:lang w:val="en-GB"/>
        </w:rPr>
        <w:t xml:space="preserve"> The drivers behind the sustainable development and nature conservation agenda persist throughout the project lifetime and define the prerequisites for the sustainability of project results beyond the project timeframe.</w:t>
      </w:r>
    </w:p>
    <w:p w14:paraId="2859A370" w14:textId="2CECB17D" w:rsidR="00FC2B0B" w:rsidRPr="003B6A69" w:rsidRDefault="00FC2B0B" w:rsidP="003C6B7B">
      <w:pPr>
        <w:pStyle w:val="Header"/>
        <w:numPr>
          <w:ilvl w:val="0"/>
          <w:numId w:val="43"/>
        </w:numPr>
        <w:tabs>
          <w:tab w:val="clear" w:pos="4153"/>
          <w:tab w:val="clear" w:pos="8306"/>
          <w:tab w:val="left" w:pos="426"/>
        </w:tabs>
        <w:spacing w:after="120"/>
        <w:rPr>
          <w:szCs w:val="20"/>
          <w:lang w:val="en-GB"/>
        </w:rPr>
      </w:pPr>
      <w:r w:rsidRPr="003B6A69">
        <w:rPr>
          <w:szCs w:val="20"/>
          <w:lang w:val="en-GB"/>
        </w:rPr>
        <w:t xml:space="preserve"> The project implementation environment is not affected by major outside factors such as a drastic change in policy priorities, major institutional reforms, deep and long-lasting economic recession etc. </w:t>
      </w:r>
    </w:p>
    <w:p w14:paraId="29F7739A" w14:textId="6E2F5195" w:rsidR="00FC2B0B" w:rsidRPr="003B6A69" w:rsidRDefault="00FC2B0B" w:rsidP="003C6B7B">
      <w:pPr>
        <w:pStyle w:val="Header"/>
        <w:numPr>
          <w:ilvl w:val="0"/>
          <w:numId w:val="43"/>
        </w:numPr>
        <w:tabs>
          <w:tab w:val="clear" w:pos="4153"/>
          <w:tab w:val="clear" w:pos="8306"/>
          <w:tab w:val="left" w:pos="426"/>
        </w:tabs>
        <w:spacing w:after="120"/>
        <w:rPr>
          <w:szCs w:val="20"/>
          <w:lang w:val="en-GB"/>
        </w:rPr>
      </w:pPr>
      <w:r w:rsidRPr="003B6A69">
        <w:rPr>
          <w:szCs w:val="20"/>
          <w:lang w:val="en-GB"/>
        </w:rPr>
        <w:lastRenderedPageBreak/>
        <w:t xml:space="preserve"> KBA values are not affected by extreme climatic events and disasters such as significant </w:t>
      </w:r>
      <w:proofErr w:type="spellStart"/>
      <w:r w:rsidRPr="003B6A69">
        <w:rPr>
          <w:szCs w:val="20"/>
          <w:lang w:val="en-GB"/>
        </w:rPr>
        <w:t>firest</w:t>
      </w:r>
      <w:proofErr w:type="spellEnd"/>
      <w:r w:rsidRPr="003B6A69">
        <w:rPr>
          <w:szCs w:val="20"/>
          <w:lang w:val="en-GB"/>
        </w:rPr>
        <w:t xml:space="preserve"> and droughts. </w:t>
      </w:r>
    </w:p>
    <w:p w14:paraId="61623AAE" w14:textId="7EDF2461" w:rsidR="00FC2B0B" w:rsidRPr="003B6A69" w:rsidRDefault="00FC2B0B" w:rsidP="00AF69F1">
      <w:pPr>
        <w:pStyle w:val="Header"/>
        <w:numPr>
          <w:ilvl w:val="0"/>
          <w:numId w:val="14"/>
        </w:numPr>
        <w:tabs>
          <w:tab w:val="clear" w:pos="4153"/>
          <w:tab w:val="clear" w:pos="8306"/>
          <w:tab w:val="left" w:pos="426"/>
        </w:tabs>
        <w:spacing w:after="120"/>
        <w:ind w:left="0" w:firstLine="0"/>
        <w:rPr>
          <w:szCs w:val="20"/>
          <w:lang w:val="en-GB"/>
        </w:rPr>
      </w:pPr>
      <w:r w:rsidRPr="003B6A69">
        <w:rPr>
          <w:szCs w:val="20"/>
          <w:lang w:val="en-GB"/>
        </w:rPr>
        <w:t xml:space="preserve">Risks that may hamper project developments are mostly associated with the institutional prerequisites and arrangements for the project implementation. </w:t>
      </w:r>
      <w:r w:rsidRPr="003B6A69">
        <w:rPr>
          <w:noProof/>
          <w:szCs w:val="20"/>
        </w:rPr>
        <w:t xml:space="preserve">Being in full ownership and implementation by the Government, the project will be highly affected by the institutional risks associate with the governmental reform and change of the governmental priorities. National partners might lack capacities and integrated vision to deliver the proposed outcomes and pave the way towards the achievement of the declared objective. Conflicting stakeholder interests and particular priorities of the project institutional partners can significantly affect the project performance. These risks, although typical, are particularly relevant for a multi-focal project tackling multiple landuse and conservation priorities within a </w:t>
      </w:r>
      <w:r w:rsidR="009641E8" w:rsidRPr="003B6A69">
        <w:rPr>
          <w:noProof/>
          <w:szCs w:val="20"/>
        </w:rPr>
        <w:t xml:space="preserve">mosaic landscape known for its great scenic and recreational value. </w:t>
      </w:r>
    </w:p>
    <w:p w14:paraId="368215CF" w14:textId="5FB5B639" w:rsidR="009641E8" w:rsidRPr="003B6A69" w:rsidRDefault="009641E8" w:rsidP="00AF69F1">
      <w:pPr>
        <w:pStyle w:val="Header"/>
        <w:numPr>
          <w:ilvl w:val="0"/>
          <w:numId w:val="14"/>
        </w:numPr>
        <w:tabs>
          <w:tab w:val="clear" w:pos="4153"/>
          <w:tab w:val="clear" w:pos="8306"/>
          <w:tab w:val="left" w:pos="426"/>
        </w:tabs>
        <w:spacing w:after="120"/>
        <w:ind w:left="0" w:firstLine="0"/>
        <w:rPr>
          <w:szCs w:val="20"/>
          <w:lang w:val="en-GB"/>
        </w:rPr>
      </w:pPr>
      <w:r w:rsidRPr="003B6A69">
        <w:rPr>
          <w:noProof/>
          <w:szCs w:val="20"/>
        </w:rPr>
        <w:t>The project</w:t>
      </w:r>
      <w:r w:rsidR="00FC2B0B" w:rsidRPr="003B6A69">
        <w:rPr>
          <w:noProof/>
          <w:szCs w:val="20"/>
        </w:rPr>
        <w:t xml:space="preserve"> calls for a holistic approach to intervention planning and involves multi-sectoral and multi-level governance and ownership. </w:t>
      </w:r>
      <w:r w:rsidRPr="003B6A69">
        <w:rPr>
          <w:noProof/>
          <w:szCs w:val="20"/>
        </w:rPr>
        <w:t>Multi-sectoral stakeholder interests pre-condition a risk of project implementation via “patchy” endeavors and impacts not necessarily leading to a transformational change</w:t>
      </w:r>
      <w:r w:rsidR="0096120F" w:rsidRPr="003B6A69">
        <w:rPr>
          <w:noProof/>
          <w:szCs w:val="20"/>
        </w:rPr>
        <w:t xml:space="preserve">; project resources may be </w:t>
      </w:r>
      <w:r w:rsidRPr="003B6A69">
        <w:rPr>
          <w:noProof/>
          <w:szCs w:val="20"/>
        </w:rPr>
        <w:t>spread across too many individual priorities</w:t>
      </w:r>
      <w:r w:rsidR="0096120F" w:rsidRPr="003B6A69">
        <w:rPr>
          <w:noProof/>
          <w:szCs w:val="20"/>
        </w:rPr>
        <w:t>,</w:t>
      </w:r>
      <w:r w:rsidRPr="003B6A69">
        <w:rPr>
          <w:noProof/>
          <w:szCs w:val="20"/>
        </w:rPr>
        <w:t xml:space="preserve"> and stand-alone interventions </w:t>
      </w:r>
      <w:r w:rsidR="0096120F" w:rsidRPr="003B6A69">
        <w:rPr>
          <w:noProof/>
          <w:szCs w:val="20"/>
        </w:rPr>
        <w:t xml:space="preserve">will not necessarily be </w:t>
      </w:r>
      <w:r w:rsidRPr="003B6A69">
        <w:rPr>
          <w:noProof/>
          <w:szCs w:val="20"/>
        </w:rPr>
        <w:t xml:space="preserve">strategized towards the achievement of the overall objective. The project ToC, outcomes and indicators were formulated to make sure that the project does not spread too wide and does not lose its focus. </w:t>
      </w:r>
    </w:p>
    <w:p w14:paraId="22A2F189" w14:textId="261D2D0B" w:rsidR="004911C4" w:rsidRPr="003B6A69" w:rsidRDefault="009641E8" w:rsidP="00AF69F1">
      <w:pPr>
        <w:pStyle w:val="Header"/>
        <w:numPr>
          <w:ilvl w:val="0"/>
          <w:numId w:val="14"/>
        </w:numPr>
        <w:tabs>
          <w:tab w:val="clear" w:pos="4153"/>
          <w:tab w:val="clear" w:pos="8306"/>
          <w:tab w:val="left" w:pos="426"/>
        </w:tabs>
        <w:spacing w:after="120"/>
        <w:ind w:left="0" w:firstLine="0"/>
        <w:rPr>
          <w:szCs w:val="20"/>
          <w:lang w:val="en-GB"/>
        </w:rPr>
      </w:pPr>
      <w:r w:rsidRPr="003B6A69">
        <w:rPr>
          <w:noProof/>
          <w:szCs w:val="20"/>
        </w:rPr>
        <w:t>On the other hand, there is a risk that the project vision changes to include fewer factors and actors, and the project focus changes towards a particular sector</w:t>
      </w:r>
      <w:r w:rsidR="0096120F" w:rsidRPr="003B6A69">
        <w:rPr>
          <w:noProof/>
          <w:szCs w:val="20"/>
        </w:rPr>
        <w:t xml:space="preserve"> or sectors</w:t>
      </w:r>
      <w:r w:rsidRPr="003B6A69">
        <w:rPr>
          <w:noProof/>
          <w:szCs w:val="20"/>
        </w:rPr>
        <w:t xml:space="preserve">. Within the GEF-financed portfolio in the region, there were examples of conflicting stakeholders' interests (such as commercial fisheries and strict marine reserves) that made it impossible for a project to retain the initial project </w:t>
      </w:r>
      <w:r w:rsidR="0096120F" w:rsidRPr="003B6A69">
        <w:rPr>
          <w:noProof/>
          <w:szCs w:val="20"/>
        </w:rPr>
        <w:t>focus</w:t>
      </w:r>
      <w:r w:rsidRPr="003B6A69">
        <w:rPr>
          <w:noProof/>
          <w:szCs w:val="20"/>
        </w:rPr>
        <w:t xml:space="preserve"> and address all key elements of the ToC.  UNDP-GEF portfolio in the region has seen the examples of BD mainstreaming endeavors gradually shifting towards conservation-oriented and PA-focused outcomes and results in the course of adaptive management. Not passing on any judgment as to whether those changes have been for the benefit of the </w:t>
      </w:r>
      <w:r w:rsidR="0096120F" w:rsidRPr="003B6A69">
        <w:rPr>
          <w:noProof/>
          <w:szCs w:val="20"/>
        </w:rPr>
        <w:t xml:space="preserve">GEF incremental finance, the current ToC and project Results Framework are proposed as a tool to guide the project implementation towards the achievement of the declared multi-sectoral BD mainstreaming effect and retain the project focus on KBAs and sectoral impacts and problems that threaten protected and unprotected BD hotspots and the productive landscapes around them. The current ToC and project Results Framework were developed to make sure that the adaptive management applied in the course of project implementation is justified by thoughtful amendments of the ToC and project strategy, consistent with the declared objectives, outcomes and key indicators, and not driven by arbitrary deviations motivated by individual stakeholder perceptions, or changing institutional environment. </w:t>
      </w:r>
    </w:p>
    <w:p w14:paraId="2F621935" w14:textId="77777777" w:rsidR="00AF1F0F" w:rsidRPr="003B6A69" w:rsidRDefault="00AF1F0F" w:rsidP="00AF1F0F">
      <w:pPr>
        <w:rPr>
          <w:lang w:val="en-GB"/>
        </w:rPr>
      </w:pPr>
    </w:p>
    <w:p w14:paraId="44F0315D" w14:textId="22F783C2" w:rsidR="003723DF" w:rsidRPr="003B6A69" w:rsidRDefault="0032007D" w:rsidP="00B707B2">
      <w:pPr>
        <w:pStyle w:val="Heading1"/>
        <w:spacing w:before="240" w:after="240"/>
        <w:rPr>
          <w:rFonts w:asciiTheme="minorHAnsi" w:hAnsiTheme="minorHAnsi" w:cstheme="minorHAnsi"/>
          <w:lang w:val="en-GB"/>
        </w:rPr>
      </w:pPr>
      <w:bookmarkStart w:id="15" w:name="_Toc82018247"/>
      <w:bookmarkEnd w:id="14"/>
      <w:r w:rsidRPr="003B6A69">
        <w:rPr>
          <w:rFonts w:asciiTheme="minorHAnsi" w:hAnsiTheme="minorHAnsi" w:cstheme="minorHAnsi"/>
          <w:lang w:val="en-GB"/>
        </w:rPr>
        <w:t>Results and P</w:t>
      </w:r>
      <w:r w:rsidR="00DA3833" w:rsidRPr="003B6A69">
        <w:rPr>
          <w:rFonts w:asciiTheme="minorHAnsi" w:hAnsiTheme="minorHAnsi" w:cstheme="minorHAnsi"/>
          <w:lang w:val="en-GB"/>
        </w:rPr>
        <w:t>artnerships</w:t>
      </w:r>
      <w:bookmarkEnd w:id="15"/>
      <w:r w:rsidR="0094042F" w:rsidRPr="003B6A69">
        <w:rPr>
          <w:rFonts w:asciiTheme="minorHAnsi" w:hAnsiTheme="minorHAnsi" w:cstheme="minorHAnsi"/>
          <w:lang w:val="en-GB"/>
        </w:rPr>
        <w:t xml:space="preserve"> </w:t>
      </w:r>
    </w:p>
    <w:p w14:paraId="2F78A601" w14:textId="409E7169" w:rsidR="00677513" w:rsidRPr="003B6A69" w:rsidRDefault="00742125" w:rsidP="00B24DF3">
      <w:pPr>
        <w:pStyle w:val="Heading2"/>
        <w:rPr>
          <w:color w:val="0070C0"/>
          <w:lang w:val="en-GB"/>
        </w:rPr>
      </w:pPr>
      <w:bookmarkStart w:id="16" w:name="_Toc82018248"/>
      <w:bookmarkStart w:id="17" w:name="_Hlk5017769"/>
      <w:r w:rsidRPr="003B6A69">
        <w:rPr>
          <w:lang w:val="en-GB"/>
        </w:rPr>
        <w:t>3.</w:t>
      </w:r>
      <w:r w:rsidR="00953220" w:rsidRPr="003B6A69">
        <w:rPr>
          <w:lang w:val="en-GB"/>
        </w:rPr>
        <w:t>1</w:t>
      </w:r>
      <w:r w:rsidRPr="003B6A69">
        <w:rPr>
          <w:lang w:val="en-GB"/>
        </w:rPr>
        <w:t xml:space="preserve"> </w:t>
      </w:r>
      <w:r w:rsidR="00DE409B" w:rsidRPr="003B6A69">
        <w:rPr>
          <w:lang w:val="en-GB"/>
        </w:rPr>
        <w:t xml:space="preserve">Project </w:t>
      </w:r>
      <w:r w:rsidR="00BD3962" w:rsidRPr="003B6A69">
        <w:rPr>
          <w:lang w:val="en-GB"/>
        </w:rPr>
        <w:t>d</w:t>
      </w:r>
      <w:r w:rsidR="00DE409B" w:rsidRPr="003B6A69">
        <w:rPr>
          <w:lang w:val="en-GB"/>
        </w:rPr>
        <w:t xml:space="preserve">escription and </w:t>
      </w:r>
      <w:r w:rsidR="00BD3962" w:rsidRPr="003B6A69">
        <w:rPr>
          <w:lang w:val="en-GB"/>
        </w:rPr>
        <w:t>ex</w:t>
      </w:r>
      <w:r w:rsidR="00C644BD" w:rsidRPr="003B6A69">
        <w:rPr>
          <w:lang w:val="en-GB"/>
        </w:rPr>
        <w:t xml:space="preserve">pected </w:t>
      </w:r>
      <w:r w:rsidR="00BD3962" w:rsidRPr="003B6A69">
        <w:rPr>
          <w:lang w:val="en-GB"/>
        </w:rPr>
        <w:t>r</w:t>
      </w:r>
      <w:r w:rsidR="00C644BD" w:rsidRPr="003B6A69">
        <w:rPr>
          <w:lang w:val="en-GB"/>
        </w:rPr>
        <w:t>esults</w:t>
      </w:r>
      <w:bookmarkEnd w:id="16"/>
      <w:r w:rsidR="00B90D56" w:rsidRPr="003B6A69">
        <w:rPr>
          <w:lang w:val="en-GB"/>
        </w:rPr>
        <w:t xml:space="preserve"> </w:t>
      </w:r>
    </w:p>
    <w:bookmarkEnd w:id="17"/>
    <w:p w14:paraId="05834FC3" w14:textId="77777777" w:rsidR="00AF1F0F" w:rsidRPr="003B6A69" w:rsidRDefault="00AF1F0F" w:rsidP="00AF1F0F">
      <w:pPr>
        <w:tabs>
          <w:tab w:val="left" w:pos="426"/>
        </w:tabs>
        <w:spacing w:after="120"/>
        <w:rPr>
          <w:rFonts w:cs="Calibri"/>
          <w:bCs/>
          <w:sz w:val="22"/>
          <w:szCs w:val="22"/>
          <w:lang w:val="en-GB"/>
        </w:rPr>
      </w:pPr>
      <w:r w:rsidRPr="003B6A69">
        <w:rPr>
          <w:b/>
          <w:sz w:val="22"/>
          <w:szCs w:val="22"/>
          <w:u w:val="single"/>
        </w:rPr>
        <w:t>Project scope</w:t>
      </w:r>
      <w:r w:rsidRPr="003B6A69">
        <w:rPr>
          <w:sz w:val="22"/>
          <w:szCs w:val="22"/>
        </w:rPr>
        <w:t xml:space="preserve">  </w:t>
      </w:r>
    </w:p>
    <w:p w14:paraId="0110B6B3" w14:textId="45D1EB53" w:rsidR="004E4202" w:rsidRPr="003B6A69" w:rsidRDefault="00B24DF3" w:rsidP="00AF69F1">
      <w:pPr>
        <w:numPr>
          <w:ilvl w:val="0"/>
          <w:numId w:val="14"/>
        </w:numPr>
        <w:tabs>
          <w:tab w:val="left" w:pos="426"/>
        </w:tabs>
        <w:spacing w:after="120"/>
        <w:ind w:left="0" w:firstLine="0"/>
        <w:rPr>
          <w:rFonts w:cs="Calibri"/>
          <w:bCs/>
          <w:sz w:val="22"/>
          <w:szCs w:val="22"/>
          <w:lang w:val="en-GB"/>
        </w:rPr>
      </w:pPr>
      <w:r w:rsidRPr="003B6A69">
        <w:t xml:space="preserve">The focus of the proposed project is </w:t>
      </w:r>
      <w:r w:rsidR="005D32D5" w:rsidRPr="003B6A69">
        <w:t xml:space="preserve">the </w:t>
      </w:r>
      <w:r w:rsidRPr="003B6A69">
        <w:t xml:space="preserve">Key Biodiversity Areas (KBAs) of Montenegro. The project area map was initially based on the biodiversity centers and corridors identified by the PA gap analysis (2012) </w:t>
      </w:r>
      <w:proofErr w:type="gramStart"/>
      <w:r w:rsidRPr="003B6A69">
        <w:t>on the basis of</w:t>
      </w:r>
      <w:proofErr w:type="gramEnd"/>
      <w:r w:rsidRPr="003B6A69">
        <w:t xml:space="preserve"> the species and habitat biodiversity pattern. In the course of the project strategy development, the project impact area has expanded to so-called “biodiversity buffer zones” to include existing national protected areas, internationally recognized biodiversity hot-spots, and productive landscapes outside PAs and in the vicinity of KBAs, where the project will address the sectoral threats to biodiversity via mainstreaming of BD-friendly practices and adjust the sectoral development scenarios for tourism, forestry</w:t>
      </w:r>
      <w:r w:rsidR="005D32D5" w:rsidRPr="003B6A69">
        <w:t>,</w:t>
      </w:r>
      <w:r w:rsidRPr="003B6A69">
        <w:t xml:space="preserve"> and agriculture to take into account the potential impact on biodiversity.</w:t>
      </w:r>
    </w:p>
    <w:p w14:paraId="05D4AC28" w14:textId="3D19F03B" w:rsidR="0047734D" w:rsidRPr="003B6A69" w:rsidRDefault="00B24DF3" w:rsidP="00AF69F1">
      <w:pPr>
        <w:numPr>
          <w:ilvl w:val="0"/>
          <w:numId w:val="14"/>
        </w:numPr>
        <w:tabs>
          <w:tab w:val="left" w:pos="426"/>
        </w:tabs>
        <w:spacing w:after="120"/>
        <w:ind w:left="0" w:firstLine="0"/>
        <w:rPr>
          <w:rFonts w:cs="Calibri"/>
          <w:bCs/>
          <w:sz w:val="22"/>
          <w:szCs w:val="22"/>
          <w:lang w:val="en-GB"/>
        </w:rPr>
      </w:pPr>
      <w:r w:rsidRPr="003B6A69">
        <w:t>The project includes various types of intervention and involves both ecosystem protection and work with production sectors, such as tourism, agriculture, and forestry.</w:t>
      </w:r>
      <w:r w:rsidRPr="003B6A69">
        <w:rPr>
          <w:rFonts w:ascii="Times New Roman" w:eastAsia="Times New Roman" w:hAnsi="Times New Roman"/>
        </w:rPr>
        <w:t xml:space="preserve"> </w:t>
      </w:r>
      <w:r w:rsidRPr="003B6A69">
        <w:t xml:space="preserve">Component 1 of the proposed project deals with the management constraints associated with the Protected Area estate, and unprotected biodiversity </w:t>
      </w:r>
      <w:proofErr w:type="gramStart"/>
      <w:r w:rsidRPr="003B6A69">
        <w:t>hot</w:t>
      </w:r>
      <w:r w:rsidR="00361190" w:rsidRPr="003B6A69">
        <w:t>-</w:t>
      </w:r>
      <w:r w:rsidRPr="003B6A69">
        <w:t>spots</w:t>
      </w:r>
      <w:proofErr w:type="gramEnd"/>
      <w:r w:rsidRPr="003B6A69">
        <w:t>.</w:t>
      </w:r>
      <w:r w:rsidRPr="003B6A69">
        <w:rPr>
          <w:rFonts w:ascii="Times New Roman" w:eastAsia="Times New Roman" w:hAnsi="Times New Roman"/>
        </w:rPr>
        <w:t xml:space="preserve"> </w:t>
      </w:r>
      <w:r w:rsidRPr="003B6A69">
        <w:t xml:space="preserve">The project will provide for the improved management of the pilot protected areas in order to ensure compliance with the international requirements for </w:t>
      </w:r>
      <w:r w:rsidR="005D32D5" w:rsidRPr="003B6A69">
        <w:t xml:space="preserve">the </w:t>
      </w:r>
      <w:r w:rsidRPr="003B6A69">
        <w:t xml:space="preserve">protection of valuable biodiversity within KBAs and other international biodiversity </w:t>
      </w:r>
      <w:proofErr w:type="gramStart"/>
      <w:r w:rsidRPr="003B6A69">
        <w:t>hot-spots</w:t>
      </w:r>
      <w:proofErr w:type="gramEnd"/>
      <w:r w:rsidRPr="003B6A69">
        <w:t>. The baseline management plans will be revised, and the management capacity building will be supported. For the KBAs not yet covered by the national PA system, the project will make incremental steps moving from baseline declarations to proclaim PA towards actual implementatio</w:t>
      </w:r>
      <w:r w:rsidR="005D32D5" w:rsidRPr="003B6A69">
        <w:t>n of the plans for PA expansion</w:t>
      </w:r>
      <w:r w:rsidRPr="003B6A69">
        <w:t>.</w:t>
      </w:r>
      <w:r w:rsidRPr="003B6A69">
        <w:rPr>
          <w:rFonts w:ascii="Times New Roman" w:eastAsia="Times New Roman" w:hAnsi="Times New Roman"/>
        </w:rPr>
        <w:t xml:space="preserve"> </w:t>
      </w:r>
      <w:r w:rsidRPr="003B6A69">
        <w:t xml:space="preserve">The project will endeavor to impact the development of the new Spatial Plan of Montenegro and the General Regulation Plan, providing the national spatial planning framework with a BD mainstreaming dimension. Through spatial planning instruments, the project will promote concrete solutions for </w:t>
      </w:r>
      <w:r w:rsidRPr="003B6A69">
        <w:lastRenderedPageBreak/>
        <w:t>valuable and threatened BD conservation outside PAs. Component 2 will focus on embedding the biodiversity conservation and sustainable use objective into policies and practices for the three production sectors that impact KBAs in Montenegro – tourism, agriculture</w:t>
      </w:r>
      <w:r w:rsidR="005D32D5" w:rsidRPr="003B6A69">
        <w:t>,</w:t>
      </w:r>
      <w:r w:rsidRPr="003B6A69">
        <w:t xml:space="preserve"> and forestry. Component 2 targets the productive landscapes outside PAs and in the vicinity of KBAs, where the project will address the sectoral threats to biodiversity via mainstreaming of BD-friendly practices and adjust the sectoral development scenarios for tourism, forestry</w:t>
      </w:r>
      <w:r w:rsidR="005D32D5" w:rsidRPr="003B6A69">
        <w:t>,</w:t>
      </w:r>
      <w:r w:rsidRPr="003B6A69">
        <w:t xml:space="preserve"> and agriculture to </w:t>
      </w:r>
      <w:proofErr w:type="gramStart"/>
      <w:r w:rsidRPr="003B6A69">
        <w:t>take into account</w:t>
      </w:r>
      <w:proofErr w:type="gramEnd"/>
      <w:r w:rsidRPr="003B6A69">
        <w:t xml:space="preserve"> the potential impact on biodiversity. The project will offer assistance to the Ministry of </w:t>
      </w:r>
      <w:r w:rsidR="005D32D5" w:rsidRPr="003B6A69">
        <w:t>Economic</w:t>
      </w:r>
      <w:r w:rsidRPr="003B6A69">
        <w:t xml:space="preserve"> Development in the development of best-practice standards for sustainable tourism and nature-based BD</w:t>
      </w:r>
      <w:r w:rsidR="005D32D5" w:rsidRPr="003B6A69">
        <w:t>-</w:t>
      </w:r>
      <w:r w:rsidRPr="003B6A69">
        <w:t xml:space="preserve">friendly </w:t>
      </w:r>
      <w:proofErr w:type="gramStart"/>
      <w:r w:rsidRPr="003B6A69">
        <w:t>tourism, and</w:t>
      </w:r>
      <w:proofErr w:type="gramEnd"/>
      <w:r w:rsidRPr="003B6A69">
        <w:t xml:space="preserve"> support the small-scale tourism business development towards the more offerings of </w:t>
      </w:r>
      <w:r w:rsidRPr="003B6A69">
        <w:rPr>
          <w:lang w:val="en-ZA"/>
        </w:rPr>
        <w:t>biodiversity-sensitive nature-based tourism</w:t>
      </w:r>
      <w:r w:rsidRPr="003B6A69">
        <w:t xml:space="preserve"> products.</w:t>
      </w:r>
      <w:r w:rsidRPr="003B6A69">
        <w:rPr>
          <w:rFonts w:eastAsia="Times New Roman"/>
        </w:rPr>
        <w:t xml:space="preserve"> </w:t>
      </w:r>
      <w:r w:rsidRPr="003B6A69">
        <w:t xml:space="preserve">For the forestry sector, the project will offer best-practice standards for mainstreaming biodiversity-friendly forestry practices, will assist the Government with support and services to private forest owners, and help promote biodiversity-positive entrepreneurship in forestry. The project will plan and support the implementation of the targeted interventions required to preserve landscapes, protect </w:t>
      </w:r>
      <w:proofErr w:type="gramStart"/>
      <w:r w:rsidRPr="003B6A69">
        <w:t>habitats</w:t>
      </w:r>
      <w:proofErr w:type="gramEnd"/>
      <w:r w:rsidRPr="003B6A69">
        <w:t xml:space="preserve"> and ensure </w:t>
      </w:r>
      <w:r w:rsidR="005D32D5" w:rsidRPr="003B6A69">
        <w:t xml:space="preserve">the </w:t>
      </w:r>
      <w:r w:rsidRPr="003B6A69">
        <w:t xml:space="preserve">protection of </w:t>
      </w:r>
      <w:r w:rsidR="00361190" w:rsidRPr="003B6A69">
        <w:t>High-Conservation Value forests</w:t>
      </w:r>
      <w:r w:rsidRPr="003B6A69">
        <w:t xml:space="preserve">. For BD mainstreaming in agriculture, the project will focus on </w:t>
      </w:r>
      <w:r w:rsidR="005D32D5" w:rsidRPr="003B6A69">
        <w:t xml:space="preserve">the </w:t>
      </w:r>
      <w:r w:rsidRPr="003B6A69">
        <w:t>conservation and sustainable management of valuable ecosystems and habitats currently unprotected by the PA system and used as agricultural land. The project will support the Government with the introduction of incentives to promote agricultural practices with the aim of restoring, preserving</w:t>
      </w:r>
      <w:r w:rsidR="005D32D5" w:rsidRPr="003B6A69">
        <w:t>,</w:t>
      </w:r>
      <w:r w:rsidRPr="003B6A69">
        <w:t xml:space="preserve"> and promoting sustainable use of valuable agricultural land. The project will co-finance </w:t>
      </w:r>
      <w:r w:rsidR="005D32D5" w:rsidRPr="003B6A69">
        <w:t xml:space="preserve">the </w:t>
      </w:r>
      <w:r w:rsidRPr="003B6A69">
        <w:t xml:space="preserve">implementation of </w:t>
      </w:r>
      <w:proofErr w:type="spellStart"/>
      <w:r w:rsidRPr="003B6A69">
        <w:t>agro</w:t>
      </w:r>
      <w:proofErr w:type="spellEnd"/>
      <w:r w:rsidRPr="003B6A69">
        <w:t xml:space="preserve">-environmental measures such as sustainable grazing, focused on enhanced resilience of </w:t>
      </w:r>
      <w:proofErr w:type="spellStart"/>
      <w:r w:rsidRPr="003B6A69">
        <w:t>agro</w:t>
      </w:r>
      <w:proofErr w:type="spellEnd"/>
      <w:r w:rsidRPr="003B6A69">
        <w:t>-ecosystems to climate-induced threats. The project will pilot technical/financial support to agricultural producers in a practical application of innovative BD-sensitive trends and techniques. Finally, the knowledge products related to BD conservation considerations mainstreaming into sectoral policies and practices will be developed and disseminated within and beyond the project intervention zone</w:t>
      </w:r>
      <w:r w:rsidR="00580FAC" w:rsidRPr="003B6A69">
        <w:t>, under Component 3</w:t>
      </w:r>
      <w:r w:rsidRPr="003B6A69">
        <w:t>.</w:t>
      </w:r>
    </w:p>
    <w:p w14:paraId="000C463F" w14:textId="6747D8E0" w:rsidR="00F22A55" w:rsidRPr="003B6A69" w:rsidRDefault="00B24DF3" w:rsidP="00AF69F1">
      <w:pPr>
        <w:numPr>
          <w:ilvl w:val="0"/>
          <w:numId w:val="14"/>
        </w:numPr>
        <w:tabs>
          <w:tab w:val="left" w:pos="426"/>
        </w:tabs>
        <w:spacing w:after="120"/>
        <w:ind w:left="0" w:firstLine="0"/>
        <w:rPr>
          <w:rFonts w:cs="Calibri"/>
          <w:bCs/>
          <w:lang w:val="en-GB"/>
        </w:rPr>
      </w:pPr>
      <w:r w:rsidRPr="003B6A69">
        <w:t xml:space="preserve">Retaining the focus on the KBAs all through the project’s justification and description, the proposed Component 1 deals with the management constraints associated with the PA estate, and unprotected biodiversity hotspots, while Component 2 is focused on BD mainstreaming into development policies and practices for three production sectors that impact KBAs in Montenegro. </w:t>
      </w:r>
      <w:r w:rsidRPr="003B6A69">
        <w:rPr>
          <w:rFonts w:cs="Calibri"/>
          <w:bCs/>
          <w:lang w:val="en-GB"/>
        </w:rPr>
        <w:t xml:space="preserve"> </w:t>
      </w:r>
    </w:p>
    <w:p w14:paraId="38DE680A" w14:textId="263C722B" w:rsidR="004C7214" w:rsidRPr="003B6A69" w:rsidRDefault="004C7214" w:rsidP="00B24DF3">
      <w:pPr>
        <w:pStyle w:val="Heading3"/>
      </w:pPr>
      <w:bookmarkStart w:id="18" w:name="_Toc82018249"/>
      <w:r w:rsidRPr="003B6A69">
        <w:t>Component</w:t>
      </w:r>
      <w:r w:rsidR="00E619C9" w:rsidRPr="003B6A69">
        <w:t xml:space="preserve"> 1</w:t>
      </w:r>
      <w:r w:rsidR="004E4202" w:rsidRPr="003B6A69">
        <w:t>: Protection of valuable and/or vulnerable biodiversity within the KBAs and biodiversity corridors</w:t>
      </w:r>
      <w:bookmarkEnd w:id="18"/>
    </w:p>
    <w:p w14:paraId="1C3CA060" w14:textId="08AC76AB" w:rsidR="00F22A55" w:rsidRPr="003B6A69" w:rsidRDefault="00B24DF3" w:rsidP="00AF69F1">
      <w:pPr>
        <w:numPr>
          <w:ilvl w:val="0"/>
          <w:numId w:val="14"/>
        </w:numPr>
        <w:tabs>
          <w:tab w:val="left" w:pos="426"/>
        </w:tabs>
        <w:spacing w:after="120"/>
        <w:ind w:left="0" w:firstLine="0"/>
        <w:rPr>
          <w:rFonts w:cs="Calibri"/>
          <w:bCs/>
          <w:sz w:val="22"/>
          <w:szCs w:val="22"/>
          <w:lang w:val="en-GB"/>
        </w:rPr>
      </w:pPr>
      <w:r w:rsidRPr="003B6A69">
        <w:t xml:space="preserve">Under Component 1, the project will focus its direct impact on the internationally recognized biodiversity </w:t>
      </w:r>
      <w:proofErr w:type="gramStart"/>
      <w:r w:rsidRPr="003B6A69">
        <w:t>hot-spots</w:t>
      </w:r>
      <w:proofErr w:type="gramEnd"/>
      <w:r w:rsidRPr="003B6A69">
        <w:t xml:space="preserve"> (KBAs, Ramsar, UNESCO sites etc</w:t>
      </w:r>
      <w:r w:rsidR="005D32D5" w:rsidRPr="003B6A69">
        <w:t>.</w:t>
      </w:r>
      <w:r w:rsidRPr="003B6A69">
        <w:t xml:space="preserve">). Outcome 1 has a spatial focus on the </w:t>
      </w:r>
      <w:proofErr w:type="gramStart"/>
      <w:r w:rsidRPr="003B6A69">
        <w:t>KBAs</w:t>
      </w:r>
      <w:proofErr w:type="gramEnd"/>
      <w:r w:rsidRPr="003B6A69">
        <w:t xml:space="preserve"> and other international nominations/recognitions covered by the national PA system, while Outcome 2 will target unprotected and nominally/declaratively protected KBAs.</w:t>
      </w:r>
    </w:p>
    <w:p w14:paraId="13AA2557" w14:textId="44A0BC73" w:rsidR="00A84607" w:rsidRPr="003B6A69" w:rsidRDefault="005036DD" w:rsidP="008A440C">
      <w:pPr>
        <w:pStyle w:val="Heading3"/>
        <w:rPr>
          <w:u w:val="none"/>
        </w:rPr>
      </w:pPr>
      <w:bookmarkStart w:id="19" w:name="_Toc82018250"/>
      <w:r w:rsidRPr="003B6A69">
        <w:rPr>
          <w:u w:val="none"/>
        </w:rPr>
        <w:t>Outcome 1: Capacity of the existing and newly established national protected areas strengthened to better address the key threats to globally significant biodiversity</w:t>
      </w:r>
      <w:bookmarkEnd w:id="19"/>
    </w:p>
    <w:p w14:paraId="78A86536" w14:textId="2AFCFBBF" w:rsidR="00B24DF3" w:rsidRPr="003B6A69" w:rsidRDefault="00B24DF3" w:rsidP="00E06AE4">
      <w:pPr>
        <w:rPr>
          <w:b/>
        </w:rPr>
      </w:pPr>
      <w:bookmarkStart w:id="20" w:name="_Toc56670673"/>
      <w:r w:rsidRPr="003B6A69">
        <w:rPr>
          <w:b/>
        </w:rPr>
        <w:t>Justification of conservation and management requirements for the Key Biodiversity Areas</w:t>
      </w:r>
      <w:bookmarkEnd w:id="20"/>
      <w:r w:rsidRPr="003B6A69">
        <w:rPr>
          <w:b/>
        </w:rPr>
        <w:t xml:space="preserve"> </w:t>
      </w:r>
    </w:p>
    <w:p w14:paraId="7B7F1EC3" w14:textId="77777777" w:rsidR="00B24DF3" w:rsidRPr="003B6A69" w:rsidRDefault="00B24DF3" w:rsidP="00B24DF3">
      <w:pPr>
        <w:rPr>
          <w:szCs w:val="20"/>
          <w:lang w:val="en-GB"/>
        </w:rPr>
      </w:pPr>
    </w:p>
    <w:p w14:paraId="1DB7BAC3" w14:textId="54AF0ED7" w:rsidR="0082561F" w:rsidRPr="003B6A69" w:rsidRDefault="0082561F" w:rsidP="00AF69F1">
      <w:pPr>
        <w:numPr>
          <w:ilvl w:val="0"/>
          <w:numId w:val="14"/>
        </w:numPr>
        <w:tabs>
          <w:tab w:val="left" w:pos="426"/>
        </w:tabs>
        <w:spacing w:after="120"/>
        <w:ind w:left="0" w:hanging="14"/>
        <w:rPr>
          <w:rFonts w:cs="Calibri"/>
          <w:bCs/>
          <w:szCs w:val="20"/>
          <w:lang w:val="en-GB"/>
        </w:rPr>
      </w:pPr>
      <w:r w:rsidRPr="003B6A69">
        <w:rPr>
          <w:rFonts w:cs="Calibri"/>
          <w:bCs/>
          <w:szCs w:val="20"/>
          <w:lang w:val="en-GB"/>
        </w:rPr>
        <w:t>The project with work with the protected area estate in the country in the context of KBAs and threats to globally significant biodiversity</w:t>
      </w:r>
      <w:r w:rsidR="00361190" w:rsidRPr="003B6A69">
        <w:rPr>
          <w:rFonts w:cs="Calibri"/>
          <w:bCs/>
          <w:szCs w:val="20"/>
          <w:lang w:val="en-GB"/>
        </w:rPr>
        <w:t>. The project</w:t>
      </w:r>
      <w:r w:rsidRPr="003B6A69">
        <w:rPr>
          <w:rFonts w:cs="Calibri"/>
          <w:bCs/>
          <w:szCs w:val="20"/>
          <w:lang w:val="en-GB"/>
        </w:rPr>
        <w:t xml:space="preserve"> will contribute to the improved protection of KBAs through strengthening </w:t>
      </w:r>
      <w:r w:rsidR="005D32D5" w:rsidRPr="003B6A69">
        <w:rPr>
          <w:rFonts w:cs="Calibri"/>
          <w:bCs/>
          <w:szCs w:val="20"/>
          <w:lang w:val="en-GB"/>
        </w:rPr>
        <w:t xml:space="preserve">the </w:t>
      </w:r>
      <w:r w:rsidRPr="003B6A69">
        <w:rPr>
          <w:rFonts w:cs="Calibri"/>
          <w:bCs/>
          <w:szCs w:val="20"/>
          <w:lang w:val="en-GB"/>
        </w:rPr>
        <w:t xml:space="preserve">management capacities of the existing PAs and implementation of the conservation planning framework. However, </w:t>
      </w:r>
      <w:proofErr w:type="gramStart"/>
      <w:r w:rsidRPr="003B6A69">
        <w:rPr>
          <w:rFonts w:cs="Calibri"/>
          <w:bCs/>
          <w:szCs w:val="20"/>
          <w:lang w:val="en-GB"/>
        </w:rPr>
        <w:t>in order to</w:t>
      </w:r>
      <w:proofErr w:type="gramEnd"/>
      <w:r w:rsidRPr="003B6A69">
        <w:rPr>
          <w:rFonts w:cs="Calibri"/>
          <w:bCs/>
          <w:szCs w:val="20"/>
          <w:lang w:val="en-GB"/>
        </w:rPr>
        <w:t xml:space="preserve"> achieve that, the first step in the process is to achieve the knowledge base that can be used for informed decision</w:t>
      </w:r>
      <w:r w:rsidR="00981370" w:rsidRPr="003B6A69">
        <w:rPr>
          <w:rFonts w:cs="Calibri"/>
          <w:bCs/>
          <w:szCs w:val="20"/>
          <w:lang w:val="en-GB"/>
        </w:rPr>
        <w:t>-</w:t>
      </w:r>
      <w:r w:rsidRPr="003B6A69">
        <w:rPr>
          <w:rFonts w:cs="Calibri"/>
          <w:bCs/>
          <w:szCs w:val="20"/>
          <w:lang w:val="en-GB"/>
        </w:rPr>
        <w:t xml:space="preserve">making. Thus, the project will support research into key species and habitats </w:t>
      </w:r>
      <w:proofErr w:type="gramStart"/>
      <w:r w:rsidRPr="003B6A69">
        <w:rPr>
          <w:rFonts w:cs="Calibri"/>
          <w:bCs/>
          <w:szCs w:val="20"/>
          <w:lang w:val="en-GB"/>
        </w:rPr>
        <w:t>in order to</w:t>
      </w:r>
      <w:proofErr w:type="gramEnd"/>
      <w:r w:rsidRPr="003B6A69">
        <w:rPr>
          <w:rFonts w:cs="Calibri"/>
          <w:bCs/>
          <w:szCs w:val="20"/>
          <w:lang w:val="en-GB"/>
        </w:rPr>
        <w:t xml:space="preserve"> assess their baseline status and formulate conservation objectives/measures as well as monitoring indicators and protocols.</w:t>
      </w:r>
    </w:p>
    <w:p w14:paraId="38E5F3BA" w14:textId="5AD92D30" w:rsidR="0082561F" w:rsidRPr="003B6A69" w:rsidRDefault="0082561F" w:rsidP="00AF69F1">
      <w:pPr>
        <w:numPr>
          <w:ilvl w:val="0"/>
          <w:numId w:val="14"/>
        </w:numPr>
        <w:tabs>
          <w:tab w:val="left" w:pos="426"/>
        </w:tabs>
        <w:spacing w:after="120"/>
        <w:ind w:left="0" w:hanging="14"/>
        <w:rPr>
          <w:rFonts w:cs="Calibri"/>
          <w:bCs/>
          <w:szCs w:val="20"/>
          <w:lang w:val="en-GB"/>
        </w:rPr>
      </w:pPr>
      <w:proofErr w:type="gramStart"/>
      <w:r w:rsidRPr="003B6A69">
        <w:rPr>
          <w:rFonts w:cs="Calibri"/>
          <w:bCs/>
          <w:szCs w:val="20"/>
          <w:lang w:val="en-GB"/>
        </w:rPr>
        <w:t>In order to</w:t>
      </w:r>
      <w:proofErr w:type="gramEnd"/>
      <w:r w:rsidRPr="003B6A69">
        <w:rPr>
          <w:rFonts w:cs="Calibri"/>
          <w:bCs/>
          <w:szCs w:val="20"/>
          <w:lang w:val="en-GB"/>
        </w:rPr>
        <w:t xml:space="preserve"> properly address the conservation objectives and implement monitoring schemes, the management plans of the existing PAs will be adjusted accordingly, as well as in relation to objectives, measures</w:t>
      </w:r>
      <w:r w:rsidR="005D32D5" w:rsidRPr="003B6A69">
        <w:rPr>
          <w:rFonts w:cs="Calibri"/>
          <w:bCs/>
          <w:szCs w:val="20"/>
          <w:lang w:val="en-GB"/>
        </w:rPr>
        <w:t>,</w:t>
      </w:r>
      <w:r w:rsidRPr="003B6A69">
        <w:rPr>
          <w:rFonts w:cs="Calibri"/>
          <w:bCs/>
          <w:szCs w:val="20"/>
          <w:lang w:val="en-GB"/>
        </w:rPr>
        <w:t xml:space="preserve"> and activities related to addressing key threats to species and habitats. For PAs where management plans are currently missing, the project will support their development and endorsement.</w:t>
      </w:r>
    </w:p>
    <w:p w14:paraId="72E357EC" w14:textId="7AF58834" w:rsidR="005036DD" w:rsidRPr="003B6A69" w:rsidRDefault="008A440C" w:rsidP="00AF69F1">
      <w:pPr>
        <w:numPr>
          <w:ilvl w:val="0"/>
          <w:numId w:val="14"/>
        </w:numPr>
        <w:tabs>
          <w:tab w:val="left" w:pos="426"/>
        </w:tabs>
        <w:spacing w:after="120"/>
        <w:ind w:left="0" w:hanging="14"/>
        <w:rPr>
          <w:rFonts w:cs="Calibri"/>
          <w:bCs/>
          <w:szCs w:val="20"/>
          <w:lang w:val="en-GB"/>
        </w:rPr>
      </w:pPr>
      <w:r w:rsidRPr="003B6A69">
        <w:rPr>
          <w:rFonts w:cs="Calibri"/>
          <w:bCs/>
          <w:szCs w:val="20"/>
          <w:lang w:val="en-GB"/>
        </w:rPr>
        <w:t xml:space="preserve">As requested by </w:t>
      </w:r>
      <w:r w:rsidR="0096120F" w:rsidRPr="003B6A69">
        <w:rPr>
          <w:rFonts w:cs="Calibri"/>
          <w:bCs/>
          <w:szCs w:val="20"/>
          <w:lang w:val="en-GB"/>
        </w:rPr>
        <w:t>MESPU</w:t>
      </w:r>
      <w:r w:rsidRPr="003B6A69">
        <w:rPr>
          <w:rFonts w:cs="Calibri"/>
          <w:bCs/>
          <w:szCs w:val="20"/>
          <w:lang w:val="en-GB"/>
        </w:rPr>
        <w:t>, the two KBAs to be given priority action for project interventions within the protected area estate</w:t>
      </w:r>
      <w:r w:rsidR="0082561F" w:rsidRPr="003B6A69">
        <w:rPr>
          <w:rFonts w:cs="Calibri"/>
          <w:bCs/>
          <w:szCs w:val="20"/>
          <w:lang w:val="en-GB"/>
        </w:rPr>
        <w:t xml:space="preserve"> under project Outcome 1</w:t>
      </w:r>
      <w:r w:rsidRPr="003B6A69">
        <w:rPr>
          <w:rFonts w:cs="Calibri"/>
          <w:bCs/>
          <w:szCs w:val="20"/>
          <w:lang w:val="en-GB"/>
        </w:rPr>
        <w:t xml:space="preserve"> (Outputs 1.</w:t>
      </w:r>
      <w:r w:rsidR="0082561F" w:rsidRPr="003B6A69">
        <w:rPr>
          <w:rFonts w:cs="Calibri"/>
          <w:bCs/>
          <w:szCs w:val="20"/>
          <w:lang w:val="en-GB"/>
        </w:rPr>
        <w:t>1</w:t>
      </w:r>
      <w:r w:rsidRPr="003B6A69">
        <w:rPr>
          <w:rFonts w:cs="Calibri"/>
          <w:bCs/>
          <w:szCs w:val="20"/>
          <w:lang w:val="en-GB"/>
        </w:rPr>
        <w:t>. and 1.</w:t>
      </w:r>
      <w:r w:rsidR="0082561F" w:rsidRPr="003B6A69">
        <w:rPr>
          <w:rFonts w:cs="Calibri"/>
          <w:bCs/>
          <w:szCs w:val="20"/>
          <w:lang w:val="en-GB"/>
        </w:rPr>
        <w:t>2</w:t>
      </w:r>
      <w:r w:rsidRPr="003B6A69">
        <w:rPr>
          <w:rFonts w:cs="Calibri"/>
          <w:bCs/>
          <w:szCs w:val="20"/>
          <w:lang w:val="en-GB"/>
        </w:rPr>
        <w:t xml:space="preserve"> below) will be </w:t>
      </w:r>
      <w:proofErr w:type="spellStart"/>
      <w:r w:rsidRPr="003B6A69">
        <w:rPr>
          <w:rFonts w:cs="Calibri"/>
          <w:bCs/>
          <w:szCs w:val="20"/>
          <w:lang w:val="en-GB"/>
        </w:rPr>
        <w:t>Durmitor</w:t>
      </w:r>
      <w:proofErr w:type="spellEnd"/>
      <w:r w:rsidRPr="003B6A69">
        <w:rPr>
          <w:rFonts w:cs="Calibri"/>
          <w:bCs/>
          <w:szCs w:val="20"/>
          <w:lang w:val="en-GB"/>
        </w:rPr>
        <w:t xml:space="preserve"> and Ulcinj Salina. </w:t>
      </w:r>
    </w:p>
    <w:p w14:paraId="1F3BFEDD" w14:textId="21EB2D1A" w:rsidR="005036DD" w:rsidRPr="003B6A69" w:rsidRDefault="0082561F" w:rsidP="00AF69F1">
      <w:pPr>
        <w:numPr>
          <w:ilvl w:val="0"/>
          <w:numId w:val="14"/>
        </w:numPr>
        <w:tabs>
          <w:tab w:val="left" w:pos="426"/>
        </w:tabs>
        <w:spacing w:after="120"/>
        <w:ind w:left="0" w:hanging="14"/>
        <w:rPr>
          <w:rFonts w:cs="Calibri"/>
          <w:bCs/>
          <w:szCs w:val="20"/>
          <w:lang w:val="en-GB"/>
        </w:rPr>
      </w:pPr>
      <w:r w:rsidRPr="003B6A69">
        <w:rPr>
          <w:rFonts w:cs="Calibri"/>
          <w:bCs/>
          <w:szCs w:val="20"/>
          <w:lang w:val="en-GB"/>
        </w:rPr>
        <w:t>The KBAs currently uncovered by the national PA system are in the focus of project Outcome 2</w:t>
      </w:r>
      <w:r w:rsidR="005036DD" w:rsidRPr="003B6A69">
        <w:rPr>
          <w:rFonts w:cs="Calibri"/>
          <w:bCs/>
          <w:szCs w:val="20"/>
          <w:lang w:val="en-GB"/>
        </w:rPr>
        <w:t>.</w:t>
      </w:r>
      <w:r w:rsidRPr="003B6A69">
        <w:rPr>
          <w:rFonts w:cs="Calibri"/>
          <w:bCs/>
          <w:szCs w:val="20"/>
          <w:lang w:val="en-GB"/>
        </w:rPr>
        <w:t xml:space="preserve"> There are nine registered KBAs in Montenegro that do not have a national protection status: Lake </w:t>
      </w:r>
      <w:proofErr w:type="spellStart"/>
      <w:r w:rsidRPr="003B6A69">
        <w:rPr>
          <w:rFonts w:cs="Calibri"/>
          <w:bCs/>
          <w:szCs w:val="20"/>
          <w:lang w:val="en-GB"/>
        </w:rPr>
        <w:t>Šasko</w:t>
      </w:r>
      <w:proofErr w:type="spellEnd"/>
      <w:r w:rsidRPr="003B6A69">
        <w:rPr>
          <w:rFonts w:cs="Calibri"/>
          <w:bCs/>
          <w:szCs w:val="20"/>
          <w:lang w:val="en-GB"/>
        </w:rPr>
        <w:t xml:space="preserve">, </w:t>
      </w:r>
      <w:proofErr w:type="spellStart"/>
      <w:r w:rsidRPr="003B6A69">
        <w:rPr>
          <w:rFonts w:cs="Calibri"/>
          <w:bCs/>
          <w:szCs w:val="20"/>
          <w:lang w:val="en-GB"/>
        </w:rPr>
        <w:t>Kakaricka</w:t>
      </w:r>
      <w:proofErr w:type="spellEnd"/>
      <w:r w:rsidRPr="003B6A69">
        <w:rPr>
          <w:rFonts w:cs="Calibri"/>
          <w:bCs/>
          <w:szCs w:val="20"/>
          <w:lang w:val="en-GB"/>
        </w:rPr>
        <w:t xml:space="preserve"> Gora, </w:t>
      </w:r>
      <w:proofErr w:type="spellStart"/>
      <w:r w:rsidRPr="003B6A69">
        <w:rPr>
          <w:rFonts w:cs="Calibri"/>
          <w:bCs/>
          <w:szCs w:val="20"/>
          <w:lang w:val="en-GB"/>
        </w:rPr>
        <w:t>Rumija</w:t>
      </w:r>
      <w:proofErr w:type="spellEnd"/>
      <w:r w:rsidRPr="003B6A69">
        <w:rPr>
          <w:rFonts w:cs="Calibri"/>
          <w:bCs/>
          <w:szCs w:val="20"/>
          <w:lang w:val="en-GB"/>
        </w:rPr>
        <w:t xml:space="preserve">, Bojana Delta, </w:t>
      </w:r>
      <w:proofErr w:type="spellStart"/>
      <w:r w:rsidRPr="003B6A69">
        <w:rPr>
          <w:rFonts w:cs="Calibri"/>
          <w:bCs/>
          <w:szCs w:val="20"/>
          <w:lang w:val="en-GB"/>
        </w:rPr>
        <w:t>Ćemovsko</w:t>
      </w:r>
      <w:proofErr w:type="spellEnd"/>
      <w:r w:rsidRPr="003B6A69">
        <w:rPr>
          <w:rFonts w:cs="Calibri"/>
          <w:bCs/>
          <w:szCs w:val="20"/>
          <w:lang w:val="en-GB"/>
        </w:rPr>
        <w:t xml:space="preserve"> polje, </w:t>
      </w:r>
      <w:proofErr w:type="spellStart"/>
      <w:r w:rsidRPr="003B6A69">
        <w:rPr>
          <w:rFonts w:cs="Calibri"/>
          <w:bCs/>
          <w:szCs w:val="20"/>
          <w:lang w:val="en-GB"/>
        </w:rPr>
        <w:t>Katici</w:t>
      </w:r>
      <w:proofErr w:type="spellEnd"/>
      <w:r w:rsidRPr="003B6A69">
        <w:rPr>
          <w:rFonts w:cs="Calibri"/>
          <w:bCs/>
          <w:szCs w:val="20"/>
          <w:lang w:val="en-GB"/>
        </w:rPr>
        <w:t xml:space="preserve">, </w:t>
      </w:r>
      <w:proofErr w:type="spellStart"/>
      <w:r w:rsidRPr="003B6A69">
        <w:rPr>
          <w:rFonts w:cs="Calibri"/>
          <w:bCs/>
          <w:szCs w:val="20"/>
          <w:lang w:val="en-GB"/>
        </w:rPr>
        <w:t>Donkova</w:t>
      </w:r>
      <w:proofErr w:type="spellEnd"/>
      <w:r w:rsidRPr="003B6A69">
        <w:rPr>
          <w:rFonts w:cs="Calibri"/>
          <w:bCs/>
          <w:szCs w:val="20"/>
          <w:lang w:val="en-GB"/>
        </w:rPr>
        <w:t xml:space="preserve"> and </w:t>
      </w:r>
      <w:proofErr w:type="spellStart"/>
      <w:r w:rsidRPr="003B6A69">
        <w:rPr>
          <w:rFonts w:cs="Calibri"/>
          <w:bCs/>
          <w:szCs w:val="20"/>
          <w:lang w:val="en-GB"/>
        </w:rPr>
        <w:t>Velja</w:t>
      </w:r>
      <w:proofErr w:type="spellEnd"/>
      <w:r w:rsidRPr="003B6A69">
        <w:rPr>
          <w:rFonts w:cs="Calibri"/>
          <w:bCs/>
          <w:szCs w:val="20"/>
          <w:lang w:val="en-GB"/>
        </w:rPr>
        <w:t xml:space="preserve"> Seka, Kotor </w:t>
      </w:r>
      <w:proofErr w:type="spellStart"/>
      <w:r w:rsidRPr="003B6A69">
        <w:rPr>
          <w:rFonts w:cs="Calibri"/>
          <w:bCs/>
          <w:szCs w:val="20"/>
          <w:lang w:val="en-GB"/>
        </w:rPr>
        <w:t>Risan</w:t>
      </w:r>
      <w:proofErr w:type="spellEnd"/>
      <w:r w:rsidRPr="003B6A69">
        <w:rPr>
          <w:rFonts w:cs="Calibri"/>
          <w:bCs/>
          <w:szCs w:val="20"/>
          <w:lang w:val="en-GB"/>
        </w:rPr>
        <w:t xml:space="preserve"> bay, </w:t>
      </w:r>
      <w:proofErr w:type="spellStart"/>
      <w:r w:rsidRPr="003B6A69">
        <w:rPr>
          <w:rFonts w:cs="Calibri"/>
          <w:bCs/>
          <w:szCs w:val="20"/>
          <w:lang w:val="en-GB"/>
        </w:rPr>
        <w:t>Platamuni</w:t>
      </w:r>
      <w:proofErr w:type="spellEnd"/>
      <w:r w:rsidRPr="003B6A69">
        <w:rPr>
          <w:rFonts w:cs="Calibri"/>
          <w:bCs/>
          <w:szCs w:val="20"/>
          <w:lang w:val="en-GB"/>
        </w:rPr>
        <w:t xml:space="preserve">, </w:t>
      </w:r>
      <w:proofErr w:type="spellStart"/>
      <w:r w:rsidRPr="003B6A69">
        <w:rPr>
          <w:rFonts w:cs="Calibri"/>
          <w:bCs/>
          <w:szCs w:val="20"/>
          <w:lang w:val="en-GB"/>
        </w:rPr>
        <w:t>Morača</w:t>
      </w:r>
      <w:proofErr w:type="spellEnd"/>
      <w:r w:rsidRPr="003B6A69">
        <w:rPr>
          <w:rFonts w:cs="Calibri"/>
          <w:bCs/>
          <w:szCs w:val="20"/>
          <w:lang w:val="en-GB"/>
        </w:rPr>
        <w:t xml:space="preserve"> river. Of these areas, four are </w:t>
      </w:r>
      <w:r w:rsidRPr="003B6A69">
        <w:rPr>
          <w:rFonts w:cs="Calibri"/>
          <w:bCs/>
          <w:szCs w:val="20"/>
          <w:lang w:val="en-GB"/>
        </w:rPr>
        <w:lastRenderedPageBreak/>
        <w:t xml:space="preserve">IBA sites: Lake </w:t>
      </w:r>
      <w:proofErr w:type="spellStart"/>
      <w:r w:rsidRPr="003B6A69">
        <w:rPr>
          <w:rFonts w:cs="Calibri"/>
          <w:bCs/>
          <w:szCs w:val="20"/>
          <w:lang w:val="en-GB"/>
        </w:rPr>
        <w:t>Šasko</w:t>
      </w:r>
      <w:proofErr w:type="spellEnd"/>
      <w:r w:rsidRPr="003B6A69">
        <w:rPr>
          <w:rFonts w:cs="Calibri"/>
          <w:bCs/>
          <w:szCs w:val="20"/>
          <w:lang w:val="en-GB"/>
        </w:rPr>
        <w:t xml:space="preserve">, </w:t>
      </w:r>
      <w:proofErr w:type="spellStart"/>
      <w:r w:rsidRPr="003B6A69">
        <w:rPr>
          <w:rFonts w:cs="Calibri"/>
          <w:bCs/>
          <w:szCs w:val="20"/>
          <w:lang w:val="en-GB"/>
        </w:rPr>
        <w:t>Rumija</w:t>
      </w:r>
      <w:proofErr w:type="spellEnd"/>
      <w:r w:rsidRPr="003B6A69">
        <w:rPr>
          <w:rFonts w:cs="Calibri"/>
          <w:bCs/>
          <w:szCs w:val="20"/>
          <w:lang w:val="en-GB"/>
        </w:rPr>
        <w:t xml:space="preserve">, Bojana Delta, and </w:t>
      </w:r>
      <w:proofErr w:type="spellStart"/>
      <w:r w:rsidRPr="003B6A69">
        <w:rPr>
          <w:rFonts w:cs="Calibri"/>
          <w:bCs/>
          <w:szCs w:val="20"/>
          <w:lang w:val="en-GB"/>
        </w:rPr>
        <w:t>Ćemovsko</w:t>
      </w:r>
      <w:proofErr w:type="spellEnd"/>
      <w:r w:rsidRPr="003B6A69">
        <w:rPr>
          <w:rFonts w:cs="Calibri"/>
          <w:bCs/>
          <w:szCs w:val="20"/>
          <w:lang w:val="en-GB"/>
        </w:rPr>
        <w:t xml:space="preserve"> polje. Only the first</w:t>
      </w:r>
      <w:r w:rsidR="005D32D5" w:rsidRPr="003B6A69">
        <w:rPr>
          <w:rFonts w:cs="Calibri"/>
          <w:bCs/>
          <w:szCs w:val="20"/>
          <w:lang w:val="en-GB"/>
        </w:rPr>
        <w:t>-</w:t>
      </w:r>
      <w:r w:rsidRPr="003B6A69">
        <w:rPr>
          <w:rFonts w:cs="Calibri"/>
          <w:bCs/>
          <w:szCs w:val="20"/>
          <w:lang w:val="en-GB"/>
        </w:rPr>
        <w:t xml:space="preserve">mentioned of these areas does not belong to the EMERALD network. The following areas were selected for IPA: </w:t>
      </w:r>
      <w:proofErr w:type="spellStart"/>
      <w:r w:rsidRPr="003B6A69">
        <w:rPr>
          <w:rFonts w:cs="Calibri"/>
          <w:bCs/>
          <w:szCs w:val="20"/>
          <w:lang w:val="en-GB"/>
        </w:rPr>
        <w:t>Kakaricka</w:t>
      </w:r>
      <w:proofErr w:type="spellEnd"/>
      <w:r w:rsidRPr="003B6A69">
        <w:rPr>
          <w:rFonts w:cs="Calibri"/>
          <w:bCs/>
          <w:szCs w:val="20"/>
          <w:lang w:val="en-GB"/>
        </w:rPr>
        <w:t xml:space="preserve"> </w:t>
      </w:r>
      <w:proofErr w:type="spellStart"/>
      <w:r w:rsidRPr="003B6A69">
        <w:rPr>
          <w:rFonts w:cs="Calibri"/>
          <w:bCs/>
          <w:szCs w:val="20"/>
          <w:lang w:val="en-GB"/>
        </w:rPr>
        <w:t>gora</w:t>
      </w:r>
      <w:proofErr w:type="spellEnd"/>
      <w:r w:rsidRPr="003B6A69">
        <w:rPr>
          <w:rFonts w:cs="Calibri"/>
          <w:bCs/>
          <w:szCs w:val="20"/>
          <w:lang w:val="en-GB"/>
        </w:rPr>
        <w:t xml:space="preserve">, </w:t>
      </w:r>
      <w:proofErr w:type="spellStart"/>
      <w:r w:rsidRPr="003B6A69">
        <w:rPr>
          <w:rFonts w:cs="Calibri"/>
          <w:bCs/>
          <w:szCs w:val="20"/>
          <w:lang w:val="en-GB"/>
        </w:rPr>
        <w:t>Katići</w:t>
      </w:r>
      <w:proofErr w:type="spellEnd"/>
      <w:r w:rsidRPr="003B6A69">
        <w:rPr>
          <w:rFonts w:cs="Calibri"/>
          <w:bCs/>
          <w:szCs w:val="20"/>
          <w:lang w:val="en-GB"/>
        </w:rPr>
        <w:t xml:space="preserve">, </w:t>
      </w:r>
      <w:proofErr w:type="spellStart"/>
      <w:r w:rsidRPr="003B6A69">
        <w:rPr>
          <w:rFonts w:cs="Calibri"/>
          <w:bCs/>
          <w:szCs w:val="20"/>
          <w:lang w:val="en-GB"/>
        </w:rPr>
        <w:t>Donkova</w:t>
      </w:r>
      <w:proofErr w:type="spellEnd"/>
      <w:r w:rsidRPr="003B6A69">
        <w:rPr>
          <w:rFonts w:cs="Calibri"/>
          <w:bCs/>
          <w:szCs w:val="20"/>
          <w:lang w:val="en-GB"/>
        </w:rPr>
        <w:t xml:space="preserve"> and </w:t>
      </w:r>
      <w:proofErr w:type="spellStart"/>
      <w:r w:rsidRPr="003B6A69">
        <w:rPr>
          <w:rFonts w:cs="Calibri"/>
          <w:bCs/>
          <w:szCs w:val="20"/>
          <w:lang w:val="en-GB"/>
        </w:rPr>
        <w:t>Velja</w:t>
      </w:r>
      <w:proofErr w:type="spellEnd"/>
      <w:r w:rsidRPr="003B6A69">
        <w:rPr>
          <w:rFonts w:cs="Calibri"/>
          <w:bCs/>
          <w:szCs w:val="20"/>
          <w:lang w:val="en-GB"/>
        </w:rPr>
        <w:t xml:space="preserve"> Seka, Kotor </w:t>
      </w:r>
      <w:proofErr w:type="spellStart"/>
      <w:r w:rsidRPr="003B6A69">
        <w:rPr>
          <w:rFonts w:cs="Calibri"/>
          <w:bCs/>
          <w:szCs w:val="20"/>
          <w:lang w:val="en-GB"/>
        </w:rPr>
        <w:t>Risan</w:t>
      </w:r>
      <w:proofErr w:type="spellEnd"/>
      <w:r w:rsidRPr="003B6A69">
        <w:rPr>
          <w:rFonts w:cs="Calibri"/>
          <w:bCs/>
          <w:szCs w:val="20"/>
          <w:lang w:val="en-GB"/>
        </w:rPr>
        <w:t xml:space="preserve"> bay and </w:t>
      </w:r>
      <w:proofErr w:type="spellStart"/>
      <w:r w:rsidRPr="003B6A69">
        <w:rPr>
          <w:rFonts w:cs="Calibri"/>
          <w:bCs/>
          <w:szCs w:val="20"/>
          <w:lang w:val="en-GB"/>
        </w:rPr>
        <w:t>Platamuni</w:t>
      </w:r>
      <w:proofErr w:type="spellEnd"/>
      <w:r w:rsidRPr="003B6A69">
        <w:rPr>
          <w:rFonts w:cs="Calibri"/>
          <w:bCs/>
          <w:szCs w:val="20"/>
          <w:lang w:val="en-GB"/>
        </w:rPr>
        <w:t xml:space="preserve">. All the KBAs, except the first one, are included in the EMERALD network. </w:t>
      </w:r>
      <w:proofErr w:type="spellStart"/>
      <w:r w:rsidRPr="003B6A69">
        <w:rPr>
          <w:rFonts w:cs="Calibri"/>
          <w:bCs/>
          <w:szCs w:val="20"/>
          <w:lang w:val="en-GB"/>
        </w:rPr>
        <w:t>Morača</w:t>
      </w:r>
      <w:proofErr w:type="spellEnd"/>
      <w:r w:rsidRPr="003B6A69">
        <w:rPr>
          <w:rFonts w:cs="Calibri"/>
          <w:bCs/>
          <w:szCs w:val="20"/>
          <w:lang w:val="en-GB"/>
        </w:rPr>
        <w:t xml:space="preserve"> river is the only KBA that does not have the status of a protected area in Montenegro and does not have international nominations.</w:t>
      </w:r>
    </w:p>
    <w:p w14:paraId="4C5ABC7F" w14:textId="115F227F" w:rsidR="0082561F" w:rsidRPr="003B6A69" w:rsidRDefault="0082561F" w:rsidP="00AF69F1">
      <w:pPr>
        <w:numPr>
          <w:ilvl w:val="0"/>
          <w:numId w:val="14"/>
        </w:numPr>
        <w:tabs>
          <w:tab w:val="left" w:pos="426"/>
        </w:tabs>
        <w:spacing w:after="120"/>
        <w:ind w:left="0" w:hanging="14"/>
        <w:rPr>
          <w:rFonts w:cs="Calibri"/>
          <w:bCs/>
          <w:szCs w:val="20"/>
          <w:lang w:val="en-GB"/>
        </w:rPr>
      </w:pPr>
      <w:r w:rsidRPr="003B6A69">
        <w:rPr>
          <w:rFonts w:cs="Calibri"/>
          <w:bCs/>
          <w:szCs w:val="20"/>
          <w:lang w:val="en-GB"/>
        </w:rPr>
        <w:t xml:space="preserve">As a system-level intervention, the UNDP-GEF project will offer its support to </w:t>
      </w:r>
      <w:r w:rsidR="005D32D5" w:rsidRPr="003B6A69">
        <w:rPr>
          <w:rFonts w:cs="Calibri"/>
          <w:bCs/>
          <w:szCs w:val="20"/>
          <w:lang w:val="en-GB"/>
        </w:rPr>
        <w:t xml:space="preserve">the </w:t>
      </w:r>
      <w:r w:rsidRPr="003B6A69">
        <w:rPr>
          <w:rFonts w:cs="Calibri"/>
          <w:bCs/>
          <w:szCs w:val="20"/>
          <w:u w:val="single"/>
          <w:lang w:val="en-GB"/>
        </w:rPr>
        <w:t xml:space="preserve">strengthening of the regulatory framework related to </w:t>
      </w:r>
      <w:r w:rsidR="005D32D5" w:rsidRPr="003B6A69">
        <w:rPr>
          <w:rFonts w:cs="Calibri"/>
          <w:bCs/>
          <w:szCs w:val="20"/>
          <w:u w:val="single"/>
          <w:lang w:val="en-GB"/>
        </w:rPr>
        <w:t xml:space="preserve">the </w:t>
      </w:r>
      <w:r w:rsidRPr="003B6A69">
        <w:rPr>
          <w:rFonts w:cs="Calibri"/>
          <w:bCs/>
          <w:szCs w:val="20"/>
          <w:u w:val="single"/>
          <w:lang w:val="en-GB"/>
        </w:rPr>
        <w:t>proclamation of protected areas</w:t>
      </w:r>
      <w:r w:rsidRPr="003B6A69">
        <w:rPr>
          <w:rFonts w:cs="Calibri"/>
          <w:bCs/>
          <w:szCs w:val="20"/>
          <w:lang w:val="en-GB"/>
        </w:rPr>
        <w:t xml:space="preserve">. </w:t>
      </w:r>
      <w:r w:rsidRPr="003B6A69">
        <w:rPr>
          <w:rFonts w:cs="Calibri"/>
          <w:bCs/>
          <w:szCs w:val="20"/>
        </w:rPr>
        <w:t xml:space="preserve">The focus in that respect will be to improve the capacities for </w:t>
      </w:r>
      <w:r w:rsidR="005D32D5" w:rsidRPr="003B6A69">
        <w:rPr>
          <w:rFonts w:cs="Calibri"/>
          <w:bCs/>
          <w:szCs w:val="20"/>
        </w:rPr>
        <w:t xml:space="preserve">the </w:t>
      </w:r>
      <w:r w:rsidRPr="003B6A69">
        <w:rPr>
          <w:rFonts w:cs="Calibri"/>
          <w:bCs/>
          <w:szCs w:val="20"/>
        </w:rPr>
        <w:t xml:space="preserve">development of a Protection Study – a document required by the Law on Nature </w:t>
      </w:r>
      <w:r w:rsidR="00013260" w:rsidRPr="003B6A69">
        <w:rPr>
          <w:rFonts w:cs="Calibri"/>
          <w:bCs/>
          <w:szCs w:val="20"/>
        </w:rPr>
        <w:t>Protection</w:t>
      </w:r>
      <w:r w:rsidRPr="003B6A69">
        <w:rPr>
          <w:rFonts w:cs="Calibri"/>
          <w:bCs/>
          <w:szCs w:val="20"/>
        </w:rPr>
        <w:t xml:space="preserve"> – which provides a justification for the conservation status and serves </w:t>
      </w:r>
      <w:r w:rsidR="005D32D5" w:rsidRPr="003B6A69">
        <w:rPr>
          <w:rFonts w:cs="Calibri"/>
          <w:bCs/>
          <w:szCs w:val="20"/>
        </w:rPr>
        <w:t xml:space="preserve">as </w:t>
      </w:r>
      <w:r w:rsidRPr="003B6A69">
        <w:rPr>
          <w:rFonts w:cs="Calibri"/>
          <w:bCs/>
          <w:szCs w:val="20"/>
        </w:rPr>
        <w:t xml:space="preserve">the basis for the PA proclamation process. Currently, the study primarily contains screening of the species and habitats, thus providing an account of the biodiversity values. However, limited information is given to the </w:t>
      </w:r>
      <w:proofErr w:type="spellStart"/>
      <w:r w:rsidRPr="003B6A69">
        <w:rPr>
          <w:rFonts w:cs="Calibri"/>
          <w:bCs/>
          <w:szCs w:val="20"/>
        </w:rPr>
        <w:t>habitat&amp;species</w:t>
      </w:r>
      <w:proofErr w:type="spellEnd"/>
      <w:r w:rsidRPr="003B6A69">
        <w:rPr>
          <w:rFonts w:cs="Calibri"/>
          <w:bCs/>
          <w:szCs w:val="20"/>
        </w:rPr>
        <w:t xml:space="preserve"> status and population trends, threats, conflicts, and requirements for a specific conservation regime. The UNDP-GEF project experts in consultation with the PA managers, governmental authorities</w:t>
      </w:r>
      <w:r w:rsidR="005D32D5" w:rsidRPr="003B6A69">
        <w:rPr>
          <w:rFonts w:cs="Calibri"/>
          <w:bCs/>
          <w:szCs w:val="20"/>
        </w:rPr>
        <w:t>,</w:t>
      </w:r>
      <w:r w:rsidRPr="003B6A69">
        <w:rPr>
          <w:rFonts w:cs="Calibri"/>
          <w:bCs/>
          <w:szCs w:val="20"/>
        </w:rPr>
        <w:t xml:space="preserve"> and conservation practitioners will pilot the preparation of a comprehensive Protection Study (possibly associated with an upgrade of the </w:t>
      </w:r>
      <w:proofErr w:type="spellStart"/>
      <w:r w:rsidRPr="003B6A69">
        <w:rPr>
          <w:rFonts w:cs="Calibri"/>
          <w:bCs/>
          <w:szCs w:val="20"/>
        </w:rPr>
        <w:t>Dragisnica-Komarnica</w:t>
      </w:r>
      <w:proofErr w:type="spellEnd"/>
      <w:r w:rsidRPr="003B6A69">
        <w:rPr>
          <w:rFonts w:cs="Calibri"/>
          <w:bCs/>
          <w:szCs w:val="20"/>
        </w:rPr>
        <w:t xml:space="preserve"> NP to a higher protection status) that would offer reliable baseline data, assessment of BD values and ecosystem services, threats, impacts, and justified conservation objectives and priorities. A set of concrete criteria for the baseline assessment and research, a comprehensive assessment of impact factors, as well as a requirement for an inclusive process of stakeholder consultations will make sure the conservation objectives for the area are justified, clearly formulated, supported by SMART indicators and monitoring instruments, and the proposed protection regime and zonation adequately </w:t>
      </w:r>
      <w:r w:rsidR="00124AF2" w:rsidRPr="003B6A69">
        <w:rPr>
          <w:rFonts w:cs="Calibri"/>
          <w:bCs/>
          <w:szCs w:val="20"/>
        </w:rPr>
        <w:t>reflect</w:t>
      </w:r>
      <w:r w:rsidRPr="003B6A69">
        <w:rPr>
          <w:rFonts w:cs="Calibri"/>
          <w:bCs/>
          <w:szCs w:val="20"/>
        </w:rPr>
        <w:t xml:space="preserve"> the conservation objectives and requirements. Since the content of the Nature Protection </w:t>
      </w:r>
      <w:r w:rsidR="00124AF2" w:rsidRPr="003B6A69">
        <w:rPr>
          <w:rFonts w:cs="Calibri"/>
          <w:bCs/>
          <w:szCs w:val="20"/>
        </w:rPr>
        <w:t>Studies</w:t>
      </w:r>
      <w:r w:rsidRPr="003B6A69">
        <w:rPr>
          <w:rFonts w:cs="Calibri"/>
          <w:bCs/>
          <w:szCs w:val="20"/>
        </w:rPr>
        <w:t xml:space="preserve"> are prescribed by the Law on Nature Protection, in case of any changes required to the current regulatory framework to make sure that the process is more comprehensive and the result reflects the most recent international requirements for zonation and definition of adequate protection measures, the project experts will prepare a discussion note with a proposal for necessary amendment of the current regulatory framework and business-as-usual (BAU) processes. The public hearings for the model Protection Study will be an opportunity to reflect on the BAU procedures and discuss the drawbacks and limitations of the existing practice.</w:t>
      </w:r>
      <w:r w:rsidR="00997A5E" w:rsidRPr="003B6A69">
        <w:rPr>
          <w:rFonts w:cs="Calibri"/>
          <w:bCs/>
          <w:szCs w:val="20"/>
        </w:rPr>
        <w:t xml:space="preserve"> </w:t>
      </w:r>
    </w:p>
    <w:p w14:paraId="14A29212" w14:textId="451C29C6" w:rsidR="0082561F" w:rsidRPr="003B6A69" w:rsidRDefault="0082561F" w:rsidP="00E3185E">
      <w:pPr>
        <w:pStyle w:val="Heading6"/>
      </w:pPr>
      <w:r w:rsidRPr="003B6A69">
        <w:t>Output 1.1: Revised management planning of the existing national PAs addresses the KBA conservation needs, international UNESCO and Ramsar requirements, newly assessed threats and climate risks</w:t>
      </w:r>
    </w:p>
    <w:p w14:paraId="5BAD1C55" w14:textId="406FD759" w:rsidR="005036DD" w:rsidRPr="003B6A69" w:rsidRDefault="0082561F" w:rsidP="00AF69F1">
      <w:pPr>
        <w:numPr>
          <w:ilvl w:val="0"/>
          <w:numId w:val="14"/>
        </w:numPr>
        <w:tabs>
          <w:tab w:val="left" w:pos="426"/>
        </w:tabs>
        <w:spacing w:after="120"/>
        <w:ind w:left="0" w:hanging="14"/>
        <w:rPr>
          <w:rFonts w:cs="Calibri"/>
          <w:bCs/>
          <w:szCs w:val="20"/>
          <w:lang w:val="en-GB"/>
        </w:rPr>
      </w:pPr>
      <w:r w:rsidRPr="003B6A69">
        <w:rPr>
          <w:rFonts w:cs="Calibri"/>
          <w:bCs/>
          <w:szCs w:val="20"/>
          <w:lang w:val="en-GB"/>
        </w:rPr>
        <w:t xml:space="preserve">The focus of Output 1.2. </w:t>
      </w:r>
      <w:r w:rsidR="005D32D5" w:rsidRPr="003B6A69">
        <w:rPr>
          <w:rFonts w:cs="Calibri"/>
          <w:bCs/>
          <w:szCs w:val="20"/>
          <w:lang w:val="en-GB"/>
        </w:rPr>
        <w:t>is</w:t>
      </w:r>
      <w:r w:rsidRPr="003B6A69">
        <w:rPr>
          <w:rFonts w:cs="Calibri"/>
          <w:bCs/>
          <w:szCs w:val="20"/>
          <w:lang w:val="en-GB"/>
        </w:rPr>
        <w:t xml:space="preserve"> the KBAs that have a national protection status as well as an international protection designation, either UNESCO WH, MAB, or Ramsar wetland status. The activities within this Output will seek to strengthen management arrangements for the existing protected areas in the country </w:t>
      </w:r>
      <w:proofErr w:type="gramStart"/>
      <w:r w:rsidRPr="003B6A69">
        <w:rPr>
          <w:rFonts w:cs="Calibri"/>
          <w:bCs/>
          <w:szCs w:val="20"/>
          <w:lang w:val="en-GB"/>
        </w:rPr>
        <w:t>in order to</w:t>
      </w:r>
      <w:proofErr w:type="gramEnd"/>
      <w:r w:rsidRPr="003B6A69">
        <w:rPr>
          <w:rFonts w:cs="Calibri"/>
          <w:bCs/>
          <w:szCs w:val="20"/>
          <w:lang w:val="en-GB"/>
        </w:rPr>
        <w:t xml:space="preserve"> ensure compliance with the international requirements for </w:t>
      </w:r>
      <w:r w:rsidR="005D32D5" w:rsidRPr="003B6A69">
        <w:rPr>
          <w:rFonts w:cs="Calibri"/>
          <w:bCs/>
          <w:szCs w:val="20"/>
          <w:lang w:val="en-GB"/>
        </w:rPr>
        <w:t xml:space="preserve">the </w:t>
      </w:r>
      <w:r w:rsidRPr="003B6A69">
        <w:rPr>
          <w:rFonts w:cs="Calibri"/>
          <w:bCs/>
          <w:szCs w:val="20"/>
          <w:lang w:val="en-GB"/>
        </w:rPr>
        <w:t>protection of valuable biodiversity within KBAs and other international biodiversity hot-spots and provide for their better connectivity.</w:t>
      </w:r>
    </w:p>
    <w:p w14:paraId="1B24BDA0" w14:textId="68223596" w:rsidR="005036DD" w:rsidRPr="003B6A69" w:rsidRDefault="0082561F" w:rsidP="00AF69F1">
      <w:pPr>
        <w:numPr>
          <w:ilvl w:val="0"/>
          <w:numId w:val="14"/>
        </w:numPr>
        <w:tabs>
          <w:tab w:val="left" w:pos="426"/>
        </w:tabs>
        <w:spacing w:after="120"/>
        <w:ind w:left="0" w:hanging="14"/>
        <w:rPr>
          <w:rFonts w:cs="Calibri"/>
          <w:bCs/>
          <w:szCs w:val="20"/>
          <w:lang w:val="en-GB"/>
        </w:rPr>
      </w:pPr>
      <w:r w:rsidRPr="003B6A69">
        <w:rPr>
          <w:rFonts w:cs="Calibri"/>
          <w:bCs/>
          <w:szCs w:val="20"/>
          <w:lang w:val="en-GB"/>
        </w:rPr>
        <w:t xml:space="preserve">The PPG phase feasibility analysis and extensive consultations with the Government have confirmed the pilot protected areas/international nominations for the future focus of the UNDP-GEF project. The common features of these areas are a combination of their national PA status and international recognition as global biodiversity hot-spots, and a need </w:t>
      </w:r>
      <w:r w:rsidR="005D32D5" w:rsidRPr="003B6A69">
        <w:rPr>
          <w:rFonts w:cs="Calibri"/>
          <w:bCs/>
          <w:szCs w:val="20"/>
          <w:lang w:val="en-GB"/>
        </w:rPr>
        <w:t>for</w:t>
      </w:r>
      <w:r w:rsidRPr="003B6A69">
        <w:rPr>
          <w:rFonts w:cs="Calibri"/>
          <w:bCs/>
          <w:szCs w:val="20"/>
          <w:lang w:val="en-GB"/>
        </w:rPr>
        <w:t xml:space="preserve"> urgent actions preventing biodiversity loss and securing the BD values within the parameters of eligibility for international protection status. The project interventions will focus on National Park </w:t>
      </w:r>
      <w:proofErr w:type="spellStart"/>
      <w:r w:rsidRPr="003B6A69">
        <w:rPr>
          <w:rFonts w:cs="Calibri"/>
          <w:bCs/>
          <w:szCs w:val="20"/>
          <w:lang w:val="en-GB"/>
        </w:rPr>
        <w:t>Durmitor</w:t>
      </w:r>
      <w:proofErr w:type="spellEnd"/>
      <w:r w:rsidRPr="003B6A69">
        <w:rPr>
          <w:rFonts w:cs="Calibri"/>
          <w:bCs/>
          <w:szCs w:val="20"/>
          <w:lang w:val="en-GB"/>
        </w:rPr>
        <w:t xml:space="preserve"> and Nature Park </w:t>
      </w:r>
      <w:proofErr w:type="spellStart"/>
      <w:r w:rsidRPr="003B6A69">
        <w:rPr>
          <w:rFonts w:cs="Calibri"/>
          <w:bCs/>
          <w:szCs w:val="20"/>
          <w:lang w:val="en-GB"/>
        </w:rPr>
        <w:t>Dragisnica</w:t>
      </w:r>
      <w:proofErr w:type="spellEnd"/>
      <w:r w:rsidRPr="003B6A69">
        <w:rPr>
          <w:rFonts w:cs="Calibri"/>
          <w:bCs/>
          <w:szCs w:val="20"/>
          <w:lang w:val="en-GB"/>
        </w:rPr>
        <w:t xml:space="preserve"> and </w:t>
      </w:r>
      <w:proofErr w:type="spellStart"/>
      <w:r w:rsidRPr="003B6A69">
        <w:rPr>
          <w:rFonts w:cs="Calibri"/>
          <w:bCs/>
          <w:szCs w:val="20"/>
          <w:lang w:val="en-GB"/>
        </w:rPr>
        <w:t>Komarnica</w:t>
      </w:r>
      <w:proofErr w:type="spellEnd"/>
      <w:r w:rsidRPr="003B6A69">
        <w:rPr>
          <w:rFonts w:cs="Calibri"/>
          <w:bCs/>
          <w:szCs w:val="20"/>
          <w:lang w:val="en-GB"/>
        </w:rPr>
        <w:t xml:space="preserve"> in relation to UNESCO World Heritage status; National Park </w:t>
      </w:r>
      <w:proofErr w:type="spellStart"/>
      <w:r w:rsidRPr="003B6A69">
        <w:rPr>
          <w:rFonts w:cs="Calibri"/>
          <w:bCs/>
          <w:szCs w:val="20"/>
          <w:lang w:val="en-GB"/>
        </w:rPr>
        <w:t>Biogradska</w:t>
      </w:r>
      <w:proofErr w:type="spellEnd"/>
      <w:r w:rsidRPr="003B6A69">
        <w:rPr>
          <w:rFonts w:cs="Calibri"/>
          <w:bCs/>
          <w:szCs w:val="20"/>
          <w:lang w:val="en-GB"/>
        </w:rPr>
        <w:t xml:space="preserve"> Gora, Nature parks </w:t>
      </w:r>
      <w:proofErr w:type="spellStart"/>
      <w:r w:rsidRPr="003B6A69">
        <w:rPr>
          <w:rFonts w:cs="Calibri"/>
          <w:bCs/>
          <w:szCs w:val="20"/>
          <w:lang w:val="en-GB"/>
        </w:rPr>
        <w:t>Piva</w:t>
      </w:r>
      <w:proofErr w:type="spellEnd"/>
      <w:r w:rsidRPr="003B6A69">
        <w:rPr>
          <w:rFonts w:cs="Calibri"/>
          <w:bCs/>
          <w:szCs w:val="20"/>
          <w:lang w:val="en-GB"/>
        </w:rPr>
        <w:t xml:space="preserve"> and </w:t>
      </w:r>
      <w:proofErr w:type="spellStart"/>
      <w:r w:rsidRPr="003B6A69">
        <w:rPr>
          <w:rFonts w:cs="Calibri"/>
          <w:bCs/>
          <w:szCs w:val="20"/>
          <w:lang w:val="en-GB"/>
        </w:rPr>
        <w:t>Komovi</w:t>
      </w:r>
      <w:proofErr w:type="spellEnd"/>
      <w:r w:rsidRPr="003B6A69">
        <w:rPr>
          <w:rFonts w:cs="Calibri"/>
          <w:bCs/>
          <w:szCs w:val="20"/>
          <w:lang w:val="en-GB"/>
        </w:rPr>
        <w:t xml:space="preserve"> in relation to Tara River Watershed UNESCO Man and Biosphere Reserve; National Park </w:t>
      </w:r>
      <w:proofErr w:type="spellStart"/>
      <w:r w:rsidRPr="003B6A69">
        <w:rPr>
          <w:rFonts w:cs="Calibri"/>
          <w:bCs/>
          <w:szCs w:val="20"/>
          <w:lang w:val="en-GB"/>
        </w:rPr>
        <w:t>Skadar</w:t>
      </w:r>
      <w:proofErr w:type="spellEnd"/>
      <w:r w:rsidRPr="003B6A69">
        <w:rPr>
          <w:rFonts w:cs="Calibri"/>
          <w:bCs/>
          <w:szCs w:val="20"/>
          <w:lang w:val="en-GB"/>
        </w:rPr>
        <w:t xml:space="preserve"> Lake and </w:t>
      </w:r>
      <w:proofErr w:type="spellStart"/>
      <w:r w:rsidRPr="003B6A69">
        <w:rPr>
          <w:rFonts w:cs="Calibri"/>
          <w:bCs/>
          <w:szCs w:val="20"/>
          <w:lang w:val="en-GB"/>
        </w:rPr>
        <w:t>Ulcinjska</w:t>
      </w:r>
      <w:proofErr w:type="spellEnd"/>
      <w:r w:rsidRPr="003B6A69">
        <w:rPr>
          <w:rFonts w:cs="Calibri"/>
          <w:bCs/>
          <w:szCs w:val="20"/>
          <w:lang w:val="en-GB"/>
        </w:rPr>
        <w:t xml:space="preserve"> Solana Nature Park in relation to Ramsar. The justification for the UNDP-GEF interventions is presented in </w:t>
      </w:r>
      <w:hyperlink w:anchor="_Annex_20:_Targeted" w:history="1">
        <w:proofErr w:type="gramStart"/>
        <w:r w:rsidRPr="003B6A69">
          <w:rPr>
            <w:rStyle w:val="Hyperlink"/>
            <w:rFonts w:cs="Calibri"/>
            <w:bCs/>
            <w:color w:val="4472C4" w:themeColor="accent5"/>
            <w:szCs w:val="20"/>
            <w:lang w:val="en-GB"/>
          </w:rPr>
          <w:t xml:space="preserve">Annex </w:t>
        </w:r>
        <w:r w:rsidR="006C1C66" w:rsidRPr="003B6A69">
          <w:rPr>
            <w:rStyle w:val="Hyperlink"/>
            <w:rFonts w:cs="Calibri"/>
            <w:bCs/>
            <w:color w:val="4472C4" w:themeColor="accent5"/>
            <w:szCs w:val="20"/>
            <w:lang w:val="en-GB"/>
          </w:rPr>
          <w:t xml:space="preserve"> 15</w:t>
        </w:r>
        <w:proofErr w:type="gramEnd"/>
      </w:hyperlink>
      <w:r w:rsidRPr="003B6A69">
        <w:rPr>
          <w:rFonts w:cs="Calibri"/>
          <w:bCs/>
          <w:szCs w:val="20"/>
          <w:lang w:val="en-GB"/>
        </w:rPr>
        <w:t>.</w:t>
      </w:r>
    </w:p>
    <w:p w14:paraId="71255FCD" w14:textId="5A3140B8" w:rsidR="0082561F" w:rsidRPr="003B6A69" w:rsidRDefault="0082561F" w:rsidP="0082561F">
      <w:pPr>
        <w:tabs>
          <w:tab w:val="left" w:pos="426"/>
        </w:tabs>
        <w:spacing w:after="120"/>
        <w:rPr>
          <w:rFonts w:cs="Calibri"/>
          <w:bCs/>
          <w:szCs w:val="20"/>
          <w:lang w:val="en-GB"/>
        </w:rPr>
      </w:pPr>
      <w:r w:rsidRPr="003B6A69">
        <w:rPr>
          <w:rFonts w:cs="Calibri"/>
          <w:b/>
          <w:bCs/>
          <w:szCs w:val="20"/>
          <w:lang w:val="en-GB"/>
        </w:rPr>
        <w:t>UNESCO World Heritage site</w:t>
      </w:r>
      <w:r w:rsidRPr="003B6A69">
        <w:rPr>
          <w:rFonts w:cs="Calibri"/>
          <w:bCs/>
          <w:szCs w:val="20"/>
          <w:lang w:val="en-GB"/>
        </w:rPr>
        <w:t xml:space="preserve"> for the most part coincides with the </w:t>
      </w:r>
      <w:r w:rsidRPr="003B6A69">
        <w:rPr>
          <w:rFonts w:cs="Calibri"/>
          <w:b/>
          <w:bCs/>
          <w:szCs w:val="20"/>
          <w:lang w:val="en-GB"/>
        </w:rPr>
        <w:t xml:space="preserve">National Park </w:t>
      </w:r>
      <w:proofErr w:type="spellStart"/>
      <w:r w:rsidRPr="003B6A69">
        <w:rPr>
          <w:rFonts w:cs="Calibri"/>
          <w:b/>
          <w:bCs/>
          <w:szCs w:val="20"/>
          <w:lang w:val="en-GB"/>
        </w:rPr>
        <w:t>Durmitor</w:t>
      </w:r>
      <w:proofErr w:type="spellEnd"/>
      <w:r w:rsidRPr="003B6A69">
        <w:rPr>
          <w:rFonts w:cs="Calibri"/>
          <w:bCs/>
          <w:szCs w:val="20"/>
          <w:lang w:val="en-GB"/>
        </w:rPr>
        <w:t xml:space="preserve">. Discrepancies in area coverage between the WH property and the Park are due to boundary modification of the park as the result of uncontrolled infrastructure development in recent years, which prompted the joint UNESCO/IUCN mission to report on the state of the site. The UNDP-GEF project interventions will be to assist the Government </w:t>
      </w:r>
      <w:r w:rsidR="005D32D5" w:rsidRPr="003B6A69">
        <w:rPr>
          <w:rFonts w:cs="Calibri"/>
          <w:bCs/>
          <w:szCs w:val="20"/>
          <w:lang w:val="en-GB"/>
        </w:rPr>
        <w:t xml:space="preserve">in </w:t>
      </w:r>
      <w:r w:rsidRPr="003B6A69">
        <w:rPr>
          <w:rFonts w:cs="Calibri"/>
          <w:bCs/>
          <w:szCs w:val="20"/>
          <w:lang w:val="en-GB"/>
        </w:rPr>
        <w:t>addressing the concerns regarding the management arrangements, boundary modification</w:t>
      </w:r>
      <w:r w:rsidR="005D32D5" w:rsidRPr="003B6A69">
        <w:rPr>
          <w:rFonts w:cs="Calibri"/>
          <w:bCs/>
          <w:szCs w:val="20"/>
          <w:lang w:val="en-GB"/>
        </w:rPr>
        <w:t>,</w:t>
      </w:r>
      <w:r w:rsidRPr="003B6A69">
        <w:rPr>
          <w:rFonts w:cs="Calibri"/>
          <w:bCs/>
          <w:szCs w:val="20"/>
          <w:lang w:val="en-GB"/>
        </w:rPr>
        <w:t xml:space="preserve"> and increasing threats to the World Heritage property. The UNDP-GEF project will help the Government addressing the key recommendations of the UNESCO/IUCN mission as described below. </w:t>
      </w:r>
    </w:p>
    <w:p w14:paraId="41D92619" w14:textId="67CC1018" w:rsidR="0082561F" w:rsidRPr="003B6A69" w:rsidRDefault="0082561F" w:rsidP="0082561F">
      <w:pPr>
        <w:tabs>
          <w:tab w:val="left" w:pos="426"/>
        </w:tabs>
        <w:spacing w:after="120"/>
        <w:rPr>
          <w:rFonts w:cs="Calibri"/>
          <w:bCs/>
          <w:szCs w:val="20"/>
          <w:lang w:val="en-GB"/>
        </w:rPr>
      </w:pPr>
      <w:r w:rsidRPr="003B6A69">
        <w:rPr>
          <w:rFonts w:cs="Calibri"/>
          <w:bCs/>
          <w:szCs w:val="20"/>
          <w:lang w:val="en-GB"/>
        </w:rPr>
        <w:t>The U</w:t>
      </w:r>
      <w:r w:rsidR="005D32D5" w:rsidRPr="003B6A69">
        <w:rPr>
          <w:rFonts w:cs="Calibri"/>
          <w:bCs/>
          <w:szCs w:val="20"/>
          <w:lang w:val="en-GB"/>
        </w:rPr>
        <w:t>N</w:t>
      </w:r>
      <w:r w:rsidRPr="003B6A69">
        <w:rPr>
          <w:rFonts w:cs="Calibri"/>
          <w:bCs/>
          <w:szCs w:val="20"/>
          <w:lang w:val="en-GB"/>
        </w:rPr>
        <w:t>ESCO/IUCN missions specifically recommended to the Government to “consider reinstating the boundaries of the national park to their configuration prior to 2013 exclusion” based on the mission’s assessment that “the area excluded from the National Park has been negatively impacted by uncontrolled developments, but it is not devastated”. In response to the recommendation, the UNDP-GEF project</w:t>
      </w:r>
      <w:r w:rsidR="00336CF6" w:rsidRPr="003B6A69">
        <w:rPr>
          <w:rFonts w:cs="Calibri"/>
          <w:bCs/>
          <w:szCs w:val="20"/>
          <w:lang w:val="en-GB"/>
        </w:rPr>
        <w:t xml:space="preserve"> will</w:t>
      </w:r>
      <w:r w:rsidRPr="003B6A69">
        <w:rPr>
          <w:rFonts w:cs="Calibri"/>
          <w:bCs/>
          <w:szCs w:val="20"/>
          <w:lang w:val="en-GB"/>
        </w:rPr>
        <w:t xml:space="preserve"> support the BD/WH value status assessment for the area excluded from the National Park/WH property in 2013. Additionally, a comprehensive threat/value assessment for the National Park </w:t>
      </w:r>
      <w:proofErr w:type="spellStart"/>
      <w:r w:rsidRPr="003B6A69">
        <w:rPr>
          <w:rFonts w:cs="Calibri"/>
          <w:bCs/>
          <w:szCs w:val="20"/>
          <w:lang w:val="en-GB"/>
        </w:rPr>
        <w:t>Durmitor</w:t>
      </w:r>
      <w:proofErr w:type="spellEnd"/>
      <w:r w:rsidRPr="003B6A69">
        <w:rPr>
          <w:rFonts w:cs="Calibri"/>
          <w:bCs/>
          <w:szCs w:val="20"/>
          <w:lang w:val="en-GB"/>
        </w:rPr>
        <w:t xml:space="preserve"> </w:t>
      </w:r>
      <w:r w:rsidR="00336CF6" w:rsidRPr="003B6A69">
        <w:rPr>
          <w:rFonts w:cs="Calibri"/>
          <w:bCs/>
          <w:szCs w:val="20"/>
          <w:lang w:val="en-GB"/>
        </w:rPr>
        <w:t>will</w:t>
      </w:r>
      <w:r w:rsidRPr="003B6A69">
        <w:rPr>
          <w:rFonts w:cs="Calibri"/>
          <w:bCs/>
          <w:szCs w:val="20"/>
          <w:lang w:val="en-GB"/>
        </w:rPr>
        <w:t xml:space="preserve"> be commissioned. </w:t>
      </w:r>
      <w:proofErr w:type="gramStart"/>
      <w:r w:rsidRPr="003B6A69">
        <w:rPr>
          <w:rFonts w:cs="Calibri"/>
          <w:bCs/>
          <w:szCs w:val="20"/>
          <w:lang w:val="en-GB"/>
        </w:rPr>
        <w:t>Both of these</w:t>
      </w:r>
      <w:proofErr w:type="gramEnd"/>
      <w:r w:rsidRPr="003B6A69">
        <w:rPr>
          <w:rFonts w:cs="Calibri"/>
          <w:bCs/>
          <w:szCs w:val="20"/>
          <w:lang w:val="en-GB"/>
        </w:rPr>
        <w:t xml:space="preserve"> activities can be implemented within the process of revision of the Protection Study. </w:t>
      </w:r>
    </w:p>
    <w:p w14:paraId="429752D7" w14:textId="1A925FB5" w:rsidR="0082561F" w:rsidRPr="003B6A69" w:rsidRDefault="0082561F" w:rsidP="0082561F">
      <w:pPr>
        <w:tabs>
          <w:tab w:val="left" w:pos="426"/>
        </w:tabs>
        <w:spacing w:after="120"/>
        <w:rPr>
          <w:rFonts w:cs="Calibri"/>
          <w:bCs/>
          <w:szCs w:val="20"/>
          <w:lang w:val="en-GB"/>
        </w:rPr>
      </w:pPr>
      <w:r w:rsidRPr="003B6A69">
        <w:rPr>
          <w:rFonts w:cs="Calibri"/>
          <w:bCs/>
          <w:szCs w:val="20"/>
          <w:lang w:val="en-GB"/>
        </w:rPr>
        <w:lastRenderedPageBreak/>
        <w:t xml:space="preserve">The project will support the work of an expert team to develop scenarios to ensure compensation for the areas excluded from WH property in 2005 and 2013 with a protection regime that is adequate in terms of the current threats and BD/WH value status. Specifically, based on the BD/threat assessments above, the viability of the UNESCO/IUCN mission recommendation to reinstate the boundaries of the NP to their configuration prior to 2013 exclusion will be assessed for further consideration by the Government. Another scenario, which is a higher protection status for the </w:t>
      </w:r>
      <w:proofErr w:type="spellStart"/>
      <w:r w:rsidRPr="003B6A69">
        <w:rPr>
          <w:rFonts w:cs="Calibri"/>
          <w:bCs/>
          <w:szCs w:val="20"/>
          <w:lang w:val="en-GB"/>
        </w:rPr>
        <w:t>Dragisnica-Komarnica</w:t>
      </w:r>
      <w:proofErr w:type="spellEnd"/>
      <w:r w:rsidRPr="003B6A69">
        <w:rPr>
          <w:rFonts w:cs="Calibri"/>
          <w:bCs/>
          <w:szCs w:val="20"/>
          <w:lang w:val="en-GB"/>
        </w:rPr>
        <w:t xml:space="preserve"> Nature Park as a compensation mechanism, will be developed based on new Protection Study for the Nature Park, any other assessments that are currently missing to support a higher protection status for the area, and broader stakeholder consultations with the </w:t>
      </w:r>
      <w:proofErr w:type="spellStart"/>
      <w:r w:rsidRPr="003B6A69">
        <w:rPr>
          <w:rFonts w:cs="Calibri"/>
          <w:bCs/>
          <w:szCs w:val="20"/>
          <w:lang w:val="en-GB"/>
        </w:rPr>
        <w:t>Šavnik</w:t>
      </w:r>
      <w:proofErr w:type="spellEnd"/>
      <w:r w:rsidRPr="003B6A69">
        <w:rPr>
          <w:rFonts w:cs="Calibri"/>
          <w:bCs/>
          <w:szCs w:val="20"/>
          <w:lang w:val="en-GB"/>
        </w:rPr>
        <w:t xml:space="preserve"> municipality and the local communities to be affected by this scenario. Yet another option to ensure compliance with UNESCO requirements would be to make sure that the management framework and planning documents for </w:t>
      </w:r>
      <w:proofErr w:type="spellStart"/>
      <w:r w:rsidRPr="003B6A69">
        <w:rPr>
          <w:rFonts w:cs="Calibri"/>
          <w:bCs/>
          <w:szCs w:val="20"/>
          <w:lang w:val="en-GB"/>
        </w:rPr>
        <w:t>Dragisnica-Komarnica</w:t>
      </w:r>
      <w:proofErr w:type="spellEnd"/>
      <w:r w:rsidRPr="003B6A69">
        <w:rPr>
          <w:rFonts w:cs="Calibri"/>
          <w:bCs/>
          <w:szCs w:val="20"/>
          <w:lang w:val="en-GB"/>
        </w:rPr>
        <w:t xml:space="preserve"> include specific solutions for WH values and threats such as uncontrolled logging and hunting, without changing the official status of the area. </w:t>
      </w:r>
    </w:p>
    <w:p w14:paraId="4251E011" w14:textId="3F559786" w:rsidR="0082561F" w:rsidRPr="003B6A69" w:rsidRDefault="0082561F" w:rsidP="0082561F">
      <w:pPr>
        <w:tabs>
          <w:tab w:val="left" w:pos="426"/>
        </w:tabs>
        <w:spacing w:after="120"/>
        <w:rPr>
          <w:rFonts w:cs="Calibri"/>
          <w:bCs/>
          <w:szCs w:val="20"/>
          <w:lang w:val="en-GB"/>
        </w:rPr>
      </w:pPr>
      <w:r w:rsidRPr="003B6A69">
        <w:rPr>
          <w:rFonts w:cs="Calibri"/>
          <w:bCs/>
          <w:szCs w:val="20"/>
          <w:lang w:val="en-GB"/>
        </w:rPr>
        <w:t xml:space="preserve">The UNDP-GEF project interventions will </w:t>
      </w:r>
      <w:proofErr w:type="gramStart"/>
      <w:r w:rsidRPr="003B6A69">
        <w:rPr>
          <w:rFonts w:cs="Calibri"/>
          <w:bCs/>
          <w:szCs w:val="20"/>
          <w:lang w:val="en-GB"/>
        </w:rPr>
        <w:t>offer assistance</w:t>
      </w:r>
      <w:proofErr w:type="gramEnd"/>
      <w:r w:rsidRPr="003B6A69">
        <w:rPr>
          <w:rFonts w:cs="Calibri"/>
          <w:bCs/>
          <w:szCs w:val="20"/>
          <w:lang w:val="en-GB"/>
        </w:rPr>
        <w:t xml:space="preserve"> with the modifications of boundaries, reassessment of the zonation system</w:t>
      </w:r>
      <w:r w:rsidR="005D32D5" w:rsidRPr="003B6A69">
        <w:rPr>
          <w:rFonts w:cs="Calibri"/>
          <w:bCs/>
          <w:szCs w:val="20"/>
          <w:lang w:val="en-GB"/>
        </w:rPr>
        <w:t>,</w:t>
      </w:r>
      <w:r w:rsidRPr="003B6A69">
        <w:rPr>
          <w:rFonts w:cs="Calibri"/>
          <w:bCs/>
          <w:szCs w:val="20"/>
          <w:lang w:val="en-GB"/>
        </w:rPr>
        <w:t xml:space="preserve"> and the management arrangements in National Park </w:t>
      </w:r>
      <w:proofErr w:type="spellStart"/>
      <w:r w:rsidRPr="003B6A69">
        <w:rPr>
          <w:rFonts w:cs="Calibri"/>
          <w:bCs/>
          <w:szCs w:val="20"/>
          <w:lang w:val="en-GB"/>
        </w:rPr>
        <w:t>Durmitor</w:t>
      </w:r>
      <w:proofErr w:type="spellEnd"/>
      <w:r w:rsidRPr="003B6A69">
        <w:rPr>
          <w:rFonts w:cs="Calibri"/>
          <w:bCs/>
          <w:szCs w:val="20"/>
          <w:lang w:val="en-GB"/>
        </w:rPr>
        <w:t xml:space="preserve"> and the adjacent Nature Park </w:t>
      </w:r>
      <w:proofErr w:type="spellStart"/>
      <w:r w:rsidRPr="003B6A69">
        <w:rPr>
          <w:rFonts w:cs="Calibri"/>
          <w:bCs/>
          <w:szCs w:val="20"/>
          <w:lang w:val="en-GB"/>
        </w:rPr>
        <w:t>Dragisnica-Komarnica</w:t>
      </w:r>
      <w:proofErr w:type="spellEnd"/>
      <w:r w:rsidRPr="003B6A69">
        <w:rPr>
          <w:rFonts w:cs="Calibri"/>
          <w:bCs/>
          <w:szCs w:val="20"/>
          <w:lang w:val="en-GB"/>
        </w:rPr>
        <w:t xml:space="preserve"> in terms of continuity of the protection measures, as well as with the efforts towards </w:t>
      </w:r>
      <w:r w:rsidR="005D32D5" w:rsidRPr="003B6A69">
        <w:rPr>
          <w:rFonts w:cs="Calibri"/>
          <w:bCs/>
          <w:szCs w:val="20"/>
          <w:lang w:val="en-GB"/>
        </w:rPr>
        <w:t xml:space="preserve">the </w:t>
      </w:r>
      <w:r w:rsidRPr="003B6A69">
        <w:rPr>
          <w:rFonts w:cs="Calibri"/>
          <w:bCs/>
          <w:szCs w:val="20"/>
          <w:lang w:val="en-GB"/>
        </w:rPr>
        <w:t xml:space="preserve">designation of the buffer zone for the UNESCO property. This will require a new protection study for the area of </w:t>
      </w:r>
      <w:proofErr w:type="spellStart"/>
      <w:r w:rsidRPr="003B6A69">
        <w:rPr>
          <w:rFonts w:cs="Calibri"/>
          <w:bCs/>
          <w:szCs w:val="20"/>
          <w:lang w:val="en-GB"/>
        </w:rPr>
        <w:t>Dragisnica-Komarnica</w:t>
      </w:r>
      <w:proofErr w:type="spellEnd"/>
      <w:r w:rsidRPr="003B6A69">
        <w:rPr>
          <w:rFonts w:cs="Calibri"/>
          <w:bCs/>
          <w:szCs w:val="20"/>
          <w:lang w:val="en-GB"/>
        </w:rPr>
        <w:t xml:space="preserve">. For the National Park </w:t>
      </w:r>
      <w:proofErr w:type="spellStart"/>
      <w:r w:rsidRPr="003B6A69">
        <w:rPr>
          <w:rFonts w:cs="Calibri"/>
          <w:bCs/>
          <w:szCs w:val="20"/>
          <w:lang w:val="en-GB"/>
        </w:rPr>
        <w:t>Durmitor</w:t>
      </w:r>
      <w:proofErr w:type="spellEnd"/>
      <w:r w:rsidRPr="003B6A69">
        <w:rPr>
          <w:rFonts w:cs="Calibri"/>
          <w:bCs/>
          <w:szCs w:val="20"/>
          <w:lang w:val="en-GB"/>
        </w:rPr>
        <w:t xml:space="preserve">, as mentioned above, a comprehensive threat/value assessment for the National Park </w:t>
      </w:r>
      <w:proofErr w:type="spellStart"/>
      <w:r w:rsidRPr="003B6A69">
        <w:rPr>
          <w:rFonts w:cs="Calibri"/>
          <w:bCs/>
          <w:szCs w:val="20"/>
          <w:lang w:val="en-GB"/>
        </w:rPr>
        <w:t>Durmitor</w:t>
      </w:r>
      <w:proofErr w:type="spellEnd"/>
      <w:r w:rsidRPr="003B6A69">
        <w:rPr>
          <w:rFonts w:cs="Calibri"/>
          <w:bCs/>
          <w:szCs w:val="20"/>
          <w:lang w:val="en-GB"/>
        </w:rPr>
        <w:t xml:space="preserve"> will be performed to document the impact of the newly emerging threats on the national park’s values. The project will also help with the acquisition of relevant information regarding the status of species and habitats through assessments and </w:t>
      </w:r>
      <w:r w:rsidR="00A75B9B" w:rsidRPr="003B6A69">
        <w:rPr>
          <w:rFonts w:cs="Calibri"/>
          <w:bCs/>
          <w:szCs w:val="20"/>
          <w:lang w:val="en-GB"/>
        </w:rPr>
        <w:t xml:space="preserve">the </w:t>
      </w:r>
      <w:r w:rsidRPr="003B6A69">
        <w:rPr>
          <w:rFonts w:cs="Calibri"/>
          <w:bCs/>
          <w:szCs w:val="20"/>
          <w:lang w:val="en-GB"/>
        </w:rPr>
        <w:t>establishment of detailed monitoring programs.</w:t>
      </w:r>
      <w:r w:rsidR="002D422C" w:rsidRPr="003B6A69">
        <w:rPr>
          <w:rFonts w:cs="Calibri"/>
          <w:bCs/>
          <w:szCs w:val="20"/>
          <w:lang w:val="en-GB"/>
        </w:rPr>
        <w:t xml:space="preserve"> </w:t>
      </w:r>
      <w:r w:rsidRPr="003B6A69">
        <w:rPr>
          <w:rFonts w:cs="Calibri"/>
          <w:bCs/>
          <w:szCs w:val="20"/>
          <w:lang w:val="en-GB"/>
        </w:rPr>
        <w:t xml:space="preserve">The project will support </w:t>
      </w:r>
      <w:r w:rsidR="00A75B9B" w:rsidRPr="003B6A69">
        <w:rPr>
          <w:rFonts w:cs="Calibri"/>
          <w:bCs/>
          <w:szCs w:val="20"/>
          <w:lang w:val="en-GB"/>
        </w:rPr>
        <w:t xml:space="preserve">the </w:t>
      </w:r>
      <w:r w:rsidRPr="003B6A69">
        <w:rPr>
          <w:rFonts w:cs="Calibri"/>
          <w:bCs/>
          <w:szCs w:val="20"/>
          <w:lang w:val="en-GB"/>
        </w:rPr>
        <w:t xml:space="preserve">proclamation of the development and conservation priorities for the area in the spatial planning framework for the country, namely the Spatial Plan and the General Regulation Plan. </w:t>
      </w:r>
    </w:p>
    <w:p w14:paraId="5A0DBD79" w14:textId="25B88CB1" w:rsidR="0082561F" w:rsidRPr="003B6A69" w:rsidRDefault="0096120F" w:rsidP="0082561F">
      <w:pPr>
        <w:tabs>
          <w:tab w:val="left" w:pos="426"/>
        </w:tabs>
        <w:spacing w:after="120"/>
        <w:rPr>
          <w:rFonts w:cs="Calibri"/>
          <w:bCs/>
          <w:szCs w:val="20"/>
          <w:lang w:val="en-GB"/>
        </w:rPr>
      </w:pPr>
      <w:r w:rsidRPr="003B6A69">
        <w:rPr>
          <w:rFonts w:cs="Calibri"/>
          <w:bCs/>
          <w:szCs w:val="20"/>
          <w:lang w:val="en-GB"/>
        </w:rPr>
        <w:t>Through management planning instruments, t</w:t>
      </w:r>
      <w:r w:rsidR="0082561F" w:rsidRPr="003B6A69">
        <w:rPr>
          <w:rFonts w:cs="Calibri"/>
          <w:bCs/>
          <w:szCs w:val="20"/>
          <w:lang w:val="en-GB"/>
        </w:rPr>
        <w:t xml:space="preserve">he project </w:t>
      </w:r>
      <w:r w:rsidRPr="003B6A69">
        <w:rPr>
          <w:rFonts w:cs="Calibri"/>
          <w:bCs/>
          <w:szCs w:val="20"/>
          <w:lang w:val="en-GB"/>
        </w:rPr>
        <w:t xml:space="preserve">will offer concrete management solutions aimed at PA management response to the climate-induced and other newly emerging threats, to be further incorporated into the management plans for </w:t>
      </w:r>
      <w:proofErr w:type="spellStart"/>
      <w:r w:rsidRPr="003B6A69">
        <w:rPr>
          <w:rFonts w:cs="Calibri"/>
          <w:bCs/>
          <w:szCs w:val="20"/>
          <w:lang w:val="en-GB"/>
        </w:rPr>
        <w:t>Durmitor</w:t>
      </w:r>
      <w:proofErr w:type="spellEnd"/>
      <w:r w:rsidRPr="003B6A69">
        <w:rPr>
          <w:rFonts w:cs="Calibri"/>
          <w:bCs/>
          <w:szCs w:val="20"/>
          <w:lang w:val="en-GB"/>
        </w:rPr>
        <w:t xml:space="preserve"> and </w:t>
      </w:r>
      <w:proofErr w:type="spellStart"/>
      <w:r w:rsidRPr="003B6A69">
        <w:rPr>
          <w:rFonts w:cs="Calibri"/>
          <w:bCs/>
          <w:szCs w:val="20"/>
          <w:lang w:val="en-GB"/>
        </w:rPr>
        <w:t>Dragisnica-Komarnica</w:t>
      </w:r>
      <w:proofErr w:type="spellEnd"/>
      <w:r w:rsidRPr="003B6A69">
        <w:rPr>
          <w:rFonts w:cs="Calibri"/>
          <w:bCs/>
          <w:szCs w:val="20"/>
          <w:lang w:val="en-GB"/>
        </w:rPr>
        <w:t xml:space="preserve">. The project </w:t>
      </w:r>
      <w:r w:rsidR="0082561F" w:rsidRPr="003B6A69">
        <w:rPr>
          <w:rFonts w:cs="Calibri"/>
          <w:bCs/>
          <w:szCs w:val="20"/>
          <w:lang w:val="en-GB"/>
        </w:rPr>
        <w:t>will</w:t>
      </w:r>
      <w:r w:rsidRPr="003B6A69">
        <w:rPr>
          <w:rFonts w:cs="Calibri"/>
          <w:bCs/>
          <w:szCs w:val="20"/>
          <w:lang w:val="en-GB"/>
        </w:rPr>
        <w:t xml:space="preserve"> support the development of assessment tools and management scenarios that would </w:t>
      </w:r>
      <w:proofErr w:type="gramStart"/>
      <w:r w:rsidRPr="003B6A69">
        <w:rPr>
          <w:rFonts w:cs="Calibri"/>
          <w:bCs/>
          <w:szCs w:val="20"/>
          <w:lang w:val="en-GB"/>
        </w:rPr>
        <w:t>take into account</w:t>
      </w:r>
      <w:proofErr w:type="gramEnd"/>
      <w:r w:rsidRPr="003B6A69">
        <w:rPr>
          <w:rFonts w:cs="Calibri"/>
          <w:bCs/>
          <w:szCs w:val="20"/>
          <w:lang w:val="en-GB"/>
        </w:rPr>
        <w:t xml:space="preserve"> the CC threats, suggest threat response options, ecosystem resilience and adaptation measures. </w:t>
      </w:r>
      <w:r w:rsidR="0082561F" w:rsidRPr="003B6A69">
        <w:rPr>
          <w:rFonts w:cs="Calibri"/>
          <w:bCs/>
          <w:szCs w:val="20"/>
          <w:lang w:val="en-GB"/>
        </w:rPr>
        <w:t>In response to the key findings of the UNESCO/IUCN assessments, the UNDP/G</w:t>
      </w:r>
      <w:r w:rsidR="00336CF6" w:rsidRPr="003B6A69">
        <w:rPr>
          <w:rFonts w:cs="Calibri"/>
          <w:bCs/>
          <w:szCs w:val="20"/>
          <w:lang w:val="en-GB"/>
        </w:rPr>
        <w:t>EF project will</w:t>
      </w:r>
      <w:r w:rsidR="0082561F" w:rsidRPr="003B6A69">
        <w:rPr>
          <w:rFonts w:cs="Calibri"/>
          <w:bCs/>
          <w:szCs w:val="20"/>
          <w:lang w:val="en-GB"/>
        </w:rPr>
        <w:t xml:space="preserve"> support the </w:t>
      </w:r>
      <w:proofErr w:type="spellStart"/>
      <w:r w:rsidR="0082561F" w:rsidRPr="003B6A69">
        <w:rPr>
          <w:rFonts w:cs="Calibri"/>
          <w:bCs/>
          <w:szCs w:val="20"/>
          <w:lang w:val="en-GB"/>
        </w:rPr>
        <w:t>Durmitor</w:t>
      </w:r>
      <w:proofErr w:type="spellEnd"/>
      <w:r w:rsidR="0082561F" w:rsidRPr="003B6A69">
        <w:rPr>
          <w:rFonts w:cs="Calibri"/>
          <w:bCs/>
          <w:szCs w:val="20"/>
          <w:lang w:val="en-GB"/>
        </w:rPr>
        <w:t xml:space="preserve"> national park management with the efforts towards low-impact tourism product development. The project will support a comprehensive assessment of acceptable ecological change and carrying capacity.  The UNDP/GEF project, together with the national and international experts and PA management authorities will prepare a sustainable tourism development strategy/guide for the </w:t>
      </w:r>
      <w:proofErr w:type="gramStart"/>
      <w:r w:rsidR="0082561F" w:rsidRPr="003B6A69">
        <w:rPr>
          <w:rFonts w:cs="Calibri"/>
          <w:bCs/>
          <w:szCs w:val="20"/>
          <w:lang w:val="en-GB"/>
        </w:rPr>
        <w:t>Park, and</w:t>
      </w:r>
      <w:proofErr w:type="gramEnd"/>
      <w:r w:rsidR="0082561F" w:rsidRPr="003B6A69">
        <w:rPr>
          <w:rFonts w:cs="Calibri"/>
          <w:bCs/>
          <w:szCs w:val="20"/>
          <w:lang w:val="en-GB"/>
        </w:rPr>
        <w:t xml:space="preserve"> provide for its practical application and on-the-job training. The project will bring in the best available management tools (such </w:t>
      </w:r>
      <w:r w:rsidR="00A75B9B" w:rsidRPr="003B6A69">
        <w:rPr>
          <w:rFonts w:cs="Calibri"/>
          <w:bCs/>
          <w:szCs w:val="20"/>
          <w:lang w:val="en-GB"/>
        </w:rPr>
        <w:t xml:space="preserve">as </w:t>
      </w:r>
      <w:r w:rsidR="0082561F" w:rsidRPr="003B6A69">
        <w:rPr>
          <w:rFonts w:cs="Calibri"/>
          <w:bCs/>
          <w:szCs w:val="20"/>
          <w:lang w:val="en-GB"/>
        </w:rPr>
        <w:t xml:space="preserve">UNESCO World Heritage Sustainable Tourism Toolkit), examples and best practice approaches to sustainable tourism development, and adapt those for NP </w:t>
      </w:r>
      <w:proofErr w:type="spellStart"/>
      <w:r w:rsidR="0082561F" w:rsidRPr="003B6A69">
        <w:rPr>
          <w:rFonts w:cs="Calibri"/>
          <w:bCs/>
          <w:szCs w:val="20"/>
          <w:lang w:val="en-GB"/>
        </w:rPr>
        <w:t>Durmitor</w:t>
      </w:r>
      <w:proofErr w:type="spellEnd"/>
      <w:r w:rsidR="0082561F" w:rsidRPr="003B6A69">
        <w:rPr>
          <w:rFonts w:cs="Calibri"/>
          <w:bCs/>
          <w:szCs w:val="20"/>
          <w:lang w:val="en-GB"/>
        </w:rPr>
        <w:t xml:space="preserve">.  </w:t>
      </w:r>
    </w:p>
    <w:p w14:paraId="5C2AA7DE" w14:textId="3BF3EDFD" w:rsidR="0082561F" w:rsidRPr="003B6A69" w:rsidRDefault="0082561F" w:rsidP="0082561F">
      <w:pPr>
        <w:tabs>
          <w:tab w:val="left" w:pos="426"/>
        </w:tabs>
        <w:spacing w:after="120"/>
        <w:rPr>
          <w:rFonts w:cs="Calibri"/>
          <w:bCs/>
          <w:szCs w:val="20"/>
          <w:lang w:val="en-GB"/>
        </w:rPr>
      </w:pPr>
      <w:r w:rsidRPr="003B6A69">
        <w:rPr>
          <w:rFonts w:cs="Calibri"/>
          <w:bCs/>
          <w:szCs w:val="20"/>
          <w:lang w:val="en-GB"/>
        </w:rPr>
        <w:t xml:space="preserve">The project will support </w:t>
      </w:r>
      <w:r w:rsidR="00A75B9B" w:rsidRPr="003B6A69">
        <w:rPr>
          <w:rFonts w:cs="Calibri"/>
          <w:bCs/>
          <w:szCs w:val="20"/>
          <w:lang w:val="en-GB"/>
        </w:rPr>
        <w:t xml:space="preserve">the </w:t>
      </w:r>
      <w:r w:rsidRPr="003B6A69">
        <w:rPr>
          <w:rFonts w:cs="Calibri"/>
          <w:bCs/>
          <w:szCs w:val="20"/>
          <w:lang w:val="en-GB"/>
        </w:rPr>
        <w:t>promotion of the World Heritage status and the value of undisturbed nature as its key element and contribute to the establishment of the visitors’ monitoring and management schemes and capacity building for implementing the above.</w:t>
      </w:r>
    </w:p>
    <w:p w14:paraId="6B76D27A" w14:textId="24B82B71" w:rsidR="0082561F" w:rsidRPr="003B6A69" w:rsidRDefault="0082561F" w:rsidP="0082561F">
      <w:pPr>
        <w:tabs>
          <w:tab w:val="left" w:pos="426"/>
        </w:tabs>
        <w:spacing w:after="120"/>
        <w:rPr>
          <w:rFonts w:cs="Calibri"/>
          <w:bCs/>
          <w:szCs w:val="20"/>
          <w:lang w:val="en-GB"/>
        </w:rPr>
      </w:pPr>
      <w:r w:rsidRPr="003B6A69">
        <w:rPr>
          <w:rFonts w:cs="Calibri"/>
          <w:b/>
          <w:bCs/>
          <w:szCs w:val="20"/>
          <w:lang w:val="en-GB"/>
        </w:rPr>
        <w:t>Tara River Watershed Man and Biosphere (MAB) Reserve</w:t>
      </w:r>
      <w:r w:rsidRPr="003B6A69">
        <w:rPr>
          <w:rFonts w:cs="Calibri"/>
          <w:bCs/>
          <w:szCs w:val="20"/>
          <w:lang w:val="en-GB"/>
        </w:rPr>
        <w:t xml:space="preserve"> is currently not managed as such. A coordinating body consisting of representatives of municipalities, ministries</w:t>
      </w:r>
      <w:r w:rsidR="00A75B9B" w:rsidRPr="003B6A69">
        <w:rPr>
          <w:rFonts w:cs="Calibri"/>
          <w:bCs/>
          <w:szCs w:val="20"/>
          <w:lang w:val="en-GB"/>
        </w:rPr>
        <w:t>,</w:t>
      </w:r>
      <w:r w:rsidRPr="003B6A69">
        <w:rPr>
          <w:rFonts w:cs="Calibri"/>
          <w:bCs/>
          <w:szCs w:val="20"/>
          <w:lang w:val="en-GB"/>
        </w:rPr>
        <w:t xml:space="preserve"> and local </w:t>
      </w:r>
      <w:r w:rsidR="002D422C" w:rsidRPr="003B6A69">
        <w:rPr>
          <w:rFonts w:cs="Calibri"/>
          <w:bCs/>
          <w:szCs w:val="20"/>
          <w:lang w:val="en-GB"/>
        </w:rPr>
        <w:t>stakeholders</w:t>
      </w:r>
      <w:r w:rsidRPr="003B6A69">
        <w:rPr>
          <w:rFonts w:cs="Calibri"/>
          <w:bCs/>
          <w:szCs w:val="20"/>
          <w:lang w:val="en-GB"/>
        </w:rPr>
        <w:t xml:space="preserve"> has been established, and the action plan </w:t>
      </w:r>
      <w:r w:rsidR="00A75B9B" w:rsidRPr="003B6A69">
        <w:rPr>
          <w:rFonts w:cs="Calibri"/>
          <w:bCs/>
          <w:szCs w:val="20"/>
          <w:lang w:val="en-GB"/>
        </w:rPr>
        <w:t xml:space="preserve">is </w:t>
      </w:r>
      <w:r w:rsidRPr="003B6A69">
        <w:rPr>
          <w:rFonts w:cs="Calibri"/>
          <w:bCs/>
          <w:szCs w:val="20"/>
          <w:lang w:val="en-GB"/>
        </w:rPr>
        <w:t xml:space="preserve">endorsed. </w:t>
      </w:r>
    </w:p>
    <w:p w14:paraId="48758290" w14:textId="0BFE7B17" w:rsidR="0082561F" w:rsidRPr="003B6A69" w:rsidRDefault="0082561F" w:rsidP="0082561F">
      <w:pPr>
        <w:tabs>
          <w:tab w:val="left" w:pos="426"/>
        </w:tabs>
        <w:spacing w:after="120"/>
        <w:rPr>
          <w:rFonts w:cs="Calibri"/>
          <w:bCs/>
          <w:szCs w:val="20"/>
          <w:lang w:val="en-GB"/>
        </w:rPr>
      </w:pPr>
      <w:r w:rsidRPr="003B6A69">
        <w:rPr>
          <w:rFonts w:cs="Calibri"/>
          <w:bCs/>
          <w:szCs w:val="20"/>
          <w:lang w:val="en-GB"/>
        </w:rPr>
        <w:t>In relation to Tara MAB Reserve, the project will, together with the national and international experts and PA management authorities, local governments</w:t>
      </w:r>
      <w:r w:rsidR="00A75B9B" w:rsidRPr="003B6A69">
        <w:rPr>
          <w:rFonts w:cs="Calibri"/>
          <w:bCs/>
          <w:szCs w:val="20"/>
          <w:lang w:val="en-GB"/>
        </w:rPr>
        <w:t>,</w:t>
      </w:r>
      <w:r w:rsidRPr="003B6A69">
        <w:rPr>
          <w:rFonts w:cs="Calibri"/>
          <w:bCs/>
          <w:szCs w:val="20"/>
          <w:lang w:val="en-GB"/>
        </w:rPr>
        <w:t xml:space="preserve"> and national institutions, secure necessary amendments of the Action Plan and relevant internal regulations for the Reserve, so they reflect the MAB principles and guidelines. This will be accompanied </w:t>
      </w:r>
      <w:r w:rsidR="00A75B9B" w:rsidRPr="003B6A69">
        <w:rPr>
          <w:rFonts w:cs="Calibri"/>
          <w:bCs/>
          <w:szCs w:val="20"/>
          <w:lang w:val="en-GB"/>
        </w:rPr>
        <w:t>by</w:t>
      </w:r>
      <w:r w:rsidRPr="003B6A69">
        <w:rPr>
          <w:rFonts w:cs="Calibri"/>
          <w:bCs/>
          <w:szCs w:val="20"/>
          <w:lang w:val="en-GB"/>
        </w:rPr>
        <w:t xml:space="preserve"> the training of the Coordination body members in MAB international management standards to ensure community engagement, coordination, research, learning, information</w:t>
      </w:r>
      <w:r w:rsidR="00A75B9B" w:rsidRPr="003B6A69">
        <w:rPr>
          <w:rFonts w:cs="Calibri"/>
          <w:bCs/>
          <w:szCs w:val="20"/>
          <w:lang w:val="en-GB"/>
        </w:rPr>
        <w:t>,</w:t>
      </w:r>
      <w:r w:rsidRPr="003B6A69">
        <w:rPr>
          <w:rFonts w:cs="Calibri"/>
          <w:bCs/>
          <w:szCs w:val="20"/>
          <w:lang w:val="en-GB"/>
        </w:rPr>
        <w:t xml:space="preserve"> and experience exchange.</w:t>
      </w:r>
    </w:p>
    <w:p w14:paraId="5F1EAC0C" w14:textId="6D438513" w:rsidR="0082561F" w:rsidRPr="003B6A69" w:rsidRDefault="0082561F" w:rsidP="0082561F">
      <w:pPr>
        <w:tabs>
          <w:tab w:val="left" w:pos="426"/>
        </w:tabs>
        <w:spacing w:after="120"/>
        <w:rPr>
          <w:rFonts w:cs="Calibri"/>
          <w:bCs/>
          <w:szCs w:val="20"/>
          <w:lang w:val="en-GB"/>
        </w:rPr>
      </w:pPr>
      <w:r w:rsidRPr="003B6A69">
        <w:rPr>
          <w:rFonts w:cs="Calibri"/>
          <w:bCs/>
          <w:szCs w:val="20"/>
          <w:lang w:val="en-GB"/>
        </w:rPr>
        <w:t xml:space="preserve">It will also assist the managers of the existing PAs that overlap with the </w:t>
      </w:r>
      <w:proofErr w:type="spellStart"/>
      <w:r w:rsidRPr="003B6A69">
        <w:rPr>
          <w:rFonts w:cs="Calibri"/>
          <w:bCs/>
          <w:szCs w:val="20"/>
          <w:lang w:val="en-GB"/>
        </w:rPr>
        <w:t>MaB</w:t>
      </w:r>
      <w:proofErr w:type="spellEnd"/>
      <w:r w:rsidRPr="003B6A69">
        <w:rPr>
          <w:rFonts w:cs="Calibri"/>
          <w:bCs/>
          <w:szCs w:val="20"/>
          <w:lang w:val="en-GB"/>
        </w:rPr>
        <w:t xml:space="preserve"> for part of their territory – namely Nature parks </w:t>
      </w:r>
      <w:proofErr w:type="spellStart"/>
      <w:r w:rsidRPr="003B6A69">
        <w:rPr>
          <w:rFonts w:cs="Calibri"/>
          <w:bCs/>
          <w:szCs w:val="20"/>
          <w:lang w:val="en-GB"/>
        </w:rPr>
        <w:t>Piva</w:t>
      </w:r>
      <w:proofErr w:type="spellEnd"/>
      <w:r w:rsidRPr="003B6A69">
        <w:rPr>
          <w:rFonts w:cs="Calibri"/>
          <w:bCs/>
          <w:szCs w:val="20"/>
          <w:lang w:val="en-GB"/>
        </w:rPr>
        <w:t xml:space="preserve"> and </w:t>
      </w:r>
      <w:proofErr w:type="spellStart"/>
      <w:r w:rsidRPr="003B6A69">
        <w:rPr>
          <w:rFonts w:cs="Calibri"/>
          <w:bCs/>
          <w:szCs w:val="20"/>
          <w:lang w:val="en-GB"/>
        </w:rPr>
        <w:t>Komovi</w:t>
      </w:r>
      <w:proofErr w:type="spellEnd"/>
      <w:r w:rsidRPr="003B6A69">
        <w:rPr>
          <w:rFonts w:cs="Calibri"/>
          <w:bCs/>
          <w:szCs w:val="20"/>
          <w:lang w:val="en-GB"/>
        </w:rPr>
        <w:t xml:space="preserve"> and National park </w:t>
      </w:r>
      <w:proofErr w:type="spellStart"/>
      <w:r w:rsidRPr="003B6A69">
        <w:rPr>
          <w:rFonts w:cs="Calibri"/>
          <w:bCs/>
          <w:szCs w:val="20"/>
          <w:lang w:val="en-GB"/>
        </w:rPr>
        <w:t>Biogradska</w:t>
      </w:r>
      <w:proofErr w:type="spellEnd"/>
      <w:r w:rsidRPr="003B6A69">
        <w:rPr>
          <w:rFonts w:cs="Calibri"/>
          <w:bCs/>
          <w:szCs w:val="20"/>
          <w:lang w:val="en-GB"/>
        </w:rPr>
        <w:t xml:space="preserve"> </w:t>
      </w:r>
      <w:proofErr w:type="gramStart"/>
      <w:r w:rsidRPr="003B6A69">
        <w:rPr>
          <w:rFonts w:cs="Calibri"/>
          <w:bCs/>
          <w:szCs w:val="20"/>
          <w:lang w:val="en-GB"/>
        </w:rPr>
        <w:t>Gora  -</w:t>
      </w:r>
      <w:proofErr w:type="gramEnd"/>
      <w:r w:rsidRPr="003B6A69">
        <w:rPr>
          <w:rFonts w:cs="Calibri"/>
          <w:bCs/>
          <w:szCs w:val="20"/>
          <w:lang w:val="en-GB"/>
        </w:rPr>
        <w:t xml:space="preserve"> to include provisions for the MAB into the management planning and establish buffer zones. Particularly for </w:t>
      </w:r>
      <w:proofErr w:type="spellStart"/>
      <w:r w:rsidRPr="003B6A69">
        <w:rPr>
          <w:rFonts w:cs="Calibri"/>
          <w:bCs/>
          <w:szCs w:val="20"/>
          <w:lang w:val="en-GB"/>
        </w:rPr>
        <w:t>Komovi</w:t>
      </w:r>
      <w:proofErr w:type="spellEnd"/>
      <w:r w:rsidRPr="003B6A69">
        <w:rPr>
          <w:rFonts w:cs="Calibri"/>
          <w:bCs/>
          <w:szCs w:val="20"/>
          <w:lang w:val="en-GB"/>
        </w:rPr>
        <w:t>, the project will assist the newly established Podgorica municipal PA Agency with effective, responsible</w:t>
      </w:r>
      <w:r w:rsidR="00A75B9B" w:rsidRPr="003B6A69">
        <w:rPr>
          <w:rFonts w:cs="Calibri"/>
          <w:bCs/>
          <w:szCs w:val="20"/>
          <w:lang w:val="en-GB"/>
        </w:rPr>
        <w:t>,</w:t>
      </w:r>
      <w:r w:rsidRPr="003B6A69">
        <w:rPr>
          <w:rFonts w:cs="Calibri"/>
          <w:bCs/>
          <w:szCs w:val="20"/>
          <w:lang w:val="en-GB"/>
        </w:rPr>
        <w:t xml:space="preserve"> and innovative management planning that accounts for the international UNESCO MAB requirements. Additionally, the project will support the </w:t>
      </w:r>
      <w:r w:rsidR="00336CF6" w:rsidRPr="003B6A69">
        <w:rPr>
          <w:rFonts w:cs="Calibri"/>
          <w:bCs/>
          <w:szCs w:val="20"/>
          <w:lang w:val="en-GB"/>
        </w:rPr>
        <w:t xml:space="preserve">baseline studies and justifications for </w:t>
      </w:r>
      <w:r w:rsidR="00A75B9B" w:rsidRPr="003B6A69">
        <w:rPr>
          <w:rFonts w:cs="Calibri"/>
          <w:bCs/>
          <w:szCs w:val="20"/>
          <w:lang w:val="en-GB"/>
        </w:rPr>
        <w:t xml:space="preserve">the </w:t>
      </w:r>
      <w:r w:rsidRPr="003B6A69">
        <w:rPr>
          <w:rFonts w:cs="Calibri"/>
          <w:bCs/>
          <w:szCs w:val="20"/>
          <w:lang w:val="en-GB"/>
        </w:rPr>
        <w:t xml:space="preserve">proclamation of the two new PAs already envisaged by the nature protection policy of Montenegro – nature parks </w:t>
      </w:r>
      <w:proofErr w:type="spellStart"/>
      <w:r w:rsidRPr="003B6A69">
        <w:rPr>
          <w:rFonts w:cs="Calibri"/>
          <w:bCs/>
          <w:szCs w:val="20"/>
          <w:lang w:val="en-GB"/>
        </w:rPr>
        <w:t>Sinjajevina</w:t>
      </w:r>
      <w:proofErr w:type="spellEnd"/>
      <w:r w:rsidRPr="003B6A69">
        <w:rPr>
          <w:rFonts w:cs="Calibri"/>
          <w:bCs/>
          <w:szCs w:val="20"/>
          <w:lang w:val="en-GB"/>
        </w:rPr>
        <w:t xml:space="preserve"> and </w:t>
      </w:r>
      <w:proofErr w:type="spellStart"/>
      <w:r w:rsidRPr="003B6A69">
        <w:rPr>
          <w:rFonts w:cs="Calibri"/>
          <w:bCs/>
          <w:szCs w:val="20"/>
          <w:lang w:val="en-GB"/>
        </w:rPr>
        <w:t>Ljubisnja</w:t>
      </w:r>
      <w:proofErr w:type="spellEnd"/>
      <w:r w:rsidRPr="003B6A69">
        <w:rPr>
          <w:rFonts w:cs="Calibri"/>
          <w:bCs/>
          <w:szCs w:val="20"/>
          <w:lang w:val="en-GB"/>
        </w:rPr>
        <w:t xml:space="preserve"> – which will overlap with the MAB area. The establishment process will entail </w:t>
      </w:r>
      <w:r w:rsidR="00A75B9B" w:rsidRPr="003B6A69">
        <w:rPr>
          <w:rFonts w:cs="Calibri"/>
          <w:bCs/>
          <w:szCs w:val="20"/>
          <w:lang w:val="en-GB"/>
        </w:rPr>
        <w:t xml:space="preserve">the </w:t>
      </w:r>
      <w:r w:rsidRPr="003B6A69">
        <w:rPr>
          <w:rFonts w:cs="Calibri"/>
          <w:bCs/>
          <w:szCs w:val="20"/>
          <w:lang w:val="en-GB"/>
        </w:rPr>
        <w:t xml:space="preserve">incorporation of MAB principles from the very beginning of these PAs functioning. </w:t>
      </w:r>
    </w:p>
    <w:p w14:paraId="36BB2B1E" w14:textId="240CEFDF" w:rsidR="0082561F" w:rsidRPr="003B6A69" w:rsidRDefault="0082561F" w:rsidP="0082561F">
      <w:pPr>
        <w:tabs>
          <w:tab w:val="left" w:pos="426"/>
        </w:tabs>
        <w:spacing w:after="120"/>
        <w:rPr>
          <w:rFonts w:cs="Calibri"/>
          <w:bCs/>
          <w:szCs w:val="20"/>
          <w:lang w:val="en-GB"/>
        </w:rPr>
      </w:pPr>
      <w:r w:rsidRPr="003B6A69">
        <w:rPr>
          <w:rFonts w:cs="Calibri"/>
          <w:bCs/>
          <w:szCs w:val="20"/>
          <w:lang w:val="en-GB"/>
        </w:rPr>
        <w:t xml:space="preserve">Through the above interventions, the project will also contribute to the increased connectivity among all the protected areas in the North of Montenegro and </w:t>
      </w:r>
      <w:r w:rsidR="00A75B9B" w:rsidRPr="003B6A69">
        <w:rPr>
          <w:rFonts w:cs="Calibri"/>
          <w:bCs/>
          <w:szCs w:val="20"/>
          <w:lang w:val="en-GB"/>
        </w:rPr>
        <w:t xml:space="preserve">the </w:t>
      </w:r>
      <w:r w:rsidRPr="003B6A69">
        <w:rPr>
          <w:rFonts w:cs="Calibri"/>
          <w:bCs/>
          <w:szCs w:val="20"/>
          <w:lang w:val="en-GB"/>
        </w:rPr>
        <w:t>creation of the ecological corridor, as well as to linking it with the protected areas in Bosnia and Herzegovina, Kosovo</w:t>
      </w:r>
      <w:r w:rsidR="00A75B9B" w:rsidRPr="003B6A69">
        <w:rPr>
          <w:rFonts w:cs="Calibri"/>
          <w:bCs/>
          <w:szCs w:val="20"/>
          <w:lang w:val="en-GB"/>
        </w:rPr>
        <w:t>,</w:t>
      </w:r>
      <w:r w:rsidRPr="003B6A69">
        <w:rPr>
          <w:rFonts w:cs="Calibri"/>
          <w:bCs/>
          <w:szCs w:val="20"/>
          <w:lang w:val="en-GB"/>
        </w:rPr>
        <w:t xml:space="preserve"> and Albania. </w:t>
      </w:r>
      <w:proofErr w:type="spellStart"/>
      <w:r w:rsidRPr="003B6A69">
        <w:rPr>
          <w:rFonts w:cs="Calibri"/>
          <w:bCs/>
          <w:szCs w:val="20"/>
          <w:lang w:val="en-GB"/>
        </w:rPr>
        <w:t>Ljubisnja</w:t>
      </w:r>
      <w:proofErr w:type="spellEnd"/>
      <w:r w:rsidRPr="003B6A69">
        <w:rPr>
          <w:rFonts w:cs="Calibri"/>
          <w:bCs/>
          <w:szCs w:val="20"/>
          <w:lang w:val="en-GB"/>
        </w:rPr>
        <w:t xml:space="preserve"> and </w:t>
      </w:r>
      <w:proofErr w:type="spellStart"/>
      <w:r w:rsidRPr="003B6A69">
        <w:rPr>
          <w:rFonts w:cs="Calibri"/>
          <w:bCs/>
          <w:szCs w:val="20"/>
          <w:lang w:val="en-GB"/>
        </w:rPr>
        <w:t>Sinjajevina</w:t>
      </w:r>
      <w:proofErr w:type="spellEnd"/>
      <w:r w:rsidRPr="003B6A69">
        <w:rPr>
          <w:rFonts w:cs="Calibri"/>
          <w:bCs/>
          <w:szCs w:val="20"/>
          <w:lang w:val="en-GB"/>
        </w:rPr>
        <w:t xml:space="preserve"> will also be a part of UNESCO </w:t>
      </w:r>
      <w:proofErr w:type="spellStart"/>
      <w:r w:rsidRPr="003B6A69">
        <w:rPr>
          <w:rFonts w:cs="Calibri"/>
          <w:bCs/>
          <w:szCs w:val="20"/>
          <w:lang w:val="en-GB"/>
        </w:rPr>
        <w:t>MaB</w:t>
      </w:r>
      <w:proofErr w:type="spellEnd"/>
      <w:r w:rsidRPr="003B6A69">
        <w:rPr>
          <w:rFonts w:cs="Calibri"/>
          <w:bCs/>
          <w:szCs w:val="20"/>
          <w:lang w:val="en-GB"/>
        </w:rPr>
        <w:t xml:space="preserve"> property, and </w:t>
      </w:r>
      <w:r w:rsidRPr="003B6A69">
        <w:rPr>
          <w:rFonts w:cs="Calibri"/>
          <w:bCs/>
          <w:szCs w:val="20"/>
          <w:lang w:val="en-GB"/>
        </w:rPr>
        <w:lastRenderedPageBreak/>
        <w:t xml:space="preserve">the </w:t>
      </w:r>
      <w:proofErr w:type="spellStart"/>
      <w:r w:rsidRPr="003B6A69">
        <w:rPr>
          <w:rFonts w:cs="Calibri"/>
          <w:bCs/>
          <w:szCs w:val="20"/>
          <w:lang w:val="en-GB"/>
        </w:rPr>
        <w:t>Sutjeska</w:t>
      </w:r>
      <w:proofErr w:type="spellEnd"/>
      <w:r w:rsidRPr="003B6A69">
        <w:rPr>
          <w:rFonts w:cs="Calibri"/>
          <w:bCs/>
          <w:szCs w:val="20"/>
          <w:lang w:val="en-GB"/>
        </w:rPr>
        <w:t xml:space="preserve"> National Park in Bosnia is on the tentative UNESCO World Heritage list. Under this umbrella, the harmonization of the management approaches to comply with the UNESCO requirement would be essential.</w:t>
      </w:r>
    </w:p>
    <w:p w14:paraId="4571E0CF" w14:textId="52EB5F83" w:rsidR="0082561F" w:rsidRPr="003B6A69" w:rsidRDefault="0082561F" w:rsidP="0082561F">
      <w:pPr>
        <w:tabs>
          <w:tab w:val="left" w:pos="426"/>
        </w:tabs>
        <w:spacing w:after="120"/>
        <w:rPr>
          <w:rFonts w:cs="Calibri"/>
          <w:bCs/>
          <w:szCs w:val="20"/>
          <w:lang w:val="en-GB"/>
        </w:rPr>
      </w:pPr>
      <w:proofErr w:type="spellStart"/>
      <w:r w:rsidRPr="003B6A69">
        <w:rPr>
          <w:rFonts w:cs="Calibri"/>
          <w:bCs/>
          <w:szCs w:val="20"/>
          <w:lang w:val="en-GB"/>
        </w:rPr>
        <w:t>Biogradska</w:t>
      </w:r>
      <w:proofErr w:type="spellEnd"/>
      <w:r w:rsidRPr="003B6A69">
        <w:rPr>
          <w:rFonts w:cs="Calibri"/>
          <w:bCs/>
          <w:szCs w:val="20"/>
          <w:lang w:val="en-GB"/>
        </w:rPr>
        <w:t xml:space="preserve"> Gora National Park is on UNESCO tentative list submission for transboundary future nominations associated with an extension of the existing World Heritage Property “Ancient and Primeval Beech Forests of the Carpathians and Other Regions of Europe”. The UNDP/GEF project, together with the national and international experts and PA management authorities will secure necessary planning documentation and training for </w:t>
      </w:r>
      <w:r w:rsidR="00A75B9B" w:rsidRPr="003B6A69">
        <w:rPr>
          <w:rFonts w:cs="Calibri"/>
          <w:bCs/>
          <w:szCs w:val="20"/>
          <w:lang w:val="en-GB"/>
        </w:rPr>
        <w:t xml:space="preserve">the </w:t>
      </w:r>
      <w:r w:rsidRPr="003B6A69">
        <w:rPr>
          <w:rFonts w:cs="Calibri"/>
          <w:bCs/>
          <w:szCs w:val="20"/>
          <w:lang w:val="en-GB"/>
        </w:rPr>
        <w:t>management of the area in line with appropriate management guidance and help finali</w:t>
      </w:r>
      <w:r w:rsidR="00A75B9B" w:rsidRPr="003B6A69">
        <w:rPr>
          <w:rFonts w:cs="Calibri"/>
          <w:bCs/>
          <w:szCs w:val="20"/>
          <w:lang w:val="en-GB"/>
        </w:rPr>
        <w:t>z</w:t>
      </w:r>
      <w:r w:rsidRPr="003B6A69">
        <w:rPr>
          <w:rFonts w:cs="Calibri"/>
          <w:bCs/>
          <w:szCs w:val="20"/>
          <w:lang w:val="en-GB"/>
        </w:rPr>
        <w:t xml:space="preserve">e the nomination process for the area. </w:t>
      </w:r>
    </w:p>
    <w:p w14:paraId="370F06BA" w14:textId="2670767F" w:rsidR="0082561F" w:rsidRPr="003B6A69" w:rsidRDefault="0082561F" w:rsidP="0082561F">
      <w:pPr>
        <w:tabs>
          <w:tab w:val="left" w:pos="426"/>
        </w:tabs>
        <w:spacing w:after="120"/>
        <w:rPr>
          <w:rFonts w:cs="Calibri"/>
          <w:bCs/>
          <w:szCs w:val="20"/>
          <w:lang w:val="en-GB"/>
        </w:rPr>
      </w:pPr>
      <w:r w:rsidRPr="003B6A69">
        <w:rPr>
          <w:rFonts w:cs="Calibri"/>
          <w:b/>
          <w:bCs/>
          <w:szCs w:val="20"/>
          <w:lang w:val="en-GB"/>
        </w:rPr>
        <w:t>Ramsar sites</w:t>
      </w:r>
      <w:r w:rsidRPr="003B6A69">
        <w:rPr>
          <w:rFonts w:cs="Calibri"/>
          <w:bCs/>
          <w:szCs w:val="20"/>
          <w:lang w:val="en-GB"/>
        </w:rPr>
        <w:t xml:space="preserve"> that are the focus of this project include National Park </w:t>
      </w:r>
      <w:proofErr w:type="spellStart"/>
      <w:r w:rsidRPr="003B6A69">
        <w:rPr>
          <w:rFonts w:cs="Calibri"/>
          <w:bCs/>
          <w:szCs w:val="20"/>
          <w:lang w:val="en-GB"/>
        </w:rPr>
        <w:t>Skadar</w:t>
      </w:r>
      <w:proofErr w:type="spellEnd"/>
      <w:r w:rsidRPr="003B6A69">
        <w:rPr>
          <w:rFonts w:cs="Calibri"/>
          <w:bCs/>
          <w:szCs w:val="20"/>
          <w:lang w:val="en-GB"/>
        </w:rPr>
        <w:t xml:space="preserve"> Lake and the </w:t>
      </w:r>
      <w:proofErr w:type="spellStart"/>
      <w:r w:rsidRPr="003B6A69">
        <w:rPr>
          <w:rFonts w:cs="Calibri"/>
          <w:bCs/>
          <w:szCs w:val="20"/>
          <w:lang w:val="en-GB"/>
        </w:rPr>
        <w:t>Ulcinjska</w:t>
      </w:r>
      <w:proofErr w:type="spellEnd"/>
      <w:r w:rsidRPr="003B6A69">
        <w:rPr>
          <w:rFonts w:cs="Calibri"/>
          <w:bCs/>
          <w:szCs w:val="20"/>
          <w:lang w:val="en-GB"/>
        </w:rPr>
        <w:t xml:space="preserve"> Solana</w:t>
      </w:r>
      <w:r w:rsidR="00D84C02" w:rsidRPr="003B6A69">
        <w:rPr>
          <w:rFonts w:cs="Calibri"/>
          <w:bCs/>
          <w:szCs w:val="20"/>
          <w:lang w:val="en-GB"/>
        </w:rPr>
        <w:t xml:space="preserve"> Park of Nature</w:t>
      </w:r>
      <w:r w:rsidRPr="003B6A69">
        <w:rPr>
          <w:rFonts w:cs="Calibri"/>
          <w:bCs/>
          <w:szCs w:val="20"/>
          <w:lang w:val="en-GB"/>
        </w:rPr>
        <w:t xml:space="preserve">. For the </w:t>
      </w:r>
      <w:proofErr w:type="spellStart"/>
      <w:r w:rsidRPr="003B6A69">
        <w:rPr>
          <w:rFonts w:cs="Calibri"/>
          <w:bCs/>
          <w:szCs w:val="20"/>
          <w:lang w:val="en-GB"/>
        </w:rPr>
        <w:t>Skadar</w:t>
      </w:r>
      <w:proofErr w:type="spellEnd"/>
      <w:r w:rsidRPr="003B6A69">
        <w:rPr>
          <w:rFonts w:cs="Calibri"/>
          <w:bCs/>
          <w:szCs w:val="20"/>
          <w:lang w:val="en-GB"/>
        </w:rPr>
        <w:t xml:space="preserve"> Lake National Park, the UNDP/GEF project will assist the National Park management authorities with an incremental effort to mainstream international requirements and best practices for Ramsar wetlands into the management plan of the National Park</w:t>
      </w:r>
      <w:r w:rsidR="0096120F" w:rsidRPr="003B6A69">
        <w:rPr>
          <w:rFonts w:cs="Calibri"/>
          <w:bCs/>
          <w:szCs w:val="20"/>
          <w:lang w:val="en-GB"/>
        </w:rPr>
        <w:t>, and incorporate climate change adaptation scenarios and resilience measures to address the climate risks for vulnerable wetland and freshwater ecosystems</w:t>
      </w:r>
      <w:r w:rsidRPr="003B6A69">
        <w:rPr>
          <w:rFonts w:cs="Calibri"/>
          <w:bCs/>
          <w:szCs w:val="20"/>
          <w:lang w:val="en-GB"/>
        </w:rPr>
        <w:t xml:space="preserve">. That will include a targeted re-assessment of habitats and BD values, </w:t>
      </w:r>
      <w:r w:rsidR="0096120F" w:rsidRPr="003B6A69">
        <w:rPr>
          <w:rFonts w:cs="Calibri"/>
          <w:bCs/>
          <w:szCs w:val="20"/>
          <w:lang w:val="en-GB"/>
        </w:rPr>
        <w:t xml:space="preserve">threat assessment, </w:t>
      </w:r>
      <w:r w:rsidRPr="003B6A69">
        <w:rPr>
          <w:rFonts w:cs="Calibri"/>
          <w:bCs/>
          <w:szCs w:val="20"/>
          <w:lang w:val="en-GB"/>
        </w:rPr>
        <w:t xml:space="preserve">and </w:t>
      </w:r>
      <w:r w:rsidR="00A75B9B" w:rsidRPr="003B6A69">
        <w:rPr>
          <w:rFonts w:cs="Calibri"/>
          <w:bCs/>
          <w:szCs w:val="20"/>
          <w:lang w:val="en-GB"/>
        </w:rPr>
        <w:t xml:space="preserve">the </w:t>
      </w:r>
      <w:r w:rsidRPr="003B6A69">
        <w:rPr>
          <w:rFonts w:cs="Calibri"/>
          <w:bCs/>
          <w:szCs w:val="20"/>
          <w:lang w:val="en-GB"/>
        </w:rPr>
        <w:t>development of recommendations for</w:t>
      </w:r>
      <w:r w:rsidR="0096120F" w:rsidRPr="003B6A69">
        <w:rPr>
          <w:rFonts w:cs="Calibri"/>
          <w:bCs/>
          <w:szCs w:val="20"/>
          <w:lang w:val="en-GB"/>
        </w:rPr>
        <w:t xml:space="preserve"> enhanced management,</w:t>
      </w:r>
      <w:r w:rsidRPr="003B6A69">
        <w:rPr>
          <w:rFonts w:cs="Calibri"/>
          <w:bCs/>
          <w:szCs w:val="20"/>
          <w:lang w:val="en-GB"/>
        </w:rPr>
        <w:t xml:space="preserve"> spatial </w:t>
      </w:r>
      <w:proofErr w:type="gramStart"/>
      <w:r w:rsidRPr="003B6A69">
        <w:rPr>
          <w:rFonts w:cs="Calibri"/>
          <w:bCs/>
          <w:szCs w:val="20"/>
          <w:lang w:val="en-GB"/>
        </w:rPr>
        <w:t>planning</w:t>
      </w:r>
      <w:proofErr w:type="gramEnd"/>
      <w:r w:rsidRPr="003B6A69">
        <w:rPr>
          <w:rFonts w:cs="Calibri"/>
          <w:bCs/>
          <w:szCs w:val="20"/>
          <w:lang w:val="en-GB"/>
        </w:rPr>
        <w:t xml:space="preserve"> and zonation. The project will support the Government with their efforts towards </w:t>
      </w:r>
      <w:r w:rsidR="00A75B9B" w:rsidRPr="003B6A69">
        <w:rPr>
          <w:rFonts w:cs="Calibri"/>
          <w:bCs/>
          <w:szCs w:val="20"/>
          <w:lang w:val="en-GB"/>
        </w:rPr>
        <w:t xml:space="preserve">the </w:t>
      </w:r>
      <w:r w:rsidRPr="003B6A69">
        <w:rPr>
          <w:rFonts w:cs="Calibri"/>
          <w:bCs/>
          <w:szCs w:val="20"/>
          <w:lang w:val="en-GB"/>
        </w:rPr>
        <w:t>designation of the buffer zone for the Ramsar property and will help developing specific regulations on boating (</w:t>
      </w:r>
      <w:proofErr w:type="gramStart"/>
      <w:r w:rsidRPr="003B6A69">
        <w:rPr>
          <w:rFonts w:cs="Calibri"/>
          <w:bCs/>
          <w:szCs w:val="20"/>
          <w:lang w:val="en-GB"/>
        </w:rPr>
        <w:t>e.g.</w:t>
      </w:r>
      <w:proofErr w:type="gramEnd"/>
      <w:r w:rsidRPr="003B6A69">
        <w:rPr>
          <w:rFonts w:cs="Calibri"/>
          <w:bCs/>
          <w:szCs w:val="20"/>
          <w:lang w:val="en-GB"/>
        </w:rPr>
        <w:t xml:space="preserve"> speed limit). </w:t>
      </w:r>
      <w:r w:rsidR="00A75B9B" w:rsidRPr="003B6A69">
        <w:rPr>
          <w:rFonts w:cs="Calibri"/>
          <w:bCs/>
          <w:szCs w:val="20"/>
          <w:lang w:val="en-GB"/>
        </w:rPr>
        <w:t>T</w:t>
      </w:r>
      <w:r w:rsidRPr="003B6A69">
        <w:rPr>
          <w:rFonts w:cs="Calibri"/>
          <w:bCs/>
          <w:szCs w:val="20"/>
          <w:lang w:val="en-GB"/>
        </w:rPr>
        <w:t xml:space="preserve">argeted investment into an enhanced PA </w:t>
      </w:r>
      <w:proofErr w:type="spellStart"/>
      <w:r w:rsidRPr="003B6A69">
        <w:rPr>
          <w:rFonts w:cs="Calibri"/>
          <w:bCs/>
          <w:szCs w:val="20"/>
          <w:lang w:val="en-GB"/>
        </w:rPr>
        <w:t>valori</w:t>
      </w:r>
      <w:r w:rsidR="00A75B9B" w:rsidRPr="003B6A69">
        <w:rPr>
          <w:rFonts w:cs="Calibri"/>
          <w:bCs/>
          <w:szCs w:val="20"/>
          <w:lang w:val="en-GB"/>
        </w:rPr>
        <w:t>z</w:t>
      </w:r>
      <w:r w:rsidRPr="003B6A69">
        <w:rPr>
          <w:rFonts w:cs="Calibri"/>
          <w:bCs/>
          <w:szCs w:val="20"/>
          <w:lang w:val="en-GB"/>
        </w:rPr>
        <w:t>ation</w:t>
      </w:r>
      <w:proofErr w:type="spellEnd"/>
      <w:r w:rsidRPr="003B6A69">
        <w:rPr>
          <w:rFonts w:cs="Calibri"/>
          <w:bCs/>
          <w:szCs w:val="20"/>
          <w:lang w:val="en-GB"/>
        </w:rPr>
        <w:t xml:space="preserve"> effort will be offered</w:t>
      </w:r>
      <w:r w:rsidR="008B0101" w:rsidRPr="003B6A69">
        <w:rPr>
          <w:rStyle w:val="FootnoteReference"/>
          <w:rFonts w:cs="Calibri"/>
          <w:bCs/>
          <w:lang w:val="en-GB"/>
        </w:rPr>
        <w:footnoteReference w:id="2"/>
      </w:r>
      <w:r w:rsidRPr="003B6A69">
        <w:rPr>
          <w:rFonts w:cs="Calibri"/>
          <w:bCs/>
          <w:szCs w:val="20"/>
          <w:lang w:val="en-GB"/>
        </w:rPr>
        <w:t xml:space="preserve">. </w:t>
      </w:r>
      <w:r w:rsidR="00D1415B">
        <w:rPr>
          <w:rFonts w:cs="Calibri"/>
          <w:bCs/>
          <w:szCs w:val="20"/>
          <w:lang w:val="en-GB"/>
        </w:rPr>
        <w:t>The project will provide additional support in continuation to the “</w:t>
      </w:r>
      <w:r w:rsidR="00D1415B" w:rsidRPr="00D1415B">
        <w:rPr>
          <w:rFonts w:cs="Calibri"/>
          <w:bCs/>
          <w:szCs w:val="20"/>
          <w:lang w:val="en-GB"/>
        </w:rPr>
        <w:t xml:space="preserve">Conservation and sustainable use of biodiversity at Lakes </w:t>
      </w:r>
      <w:proofErr w:type="spellStart"/>
      <w:r w:rsidR="00D1415B" w:rsidRPr="00D1415B">
        <w:rPr>
          <w:rFonts w:cs="Calibri"/>
          <w:bCs/>
          <w:szCs w:val="20"/>
          <w:lang w:val="en-GB"/>
        </w:rPr>
        <w:t>Prespa</w:t>
      </w:r>
      <w:proofErr w:type="spellEnd"/>
      <w:r w:rsidR="00D1415B" w:rsidRPr="00D1415B">
        <w:rPr>
          <w:rFonts w:cs="Calibri"/>
          <w:bCs/>
          <w:szCs w:val="20"/>
          <w:lang w:val="en-GB"/>
        </w:rPr>
        <w:t>,</w:t>
      </w:r>
      <w:r w:rsidR="00D1415B">
        <w:rPr>
          <w:rFonts w:cs="Calibri"/>
          <w:bCs/>
          <w:szCs w:val="20"/>
          <w:lang w:val="en-GB"/>
        </w:rPr>
        <w:t xml:space="preserve"> </w:t>
      </w:r>
      <w:proofErr w:type="spellStart"/>
      <w:r w:rsidR="00D1415B">
        <w:rPr>
          <w:rFonts w:cs="Calibri"/>
          <w:bCs/>
          <w:szCs w:val="20"/>
          <w:lang w:val="en-GB"/>
        </w:rPr>
        <w:t>Ohrid</w:t>
      </w:r>
      <w:proofErr w:type="spellEnd"/>
      <w:r w:rsidR="00D1415B">
        <w:rPr>
          <w:rFonts w:cs="Calibri"/>
          <w:bCs/>
          <w:szCs w:val="20"/>
          <w:lang w:val="en-GB"/>
        </w:rPr>
        <w:t xml:space="preserve"> and Shkodra/</w:t>
      </w:r>
      <w:proofErr w:type="spellStart"/>
      <w:r w:rsidR="00D1415B">
        <w:rPr>
          <w:rFonts w:cs="Calibri"/>
          <w:bCs/>
          <w:szCs w:val="20"/>
          <w:lang w:val="en-GB"/>
        </w:rPr>
        <w:t>Skadar</w:t>
      </w:r>
      <w:proofErr w:type="spellEnd"/>
      <w:r w:rsidR="00D1415B">
        <w:rPr>
          <w:rFonts w:cs="Calibri"/>
          <w:bCs/>
          <w:szCs w:val="20"/>
          <w:lang w:val="en-GB"/>
        </w:rPr>
        <w:t xml:space="preserve"> Project” effort at building capacities </w:t>
      </w:r>
      <w:proofErr w:type="gramStart"/>
      <w:r w:rsidR="00D1415B">
        <w:rPr>
          <w:rFonts w:cs="Calibri"/>
          <w:bCs/>
          <w:szCs w:val="20"/>
          <w:lang w:val="en-GB"/>
        </w:rPr>
        <w:t xml:space="preserve">for </w:t>
      </w:r>
      <w:r w:rsidR="00D1415B" w:rsidRPr="00D1415B">
        <w:rPr>
          <w:rFonts w:cs="Calibri"/>
          <w:bCs/>
          <w:szCs w:val="20"/>
        </w:rPr>
        <w:t xml:space="preserve"> monitoring</w:t>
      </w:r>
      <w:proofErr w:type="gramEnd"/>
      <w:r w:rsidR="00D1415B" w:rsidRPr="00D1415B">
        <w:rPr>
          <w:rFonts w:cs="Calibri"/>
          <w:bCs/>
          <w:szCs w:val="20"/>
        </w:rPr>
        <w:t xml:space="preserve"> the effectiveness of species conservation measures</w:t>
      </w:r>
      <w:r w:rsidR="00D1415B">
        <w:rPr>
          <w:rFonts w:cs="Calibri"/>
          <w:bCs/>
          <w:szCs w:val="20"/>
          <w:lang w:val="en-GB"/>
        </w:rPr>
        <w:t>.</w:t>
      </w:r>
    </w:p>
    <w:p w14:paraId="5681DC3E" w14:textId="7B1EAB89" w:rsidR="0082561F" w:rsidRPr="003B6A69" w:rsidRDefault="0082561F" w:rsidP="0082561F">
      <w:pPr>
        <w:tabs>
          <w:tab w:val="left" w:pos="426"/>
        </w:tabs>
        <w:spacing w:after="120"/>
        <w:rPr>
          <w:rFonts w:cs="Calibri"/>
          <w:bCs/>
          <w:szCs w:val="20"/>
          <w:lang w:val="en-GB"/>
        </w:rPr>
      </w:pPr>
      <w:proofErr w:type="spellStart"/>
      <w:r w:rsidRPr="003B6A69">
        <w:rPr>
          <w:rFonts w:cs="Calibri"/>
          <w:b/>
          <w:bCs/>
          <w:szCs w:val="20"/>
          <w:lang w:val="en-GB"/>
        </w:rPr>
        <w:t>Ulcinjska</w:t>
      </w:r>
      <w:proofErr w:type="spellEnd"/>
      <w:r w:rsidRPr="003B6A69">
        <w:rPr>
          <w:rFonts w:cs="Calibri"/>
          <w:b/>
          <w:bCs/>
          <w:szCs w:val="20"/>
          <w:lang w:val="en-GB"/>
        </w:rPr>
        <w:t xml:space="preserve"> Solana Nature Park.</w:t>
      </w:r>
      <w:r w:rsidRPr="003B6A69">
        <w:rPr>
          <w:rFonts w:cs="Calibri"/>
          <w:bCs/>
          <w:szCs w:val="20"/>
          <w:lang w:val="en-GB"/>
        </w:rPr>
        <w:t xml:space="preserve"> The UNDP/GEF project will support the park management authority with the development of a business plan for small-scale salt production and maintenance of the facilities and the area so that it retains its unique nature value and biodiversity. A sustainable tourism development model will make an essential element of sustainable business planning for the area. The best applicable practice in maintenance and management of similar areas around the world will be captured and serve </w:t>
      </w:r>
      <w:r w:rsidR="00A75B9B" w:rsidRPr="003B6A69">
        <w:rPr>
          <w:rFonts w:cs="Calibri"/>
          <w:bCs/>
          <w:szCs w:val="20"/>
          <w:lang w:val="en-GB"/>
        </w:rPr>
        <w:t xml:space="preserve">as </w:t>
      </w:r>
      <w:r w:rsidRPr="003B6A69">
        <w:rPr>
          <w:rFonts w:cs="Calibri"/>
          <w:bCs/>
          <w:szCs w:val="20"/>
          <w:lang w:val="en-GB"/>
        </w:rPr>
        <w:t>the basis for defining the requirements for, and expectations from, the tourism product, services</w:t>
      </w:r>
      <w:r w:rsidR="00A75B9B" w:rsidRPr="003B6A69">
        <w:rPr>
          <w:rFonts w:cs="Calibri"/>
          <w:bCs/>
          <w:szCs w:val="20"/>
          <w:lang w:val="en-GB"/>
        </w:rPr>
        <w:t>,</w:t>
      </w:r>
      <w:r w:rsidRPr="003B6A69">
        <w:rPr>
          <w:rFonts w:cs="Calibri"/>
          <w:bCs/>
          <w:szCs w:val="20"/>
          <w:lang w:val="en-GB"/>
        </w:rPr>
        <w:t xml:space="preserve"> and benefits that can be offered to visitors. The project will also help </w:t>
      </w:r>
      <w:r w:rsidR="00A75B9B" w:rsidRPr="003B6A69">
        <w:rPr>
          <w:rFonts w:cs="Calibri"/>
          <w:bCs/>
          <w:szCs w:val="20"/>
          <w:lang w:val="en-GB"/>
        </w:rPr>
        <w:t>to identify</w:t>
      </w:r>
      <w:r w:rsidRPr="003B6A69">
        <w:rPr>
          <w:rFonts w:cs="Calibri"/>
          <w:bCs/>
          <w:szCs w:val="20"/>
          <w:lang w:val="en-GB"/>
        </w:rPr>
        <w:t xml:space="preserve"> the investment opportunities to fuel implementation of the business plan and help </w:t>
      </w:r>
      <w:r w:rsidR="00A75B9B" w:rsidRPr="003B6A69">
        <w:rPr>
          <w:rFonts w:cs="Calibri"/>
          <w:bCs/>
          <w:szCs w:val="20"/>
          <w:lang w:val="en-GB"/>
        </w:rPr>
        <w:t>to define</w:t>
      </w:r>
      <w:r w:rsidRPr="003B6A69">
        <w:rPr>
          <w:rFonts w:cs="Calibri"/>
          <w:bCs/>
          <w:szCs w:val="20"/>
          <w:lang w:val="en-GB"/>
        </w:rPr>
        <w:t xml:space="preserve"> the level of entry fees and tourist service costs so that they respond to the market and at the same time make a significant income that partially covers the maintenance cost. </w:t>
      </w:r>
    </w:p>
    <w:p w14:paraId="49FCBD22" w14:textId="176E8281" w:rsidR="0082561F" w:rsidRPr="003B6A69" w:rsidRDefault="0082561F" w:rsidP="0082561F">
      <w:pPr>
        <w:tabs>
          <w:tab w:val="left" w:pos="426"/>
        </w:tabs>
        <w:spacing w:after="120"/>
        <w:rPr>
          <w:rFonts w:cs="Calibri"/>
          <w:bCs/>
          <w:szCs w:val="20"/>
          <w:lang w:val="en-GB"/>
        </w:rPr>
      </w:pPr>
      <w:r w:rsidRPr="003B6A69">
        <w:rPr>
          <w:rFonts w:cs="Calibri"/>
          <w:bCs/>
          <w:szCs w:val="20"/>
          <w:lang w:val="en-GB"/>
        </w:rPr>
        <w:t xml:space="preserve">In July 2019, </w:t>
      </w:r>
      <w:proofErr w:type="spellStart"/>
      <w:r w:rsidRPr="003B6A69">
        <w:rPr>
          <w:rFonts w:cs="Calibri"/>
          <w:bCs/>
          <w:szCs w:val="20"/>
          <w:lang w:val="en-GB"/>
        </w:rPr>
        <w:t>Ulcinjska</w:t>
      </w:r>
      <w:proofErr w:type="spellEnd"/>
      <w:r w:rsidRPr="003B6A69">
        <w:rPr>
          <w:rFonts w:cs="Calibri"/>
          <w:bCs/>
          <w:szCs w:val="20"/>
          <w:lang w:val="en-GB"/>
        </w:rPr>
        <w:t xml:space="preserve"> Solana was enlisted as a Ramsar wetland of international importance. The management plan for the Nature Park will be reviewed to ensure compliance and enforcement mechanisms against illegal hunting and fishing, promote sustainable tourism and ensure monitoring of the key biodiversity values, and, </w:t>
      </w:r>
      <w:proofErr w:type="gramStart"/>
      <w:r w:rsidRPr="003B6A69">
        <w:rPr>
          <w:rFonts w:cs="Calibri"/>
          <w:bCs/>
          <w:szCs w:val="20"/>
          <w:lang w:val="en-GB"/>
        </w:rPr>
        <w:t>last but not least</w:t>
      </w:r>
      <w:proofErr w:type="gramEnd"/>
      <w:r w:rsidRPr="003B6A69">
        <w:rPr>
          <w:rFonts w:cs="Calibri"/>
          <w:bCs/>
          <w:szCs w:val="20"/>
          <w:lang w:val="en-GB"/>
        </w:rPr>
        <w:t xml:space="preserve">, the Ramsar requirements. </w:t>
      </w:r>
      <w:r w:rsidR="0096120F" w:rsidRPr="003B6A69">
        <w:rPr>
          <w:rFonts w:cs="Calibri"/>
          <w:bCs/>
          <w:szCs w:val="20"/>
          <w:lang w:val="en-GB"/>
        </w:rPr>
        <w:t xml:space="preserve">Climate resilience measures and adaptation scenarios will be offered to complement the existing management plan for the park. </w:t>
      </w:r>
      <w:r w:rsidRPr="003B6A69">
        <w:rPr>
          <w:rFonts w:cs="Calibri"/>
          <w:bCs/>
          <w:szCs w:val="20"/>
          <w:lang w:val="en-GB"/>
        </w:rPr>
        <w:t xml:space="preserve">The UNDP/GEF project with help ensuring </w:t>
      </w:r>
      <w:r w:rsidR="00A75B9B" w:rsidRPr="003B6A69">
        <w:rPr>
          <w:rFonts w:cs="Calibri"/>
          <w:bCs/>
          <w:szCs w:val="20"/>
          <w:lang w:val="en-GB"/>
        </w:rPr>
        <w:t xml:space="preserve">the </w:t>
      </w:r>
      <w:r w:rsidRPr="003B6A69">
        <w:rPr>
          <w:rFonts w:cs="Calibri"/>
          <w:bCs/>
          <w:szCs w:val="20"/>
          <w:lang w:val="en-GB"/>
        </w:rPr>
        <w:t>proper management framework of the Ramsar site, and mainstream international requirements and best practices for Ramsar wetlands into the management and operational planning for the area.</w:t>
      </w:r>
    </w:p>
    <w:p w14:paraId="740B6FCC" w14:textId="1AF2FC2E" w:rsidR="0082561F" w:rsidRPr="003B6A69" w:rsidRDefault="0082561F" w:rsidP="00E3185E">
      <w:pPr>
        <w:pStyle w:val="Heading6"/>
      </w:pPr>
      <w:bookmarkStart w:id="21" w:name="_Toc56670675"/>
      <w:r w:rsidRPr="003B6A69">
        <w:t>Output 1.</w:t>
      </w:r>
      <w:r w:rsidR="008B0101" w:rsidRPr="003B6A69">
        <w:rPr>
          <w:lang w:val="en-US"/>
        </w:rPr>
        <w:t>2</w:t>
      </w:r>
      <w:r w:rsidRPr="003B6A69">
        <w:t>: Strengthened capacities of targeted PAs through incremental support for the implementation of the new management plan actions on patrolling, monitoring and enforcement, valorization of BD values; sustainable tourism development; outreach to local communities</w:t>
      </w:r>
      <w:bookmarkEnd w:id="21"/>
    </w:p>
    <w:p w14:paraId="63523735" w14:textId="359C64F7" w:rsidR="00CD6F45" w:rsidRPr="003B6A69" w:rsidRDefault="0082561F" w:rsidP="0082561F">
      <w:pPr>
        <w:tabs>
          <w:tab w:val="left" w:pos="426"/>
        </w:tabs>
        <w:spacing w:after="120"/>
        <w:rPr>
          <w:rFonts w:cs="Calibri"/>
          <w:bCs/>
          <w:szCs w:val="20"/>
          <w:lang w:val="en-GB"/>
        </w:rPr>
      </w:pPr>
      <w:r w:rsidRPr="003B6A69">
        <w:rPr>
          <w:rFonts w:cs="Calibri"/>
          <w:bCs/>
          <w:szCs w:val="20"/>
          <w:lang w:val="en-GB"/>
        </w:rPr>
        <w:t>34.</w:t>
      </w:r>
      <w:r w:rsidRPr="003B6A69">
        <w:rPr>
          <w:rFonts w:cs="Calibri"/>
          <w:bCs/>
          <w:szCs w:val="20"/>
          <w:lang w:val="en-GB"/>
        </w:rPr>
        <w:tab/>
      </w:r>
      <w:r w:rsidR="008B0101" w:rsidRPr="003B6A69">
        <w:rPr>
          <w:szCs w:val="20"/>
        </w:rPr>
        <w:t xml:space="preserve">Output 1.2 is to provide targeted support for strengthening PA management capacities </w:t>
      </w:r>
      <w:r w:rsidR="008B0101" w:rsidRPr="003B6A69">
        <w:rPr>
          <w:rFonts w:eastAsia="Calibri"/>
          <w:szCs w:val="20"/>
        </w:rPr>
        <w:t xml:space="preserve">through incremental support for the implementation of the new management plan actions on patrolling, </w:t>
      </w:r>
      <w:proofErr w:type="gramStart"/>
      <w:r w:rsidR="008B0101" w:rsidRPr="003B6A69">
        <w:rPr>
          <w:rFonts w:eastAsia="Calibri"/>
          <w:szCs w:val="20"/>
        </w:rPr>
        <w:t>monitoring</w:t>
      </w:r>
      <w:proofErr w:type="gramEnd"/>
      <w:r w:rsidR="008B0101" w:rsidRPr="003B6A69">
        <w:rPr>
          <w:rFonts w:eastAsia="Calibri"/>
          <w:szCs w:val="20"/>
        </w:rPr>
        <w:t xml:space="preserve"> and enforcement, valorization of BD values; sustainable tourism development; outreach to local communities</w:t>
      </w:r>
      <w:r w:rsidRPr="003B6A69">
        <w:rPr>
          <w:rFonts w:cs="Calibri"/>
          <w:bCs/>
          <w:szCs w:val="20"/>
          <w:lang w:val="en-GB"/>
        </w:rPr>
        <w:t>.</w:t>
      </w:r>
      <w:r w:rsidR="008B0101" w:rsidRPr="003B6A69">
        <w:rPr>
          <w:rFonts w:cs="Calibri"/>
          <w:bCs/>
          <w:szCs w:val="20"/>
          <w:lang w:val="en-GB"/>
        </w:rPr>
        <w:t xml:space="preserve"> The project will support the capacity building </w:t>
      </w:r>
      <w:r w:rsidR="00A75B9B" w:rsidRPr="003B6A69">
        <w:rPr>
          <w:rFonts w:cs="Calibri"/>
          <w:bCs/>
          <w:szCs w:val="20"/>
          <w:lang w:val="en-GB"/>
        </w:rPr>
        <w:t xml:space="preserve">of </w:t>
      </w:r>
      <w:r w:rsidR="008B0101" w:rsidRPr="003B6A69">
        <w:rPr>
          <w:rFonts w:cs="Calibri"/>
          <w:bCs/>
          <w:szCs w:val="20"/>
          <w:lang w:val="en-GB"/>
        </w:rPr>
        <w:t>the newly established management bodies of the targeted</w:t>
      </w:r>
      <w:r w:rsidR="00CD6F45" w:rsidRPr="003B6A69">
        <w:rPr>
          <w:rFonts w:cs="Calibri"/>
          <w:bCs/>
          <w:szCs w:val="20"/>
          <w:lang w:val="en-GB"/>
        </w:rPr>
        <w:t xml:space="preserve"> PAs, such as </w:t>
      </w:r>
      <w:proofErr w:type="spellStart"/>
      <w:r w:rsidR="00CD6F45" w:rsidRPr="003B6A69">
        <w:rPr>
          <w:rFonts w:cs="Calibri"/>
          <w:bCs/>
          <w:szCs w:val="20"/>
          <w:lang w:val="en-GB"/>
        </w:rPr>
        <w:t>Ulcinjska</w:t>
      </w:r>
      <w:proofErr w:type="spellEnd"/>
      <w:r w:rsidR="00CD6F45" w:rsidRPr="003B6A69">
        <w:rPr>
          <w:rFonts w:cs="Calibri"/>
          <w:bCs/>
          <w:szCs w:val="20"/>
          <w:lang w:val="en-GB"/>
        </w:rPr>
        <w:t xml:space="preserve"> Solana, </w:t>
      </w:r>
      <w:proofErr w:type="spellStart"/>
      <w:r w:rsidR="00CD6F45" w:rsidRPr="003B6A69">
        <w:rPr>
          <w:rFonts w:cs="Calibri"/>
          <w:bCs/>
          <w:szCs w:val="20"/>
          <w:lang w:val="en-GB"/>
        </w:rPr>
        <w:t>Dragisnica-Komarnica</w:t>
      </w:r>
      <w:proofErr w:type="spellEnd"/>
      <w:r w:rsidR="008B0101" w:rsidRPr="003B6A69">
        <w:rPr>
          <w:rFonts w:cs="Calibri"/>
          <w:bCs/>
          <w:szCs w:val="20"/>
          <w:lang w:val="en-GB"/>
        </w:rPr>
        <w:t xml:space="preserve">, and </w:t>
      </w:r>
      <w:proofErr w:type="spellStart"/>
      <w:r w:rsidR="008B0101" w:rsidRPr="003B6A69">
        <w:rPr>
          <w:rFonts w:cs="Calibri"/>
          <w:bCs/>
          <w:szCs w:val="20"/>
          <w:lang w:val="en-GB"/>
        </w:rPr>
        <w:t>Orjen</w:t>
      </w:r>
      <w:proofErr w:type="spellEnd"/>
      <w:r w:rsidR="008B0101" w:rsidRPr="003B6A69">
        <w:rPr>
          <w:rFonts w:cs="Calibri"/>
          <w:bCs/>
          <w:szCs w:val="20"/>
          <w:lang w:val="en-GB"/>
        </w:rPr>
        <w:t xml:space="preserve"> </w:t>
      </w:r>
      <w:r w:rsidR="00CD6F45" w:rsidRPr="003B6A69">
        <w:rPr>
          <w:rFonts w:cs="Calibri"/>
          <w:bCs/>
          <w:szCs w:val="20"/>
          <w:lang w:val="en-GB"/>
        </w:rPr>
        <w:t>parks of nature</w:t>
      </w:r>
      <w:r w:rsidR="008B0101" w:rsidRPr="003B6A69">
        <w:rPr>
          <w:rFonts w:cs="Calibri"/>
          <w:bCs/>
          <w:szCs w:val="20"/>
          <w:lang w:val="en-GB"/>
        </w:rPr>
        <w:t>. The incremental assistance can be targeted at management planning, conflict management, PA sustainable finance opportunities.</w:t>
      </w:r>
      <w:r w:rsidR="00CD6F45" w:rsidRPr="003B6A69">
        <w:rPr>
          <w:rFonts w:cs="Calibri"/>
          <w:bCs/>
          <w:szCs w:val="20"/>
          <w:lang w:val="en-GB"/>
        </w:rPr>
        <w:t xml:space="preserve"> The project will provide an increment to enhance pilot PA capacities for management planning (</w:t>
      </w:r>
      <w:proofErr w:type="spellStart"/>
      <w:r w:rsidR="00CD6F45" w:rsidRPr="003B6A69">
        <w:rPr>
          <w:rFonts w:cs="Calibri"/>
          <w:bCs/>
          <w:szCs w:val="20"/>
          <w:lang w:val="en-GB"/>
        </w:rPr>
        <w:t>Orjen</w:t>
      </w:r>
      <w:proofErr w:type="spellEnd"/>
      <w:r w:rsidR="00CD6F45" w:rsidRPr="003B6A69">
        <w:rPr>
          <w:rFonts w:cs="Calibri"/>
          <w:bCs/>
          <w:szCs w:val="20"/>
          <w:lang w:val="en-GB"/>
        </w:rPr>
        <w:t xml:space="preserve"> Park of Nature), patrolling and monitoring (NPs </w:t>
      </w:r>
      <w:proofErr w:type="spellStart"/>
      <w:r w:rsidR="00CD6F45" w:rsidRPr="003B6A69">
        <w:rPr>
          <w:rFonts w:cs="Calibri"/>
          <w:bCs/>
          <w:szCs w:val="20"/>
          <w:lang w:val="en-GB"/>
        </w:rPr>
        <w:t>Skadar</w:t>
      </w:r>
      <w:proofErr w:type="spellEnd"/>
      <w:r w:rsidR="00CD6F45" w:rsidRPr="003B6A69">
        <w:rPr>
          <w:rFonts w:cs="Calibri"/>
          <w:bCs/>
          <w:szCs w:val="20"/>
          <w:lang w:val="en-GB"/>
        </w:rPr>
        <w:t xml:space="preserve"> Lake, </w:t>
      </w:r>
      <w:proofErr w:type="spellStart"/>
      <w:r w:rsidR="00CD6F45" w:rsidRPr="003B6A69">
        <w:rPr>
          <w:rFonts w:cs="Calibri"/>
          <w:bCs/>
          <w:szCs w:val="20"/>
          <w:lang w:val="en-GB"/>
        </w:rPr>
        <w:t>Durmitor</w:t>
      </w:r>
      <w:proofErr w:type="spellEnd"/>
      <w:r w:rsidR="00CD6F45" w:rsidRPr="003B6A69">
        <w:rPr>
          <w:rFonts w:cs="Calibri"/>
          <w:bCs/>
          <w:szCs w:val="20"/>
          <w:lang w:val="en-GB"/>
        </w:rPr>
        <w:t xml:space="preserve">, </w:t>
      </w:r>
      <w:proofErr w:type="spellStart"/>
      <w:r w:rsidR="00CD6F45" w:rsidRPr="003B6A69">
        <w:rPr>
          <w:rFonts w:cs="Calibri"/>
          <w:bCs/>
          <w:szCs w:val="20"/>
          <w:lang w:val="en-GB"/>
        </w:rPr>
        <w:t>Biogradska</w:t>
      </w:r>
      <w:proofErr w:type="spellEnd"/>
      <w:r w:rsidR="00CD6F45" w:rsidRPr="003B6A69">
        <w:rPr>
          <w:rFonts w:cs="Calibri"/>
          <w:bCs/>
          <w:szCs w:val="20"/>
          <w:lang w:val="en-GB"/>
        </w:rPr>
        <w:t xml:space="preserve"> Gora), law enforcement (NPs </w:t>
      </w:r>
      <w:proofErr w:type="spellStart"/>
      <w:r w:rsidR="00CD6F45" w:rsidRPr="003B6A69">
        <w:rPr>
          <w:rFonts w:cs="Calibri"/>
          <w:bCs/>
          <w:szCs w:val="20"/>
          <w:lang w:val="en-GB"/>
        </w:rPr>
        <w:t>Skadar</w:t>
      </w:r>
      <w:proofErr w:type="spellEnd"/>
      <w:r w:rsidR="00CD6F45" w:rsidRPr="003B6A69">
        <w:rPr>
          <w:rFonts w:cs="Calibri"/>
          <w:bCs/>
          <w:szCs w:val="20"/>
          <w:lang w:val="en-GB"/>
        </w:rPr>
        <w:t xml:space="preserve"> </w:t>
      </w:r>
      <w:proofErr w:type="gramStart"/>
      <w:r w:rsidR="00CD6F45" w:rsidRPr="003B6A69">
        <w:rPr>
          <w:rFonts w:cs="Calibri"/>
          <w:bCs/>
          <w:szCs w:val="20"/>
          <w:lang w:val="en-GB"/>
        </w:rPr>
        <w:t xml:space="preserve">Lake,   </w:t>
      </w:r>
      <w:proofErr w:type="spellStart"/>
      <w:proofErr w:type="gramEnd"/>
      <w:r w:rsidR="00CD6F45" w:rsidRPr="003B6A69">
        <w:rPr>
          <w:rFonts w:cs="Calibri"/>
          <w:bCs/>
          <w:szCs w:val="20"/>
          <w:lang w:val="en-GB"/>
        </w:rPr>
        <w:t>Ulcinjska</w:t>
      </w:r>
      <w:proofErr w:type="spellEnd"/>
      <w:r w:rsidR="00CD6F45" w:rsidRPr="003B6A69">
        <w:rPr>
          <w:rFonts w:cs="Calibri"/>
          <w:bCs/>
          <w:szCs w:val="20"/>
          <w:lang w:val="en-GB"/>
        </w:rPr>
        <w:t xml:space="preserve"> Solana, </w:t>
      </w:r>
      <w:proofErr w:type="spellStart"/>
      <w:r w:rsidR="00CD6F45" w:rsidRPr="003B6A69">
        <w:rPr>
          <w:rFonts w:cs="Calibri"/>
          <w:bCs/>
          <w:szCs w:val="20"/>
          <w:lang w:val="en-GB"/>
        </w:rPr>
        <w:t>Orijen</w:t>
      </w:r>
      <w:proofErr w:type="spellEnd"/>
      <w:r w:rsidR="00CD6F45" w:rsidRPr="003B6A69">
        <w:rPr>
          <w:rFonts w:cs="Calibri"/>
          <w:bCs/>
          <w:szCs w:val="20"/>
          <w:lang w:val="en-GB"/>
        </w:rPr>
        <w:t xml:space="preserve">, </w:t>
      </w:r>
      <w:proofErr w:type="spellStart"/>
      <w:r w:rsidR="00CD6F45" w:rsidRPr="003B6A69">
        <w:rPr>
          <w:rFonts w:cs="Calibri"/>
          <w:bCs/>
          <w:szCs w:val="20"/>
          <w:lang w:val="en-GB"/>
        </w:rPr>
        <w:t>Dragisnica-Komarnica</w:t>
      </w:r>
      <w:proofErr w:type="spellEnd"/>
      <w:r w:rsidR="00CD6F45" w:rsidRPr="003B6A69">
        <w:rPr>
          <w:rFonts w:cs="Calibri"/>
          <w:bCs/>
          <w:szCs w:val="20"/>
          <w:lang w:val="en-GB"/>
        </w:rPr>
        <w:t xml:space="preserve"> parks of nature), community engagement (</w:t>
      </w:r>
      <w:proofErr w:type="spellStart"/>
      <w:r w:rsidR="00CD6F45" w:rsidRPr="003B6A69">
        <w:rPr>
          <w:rFonts w:cs="Calibri"/>
          <w:bCs/>
          <w:szCs w:val="20"/>
          <w:lang w:val="en-GB"/>
        </w:rPr>
        <w:t>Durmitor</w:t>
      </w:r>
      <w:proofErr w:type="spellEnd"/>
      <w:r w:rsidR="00CD6F45" w:rsidRPr="003B6A69">
        <w:rPr>
          <w:rFonts w:cs="Calibri"/>
          <w:bCs/>
          <w:szCs w:val="20"/>
          <w:lang w:val="en-GB"/>
        </w:rPr>
        <w:t xml:space="preserve">, </w:t>
      </w:r>
      <w:proofErr w:type="spellStart"/>
      <w:r w:rsidR="00CD6F45" w:rsidRPr="003B6A69">
        <w:rPr>
          <w:rFonts w:cs="Calibri"/>
          <w:bCs/>
          <w:szCs w:val="20"/>
          <w:lang w:val="en-GB"/>
        </w:rPr>
        <w:t>Biogradska</w:t>
      </w:r>
      <w:proofErr w:type="spellEnd"/>
      <w:r w:rsidR="00CD6F45" w:rsidRPr="003B6A69">
        <w:rPr>
          <w:rFonts w:cs="Calibri"/>
          <w:bCs/>
          <w:szCs w:val="20"/>
          <w:lang w:val="en-GB"/>
        </w:rPr>
        <w:t xml:space="preserve"> Gora, </w:t>
      </w:r>
      <w:proofErr w:type="spellStart"/>
      <w:r w:rsidR="00CD6F45" w:rsidRPr="003B6A69">
        <w:rPr>
          <w:rFonts w:cs="Calibri"/>
          <w:bCs/>
          <w:szCs w:val="20"/>
          <w:lang w:val="en-GB"/>
        </w:rPr>
        <w:lastRenderedPageBreak/>
        <w:t>Sinjajevina</w:t>
      </w:r>
      <w:proofErr w:type="spellEnd"/>
      <w:r w:rsidR="00CD6F45" w:rsidRPr="003B6A69">
        <w:rPr>
          <w:rFonts w:cs="Calibri"/>
          <w:bCs/>
          <w:szCs w:val="20"/>
          <w:lang w:val="en-GB"/>
        </w:rPr>
        <w:t xml:space="preserve">, </w:t>
      </w:r>
      <w:proofErr w:type="spellStart"/>
      <w:r w:rsidR="00CD6F45" w:rsidRPr="003B6A69">
        <w:rPr>
          <w:rFonts w:cs="Calibri"/>
          <w:bCs/>
          <w:szCs w:val="20"/>
          <w:lang w:val="en-GB"/>
        </w:rPr>
        <w:t>Skadar</w:t>
      </w:r>
      <w:proofErr w:type="spellEnd"/>
      <w:r w:rsidR="00CD6F45" w:rsidRPr="003B6A69">
        <w:rPr>
          <w:rFonts w:cs="Calibri"/>
          <w:bCs/>
          <w:szCs w:val="20"/>
          <w:lang w:val="en-GB"/>
        </w:rPr>
        <w:t xml:space="preserve"> Lake, </w:t>
      </w:r>
      <w:proofErr w:type="spellStart"/>
      <w:r w:rsidR="00CD6F45" w:rsidRPr="003B6A69">
        <w:rPr>
          <w:rFonts w:cs="Calibri"/>
          <w:bCs/>
          <w:szCs w:val="20"/>
          <w:lang w:val="en-GB"/>
        </w:rPr>
        <w:t>Ulcinjska</w:t>
      </w:r>
      <w:proofErr w:type="spellEnd"/>
      <w:r w:rsidR="00CD6F45" w:rsidRPr="003B6A69">
        <w:rPr>
          <w:rFonts w:cs="Calibri"/>
          <w:bCs/>
          <w:szCs w:val="20"/>
          <w:lang w:val="en-GB"/>
        </w:rPr>
        <w:t xml:space="preserve"> Solana)</w:t>
      </w:r>
      <w:r w:rsidR="00D84C02" w:rsidRPr="003B6A69">
        <w:rPr>
          <w:rFonts w:cs="Calibri"/>
          <w:bCs/>
          <w:szCs w:val="20"/>
          <w:lang w:val="en-GB"/>
        </w:rPr>
        <w:t>. The project plans include tar</w:t>
      </w:r>
      <w:r w:rsidR="00CD6F45" w:rsidRPr="003B6A69">
        <w:rPr>
          <w:rFonts w:cs="Calibri"/>
          <w:bCs/>
          <w:szCs w:val="20"/>
          <w:lang w:val="en-GB"/>
        </w:rPr>
        <w:t xml:space="preserve">geted support to </w:t>
      </w:r>
      <w:r w:rsidR="00D84C02" w:rsidRPr="003B6A69">
        <w:rPr>
          <w:rFonts w:cs="Calibri"/>
          <w:bCs/>
          <w:szCs w:val="20"/>
          <w:lang w:val="en-GB"/>
        </w:rPr>
        <w:t xml:space="preserve">BD </w:t>
      </w:r>
      <w:proofErr w:type="spellStart"/>
      <w:r w:rsidR="00CD6F45" w:rsidRPr="003B6A69">
        <w:rPr>
          <w:rFonts w:cs="Calibri"/>
          <w:bCs/>
          <w:szCs w:val="20"/>
          <w:lang w:val="en-GB"/>
        </w:rPr>
        <w:t>valori</w:t>
      </w:r>
      <w:r w:rsidR="00A75B9B" w:rsidRPr="003B6A69">
        <w:rPr>
          <w:rFonts w:cs="Calibri"/>
          <w:bCs/>
          <w:szCs w:val="20"/>
          <w:lang w:val="en-GB"/>
        </w:rPr>
        <w:t>z</w:t>
      </w:r>
      <w:r w:rsidR="00CD6F45" w:rsidRPr="003B6A69">
        <w:rPr>
          <w:rFonts w:cs="Calibri"/>
          <w:bCs/>
          <w:szCs w:val="20"/>
          <w:lang w:val="en-GB"/>
        </w:rPr>
        <w:t>ation</w:t>
      </w:r>
      <w:proofErr w:type="spellEnd"/>
      <w:r w:rsidR="00CD6F45" w:rsidRPr="003B6A69">
        <w:rPr>
          <w:rFonts w:cs="Calibri"/>
          <w:bCs/>
          <w:szCs w:val="20"/>
          <w:lang w:val="en-GB"/>
        </w:rPr>
        <w:t xml:space="preserve"> and visitor infrastructure (</w:t>
      </w:r>
      <w:proofErr w:type="spellStart"/>
      <w:r w:rsidR="00CD6F45" w:rsidRPr="003B6A69">
        <w:rPr>
          <w:rFonts w:cs="Calibri"/>
          <w:bCs/>
          <w:szCs w:val="20"/>
          <w:lang w:val="en-GB"/>
        </w:rPr>
        <w:t>Ulcinjska</w:t>
      </w:r>
      <w:proofErr w:type="spellEnd"/>
      <w:r w:rsidR="00CD6F45" w:rsidRPr="003B6A69">
        <w:rPr>
          <w:rFonts w:cs="Calibri"/>
          <w:bCs/>
          <w:szCs w:val="20"/>
          <w:lang w:val="en-GB"/>
        </w:rPr>
        <w:t xml:space="preserve"> Solana, </w:t>
      </w:r>
      <w:proofErr w:type="spellStart"/>
      <w:r w:rsidR="00CD6F45" w:rsidRPr="003B6A69">
        <w:rPr>
          <w:rFonts w:cs="Calibri"/>
          <w:bCs/>
          <w:szCs w:val="20"/>
          <w:lang w:val="en-GB"/>
        </w:rPr>
        <w:t>Orjen</w:t>
      </w:r>
      <w:proofErr w:type="spellEnd"/>
      <w:r w:rsidR="00CD6F45" w:rsidRPr="003B6A69">
        <w:rPr>
          <w:rFonts w:cs="Calibri"/>
          <w:bCs/>
          <w:szCs w:val="20"/>
          <w:lang w:val="en-GB"/>
        </w:rPr>
        <w:t xml:space="preserve">, </w:t>
      </w:r>
      <w:proofErr w:type="spellStart"/>
      <w:r w:rsidR="00CD6F45" w:rsidRPr="003B6A69">
        <w:rPr>
          <w:rFonts w:cs="Calibri"/>
          <w:bCs/>
          <w:szCs w:val="20"/>
          <w:lang w:val="en-GB"/>
        </w:rPr>
        <w:t>Komovi</w:t>
      </w:r>
      <w:proofErr w:type="spellEnd"/>
      <w:r w:rsidR="00D84C02" w:rsidRPr="003B6A69">
        <w:rPr>
          <w:rFonts w:cs="Calibri"/>
          <w:bCs/>
          <w:szCs w:val="20"/>
          <w:lang w:val="en-GB"/>
        </w:rPr>
        <w:t xml:space="preserve"> parks of nature</w:t>
      </w:r>
      <w:r w:rsidR="00CD6F45" w:rsidRPr="003B6A69">
        <w:rPr>
          <w:rFonts w:cs="Calibri"/>
          <w:bCs/>
          <w:szCs w:val="20"/>
          <w:lang w:val="en-GB"/>
        </w:rPr>
        <w:t>)</w:t>
      </w:r>
      <w:r w:rsidR="00D84C02" w:rsidRPr="003B6A69">
        <w:rPr>
          <w:rFonts w:cs="Calibri"/>
          <w:bCs/>
          <w:szCs w:val="20"/>
          <w:lang w:val="en-GB"/>
        </w:rPr>
        <w:t xml:space="preserve">. </w:t>
      </w:r>
    </w:p>
    <w:p w14:paraId="4F3DBCE1" w14:textId="47B1E971" w:rsidR="008B0101" w:rsidRPr="003B6A69" w:rsidRDefault="008B0101" w:rsidP="008B0101">
      <w:pPr>
        <w:tabs>
          <w:tab w:val="left" w:pos="426"/>
        </w:tabs>
        <w:spacing w:after="120"/>
        <w:rPr>
          <w:bCs/>
          <w:szCs w:val="20"/>
          <w:lang w:val="en-GB"/>
        </w:rPr>
      </w:pPr>
      <w:r w:rsidRPr="003B6A69">
        <w:rPr>
          <w:rFonts w:cs="Calibri"/>
          <w:bCs/>
          <w:szCs w:val="20"/>
          <w:lang w:val="en-GB"/>
        </w:rPr>
        <w:t>35.</w:t>
      </w:r>
      <w:r w:rsidRPr="003B6A69">
        <w:rPr>
          <w:rFonts w:cs="Calibri"/>
          <w:bCs/>
          <w:szCs w:val="20"/>
          <w:lang w:val="en-GB"/>
        </w:rPr>
        <w:tab/>
      </w:r>
      <w:r w:rsidRPr="003B6A69">
        <w:rPr>
          <w:bCs/>
          <w:szCs w:val="20"/>
          <w:lang w:val="en-GB"/>
        </w:rPr>
        <w:t xml:space="preserve">The project will approach </w:t>
      </w:r>
      <w:proofErr w:type="spellStart"/>
      <w:r w:rsidRPr="003B6A69">
        <w:rPr>
          <w:bCs/>
          <w:szCs w:val="20"/>
          <w:lang w:val="en-GB"/>
        </w:rPr>
        <w:t>Morsko</w:t>
      </w:r>
      <w:proofErr w:type="spellEnd"/>
      <w:r w:rsidRPr="003B6A69">
        <w:rPr>
          <w:bCs/>
          <w:szCs w:val="20"/>
          <w:lang w:val="en-GB"/>
        </w:rPr>
        <w:t xml:space="preserve"> Dobro as the manager for the coastal zone nature monuments (beaches </w:t>
      </w:r>
      <w:proofErr w:type="spellStart"/>
      <w:r w:rsidRPr="003B6A69">
        <w:rPr>
          <w:bCs/>
          <w:szCs w:val="20"/>
          <w:lang w:val="en-GB"/>
        </w:rPr>
        <w:t>Pržno</w:t>
      </w:r>
      <w:proofErr w:type="spellEnd"/>
      <w:r w:rsidRPr="003B6A69">
        <w:rPr>
          <w:bCs/>
          <w:szCs w:val="20"/>
          <w:lang w:val="en-GB"/>
        </w:rPr>
        <w:t xml:space="preserve">, Jaz, </w:t>
      </w:r>
      <w:proofErr w:type="spellStart"/>
      <w:r w:rsidRPr="003B6A69">
        <w:rPr>
          <w:bCs/>
          <w:szCs w:val="20"/>
          <w:lang w:val="en-GB"/>
        </w:rPr>
        <w:t>Bečici</w:t>
      </w:r>
      <w:proofErr w:type="spellEnd"/>
      <w:r w:rsidRPr="003B6A69">
        <w:rPr>
          <w:bCs/>
          <w:szCs w:val="20"/>
          <w:lang w:val="en-GB"/>
        </w:rPr>
        <w:t xml:space="preserve">, </w:t>
      </w:r>
      <w:proofErr w:type="spellStart"/>
      <w:r w:rsidRPr="003B6A69">
        <w:rPr>
          <w:bCs/>
          <w:szCs w:val="20"/>
          <w:lang w:val="en-GB"/>
        </w:rPr>
        <w:t>Petrovac</w:t>
      </w:r>
      <w:proofErr w:type="spellEnd"/>
      <w:r w:rsidRPr="003B6A69">
        <w:rPr>
          <w:bCs/>
          <w:szCs w:val="20"/>
          <w:lang w:val="en-GB"/>
        </w:rPr>
        <w:t xml:space="preserve">, </w:t>
      </w:r>
      <w:proofErr w:type="spellStart"/>
      <w:r w:rsidRPr="003B6A69">
        <w:rPr>
          <w:bCs/>
          <w:szCs w:val="20"/>
          <w:lang w:val="en-GB"/>
        </w:rPr>
        <w:t>Buljarica</w:t>
      </w:r>
      <w:proofErr w:type="spellEnd"/>
      <w:r w:rsidRPr="003B6A69">
        <w:rPr>
          <w:bCs/>
          <w:szCs w:val="20"/>
          <w:lang w:val="en-GB"/>
        </w:rPr>
        <w:t xml:space="preserve">, </w:t>
      </w:r>
      <w:proofErr w:type="spellStart"/>
      <w:r w:rsidRPr="003B6A69">
        <w:rPr>
          <w:bCs/>
          <w:szCs w:val="20"/>
          <w:lang w:val="en-GB"/>
        </w:rPr>
        <w:t>Pećin</w:t>
      </w:r>
      <w:proofErr w:type="spellEnd"/>
      <w:r w:rsidRPr="003B6A69">
        <w:rPr>
          <w:bCs/>
          <w:szCs w:val="20"/>
          <w:lang w:val="en-GB"/>
        </w:rPr>
        <w:t xml:space="preserve">, </w:t>
      </w:r>
      <w:proofErr w:type="spellStart"/>
      <w:r w:rsidRPr="003B6A69">
        <w:rPr>
          <w:bCs/>
          <w:szCs w:val="20"/>
          <w:lang w:val="en-GB"/>
        </w:rPr>
        <w:t>Čanj</w:t>
      </w:r>
      <w:proofErr w:type="spellEnd"/>
      <w:r w:rsidRPr="003B6A69">
        <w:rPr>
          <w:bCs/>
          <w:szCs w:val="20"/>
          <w:lang w:val="en-GB"/>
        </w:rPr>
        <w:t xml:space="preserve">, </w:t>
      </w:r>
      <w:proofErr w:type="spellStart"/>
      <w:r w:rsidRPr="003B6A69">
        <w:rPr>
          <w:bCs/>
          <w:szCs w:val="20"/>
          <w:lang w:val="en-GB"/>
        </w:rPr>
        <w:t>Sutomore</w:t>
      </w:r>
      <w:proofErr w:type="spellEnd"/>
      <w:r w:rsidR="00A75B9B" w:rsidRPr="003B6A69">
        <w:rPr>
          <w:bCs/>
          <w:szCs w:val="20"/>
          <w:lang w:val="en-GB"/>
        </w:rPr>
        <w:t>,</w:t>
      </w:r>
      <w:r w:rsidRPr="003B6A69">
        <w:rPr>
          <w:bCs/>
          <w:szCs w:val="20"/>
          <w:lang w:val="en-GB"/>
        </w:rPr>
        <w:t xml:space="preserve"> and others), to provide targeted capacity building and develop together</w:t>
      </w:r>
      <w:r w:rsidR="00A75B9B" w:rsidRPr="003B6A69">
        <w:rPr>
          <w:bCs/>
          <w:szCs w:val="20"/>
          <w:lang w:val="en-GB"/>
        </w:rPr>
        <w:t xml:space="preserve"> with</w:t>
      </w:r>
      <w:r w:rsidRPr="003B6A69">
        <w:rPr>
          <w:bCs/>
          <w:szCs w:val="20"/>
          <w:lang w:val="en-GB"/>
        </w:rPr>
        <w:t xml:space="preserve"> the concrete on-the-ground solutions and practical steps delivering sustainable conservation effort to these “paper” PAs</w:t>
      </w:r>
      <w:r w:rsidR="00404FD1" w:rsidRPr="003B6A69">
        <w:rPr>
          <w:bCs/>
          <w:szCs w:val="20"/>
          <w:lang w:val="en-GB"/>
        </w:rPr>
        <w:t xml:space="preserve"> that have neither management arrangements nor targeted funding for conservation activities</w:t>
      </w:r>
      <w:r w:rsidRPr="003B6A69">
        <w:rPr>
          <w:bCs/>
          <w:szCs w:val="20"/>
          <w:lang w:val="en-GB"/>
        </w:rPr>
        <w:t>.</w:t>
      </w:r>
      <w:r w:rsidR="00404FD1" w:rsidRPr="003B6A69">
        <w:rPr>
          <w:bCs/>
          <w:szCs w:val="20"/>
          <w:lang w:val="en-GB"/>
        </w:rPr>
        <w:t xml:space="preserve"> The project will offer an increment to the management capacity building for these areas and will offer a pilot management/business plan for coastal zone nature monuments. The pilot PA will be selected together with </w:t>
      </w:r>
      <w:proofErr w:type="spellStart"/>
      <w:r w:rsidR="00404FD1" w:rsidRPr="003B6A69">
        <w:rPr>
          <w:bCs/>
          <w:szCs w:val="20"/>
          <w:lang w:val="en-GB"/>
        </w:rPr>
        <w:t>Morsko</w:t>
      </w:r>
      <w:proofErr w:type="spellEnd"/>
      <w:r w:rsidR="00404FD1" w:rsidRPr="003B6A69">
        <w:rPr>
          <w:bCs/>
          <w:szCs w:val="20"/>
          <w:lang w:val="en-GB"/>
        </w:rPr>
        <w:t xml:space="preserve"> Dobro public enterprise in charge of the coastal zone nature monuments. The model management/business plan will then be replicated by </w:t>
      </w:r>
      <w:proofErr w:type="spellStart"/>
      <w:r w:rsidR="00404FD1" w:rsidRPr="003B6A69">
        <w:rPr>
          <w:bCs/>
          <w:szCs w:val="20"/>
          <w:lang w:val="en-GB"/>
        </w:rPr>
        <w:t>Morsko</w:t>
      </w:r>
      <w:proofErr w:type="spellEnd"/>
      <w:r w:rsidR="00404FD1" w:rsidRPr="003B6A69">
        <w:rPr>
          <w:bCs/>
          <w:szCs w:val="20"/>
          <w:lang w:val="en-GB"/>
        </w:rPr>
        <w:t xml:space="preserve"> Dobro to other coastal zone </w:t>
      </w:r>
      <w:proofErr w:type="gramStart"/>
      <w:r w:rsidR="00404FD1" w:rsidRPr="003B6A69">
        <w:rPr>
          <w:bCs/>
          <w:szCs w:val="20"/>
          <w:lang w:val="en-GB"/>
        </w:rPr>
        <w:t>monuments, and</w:t>
      </w:r>
      <w:proofErr w:type="gramEnd"/>
      <w:r w:rsidR="00404FD1" w:rsidRPr="003B6A69">
        <w:rPr>
          <w:bCs/>
          <w:szCs w:val="20"/>
          <w:lang w:val="en-GB"/>
        </w:rPr>
        <w:t xml:space="preserve"> serve as a key instrument for financial planning of </w:t>
      </w:r>
      <w:proofErr w:type="spellStart"/>
      <w:r w:rsidR="00404FD1" w:rsidRPr="003B6A69">
        <w:rPr>
          <w:bCs/>
          <w:szCs w:val="20"/>
          <w:lang w:val="en-GB"/>
        </w:rPr>
        <w:t>Morsko</w:t>
      </w:r>
      <w:proofErr w:type="spellEnd"/>
      <w:r w:rsidR="00404FD1" w:rsidRPr="003B6A69">
        <w:rPr>
          <w:bCs/>
          <w:szCs w:val="20"/>
          <w:lang w:val="en-GB"/>
        </w:rPr>
        <w:t xml:space="preserve"> Dobro management actions aimed at particular PAs under their authority. The project will extend targeted support to </w:t>
      </w:r>
      <w:r w:rsidR="00A75B9B" w:rsidRPr="003B6A69">
        <w:rPr>
          <w:bCs/>
          <w:szCs w:val="20"/>
          <w:lang w:val="en-GB"/>
        </w:rPr>
        <w:t xml:space="preserve">the </w:t>
      </w:r>
      <w:r w:rsidR="00404FD1" w:rsidRPr="003B6A69">
        <w:rPr>
          <w:bCs/>
          <w:szCs w:val="20"/>
          <w:lang w:val="en-GB"/>
        </w:rPr>
        <w:t>implementation of advance</w:t>
      </w:r>
      <w:r w:rsidR="00A75B9B" w:rsidRPr="003B6A69">
        <w:rPr>
          <w:bCs/>
          <w:szCs w:val="20"/>
          <w:lang w:val="en-GB"/>
        </w:rPr>
        <w:t>d</w:t>
      </w:r>
      <w:r w:rsidR="00404FD1" w:rsidRPr="003B6A69">
        <w:rPr>
          <w:bCs/>
          <w:szCs w:val="20"/>
          <w:lang w:val="en-GB"/>
        </w:rPr>
        <w:t xml:space="preserve"> management measures</w:t>
      </w:r>
      <w:r w:rsidR="00A07BD0" w:rsidRPr="003B6A69">
        <w:rPr>
          <w:bCs/>
          <w:szCs w:val="20"/>
          <w:lang w:val="en-GB"/>
        </w:rPr>
        <w:t xml:space="preserve"> </w:t>
      </w:r>
      <w:r w:rsidR="0011581A" w:rsidRPr="003B6A69">
        <w:rPr>
          <w:bCs/>
          <w:szCs w:val="20"/>
          <w:lang w:val="en-GB"/>
        </w:rPr>
        <w:t>set in the management/business plans</w:t>
      </w:r>
      <w:r w:rsidR="00404FD1" w:rsidRPr="003B6A69">
        <w:rPr>
          <w:bCs/>
          <w:szCs w:val="20"/>
          <w:lang w:val="en-GB"/>
        </w:rPr>
        <w:t xml:space="preserve">. </w:t>
      </w:r>
      <w:r w:rsidRPr="003B6A69">
        <w:rPr>
          <w:bCs/>
          <w:szCs w:val="20"/>
          <w:lang w:val="en-GB"/>
        </w:rPr>
        <w:t>This may include facilitation of the management arrangements with the respective municipalities; volunteer clean-up campaigns involving local communities; marking of the areas; awareness-raising via tourist bu</w:t>
      </w:r>
      <w:r w:rsidR="0011581A" w:rsidRPr="003B6A69">
        <w:rPr>
          <w:bCs/>
          <w:szCs w:val="20"/>
          <w:lang w:val="en-GB"/>
        </w:rPr>
        <w:t xml:space="preserve">reaus, local mass media, schools; outreach to local communities and implementation of business and/or awareness projects in support of community engagement. </w:t>
      </w:r>
    </w:p>
    <w:p w14:paraId="16358C97" w14:textId="5E2E3232" w:rsidR="005036DD" w:rsidRPr="003B6A69" w:rsidRDefault="005036DD" w:rsidP="002B5F7E">
      <w:pPr>
        <w:pStyle w:val="Heading3"/>
      </w:pPr>
      <w:bookmarkStart w:id="22" w:name="_Toc82018251"/>
      <w:r w:rsidRPr="003B6A69">
        <w:t xml:space="preserve">Outcome 2: Biodiversity conservation arrangements in place for the </w:t>
      </w:r>
      <w:proofErr w:type="gramStart"/>
      <w:r w:rsidRPr="003B6A69">
        <w:t>hot-spots</w:t>
      </w:r>
      <w:proofErr w:type="gramEnd"/>
      <w:r w:rsidRPr="003B6A69">
        <w:t xml:space="preserve"> outside the PAs</w:t>
      </w:r>
      <w:bookmarkEnd w:id="22"/>
    </w:p>
    <w:p w14:paraId="6E66F5F0" w14:textId="0DC8BF74" w:rsidR="005036DD" w:rsidRPr="003B6A69" w:rsidRDefault="005036DD" w:rsidP="003C6B7B">
      <w:pPr>
        <w:numPr>
          <w:ilvl w:val="0"/>
          <w:numId w:val="41"/>
        </w:numPr>
        <w:tabs>
          <w:tab w:val="left" w:pos="426"/>
        </w:tabs>
        <w:spacing w:after="120"/>
        <w:ind w:left="0" w:firstLine="0"/>
        <w:rPr>
          <w:rFonts w:cs="Calibri"/>
          <w:bCs/>
          <w:szCs w:val="20"/>
          <w:lang w:val="en-GB"/>
        </w:rPr>
      </w:pPr>
      <w:r w:rsidRPr="003B6A69">
        <w:rPr>
          <w:rFonts w:cs="Calibri"/>
          <w:bCs/>
          <w:szCs w:val="20"/>
          <w:lang w:val="en-GB"/>
        </w:rPr>
        <w:t xml:space="preserve">Within </w:t>
      </w:r>
      <w:r w:rsidRPr="003B6A69">
        <w:rPr>
          <w:rFonts w:cs="Calibri"/>
          <w:b/>
          <w:bCs/>
          <w:szCs w:val="20"/>
          <w:lang w:val="en-GB"/>
        </w:rPr>
        <w:t>Output 2.1</w:t>
      </w:r>
      <w:r w:rsidRPr="003B6A69">
        <w:rPr>
          <w:rFonts w:cs="Calibri"/>
          <w:bCs/>
          <w:szCs w:val="20"/>
          <w:lang w:val="en-GB"/>
        </w:rPr>
        <w:t xml:space="preserve">, the project will provide for </w:t>
      </w:r>
      <w:r w:rsidR="00A75B9B" w:rsidRPr="003B6A69">
        <w:rPr>
          <w:rFonts w:cs="Calibri"/>
          <w:bCs/>
          <w:szCs w:val="20"/>
          <w:lang w:val="en-GB"/>
        </w:rPr>
        <w:t xml:space="preserve">the </w:t>
      </w:r>
      <w:r w:rsidRPr="003B6A69">
        <w:rPr>
          <w:rFonts w:cs="Calibri"/>
          <w:bCs/>
          <w:szCs w:val="20"/>
          <w:lang w:val="en-GB"/>
        </w:rPr>
        <w:t xml:space="preserve">identification of hot-spots and elaboration of mechanisms for </w:t>
      </w:r>
      <w:r w:rsidR="00A75B9B" w:rsidRPr="003B6A69">
        <w:rPr>
          <w:rFonts w:cs="Calibri"/>
          <w:bCs/>
          <w:szCs w:val="20"/>
          <w:lang w:val="en-GB"/>
        </w:rPr>
        <w:t xml:space="preserve">the </w:t>
      </w:r>
      <w:r w:rsidRPr="003B6A69">
        <w:rPr>
          <w:rFonts w:cs="Calibri"/>
          <w:bCs/>
          <w:szCs w:val="20"/>
          <w:lang w:val="en-GB"/>
        </w:rPr>
        <w:t>protection of key biodiversity values that do not have a protection status. The project will provide targeted resources for the survey, inventory</w:t>
      </w:r>
      <w:r w:rsidR="00A75B9B" w:rsidRPr="003B6A69">
        <w:rPr>
          <w:rFonts w:cs="Calibri"/>
          <w:bCs/>
          <w:szCs w:val="20"/>
          <w:lang w:val="en-GB"/>
        </w:rPr>
        <w:t>,</w:t>
      </w:r>
      <w:r w:rsidRPr="003B6A69">
        <w:rPr>
          <w:rFonts w:cs="Calibri"/>
          <w:bCs/>
          <w:szCs w:val="20"/>
          <w:lang w:val="en-GB"/>
        </w:rPr>
        <w:t xml:space="preserve"> and mapping of key biodiversity values within the zones of valuable and/or vulnerable biodiversity as identified by National Strategy for Biodiversity 2016-2020 and not yet covered either by Natura 2000 in</w:t>
      </w:r>
      <w:r w:rsidR="008B0101" w:rsidRPr="003B6A69">
        <w:rPr>
          <w:rFonts w:cs="Calibri"/>
          <w:bCs/>
          <w:szCs w:val="20"/>
          <w:lang w:val="en-GB"/>
        </w:rPr>
        <w:t>ventory of species and habitats</w:t>
      </w:r>
      <w:r w:rsidRPr="003B6A69">
        <w:rPr>
          <w:rFonts w:cs="Calibri"/>
          <w:bCs/>
          <w:szCs w:val="20"/>
          <w:lang w:val="en-GB"/>
        </w:rPr>
        <w:t xml:space="preserve"> </w:t>
      </w:r>
      <w:r w:rsidR="008B0101" w:rsidRPr="003B6A69">
        <w:rPr>
          <w:rFonts w:cs="Calibri"/>
          <w:bCs/>
          <w:szCs w:val="20"/>
          <w:lang w:val="en-GB"/>
        </w:rPr>
        <w:t>or</w:t>
      </w:r>
      <w:r w:rsidRPr="003B6A69">
        <w:rPr>
          <w:rFonts w:cs="Calibri"/>
          <w:bCs/>
          <w:szCs w:val="20"/>
          <w:lang w:val="en-GB"/>
        </w:rPr>
        <w:t xml:space="preserve"> UNEP-GEF MCPA project.</w:t>
      </w:r>
    </w:p>
    <w:p w14:paraId="4C3CC2D9" w14:textId="69657D1C" w:rsidR="008B0101" w:rsidRPr="003B6A69" w:rsidRDefault="008B0101" w:rsidP="008B0101">
      <w:pPr>
        <w:spacing w:after="0"/>
        <w:rPr>
          <w:rFonts w:asciiTheme="minorHAnsi" w:eastAsia="Times New Roman" w:hAnsiTheme="minorHAnsi"/>
          <w:szCs w:val="20"/>
          <w:lang w:val="en-GB"/>
        </w:rPr>
      </w:pPr>
      <w:r w:rsidRPr="003B6A69">
        <w:rPr>
          <w:rFonts w:asciiTheme="minorHAnsi" w:eastAsia="Times New Roman" w:hAnsiTheme="minorHAnsi"/>
          <w:szCs w:val="20"/>
          <w:lang w:val="en-GB"/>
        </w:rPr>
        <w:t xml:space="preserve">The primary geographical focus of Outcome 2 is on the </w:t>
      </w:r>
      <w:r w:rsidRPr="003B6A69">
        <w:rPr>
          <w:rFonts w:asciiTheme="minorHAnsi" w:eastAsia="Times New Roman" w:hAnsiTheme="minorHAnsi"/>
          <w:b/>
          <w:szCs w:val="20"/>
          <w:lang w:val="en-GB"/>
        </w:rPr>
        <w:t>unprotected KBAs</w:t>
      </w:r>
      <w:r w:rsidRPr="003B6A69">
        <w:rPr>
          <w:rFonts w:asciiTheme="minorHAnsi" w:eastAsia="Times New Roman" w:hAnsiTheme="minorHAnsi"/>
          <w:szCs w:val="20"/>
          <w:lang w:val="en-GB"/>
        </w:rPr>
        <w:t xml:space="preserve"> listed in Table 3 below. </w:t>
      </w:r>
    </w:p>
    <w:p w14:paraId="520BD633" w14:textId="77777777" w:rsidR="008B0101" w:rsidRPr="003B6A69" w:rsidRDefault="008B0101" w:rsidP="008B0101">
      <w:pPr>
        <w:spacing w:after="0"/>
        <w:rPr>
          <w:rFonts w:asciiTheme="minorHAnsi" w:eastAsia="Times New Roman" w:hAnsiTheme="minorHAnsi"/>
          <w:szCs w:val="20"/>
          <w:lang w:val="en-GB"/>
        </w:rPr>
      </w:pPr>
    </w:p>
    <w:p w14:paraId="2B25346D" w14:textId="77777777" w:rsidR="008B0101" w:rsidRPr="003B6A69" w:rsidRDefault="008B0101" w:rsidP="008B0101">
      <w:pPr>
        <w:spacing w:after="0"/>
        <w:rPr>
          <w:rFonts w:asciiTheme="minorHAnsi" w:eastAsia="Times New Roman" w:hAnsiTheme="minorHAnsi"/>
          <w:b/>
          <w:szCs w:val="20"/>
          <w:lang w:val="en-GB"/>
        </w:rPr>
      </w:pPr>
      <w:r w:rsidRPr="003B6A69">
        <w:rPr>
          <w:rFonts w:asciiTheme="minorHAnsi" w:eastAsia="Times New Roman" w:hAnsiTheme="minorHAnsi"/>
          <w:b/>
          <w:szCs w:val="20"/>
          <w:lang w:val="en-GB"/>
        </w:rPr>
        <w:t>Table 3: KBAs recognised and not part of the PA network in Montenegro</w:t>
      </w:r>
    </w:p>
    <w:p w14:paraId="4D590187" w14:textId="77777777" w:rsidR="008B0101" w:rsidRPr="003B6A69" w:rsidRDefault="008B0101" w:rsidP="008B0101">
      <w:pPr>
        <w:spacing w:after="0"/>
        <w:rPr>
          <w:rFonts w:asciiTheme="minorHAnsi" w:eastAsia="Times New Roman" w:hAnsiTheme="minorHAnsi"/>
          <w:szCs w:val="20"/>
          <w:lang w:val="en-GB"/>
        </w:rPr>
      </w:pPr>
    </w:p>
    <w:tbl>
      <w:tblPr>
        <w:tblW w:w="9360" w:type="dxa"/>
        <w:tblInd w:w="82" w:type="dxa"/>
        <w:tblLayout w:type="fixed"/>
        <w:tblLook w:val="0000" w:firstRow="0" w:lastRow="0" w:firstColumn="0" w:lastColumn="0" w:noHBand="0" w:noVBand="0"/>
      </w:tblPr>
      <w:tblGrid>
        <w:gridCol w:w="2430"/>
        <w:gridCol w:w="5130"/>
        <w:gridCol w:w="1800"/>
      </w:tblGrid>
      <w:tr w:rsidR="008B0101" w:rsidRPr="003B6A69" w14:paraId="12B62BF3" w14:textId="77777777" w:rsidTr="002B5F7E">
        <w:trPr>
          <w:trHeight w:val="53"/>
        </w:trPr>
        <w:tc>
          <w:tcPr>
            <w:tcW w:w="2430" w:type="dxa"/>
            <w:tcBorders>
              <w:top w:val="single" w:sz="6" w:space="0" w:color="auto"/>
              <w:left w:val="single" w:sz="6" w:space="0" w:color="auto"/>
              <w:bottom w:val="single" w:sz="6" w:space="0" w:color="auto"/>
              <w:right w:val="single" w:sz="6" w:space="0" w:color="auto"/>
            </w:tcBorders>
          </w:tcPr>
          <w:p w14:paraId="6A9C8044" w14:textId="77777777" w:rsidR="008B0101" w:rsidRPr="003B6A69" w:rsidRDefault="008B0101" w:rsidP="008B0101">
            <w:pPr>
              <w:autoSpaceDE w:val="0"/>
              <w:autoSpaceDN w:val="0"/>
              <w:adjustRightInd w:val="0"/>
              <w:spacing w:after="0"/>
              <w:rPr>
                <w:rFonts w:asciiTheme="minorHAnsi" w:eastAsia="Times New Roman" w:hAnsiTheme="minorHAnsi"/>
                <w:b/>
                <w:bCs/>
                <w:color w:val="000000"/>
                <w:szCs w:val="20"/>
                <w:lang w:val="en-GB"/>
              </w:rPr>
            </w:pPr>
            <w:r w:rsidRPr="003B6A69">
              <w:rPr>
                <w:rFonts w:asciiTheme="minorHAnsi" w:eastAsia="Times New Roman" w:hAnsiTheme="minorHAnsi"/>
                <w:b/>
                <w:bCs/>
                <w:color w:val="000000"/>
                <w:szCs w:val="20"/>
                <w:lang w:val="en-GB"/>
              </w:rPr>
              <w:t>Name</w:t>
            </w:r>
          </w:p>
        </w:tc>
        <w:tc>
          <w:tcPr>
            <w:tcW w:w="5130" w:type="dxa"/>
            <w:tcBorders>
              <w:top w:val="single" w:sz="6" w:space="0" w:color="auto"/>
              <w:left w:val="single" w:sz="6" w:space="0" w:color="auto"/>
              <w:bottom w:val="single" w:sz="6" w:space="0" w:color="auto"/>
              <w:right w:val="single" w:sz="6" w:space="0" w:color="auto"/>
            </w:tcBorders>
          </w:tcPr>
          <w:p w14:paraId="10F1A3F2" w14:textId="6CEFB85E" w:rsidR="008B0101" w:rsidRPr="003B6A69" w:rsidRDefault="008B0101" w:rsidP="00A75B9B">
            <w:pPr>
              <w:autoSpaceDE w:val="0"/>
              <w:autoSpaceDN w:val="0"/>
              <w:adjustRightInd w:val="0"/>
              <w:spacing w:after="0"/>
              <w:rPr>
                <w:rFonts w:asciiTheme="minorHAnsi" w:eastAsia="Times New Roman" w:hAnsiTheme="minorHAnsi"/>
                <w:b/>
                <w:bCs/>
                <w:color w:val="000000"/>
                <w:szCs w:val="20"/>
                <w:lang w:val="en-GB"/>
              </w:rPr>
            </w:pPr>
            <w:proofErr w:type="spellStart"/>
            <w:r w:rsidRPr="003B6A69">
              <w:rPr>
                <w:rFonts w:asciiTheme="minorHAnsi" w:eastAsia="Times New Roman" w:hAnsiTheme="minorHAnsi"/>
                <w:b/>
                <w:bCs/>
                <w:color w:val="000000"/>
                <w:szCs w:val="20"/>
                <w:lang w:val="en-GB"/>
              </w:rPr>
              <w:t>Analy</w:t>
            </w:r>
            <w:r w:rsidR="00A75B9B" w:rsidRPr="003B6A69">
              <w:rPr>
                <w:rFonts w:asciiTheme="minorHAnsi" w:eastAsia="Times New Roman" w:hAnsiTheme="minorHAnsi"/>
                <w:b/>
                <w:bCs/>
                <w:color w:val="000000"/>
                <w:szCs w:val="20"/>
                <w:lang w:val="en-GB"/>
              </w:rPr>
              <w:t>z</w:t>
            </w:r>
            <w:r w:rsidRPr="003B6A69">
              <w:rPr>
                <w:rFonts w:asciiTheme="minorHAnsi" w:eastAsia="Times New Roman" w:hAnsiTheme="minorHAnsi"/>
                <w:b/>
                <w:bCs/>
                <w:color w:val="000000"/>
                <w:szCs w:val="20"/>
                <w:lang w:val="en-GB"/>
              </w:rPr>
              <w:t>ed</w:t>
            </w:r>
            <w:proofErr w:type="spellEnd"/>
            <w:r w:rsidRPr="003B6A69">
              <w:rPr>
                <w:rFonts w:asciiTheme="minorHAnsi" w:eastAsia="Times New Roman" w:hAnsiTheme="minorHAnsi"/>
                <w:b/>
                <w:bCs/>
                <w:color w:val="000000"/>
                <w:szCs w:val="20"/>
                <w:lang w:val="en-GB"/>
              </w:rPr>
              <w:t xml:space="preserve"> documents related to KBA</w:t>
            </w:r>
          </w:p>
        </w:tc>
        <w:tc>
          <w:tcPr>
            <w:tcW w:w="1800" w:type="dxa"/>
            <w:tcBorders>
              <w:top w:val="single" w:sz="6" w:space="0" w:color="auto"/>
              <w:left w:val="single" w:sz="6" w:space="0" w:color="auto"/>
              <w:bottom w:val="single" w:sz="6" w:space="0" w:color="auto"/>
              <w:right w:val="single" w:sz="6" w:space="0" w:color="auto"/>
            </w:tcBorders>
          </w:tcPr>
          <w:p w14:paraId="212B3C54" w14:textId="77777777" w:rsidR="008B0101" w:rsidRPr="003B6A69" w:rsidRDefault="008B0101" w:rsidP="008B0101">
            <w:pPr>
              <w:autoSpaceDE w:val="0"/>
              <w:autoSpaceDN w:val="0"/>
              <w:adjustRightInd w:val="0"/>
              <w:spacing w:after="0"/>
              <w:rPr>
                <w:rFonts w:asciiTheme="minorHAnsi" w:eastAsia="Times New Roman" w:hAnsiTheme="minorHAnsi"/>
                <w:b/>
                <w:bCs/>
                <w:color w:val="000000"/>
                <w:szCs w:val="20"/>
                <w:lang w:val="en-GB"/>
              </w:rPr>
            </w:pPr>
            <w:proofErr w:type="gramStart"/>
            <w:r w:rsidRPr="003B6A69">
              <w:rPr>
                <w:rFonts w:asciiTheme="minorHAnsi" w:eastAsia="Times New Roman" w:hAnsiTheme="minorHAnsi"/>
                <w:b/>
                <w:bCs/>
                <w:color w:val="000000"/>
                <w:szCs w:val="20"/>
                <w:lang w:val="en-GB"/>
              </w:rPr>
              <w:t>KBA  are</w:t>
            </w:r>
            <w:proofErr w:type="gramEnd"/>
            <w:r w:rsidRPr="003B6A69">
              <w:rPr>
                <w:rFonts w:asciiTheme="minorHAnsi" w:eastAsia="Times New Roman" w:hAnsiTheme="minorHAnsi"/>
                <w:b/>
                <w:bCs/>
                <w:color w:val="000000"/>
                <w:szCs w:val="20"/>
                <w:lang w:val="en-GB"/>
              </w:rPr>
              <w:t xml:space="preserve"> compromised by the spatial development plans</w:t>
            </w:r>
          </w:p>
        </w:tc>
      </w:tr>
      <w:tr w:rsidR="008B0101" w:rsidRPr="003B6A69" w14:paraId="36DBF673" w14:textId="77777777" w:rsidTr="002B5F7E">
        <w:trPr>
          <w:trHeight w:val="53"/>
        </w:trPr>
        <w:tc>
          <w:tcPr>
            <w:tcW w:w="2430" w:type="dxa"/>
            <w:tcBorders>
              <w:top w:val="single" w:sz="6" w:space="0" w:color="auto"/>
              <w:left w:val="single" w:sz="6" w:space="0" w:color="auto"/>
              <w:bottom w:val="single" w:sz="6" w:space="0" w:color="auto"/>
              <w:right w:val="single" w:sz="6" w:space="0" w:color="auto"/>
            </w:tcBorders>
          </w:tcPr>
          <w:p w14:paraId="71C0BD0D" w14:textId="77777777" w:rsidR="008B0101" w:rsidRPr="003B6A69" w:rsidRDefault="008B0101" w:rsidP="008B0101">
            <w:pPr>
              <w:autoSpaceDE w:val="0"/>
              <w:autoSpaceDN w:val="0"/>
              <w:adjustRightInd w:val="0"/>
              <w:spacing w:after="0"/>
              <w:rPr>
                <w:rFonts w:asciiTheme="minorHAnsi" w:eastAsia="Times New Roman" w:hAnsiTheme="minorHAnsi"/>
                <w:color w:val="000000"/>
                <w:szCs w:val="20"/>
                <w:lang w:val="en-GB"/>
              </w:rPr>
            </w:pPr>
            <w:r w:rsidRPr="003B6A69">
              <w:rPr>
                <w:rFonts w:asciiTheme="minorHAnsi" w:eastAsia="Times New Roman" w:hAnsiTheme="minorHAnsi"/>
                <w:color w:val="000000"/>
                <w:szCs w:val="20"/>
                <w:lang w:val="en-GB"/>
              </w:rPr>
              <w:t>Bojana Delta</w:t>
            </w:r>
          </w:p>
        </w:tc>
        <w:tc>
          <w:tcPr>
            <w:tcW w:w="5130" w:type="dxa"/>
            <w:tcBorders>
              <w:top w:val="single" w:sz="6" w:space="0" w:color="auto"/>
              <w:left w:val="single" w:sz="6" w:space="0" w:color="auto"/>
              <w:bottom w:val="single" w:sz="6" w:space="0" w:color="auto"/>
              <w:right w:val="single" w:sz="6" w:space="0" w:color="auto"/>
            </w:tcBorders>
          </w:tcPr>
          <w:p w14:paraId="0A218945" w14:textId="77777777" w:rsidR="008B0101" w:rsidRPr="003B6A69" w:rsidRDefault="008B0101" w:rsidP="008B0101">
            <w:pPr>
              <w:autoSpaceDE w:val="0"/>
              <w:autoSpaceDN w:val="0"/>
              <w:adjustRightInd w:val="0"/>
              <w:spacing w:after="0"/>
              <w:rPr>
                <w:rFonts w:asciiTheme="minorHAnsi" w:eastAsia="Times New Roman" w:hAnsiTheme="minorHAnsi"/>
                <w:color w:val="000000"/>
                <w:szCs w:val="20"/>
                <w:lang w:val="en-GB"/>
              </w:rPr>
            </w:pPr>
            <w:r w:rsidRPr="003B6A69">
              <w:rPr>
                <w:rFonts w:asciiTheme="minorHAnsi" w:eastAsia="Times New Roman" w:hAnsiTheme="minorHAnsi"/>
                <w:color w:val="000000"/>
                <w:szCs w:val="20"/>
                <w:lang w:val="en-GB"/>
              </w:rPr>
              <w:t>Special purpose spatial plan for the coastal area of Montenegro (2018)</w:t>
            </w:r>
          </w:p>
          <w:p w14:paraId="439BE51F" w14:textId="77777777" w:rsidR="008B0101" w:rsidRPr="003B6A69" w:rsidRDefault="008B0101" w:rsidP="008B0101">
            <w:pPr>
              <w:autoSpaceDE w:val="0"/>
              <w:autoSpaceDN w:val="0"/>
              <w:adjustRightInd w:val="0"/>
              <w:spacing w:after="0"/>
              <w:rPr>
                <w:rFonts w:asciiTheme="minorHAnsi" w:eastAsia="Times New Roman" w:hAnsiTheme="minorHAnsi"/>
                <w:color w:val="000000"/>
                <w:szCs w:val="20"/>
                <w:lang w:val="en-GB"/>
              </w:rPr>
            </w:pPr>
            <w:r w:rsidRPr="003B6A69">
              <w:rPr>
                <w:rFonts w:asciiTheme="minorHAnsi" w:eastAsia="Times New Roman" w:hAnsiTheme="minorHAnsi"/>
                <w:color w:val="000000"/>
                <w:szCs w:val="20"/>
                <w:lang w:val="en-GB"/>
              </w:rPr>
              <w:t>Spatial-urban plan of the Municipality Ulcinj (2016 - 2020)</w:t>
            </w:r>
          </w:p>
          <w:p w14:paraId="4EB1B3EC" w14:textId="77777777" w:rsidR="008B0101" w:rsidRPr="003B6A69" w:rsidRDefault="008B0101" w:rsidP="008B0101">
            <w:pPr>
              <w:autoSpaceDE w:val="0"/>
              <w:autoSpaceDN w:val="0"/>
              <w:adjustRightInd w:val="0"/>
              <w:spacing w:after="0"/>
              <w:rPr>
                <w:rFonts w:asciiTheme="minorHAnsi" w:eastAsia="Times New Roman" w:hAnsiTheme="minorHAnsi"/>
                <w:color w:val="000000"/>
                <w:szCs w:val="20"/>
                <w:lang w:val="en-GB"/>
              </w:rPr>
            </w:pPr>
            <w:r w:rsidRPr="003B6A69">
              <w:rPr>
                <w:rFonts w:asciiTheme="minorHAnsi" w:eastAsia="Times New Roman" w:hAnsiTheme="minorHAnsi"/>
                <w:color w:val="000000"/>
                <w:szCs w:val="20"/>
                <w:lang w:val="en-GB"/>
              </w:rPr>
              <w:t>State location study “Part of sector 66 - modules IV and V” Velika plaza</w:t>
            </w:r>
          </w:p>
          <w:p w14:paraId="12504086" w14:textId="77777777" w:rsidR="008B0101" w:rsidRPr="003B6A69" w:rsidRDefault="008B0101" w:rsidP="008B0101">
            <w:pPr>
              <w:autoSpaceDE w:val="0"/>
              <w:autoSpaceDN w:val="0"/>
              <w:adjustRightInd w:val="0"/>
              <w:spacing w:after="0"/>
              <w:rPr>
                <w:rFonts w:asciiTheme="minorHAnsi" w:eastAsia="Times New Roman" w:hAnsiTheme="minorHAnsi"/>
                <w:color w:val="000000"/>
                <w:szCs w:val="20"/>
                <w:lang w:val="en-GB"/>
              </w:rPr>
            </w:pPr>
            <w:r w:rsidRPr="003B6A69">
              <w:rPr>
                <w:rFonts w:asciiTheme="minorHAnsi" w:eastAsia="Times New Roman" w:hAnsiTheme="minorHAnsi"/>
                <w:color w:val="000000"/>
                <w:szCs w:val="20"/>
                <w:lang w:val="en-GB"/>
              </w:rPr>
              <w:t>State location study “Part of sector 66 - existing hotel group I module I” Velika plaza</w:t>
            </w:r>
          </w:p>
        </w:tc>
        <w:tc>
          <w:tcPr>
            <w:tcW w:w="1800" w:type="dxa"/>
            <w:tcBorders>
              <w:top w:val="single" w:sz="6" w:space="0" w:color="auto"/>
              <w:left w:val="single" w:sz="6" w:space="0" w:color="auto"/>
              <w:bottom w:val="single" w:sz="6" w:space="0" w:color="auto"/>
              <w:right w:val="single" w:sz="6" w:space="0" w:color="auto"/>
            </w:tcBorders>
          </w:tcPr>
          <w:p w14:paraId="2BC81BB7" w14:textId="77777777" w:rsidR="008B0101" w:rsidRPr="003B6A69" w:rsidRDefault="008B0101" w:rsidP="008B0101">
            <w:pPr>
              <w:autoSpaceDE w:val="0"/>
              <w:autoSpaceDN w:val="0"/>
              <w:adjustRightInd w:val="0"/>
              <w:spacing w:after="0"/>
              <w:jc w:val="center"/>
              <w:rPr>
                <w:rFonts w:asciiTheme="minorHAnsi" w:eastAsia="Times New Roman" w:hAnsiTheme="minorHAnsi"/>
                <w:color w:val="000000"/>
                <w:szCs w:val="20"/>
                <w:lang w:val="en-GB"/>
              </w:rPr>
            </w:pPr>
            <w:r w:rsidRPr="003B6A69">
              <w:rPr>
                <w:rFonts w:asciiTheme="minorHAnsi" w:eastAsia="Times New Roman" w:hAnsiTheme="minorHAnsi"/>
                <w:color w:val="000000"/>
                <w:szCs w:val="20"/>
                <w:lang w:val="en-GB"/>
              </w:rPr>
              <w:t>+++</w:t>
            </w:r>
            <w:r w:rsidRPr="003B6A69">
              <w:rPr>
                <w:rFonts w:asciiTheme="minorHAnsi" w:eastAsia="Times New Roman" w:hAnsiTheme="minorHAnsi"/>
                <w:color w:val="000000"/>
                <w:szCs w:val="20"/>
                <w:vertAlign w:val="superscript"/>
                <w:lang w:val="en-GB"/>
              </w:rPr>
              <w:footnoteReference w:id="3"/>
            </w:r>
          </w:p>
        </w:tc>
      </w:tr>
      <w:tr w:rsidR="008B0101" w:rsidRPr="003B6A69" w14:paraId="11EC3C8B" w14:textId="77777777" w:rsidTr="002B5F7E">
        <w:trPr>
          <w:trHeight w:val="53"/>
        </w:trPr>
        <w:tc>
          <w:tcPr>
            <w:tcW w:w="2430" w:type="dxa"/>
            <w:tcBorders>
              <w:top w:val="single" w:sz="6" w:space="0" w:color="auto"/>
              <w:left w:val="single" w:sz="6" w:space="0" w:color="auto"/>
              <w:bottom w:val="single" w:sz="6" w:space="0" w:color="auto"/>
              <w:right w:val="single" w:sz="6" w:space="0" w:color="auto"/>
            </w:tcBorders>
          </w:tcPr>
          <w:p w14:paraId="2F8A71BF" w14:textId="77777777" w:rsidR="008B0101" w:rsidRPr="003B6A69" w:rsidRDefault="008B0101" w:rsidP="008B0101">
            <w:pPr>
              <w:autoSpaceDE w:val="0"/>
              <w:autoSpaceDN w:val="0"/>
              <w:adjustRightInd w:val="0"/>
              <w:spacing w:after="0"/>
              <w:rPr>
                <w:rFonts w:asciiTheme="minorHAnsi" w:eastAsia="Times New Roman" w:hAnsiTheme="minorHAnsi"/>
                <w:color w:val="000000"/>
                <w:szCs w:val="20"/>
                <w:lang w:val="en-GB"/>
              </w:rPr>
            </w:pPr>
            <w:r w:rsidRPr="003B6A69">
              <w:rPr>
                <w:rFonts w:asciiTheme="minorHAnsi" w:eastAsia="Times New Roman" w:hAnsiTheme="minorHAnsi"/>
                <w:color w:val="000000"/>
                <w:szCs w:val="20"/>
                <w:lang w:val="en-GB"/>
              </w:rPr>
              <w:t xml:space="preserve">Lake </w:t>
            </w:r>
            <w:proofErr w:type="spellStart"/>
            <w:r w:rsidRPr="003B6A69">
              <w:rPr>
                <w:rFonts w:asciiTheme="minorHAnsi" w:eastAsia="Times New Roman" w:hAnsiTheme="minorHAnsi"/>
                <w:color w:val="000000"/>
                <w:szCs w:val="20"/>
                <w:lang w:val="en-GB"/>
              </w:rPr>
              <w:t>Sasko</w:t>
            </w:r>
            <w:proofErr w:type="spellEnd"/>
          </w:p>
        </w:tc>
        <w:tc>
          <w:tcPr>
            <w:tcW w:w="5130" w:type="dxa"/>
            <w:tcBorders>
              <w:top w:val="single" w:sz="6" w:space="0" w:color="auto"/>
              <w:left w:val="single" w:sz="6" w:space="0" w:color="auto"/>
              <w:bottom w:val="single" w:sz="6" w:space="0" w:color="auto"/>
              <w:right w:val="single" w:sz="6" w:space="0" w:color="auto"/>
            </w:tcBorders>
          </w:tcPr>
          <w:p w14:paraId="6D3A694D" w14:textId="77777777" w:rsidR="008B0101" w:rsidRPr="003B6A69" w:rsidRDefault="008B0101" w:rsidP="008B0101">
            <w:pPr>
              <w:autoSpaceDE w:val="0"/>
              <w:autoSpaceDN w:val="0"/>
              <w:adjustRightInd w:val="0"/>
              <w:spacing w:after="0"/>
              <w:rPr>
                <w:rFonts w:asciiTheme="minorHAnsi" w:eastAsia="Times New Roman" w:hAnsiTheme="minorHAnsi"/>
                <w:color w:val="000000"/>
                <w:szCs w:val="20"/>
                <w:lang w:val="en-GB"/>
              </w:rPr>
            </w:pPr>
            <w:r w:rsidRPr="003B6A69">
              <w:rPr>
                <w:rFonts w:asciiTheme="minorHAnsi" w:eastAsia="Times New Roman" w:hAnsiTheme="minorHAnsi"/>
                <w:color w:val="000000"/>
                <w:szCs w:val="20"/>
                <w:lang w:val="en-GB"/>
              </w:rPr>
              <w:t>Special purpose spatial plan for the coastal area of Montenegro (2018)</w:t>
            </w:r>
          </w:p>
          <w:p w14:paraId="74E6A2A9" w14:textId="77777777" w:rsidR="008B0101" w:rsidRPr="003B6A69" w:rsidRDefault="008B0101" w:rsidP="008B0101">
            <w:pPr>
              <w:autoSpaceDE w:val="0"/>
              <w:autoSpaceDN w:val="0"/>
              <w:adjustRightInd w:val="0"/>
              <w:spacing w:after="0"/>
              <w:rPr>
                <w:rFonts w:asciiTheme="minorHAnsi" w:eastAsia="Times New Roman" w:hAnsiTheme="minorHAnsi"/>
                <w:color w:val="000000"/>
                <w:szCs w:val="20"/>
                <w:lang w:val="en-GB"/>
              </w:rPr>
            </w:pPr>
            <w:r w:rsidRPr="003B6A69">
              <w:rPr>
                <w:rFonts w:asciiTheme="minorHAnsi" w:eastAsia="Times New Roman" w:hAnsiTheme="minorHAnsi"/>
                <w:color w:val="000000"/>
                <w:szCs w:val="20"/>
                <w:lang w:val="en-GB"/>
              </w:rPr>
              <w:t>Spatial-urban plan of the Municipality Ulcinj (2016 - 2020)</w:t>
            </w:r>
          </w:p>
        </w:tc>
        <w:tc>
          <w:tcPr>
            <w:tcW w:w="1800" w:type="dxa"/>
            <w:tcBorders>
              <w:top w:val="single" w:sz="6" w:space="0" w:color="auto"/>
              <w:left w:val="single" w:sz="6" w:space="0" w:color="auto"/>
              <w:bottom w:val="single" w:sz="6" w:space="0" w:color="auto"/>
              <w:right w:val="single" w:sz="6" w:space="0" w:color="auto"/>
            </w:tcBorders>
          </w:tcPr>
          <w:p w14:paraId="4EFB189E" w14:textId="77777777" w:rsidR="008B0101" w:rsidRPr="003B6A69" w:rsidRDefault="008B0101" w:rsidP="008B0101">
            <w:pPr>
              <w:autoSpaceDE w:val="0"/>
              <w:autoSpaceDN w:val="0"/>
              <w:adjustRightInd w:val="0"/>
              <w:spacing w:after="0"/>
              <w:jc w:val="center"/>
              <w:rPr>
                <w:rFonts w:asciiTheme="minorHAnsi" w:eastAsia="Times New Roman" w:hAnsiTheme="minorHAnsi"/>
                <w:color w:val="000000"/>
                <w:szCs w:val="20"/>
                <w:lang w:val="en-GB"/>
              </w:rPr>
            </w:pPr>
            <w:r w:rsidRPr="003B6A69">
              <w:rPr>
                <w:rFonts w:asciiTheme="minorHAnsi" w:eastAsia="Times New Roman" w:hAnsiTheme="minorHAnsi"/>
                <w:color w:val="000000"/>
                <w:szCs w:val="20"/>
                <w:lang w:val="en-GB"/>
              </w:rPr>
              <w:t>+++</w:t>
            </w:r>
          </w:p>
        </w:tc>
      </w:tr>
      <w:tr w:rsidR="008B0101" w:rsidRPr="003B6A69" w14:paraId="1F273138" w14:textId="77777777" w:rsidTr="002B5F7E">
        <w:trPr>
          <w:trHeight w:val="53"/>
        </w:trPr>
        <w:tc>
          <w:tcPr>
            <w:tcW w:w="2430" w:type="dxa"/>
            <w:tcBorders>
              <w:top w:val="single" w:sz="6" w:space="0" w:color="auto"/>
              <w:left w:val="single" w:sz="6" w:space="0" w:color="auto"/>
              <w:bottom w:val="single" w:sz="6" w:space="0" w:color="auto"/>
              <w:right w:val="single" w:sz="6" w:space="0" w:color="auto"/>
            </w:tcBorders>
          </w:tcPr>
          <w:p w14:paraId="2EDB5D7D" w14:textId="77777777" w:rsidR="008B0101" w:rsidRPr="003B6A69" w:rsidRDefault="008B0101" w:rsidP="008B0101">
            <w:pPr>
              <w:autoSpaceDE w:val="0"/>
              <w:autoSpaceDN w:val="0"/>
              <w:adjustRightInd w:val="0"/>
              <w:spacing w:after="0"/>
              <w:rPr>
                <w:rFonts w:asciiTheme="minorHAnsi" w:eastAsia="Times New Roman" w:hAnsiTheme="minorHAnsi"/>
                <w:color w:val="000000"/>
                <w:szCs w:val="20"/>
                <w:lang w:val="en-GB"/>
              </w:rPr>
            </w:pPr>
            <w:proofErr w:type="spellStart"/>
            <w:r w:rsidRPr="003B6A69">
              <w:rPr>
                <w:rFonts w:asciiTheme="minorHAnsi" w:eastAsia="Times New Roman" w:hAnsiTheme="minorHAnsi"/>
                <w:color w:val="000000"/>
                <w:szCs w:val="20"/>
                <w:lang w:val="en-GB"/>
              </w:rPr>
              <w:t>Cemovsko</w:t>
            </w:r>
            <w:proofErr w:type="spellEnd"/>
            <w:r w:rsidRPr="003B6A69">
              <w:rPr>
                <w:rFonts w:asciiTheme="minorHAnsi" w:eastAsia="Times New Roman" w:hAnsiTheme="minorHAnsi"/>
                <w:color w:val="000000"/>
                <w:szCs w:val="20"/>
                <w:lang w:val="en-GB"/>
              </w:rPr>
              <w:t xml:space="preserve"> Field</w:t>
            </w:r>
          </w:p>
        </w:tc>
        <w:tc>
          <w:tcPr>
            <w:tcW w:w="5130" w:type="dxa"/>
            <w:tcBorders>
              <w:top w:val="single" w:sz="6" w:space="0" w:color="auto"/>
              <w:left w:val="single" w:sz="6" w:space="0" w:color="auto"/>
              <w:bottom w:val="single" w:sz="6" w:space="0" w:color="auto"/>
              <w:right w:val="single" w:sz="6" w:space="0" w:color="auto"/>
            </w:tcBorders>
          </w:tcPr>
          <w:p w14:paraId="309E58B5" w14:textId="77777777" w:rsidR="008B0101" w:rsidRPr="003B6A69" w:rsidRDefault="008B0101" w:rsidP="008B0101">
            <w:pPr>
              <w:autoSpaceDE w:val="0"/>
              <w:autoSpaceDN w:val="0"/>
              <w:adjustRightInd w:val="0"/>
              <w:spacing w:after="0"/>
              <w:rPr>
                <w:rFonts w:asciiTheme="minorHAnsi" w:eastAsia="Times New Roman" w:hAnsiTheme="minorHAnsi"/>
                <w:color w:val="000000"/>
                <w:szCs w:val="20"/>
                <w:lang w:val="en-GB"/>
              </w:rPr>
            </w:pPr>
            <w:r w:rsidRPr="003B6A69">
              <w:rPr>
                <w:rFonts w:asciiTheme="minorHAnsi" w:eastAsia="Times New Roman" w:hAnsiTheme="minorHAnsi"/>
                <w:color w:val="000000"/>
                <w:szCs w:val="20"/>
                <w:lang w:val="en-GB"/>
              </w:rPr>
              <w:t xml:space="preserve">Spatial urban plan of the Capital - Podgorica until 2025 </w:t>
            </w:r>
          </w:p>
        </w:tc>
        <w:tc>
          <w:tcPr>
            <w:tcW w:w="1800" w:type="dxa"/>
            <w:tcBorders>
              <w:top w:val="single" w:sz="6" w:space="0" w:color="auto"/>
              <w:left w:val="single" w:sz="6" w:space="0" w:color="auto"/>
              <w:bottom w:val="single" w:sz="6" w:space="0" w:color="auto"/>
              <w:right w:val="single" w:sz="6" w:space="0" w:color="auto"/>
            </w:tcBorders>
          </w:tcPr>
          <w:p w14:paraId="45BDD87E" w14:textId="77777777" w:rsidR="008B0101" w:rsidRPr="003B6A69" w:rsidRDefault="008B0101" w:rsidP="008B0101">
            <w:pPr>
              <w:autoSpaceDE w:val="0"/>
              <w:autoSpaceDN w:val="0"/>
              <w:adjustRightInd w:val="0"/>
              <w:spacing w:after="0"/>
              <w:jc w:val="center"/>
              <w:rPr>
                <w:rFonts w:asciiTheme="minorHAnsi" w:eastAsia="Times New Roman" w:hAnsiTheme="minorHAnsi"/>
                <w:color w:val="000000"/>
                <w:szCs w:val="20"/>
                <w:lang w:val="en-GB"/>
              </w:rPr>
            </w:pPr>
            <w:r w:rsidRPr="003B6A69">
              <w:rPr>
                <w:rFonts w:asciiTheme="minorHAnsi" w:eastAsia="Times New Roman" w:hAnsiTheme="minorHAnsi"/>
                <w:color w:val="000000"/>
                <w:szCs w:val="20"/>
                <w:lang w:val="en-GB"/>
              </w:rPr>
              <w:t>++</w:t>
            </w:r>
          </w:p>
        </w:tc>
      </w:tr>
      <w:tr w:rsidR="008B0101" w:rsidRPr="003B6A69" w14:paraId="7B1EB110" w14:textId="77777777" w:rsidTr="002B5F7E">
        <w:trPr>
          <w:trHeight w:val="53"/>
        </w:trPr>
        <w:tc>
          <w:tcPr>
            <w:tcW w:w="2430" w:type="dxa"/>
            <w:tcBorders>
              <w:top w:val="single" w:sz="6" w:space="0" w:color="auto"/>
              <w:left w:val="single" w:sz="6" w:space="0" w:color="auto"/>
              <w:bottom w:val="single" w:sz="6" w:space="0" w:color="auto"/>
              <w:right w:val="single" w:sz="6" w:space="0" w:color="auto"/>
            </w:tcBorders>
          </w:tcPr>
          <w:p w14:paraId="3D97E3D9" w14:textId="77777777" w:rsidR="008B0101" w:rsidRPr="003B6A69" w:rsidRDefault="008B0101" w:rsidP="008B0101">
            <w:pPr>
              <w:autoSpaceDE w:val="0"/>
              <w:autoSpaceDN w:val="0"/>
              <w:adjustRightInd w:val="0"/>
              <w:spacing w:after="0"/>
              <w:rPr>
                <w:rFonts w:asciiTheme="minorHAnsi" w:eastAsia="Times New Roman" w:hAnsiTheme="minorHAnsi"/>
                <w:color w:val="000000"/>
                <w:szCs w:val="20"/>
                <w:lang w:val="en-GB"/>
              </w:rPr>
            </w:pPr>
            <w:proofErr w:type="spellStart"/>
            <w:r w:rsidRPr="003B6A69">
              <w:rPr>
                <w:rFonts w:asciiTheme="minorHAnsi" w:eastAsia="Times New Roman" w:hAnsiTheme="minorHAnsi"/>
                <w:color w:val="000000"/>
                <w:szCs w:val="20"/>
                <w:lang w:val="en-GB"/>
              </w:rPr>
              <w:t>Moraca</w:t>
            </w:r>
            <w:proofErr w:type="spellEnd"/>
            <w:r w:rsidRPr="003B6A69">
              <w:rPr>
                <w:rFonts w:asciiTheme="minorHAnsi" w:eastAsia="Times New Roman" w:hAnsiTheme="minorHAnsi"/>
                <w:color w:val="000000"/>
                <w:szCs w:val="20"/>
                <w:lang w:val="en-GB"/>
              </w:rPr>
              <w:t xml:space="preserve"> River</w:t>
            </w:r>
          </w:p>
        </w:tc>
        <w:tc>
          <w:tcPr>
            <w:tcW w:w="5130" w:type="dxa"/>
            <w:tcBorders>
              <w:top w:val="single" w:sz="6" w:space="0" w:color="auto"/>
              <w:left w:val="single" w:sz="6" w:space="0" w:color="auto"/>
              <w:bottom w:val="single" w:sz="6" w:space="0" w:color="auto"/>
              <w:right w:val="single" w:sz="6" w:space="0" w:color="auto"/>
            </w:tcBorders>
          </w:tcPr>
          <w:p w14:paraId="070CBFA5" w14:textId="77777777" w:rsidR="008B0101" w:rsidRPr="003B6A69" w:rsidRDefault="008B0101" w:rsidP="008B0101">
            <w:pPr>
              <w:spacing w:after="0"/>
              <w:jc w:val="left"/>
              <w:rPr>
                <w:rFonts w:asciiTheme="minorHAnsi" w:eastAsia="Times New Roman" w:hAnsiTheme="minorHAnsi"/>
                <w:szCs w:val="20"/>
                <w:lang w:val="en-GB"/>
              </w:rPr>
            </w:pPr>
            <w:r w:rsidRPr="003B6A69">
              <w:rPr>
                <w:rFonts w:asciiTheme="minorHAnsi" w:eastAsia="Times New Roman" w:hAnsiTheme="minorHAnsi"/>
                <w:color w:val="000000"/>
                <w:szCs w:val="20"/>
                <w:lang w:val="en-GB"/>
              </w:rPr>
              <w:t xml:space="preserve">Spatial urban plan of the Capital - Podgorica until 2025 </w:t>
            </w:r>
          </w:p>
        </w:tc>
        <w:tc>
          <w:tcPr>
            <w:tcW w:w="1800" w:type="dxa"/>
            <w:tcBorders>
              <w:top w:val="single" w:sz="6" w:space="0" w:color="auto"/>
              <w:left w:val="single" w:sz="6" w:space="0" w:color="auto"/>
              <w:bottom w:val="single" w:sz="6" w:space="0" w:color="auto"/>
              <w:right w:val="single" w:sz="6" w:space="0" w:color="auto"/>
            </w:tcBorders>
          </w:tcPr>
          <w:p w14:paraId="0F20DF2E" w14:textId="77777777" w:rsidR="008B0101" w:rsidRPr="003B6A69" w:rsidRDefault="008B0101" w:rsidP="008B0101">
            <w:pPr>
              <w:autoSpaceDE w:val="0"/>
              <w:autoSpaceDN w:val="0"/>
              <w:adjustRightInd w:val="0"/>
              <w:spacing w:after="0"/>
              <w:jc w:val="center"/>
              <w:rPr>
                <w:rFonts w:asciiTheme="minorHAnsi" w:eastAsia="Times New Roman" w:hAnsiTheme="minorHAnsi"/>
                <w:color w:val="000000"/>
                <w:szCs w:val="20"/>
                <w:lang w:val="en-GB"/>
              </w:rPr>
            </w:pPr>
            <w:r w:rsidRPr="003B6A69">
              <w:rPr>
                <w:rFonts w:asciiTheme="minorHAnsi" w:eastAsia="Times New Roman" w:hAnsiTheme="minorHAnsi"/>
                <w:color w:val="000000"/>
                <w:szCs w:val="20"/>
                <w:lang w:val="en-GB"/>
              </w:rPr>
              <w:t>+++</w:t>
            </w:r>
          </w:p>
        </w:tc>
      </w:tr>
      <w:tr w:rsidR="008B0101" w:rsidRPr="003B6A69" w14:paraId="5EC3CC69" w14:textId="77777777" w:rsidTr="002B5F7E">
        <w:trPr>
          <w:trHeight w:val="53"/>
        </w:trPr>
        <w:tc>
          <w:tcPr>
            <w:tcW w:w="2430" w:type="dxa"/>
            <w:tcBorders>
              <w:top w:val="single" w:sz="6" w:space="0" w:color="auto"/>
              <w:left w:val="single" w:sz="6" w:space="0" w:color="auto"/>
              <w:bottom w:val="single" w:sz="6" w:space="0" w:color="auto"/>
              <w:right w:val="single" w:sz="6" w:space="0" w:color="auto"/>
            </w:tcBorders>
          </w:tcPr>
          <w:p w14:paraId="637BAC58" w14:textId="77777777" w:rsidR="008B0101" w:rsidRPr="003B6A69" w:rsidRDefault="008B0101" w:rsidP="008B0101">
            <w:pPr>
              <w:autoSpaceDE w:val="0"/>
              <w:autoSpaceDN w:val="0"/>
              <w:adjustRightInd w:val="0"/>
              <w:spacing w:after="0"/>
              <w:rPr>
                <w:rFonts w:asciiTheme="minorHAnsi" w:eastAsia="Times New Roman" w:hAnsiTheme="minorHAnsi"/>
                <w:color w:val="000000"/>
                <w:szCs w:val="20"/>
                <w:lang w:val="en-GB"/>
              </w:rPr>
            </w:pPr>
            <w:proofErr w:type="spellStart"/>
            <w:r w:rsidRPr="003B6A69">
              <w:rPr>
                <w:rFonts w:asciiTheme="minorHAnsi" w:eastAsia="Times New Roman" w:hAnsiTheme="minorHAnsi"/>
                <w:color w:val="000000"/>
                <w:szCs w:val="20"/>
                <w:lang w:val="en-GB"/>
              </w:rPr>
              <w:t>Cijevna</w:t>
            </w:r>
            <w:proofErr w:type="spellEnd"/>
            <w:r w:rsidRPr="003B6A69">
              <w:rPr>
                <w:rFonts w:asciiTheme="minorHAnsi" w:eastAsia="Times New Roman" w:hAnsiTheme="minorHAnsi"/>
                <w:color w:val="000000"/>
                <w:szCs w:val="20"/>
                <w:lang w:val="en-GB"/>
              </w:rPr>
              <w:t xml:space="preserve"> Canyon and Hum </w:t>
            </w:r>
            <w:proofErr w:type="spellStart"/>
            <w:r w:rsidRPr="003B6A69">
              <w:rPr>
                <w:rFonts w:asciiTheme="minorHAnsi" w:eastAsia="Times New Roman" w:hAnsiTheme="minorHAnsi"/>
                <w:color w:val="000000"/>
                <w:szCs w:val="20"/>
                <w:lang w:val="en-GB"/>
              </w:rPr>
              <w:t>Orahovski</w:t>
            </w:r>
            <w:proofErr w:type="spellEnd"/>
          </w:p>
        </w:tc>
        <w:tc>
          <w:tcPr>
            <w:tcW w:w="5130" w:type="dxa"/>
            <w:tcBorders>
              <w:top w:val="single" w:sz="6" w:space="0" w:color="auto"/>
              <w:left w:val="single" w:sz="6" w:space="0" w:color="auto"/>
              <w:bottom w:val="single" w:sz="6" w:space="0" w:color="auto"/>
              <w:right w:val="single" w:sz="6" w:space="0" w:color="auto"/>
            </w:tcBorders>
          </w:tcPr>
          <w:p w14:paraId="1A8F9DCA" w14:textId="77777777" w:rsidR="008B0101" w:rsidRPr="003B6A69" w:rsidRDefault="008B0101" w:rsidP="008B0101">
            <w:pPr>
              <w:spacing w:after="0"/>
              <w:jc w:val="left"/>
              <w:rPr>
                <w:rFonts w:asciiTheme="minorHAnsi" w:eastAsia="Times New Roman" w:hAnsiTheme="minorHAnsi"/>
                <w:szCs w:val="20"/>
                <w:lang w:val="en-GB"/>
              </w:rPr>
            </w:pPr>
            <w:r w:rsidRPr="003B6A69">
              <w:rPr>
                <w:rFonts w:asciiTheme="minorHAnsi" w:eastAsia="Times New Roman" w:hAnsiTheme="minorHAnsi"/>
                <w:color w:val="000000"/>
                <w:szCs w:val="20"/>
                <w:lang w:val="en-GB"/>
              </w:rPr>
              <w:t xml:space="preserve">Spatial urban plan of the Capital - Podgorica until 2025 </w:t>
            </w:r>
          </w:p>
        </w:tc>
        <w:tc>
          <w:tcPr>
            <w:tcW w:w="1800" w:type="dxa"/>
            <w:tcBorders>
              <w:top w:val="single" w:sz="6" w:space="0" w:color="auto"/>
              <w:left w:val="single" w:sz="6" w:space="0" w:color="auto"/>
              <w:bottom w:val="single" w:sz="6" w:space="0" w:color="auto"/>
              <w:right w:val="single" w:sz="6" w:space="0" w:color="auto"/>
            </w:tcBorders>
          </w:tcPr>
          <w:p w14:paraId="12A4FE7D" w14:textId="77777777" w:rsidR="008B0101" w:rsidRPr="003B6A69" w:rsidRDefault="008B0101" w:rsidP="008B0101">
            <w:pPr>
              <w:autoSpaceDE w:val="0"/>
              <w:autoSpaceDN w:val="0"/>
              <w:adjustRightInd w:val="0"/>
              <w:spacing w:after="0"/>
              <w:jc w:val="center"/>
              <w:rPr>
                <w:rFonts w:asciiTheme="minorHAnsi" w:eastAsia="Times New Roman" w:hAnsiTheme="minorHAnsi"/>
                <w:color w:val="000000"/>
                <w:szCs w:val="20"/>
                <w:lang w:val="en-GB"/>
              </w:rPr>
            </w:pPr>
            <w:r w:rsidRPr="003B6A69">
              <w:rPr>
                <w:rFonts w:asciiTheme="minorHAnsi" w:eastAsia="Times New Roman" w:hAnsiTheme="minorHAnsi"/>
                <w:color w:val="000000"/>
                <w:szCs w:val="20"/>
                <w:lang w:val="en-GB"/>
              </w:rPr>
              <w:t>++</w:t>
            </w:r>
          </w:p>
        </w:tc>
      </w:tr>
      <w:tr w:rsidR="008B0101" w:rsidRPr="003B6A69" w14:paraId="330A7AE3" w14:textId="77777777" w:rsidTr="002B5F7E">
        <w:trPr>
          <w:trHeight w:val="53"/>
        </w:trPr>
        <w:tc>
          <w:tcPr>
            <w:tcW w:w="2430" w:type="dxa"/>
            <w:tcBorders>
              <w:top w:val="single" w:sz="6" w:space="0" w:color="auto"/>
              <w:left w:val="single" w:sz="6" w:space="0" w:color="auto"/>
              <w:bottom w:val="single" w:sz="6" w:space="0" w:color="auto"/>
              <w:right w:val="single" w:sz="6" w:space="0" w:color="auto"/>
            </w:tcBorders>
          </w:tcPr>
          <w:p w14:paraId="1885D188" w14:textId="77777777" w:rsidR="008B0101" w:rsidRPr="003B6A69" w:rsidRDefault="008B0101" w:rsidP="008B0101">
            <w:pPr>
              <w:autoSpaceDE w:val="0"/>
              <w:autoSpaceDN w:val="0"/>
              <w:adjustRightInd w:val="0"/>
              <w:spacing w:after="0"/>
              <w:rPr>
                <w:rFonts w:asciiTheme="minorHAnsi" w:eastAsia="Times New Roman" w:hAnsiTheme="minorHAnsi"/>
                <w:color w:val="000000"/>
                <w:szCs w:val="20"/>
                <w:lang w:val="en-GB"/>
              </w:rPr>
            </w:pPr>
            <w:proofErr w:type="spellStart"/>
            <w:r w:rsidRPr="003B6A69">
              <w:rPr>
                <w:rFonts w:asciiTheme="minorHAnsi" w:eastAsia="Times New Roman" w:hAnsiTheme="minorHAnsi"/>
                <w:color w:val="000000"/>
                <w:szCs w:val="20"/>
                <w:lang w:val="en-GB"/>
              </w:rPr>
              <w:t>Kakaricka</w:t>
            </w:r>
            <w:proofErr w:type="spellEnd"/>
            <w:r w:rsidRPr="003B6A69">
              <w:rPr>
                <w:rFonts w:asciiTheme="minorHAnsi" w:eastAsia="Times New Roman" w:hAnsiTheme="minorHAnsi"/>
                <w:color w:val="000000"/>
                <w:szCs w:val="20"/>
                <w:lang w:val="en-GB"/>
              </w:rPr>
              <w:t xml:space="preserve"> </w:t>
            </w:r>
            <w:proofErr w:type="spellStart"/>
            <w:r w:rsidRPr="003B6A69">
              <w:rPr>
                <w:rFonts w:asciiTheme="minorHAnsi" w:eastAsia="Times New Roman" w:hAnsiTheme="minorHAnsi"/>
                <w:color w:val="000000"/>
                <w:szCs w:val="20"/>
                <w:lang w:val="en-GB"/>
              </w:rPr>
              <w:t>gora</w:t>
            </w:r>
            <w:proofErr w:type="spellEnd"/>
          </w:p>
        </w:tc>
        <w:tc>
          <w:tcPr>
            <w:tcW w:w="5130" w:type="dxa"/>
            <w:tcBorders>
              <w:top w:val="single" w:sz="6" w:space="0" w:color="auto"/>
              <w:left w:val="single" w:sz="6" w:space="0" w:color="auto"/>
              <w:bottom w:val="single" w:sz="6" w:space="0" w:color="auto"/>
              <w:right w:val="single" w:sz="6" w:space="0" w:color="auto"/>
            </w:tcBorders>
          </w:tcPr>
          <w:p w14:paraId="60C40BC5" w14:textId="77777777" w:rsidR="008B0101" w:rsidRPr="003B6A69" w:rsidRDefault="008B0101" w:rsidP="008B0101">
            <w:pPr>
              <w:spacing w:after="0"/>
              <w:jc w:val="left"/>
              <w:rPr>
                <w:rFonts w:asciiTheme="minorHAnsi" w:eastAsia="Times New Roman" w:hAnsiTheme="minorHAnsi"/>
                <w:szCs w:val="20"/>
                <w:lang w:val="en-GB"/>
              </w:rPr>
            </w:pPr>
            <w:r w:rsidRPr="003B6A69">
              <w:rPr>
                <w:rFonts w:asciiTheme="minorHAnsi" w:eastAsia="Times New Roman" w:hAnsiTheme="minorHAnsi"/>
                <w:color w:val="000000"/>
                <w:szCs w:val="20"/>
                <w:lang w:val="en-GB"/>
              </w:rPr>
              <w:t xml:space="preserve">Spatial urban plan of the Capital - Podgorica until 2025 </w:t>
            </w:r>
          </w:p>
        </w:tc>
        <w:tc>
          <w:tcPr>
            <w:tcW w:w="1800" w:type="dxa"/>
            <w:tcBorders>
              <w:top w:val="single" w:sz="6" w:space="0" w:color="auto"/>
              <w:left w:val="single" w:sz="6" w:space="0" w:color="auto"/>
              <w:bottom w:val="single" w:sz="6" w:space="0" w:color="auto"/>
              <w:right w:val="single" w:sz="6" w:space="0" w:color="auto"/>
            </w:tcBorders>
          </w:tcPr>
          <w:p w14:paraId="5C047BB3" w14:textId="77777777" w:rsidR="008B0101" w:rsidRPr="003B6A69" w:rsidRDefault="008B0101" w:rsidP="008B0101">
            <w:pPr>
              <w:autoSpaceDE w:val="0"/>
              <w:autoSpaceDN w:val="0"/>
              <w:adjustRightInd w:val="0"/>
              <w:spacing w:after="0"/>
              <w:jc w:val="center"/>
              <w:rPr>
                <w:rFonts w:asciiTheme="minorHAnsi" w:eastAsia="Times New Roman" w:hAnsiTheme="minorHAnsi"/>
                <w:color w:val="000000"/>
                <w:szCs w:val="20"/>
                <w:lang w:val="en-GB"/>
              </w:rPr>
            </w:pPr>
            <w:r w:rsidRPr="003B6A69">
              <w:rPr>
                <w:rFonts w:asciiTheme="minorHAnsi" w:eastAsia="Times New Roman" w:hAnsiTheme="minorHAnsi"/>
                <w:color w:val="000000"/>
                <w:szCs w:val="20"/>
                <w:lang w:val="en-GB"/>
              </w:rPr>
              <w:t>+</w:t>
            </w:r>
          </w:p>
        </w:tc>
      </w:tr>
      <w:tr w:rsidR="008B0101" w:rsidRPr="003B6A69" w14:paraId="699BEBB4" w14:textId="77777777" w:rsidTr="002B5F7E">
        <w:trPr>
          <w:trHeight w:val="53"/>
        </w:trPr>
        <w:tc>
          <w:tcPr>
            <w:tcW w:w="2430" w:type="dxa"/>
            <w:tcBorders>
              <w:top w:val="single" w:sz="6" w:space="0" w:color="auto"/>
              <w:left w:val="single" w:sz="6" w:space="0" w:color="auto"/>
              <w:bottom w:val="single" w:sz="6" w:space="0" w:color="auto"/>
              <w:right w:val="single" w:sz="6" w:space="0" w:color="auto"/>
            </w:tcBorders>
          </w:tcPr>
          <w:p w14:paraId="34192FC8" w14:textId="77777777" w:rsidR="008B0101" w:rsidRPr="003B6A69" w:rsidRDefault="008B0101" w:rsidP="008B0101">
            <w:pPr>
              <w:autoSpaceDE w:val="0"/>
              <w:autoSpaceDN w:val="0"/>
              <w:adjustRightInd w:val="0"/>
              <w:spacing w:after="0"/>
              <w:rPr>
                <w:rFonts w:asciiTheme="minorHAnsi" w:eastAsia="Times New Roman" w:hAnsiTheme="minorHAnsi"/>
                <w:color w:val="000000"/>
                <w:szCs w:val="20"/>
                <w:lang w:val="en-GB"/>
              </w:rPr>
            </w:pPr>
            <w:r w:rsidRPr="003B6A69">
              <w:rPr>
                <w:rFonts w:asciiTheme="minorHAnsi" w:eastAsia="Times New Roman" w:hAnsiTheme="minorHAnsi"/>
                <w:color w:val="000000"/>
                <w:szCs w:val="20"/>
                <w:lang w:val="en-GB"/>
              </w:rPr>
              <w:lastRenderedPageBreak/>
              <w:t>Zeta Stream</w:t>
            </w:r>
          </w:p>
        </w:tc>
        <w:tc>
          <w:tcPr>
            <w:tcW w:w="5130" w:type="dxa"/>
            <w:tcBorders>
              <w:top w:val="single" w:sz="6" w:space="0" w:color="auto"/>
              <w:left w:val="single" w:sz="6" w:space="0" w:color="auto"/>
              <w:bottom w:val="single" w:sz="6" w:space="0" w:color="auto"/>
              <w:right w:val="single" w:sz="6" w:space="0" w:color="auto"/>
            </w:tcBorders>
          </w:tcPr>
          <w:p w14:paraId="454AD2EA" w14:textId="77777777" w:rsidR="008B0101" w:rsidRPr="003B6A69" w:rsidRDefault="008B0101" w:rsidP="008B0101">
            <w:pPr>
              <w:autoSpaceDE w:val="0"/>
              <w:autoSpaceDN w:val="0"/>
              <w:adjustRightInd w:val="0"/>
              <w:spacing w:after="0"/>
              <w:rPr>
                <w:rFonts w:asciiTheme="minorHAnsi" w:eastAsia="Times New Roman" w:hAnsiTheme="minorHAnsi"/>
                <w:color w:val="000000"/>
                <w:szCs w:val="20"/>
                <w:lang w:val="en-GB"/>
              </w:rPr>
            </w:pPr>
            <w:r w:rsidRPr="003B6A69">
              <w:rPr>
                <w:rFonts w:asciiTheme="minorHAnsi" w:eastAsia="Times New Roman" w:hAnsiTheme="minorHAnsi"/>
                <w:color w:val="000000"/>
                <w:szCs w:val="20"/>
                <w:lang w:val="en-GB"/>
              </w:rPr>
              <w:t xml:space="preserve">Spatial urban plan of the Municipality </w:t>
            </w:r>
            <w:proofErr w:type="spellStart"/>
            <w:r w:rsidRPr="003B6A69">
              <w:rPr>
                <w:rFonts w:asciiTheme="minorHAnsi" w:eastAsia="Times New Roman" w:hAnsiTheme="minorHAnsi"/>
                <w:color w:val="000000"/>
                <w:szCs w:val="20"/>
                <w:lang w:val="en-GB"/>
              </w:rPr>
              <w:t>Danilovgrad</w:t>
            </w:r>
            <w:proofErr w:type="spellEnd"/>
            <w:r w:rsidRPr="003B6A69">
              <w:rPr>
                <w:rFonts w:asciiTheme="minorHAnsi" w:eastAsia="Times New Roman" w:hAnsiTheme="minorHAnsi"/>
                <w:color w:val="000000"/>
                <w:szCs w:val="20"/>
                <w:lang w:val="en-GB"/>
              </w:rPr>
              <w:t xml:space="preserve"> 2011 – 2020. </w:t>
            </w:r>
          </w:p>
        </w:tc>
        <w:tc>
          <w:tcPr>
            <w:tcW w:w="1800" w:type="dxa"/>
            <w:tcBorders>
              <w:top w:val="single" w:sz="6" w:space="0" w:color="auto"/>
              <w:left w:val="single" w:sz="6" w:space="0" w:color="auto"/>
              <w:bottom w:val="single" w:sz="6" w:space="0" w:color="auto"/>
              <w:right w:val="single" w:sz="6" w:space="0" w:color="auto"/>
            </w:tcBorders>
          </w:tcPr>
          <w:p w14:paraId="628A2AE1" w14:textId="77777777" w:rsidR="008B0101" w:rsidRPr="003B6A69" w:rsidRDefault="008B0101" w:rsidP="008B0101">
            <w:pPr>
              <w:autoSpaceDE w:val="0"/>
              <w:autoSpaceDN w:val="0"/>
              <w:adjustRightInd w:val="0"/>
              <w:spacing w:after="0"/>
              <w:jc w:val="center"/>
              <w:rPr>
                <w:rFonts w:asciiTheme="minorHAnsi" w:eastAsia="Times New Roman" w:hAnsiTheme="minorHAnsi"/>
                <w:color w:val="000000"/>
                <w:szCs w:val="20"/>
                <w:lang w:val="sr-Latn-ME"/>
              </w:rPr>
            </w:pPr>
            <w:r w:rsidRPr="003B6A69">
              <w:rPr>
                <w:rFonts w:asciiTheme="minorHAnsi" w:eastAsia="Times New Roman" w:hAnsiTheme="minorHAnsi"/>
                <w:color w:val="000000"/>
                <w:szCs w:val="20"/>
                <w:lang w:val="en-GB"/>
              </w:rPr>
              <w:t>+</w:t>
            </w:r>
            <w:r w:rsidRPr="003B6A69">
              <w:rPr>
                <w:rFonts w:asciiTheme="minorHAnsi" w:eastAsia="Times New Roman" w:hAnsiTheme="minorHAnsi"/>
                <w:color w:val="000000"/>
                <w:szCs w:val="20"/>
                <w:lang w:val="sr-Latn-ME"/>
              </w:rPr>
              <w:t>+</w:t>
            </w:r>
          </w:p>
        </w:tc>
      </w:tr>
      <w:tr w:rsidR="008B0101" w:rsidRPr="003B6A69" w14:paraId="7D7B7B57" w14:textId="77777777" w:rsidTr="002B5F7E">
        <w:trPr>
          <w:trHeight w:val="53"/>
        </w:trPr>
        <w:tc>
          <w:tcPr>
            <w:tcW w:w="2430" w:type="dxa"/>
            <w:tcBorders>
              <w:top w:val="single" w:sz="6" w:space="0" w:color="auto"/>
              <w:left w:val="single" w:sz="6" w:space="0" w:color="auto"/>
              <w:bottom w:val="single" w:sz="6" w:space="0" w:color="auto"/>
              <w:right w:val="single" w:sz="6" w:space="0" w:color="auto"/>
            </w:tcBorders>
          </w:tcPr>
          <w:p w14:paraId="1DAE3CCC" w14:textId="77777777" w:rsidR="008B0101" w:rsidRPr="003B6A69" w:rsidRDefault="008B0101" w:rsidP="008B0101">
            <w:pPr>
              <w:autoSpaceDE w:val="0"/>
              <w:autoSpaceDN w:val="0"/>
              <w:adjustRightInd w:val="0"/>
              <w:spacing w:after="0"/>
              <w:rPr>
                <w:rFonts w:asciiTheme="minorHAnsi" w:eastAsia="Times New Roman" w:hAnsiTheme="minorHAnsi"/>
                <w:color w:val="000000"/>
                <w:szCs w:val="20"/>
                <w:lang w:val="en-GB"/>
              </w:rPr>
            </w:pPr>
            <w:proofErr w:type="spellStart"/>
            <w:r w:rsidRPr="003B6A69">
              <w:rPr>
                <w:rFonts w:asciiTheme="minorHAnsi" w:eastAsia="Times New Roman" w:hAnsiTheme="minorHAnsi"/>
                <w:color w:val="000000"/>
                <w:szCs w:val="20"/>
                <w:lang w:val="en-GB"/>
              </w:rPr>
              <w:t>Rumija</w:t>
            </w:r>
            <w:proofErr w:type="spellEnd"/>
          </w:p>
        </w:tc>
        <w:tc>
          <w:tcPr>
            <w:tcW w:w="5130" w:type="dxa"/>
            <w:tcBorders>
              <w:top w:val="single" w:sz="6" w:space="0" w:color="auto"/>
              <w:left w:val="single" w:sz="6" w:space="0" w:color="auto"/>
              <w:bottom w:val="single" w:sz="6" w:space="0" w:color="auto"/>
              <w:right w:val="single" w:sz="6" w:space="0" w:color="auto"/>
            </w:tcBorders>
          </w:tcPr>
          <w:p w14:paraId="405F20DF" w14:textId="77777777" w:rsidR="008B0101" w:rsidRPr="003B6A69" w:rsidRDefault="008B0101" w:rsidP="008B0101">
            <w:pPr>
              <w:autoSpaceDE w:val="0"/>
              <w:autoSpaceDN w:val="0"/>
              <w:adjustRightInd w:val="0"/>
              <w:spacing w:after="0"/>
              <w:rPr>
                <w:rFonts w:asciiTheme="minorHAnsi" w:eastAsia="Times New Roman" w:hAnsiTheme="minorHAnsi"/>
                <w:color w:val="000000"/>
                <w:szCs w:val="20"/>
                <w:lang w:val="en-GB"/>
              </w:rPr>
            </w:pPr>
            <w:r w:rsidRPr="003B6A69">
              <w:rPr>
                <w:rFonts w:asciiTheme="minorHAnsi" w:eastAsia="Times New Roman" w:hAnsiTheme="minorHAnsi"/>
                <w:color w:val="000000"/>
                <w:szCs w:val="20"/>
                <w:lang w:val="en-GB"/>
              </w:rPr>
              <w:t xml:space="preserve">Spatial development plan of the territory of the Municipality Bar </w:t>
            </w:r>
          </w:p>
        </w:tc>
        <w:tc>
          <w:tcPr>
            <w:tcW w:w="1800" w:type="dxa"/>
            <w:tcBorders>
              <w:top w:val="single" w:sz="6" w:space="0" w:color="auto"/>
              <w:left w:val="single" w:sz="6" w:space="0" w:color="auto"/>
              <w:bottom w:val="single" w:sz="6" w:space="0" w:color="auto"/>
              <w:right w:val="single" w:sz="6" w:space="0" w:color="auto"/>
            </w:tcBorders>
          </w:tcPr>
          <w:p w14:paraId="1C7CDEC9" w14:textId="77777777" w:rsidR="008B0101" w:rsidRPr="003B6A69" w:rsidRDefault="008B0101" w:rsidP="008B0101">
            <w:pPr>
              <w:autoSpaceDE w:val="0"/>
              <w:autoSpaceDN w:val="0"/>
              <w:adjustRightInd w:val="0"/>
              <w:spacing w:after="0"/>
              <w:jc w:val="center"/>
              <w:rPr>
                <w:rFonts w:asciiTheme="minorHAnsi" w:eastAsia="Times New Roman" w:hAnsiTheme="minorHAnsi"/>
                <w:color w:val="000000"/>
                <w:szCs w:val="20"/>
                <w:lang w:val="en-GB"/>
              </w:rPr>
            </w:pPr>
            <w:r w:rsidRPr="003B6A69">
              <w:rPr>
                <w:rFonts w:asciiTheme="minorHAnsi" w:eastAsia="Times New Roman" w:hAnsiTheme="minorHAnsi"/>
                <w:color w:val="000000"/>
                <w:szCs w:val="20"/>
                <w:lang w:val="en-GB"/>
              </w:rPr>
              <w:t>-</w:t>
            </w:r>
          </w:p>
        </w:tc>
      </w:tr>
      <w:tr w:rsidR="008B0101" w:rsidRPr="003B6A69" w14:paraId="72DCBF67" w14:textId="77777777" w:rsidTr="002B5F7E">
        <w:trPr>
          <w:trHeight w:val="53"/>
        </w:trPr>
        <w:tc>
          <w:tcPr>
            <w:tcW w:w="2430" w:type="dxa"/>
            <w:tcBorders>
              <w:top w:val="single" w:sz="6" w:space="0" w:color="auto"/>
              <w:left w:val="single" w:sz="6" w:space="0" w:color="auto"/>
              <w:bottom w:val="single" w:sz="6" w:space="0" w:color="auto"/>
              <w:right w:val="single" w:sz="6" w:space="0" w:color="auto"/>
            </w:tcBorders>
          </w:tcPr>
          <w:p w14:paraId="0537ACE6" w14:textId="77777777" w:rsidR="008B0101" w:rsidRPr="003B6A69" w:rsidRDefault="008B0101" w:rsidP="008B0101">
            <w:pPr>
              <w:autoSpaceDE w:val="0"/>
              <w:autoSpaceDN w:val="0"/>
              <w:adjustRightInd w:val="0"/>
              <w:spacing w:after="0"/>
              <w:rPr>
                <w:rFonts w:asciiTheme="minorHAnsi" w:eastAsia="Times New Roman" w:hAnsiTheme="minorHAnsi"/>
                <w:color w:val="000000"/>
                <w:szCs w:val="20"/>
                <w:lang w:val="en-GB"/>
              </w:rPr>
            </w:pPr>
            <w:proofErr w:type="spellStart"/>
            <w:r w:rsidRPr="003B6A69">
              <w:rPr>
                <w:rFonts w:asciiTheme="minorHAnsi" w:eastAsia="Times New Roman" w:hAnsiTheme="minorHAnsi"/>
                <w:color w:val="000000"/>
                <w:szCs w:val="20"/>
                <w:lang w:val="en-GB"/>
              </w:rPr>
              <w:t>Orjen</w:t>
            </w:r>
            <w:proofErr w:type="spellEnd"/>
          </w:p>
        </w:tc>
        <w:tc>
          <w:tcPr>
            <w:tcW w:w="5130" w:type="dxa"/>
            <w:tcBorders>
              <w:top w:val="single" w:sz="6" w:space="0" w:color="auto"/>
              <w:left w:val="single" w:sz="6" w:space="0" w:color="auto"/>
              <w:bottom w:val="single" w:sz="6" w:space="0" w:color="auto"/>
              <w:right w:val="single" w:sz="6" w:space="0" w:color="auto"/>
            </w:tcBorders>
          </w:tcPr>
          <w:p w14:paraId="43F0A36F" w14:textId="77777777" w:rsidR="008B0101" w:rsidRPr="003B6A69" w:rsidRDefault="008B0101" w:rsidP="008B0101">
            <w:pPr>
              <w:autoSpaceDE w:val="0"/>
              <w:autoSpaceDN w:val="0"/>
              <w:adjustRightInd w:val="0"/>
              <w:spacing w:after="0"/>
              <w:rPr>
                <w:rFonts w:asciiTheme="minorHAnsi" w:eastAsia="Times New Roman" w:hAnsiTheme="minorHAnsi"/>
                <w:color w:val="000000"/>
                <w:szCs w:val="20"/>
                <w:lang w:val="en-GB"/>
              </w:rPr>
            </w:pPr>
            <w:r w:rsidRPr="003B6A69">
              <w:rPr>
                <w:rFonts w:asciiTheme="minorHAnsi" w:eastAsia="Times New Roman" w:hAnsiTheme="minorHAnsi"/>
                <w:color w:val="000000"/>
                <w:szCs w:val="20"/>
                <w:lang w:val="en-GB"/>
              </w:rPr>
              <w:t xml:space="preserve">Spatial urban plan of the Municipality </w:t>
            </w:r>
            <w:proofErr w:type="spellStart"/>
            <w:r w:rsidRPr="003B6A69">
              <w:rPr>
                <w:rFonts w:asciiTheme="minorHAnsi" w:eastAsia="Times New Roman" w:hAnsiTheme="minorHAnsi"/>
                <w:color w:val="000000"/>
                <w:szCs w:val="20"/>
                <w:lang w:val="en-GB"/>
              </w:rPr>
              <w:t>Harceg</w:t>
            </w:r>
            <w:proofErr w:type="spellEnd"/>
            <w:r w:rsidRPr="003B6A69">
              <w:rPr>
                <w:rFonts w:asciiTheme="minorHAnsi" w:eastAsia="Times New Roman" w:hAnsiTheme="minorHAnsi"/>
                <w:color w:val="000000"/>
                <w:szCs w:val="20"/>
                <w:lang w:val="en-GB"/>
              </w:rPr>
              <w:t xml:space="preserve"> Novi 2019</w:t>
            </w:r>
          </w:p>
        </w:tc>
        <w:tc>
          <w:tcPr>
            <w:tcW w:w="1800" w:type="dxa"/>
            <w:tcBorders>
              <w:top w:val="single" w:sz="6" w:space="0" w:color="auto"/>
              <w:left w:val="single" w:sz="6" w:space="0" w:color="auto"/>
              <w:bottom w:val="single" w:sz="6" w:space="0" w:color="auto"/>
              <w:right w:val="single" w:sz="6" w:space="0" w:color="auto"/>
            </w:tcBorders>
          </w:tcPr>
          <w:p w14:paraId="01BAB5CA" w14:textId="77777777" w:rsidR="008B0101" w:rsidRPr="003B6A69" w:rsidRDefault="008B0101" w:rsidP="008B0101">
            <w:pPr>
              <w:autoSpaceDE w:val="0"/>
              <w:autoSpaceDN w:val="0"/>
              <w:adjustRightInd w:val="0"/>
              <w:spacing w:after="0"/>
              <w:jc w:val="center"/>
              <w:rPr>
                <w:rFonts w:asciiTheme="minorHAnsi" w:eastAsia="Times New Roman" w:hAnsiTheme="minorHAnsi"/>
                <w:color w:val="000000"/>
                <w:szCs w:val="20"/>
                <w:lang w:val="en-GB"/>
              </w:rPr>
            </w:pPr>
            <w:r w:rsidRPr="003B6A69">
              <w:rPr>
                <w:rFonts w:asciiTheme="minorHAnsi" w:eastAsia="Times New Roman" w:hAnsiTheme="minorHAnsi"/>
                <w:color w:val="000000"/>
                <w:szCs w:val="20"/>
                <w:lang w:val="en-GB"/>
              </w:rPr>
              <w:t>-</w:t>
            </w:r>
          </w:p>
        </w:tc>
      </w:tr>
      <w:tr w:rsidR="008B0101" w:rsidRPr="003B6A69" w14:paraId="160536F1" w14:textId="77777777" w:rsidTr="002B5F7E">
        <w:trPr>
          <w:trHeight w:val="53"/>
        </w:trPr>
        <w:tc>
          <w:tcPr>
            <w:tcW w:w="2430" w:type="dxa"/>
            <w:tcBorders>
              <w:top w:val="single" w:sz="6" w:space="0" w:color="auto"/>
              <w:left w:val="single" w:sz="6" w:space="0" w:color="auto"/>
              <w:bottom w:val="single" w:sz="6" w:space="0" w:color="auto"/>
              <w:right w:val="single" w:sz="6" w:space="0" w:color="auto"/>
            </w:tcBorders>
          </w:tcPr>
          <w:p w14:paraId="19A7B507" w14:textId="77777777" w:rsidR="008B0101" w:rsidRPr="003B6A69" w:rsidRDefault="008B0101" w:rsidP="008B0101">
            <w:pPr>
              <w:autoSpaceDE w:val="0"/>
              <w:autoSpaceDN w:val="0"/>
              <w:adjustRightInd w:val="0"/>
              <w:spacing w:after="0"/>
              <w:rPr>
                <w:rFonts w:asciiTheme="minorHAnsi" w:eastAsia="Times New Roman" w:hAnsiTheme="minorHAnsi"/>
                <w:color w:val="000000"/>
                <w:szCs w:val="20"/>
                <w:lang w:val="en-GB"/>
              </w:rPr>
            </w:pPr>
            <w:proofErr w:type="spellStart"/>
            <w:r w:rsidRPr="003B6A69">
              <w:rPr>
                <w:rFonts w:asciiTheme="minorHAnsi" w:eastAsia="Times New Roman" w:hAnsiTheme="minorHAnsi"/>
                <w:color w:val="000000"/>
                <w:szCs w:val="20"/>
                <w:lang w:val="en-GB"/>
              </w:rPr>
              <w:t>Katici</w:t>
            </w:r>
            <w:proofErr w:type="spellEnd"/>
            <w:r w:rsidRPr="003B6A69">
              <w:rPr>
                <w:rFonts w:asciiTheme="minorHAnsi" w:eastAsia="Times New Roman" w:hAnsiTheme="minorHAnsi"/>
                <w:color w:val="000000"/>
                <w:szCs w:val="20"/>
                <w:lang w:val="en-GB"/>
              </w:rPr>
              <w:t xml:space="preserve">, </w:t>
            </w:r>
            <w:proofErr w:type="spellStart"/>
            <w:r w:rsidRPr="003B6A69">
              <w:rPr>
                <w:rFonts w:asciiTheme="minorHAnsi" w:eastAsia="Times New Roman" w:hAnsiTheme="minorHAnsi"/>
                <w:color w:val="000000"/>
                <w:szCs w:val="20"/>
                <w:lang w:val="en-GB"/>
              </w:rPr>
              <w:t>Donkova</w:t>
            </w:r>
            <w:proofErr w:type="spellEnd"/>
            <w:r w:rsidRPr="003B6A69">
              <w:rPr>
                <w:rFonts w:asciiTheme="minorHAnsi" w:eastAsia="Times New Roman" w:hAnsiTheme="minorHAnsi"/>
                <w:color w:val="000000"/>
                <w:szCs w:val="20"/>
                <w:lang w:val="en-GB"/>
              </w:rPr>
              <w:t xml:space="preserve"> and </w:t>
            </w:r>
            <w:proofErr w:type="spellStart"/>
            <w:r w:rsidRPr="003B6A69">
              <w:rPr>
                <w:rFonts w:asciiTheme="minorHAnsi" w:eastAsia="Times New Roman" w:hAnsiTheme="minorHAnsi"/>
                <w:color w:val="000000"/>
                <w:szCs w:val="20"/>
                <w:lang w:val="en-GB"/>
              </w:rPr>
              <w:t>Velja</w:t>
            </w:r>
            <w:proofErr w:type="spellEnd"/>
            <w:r w:rsidRPr="003B6A69">
              <w:rPr>
                <w:rFonts w:asciiTheme="minorHAnsi" w:eastAsia="Times New Roman" w:hAnsiTheme="minorHAnsi"/>
                <w:color w:val="000000"/>
                <w:szCs w:val="20"/>
                <w:lang w:val="en-GB"/>
              </w:rPr>
              <w:t xml:space="preserve"> Seka</w:t>
            </w:r>
          </w:p>
        </w:tc>
        <w:tc>
          <w:tcPr>
            <w:tcW w:w="5130" w:type="dxa"/>
            <w:tcBorders>
              <w:top w:val="single" w:sz="6" w:space="0" w:color="auto"/>
              <w:left w:val="single" w:sz="6" w:space="0" w:color="auto"/>
              <w:bottom w:val="single" w:sz="6" w:space="0" w:color="auto"/>
              <w:right w:val="single" w:sz="6" w:space="0" w:color="auto"/>
            </w:tcBorders>
          </w:tcPr>
          <w:p w14:paraId="51D89998" w14:textId="77777777" w:rsidR="008B0101" w:rsidRPr="003B6A69" w:rsidRDefault="008B0101" w:rsidP="008B0101">
            <w:pPr>
              <w:spacing w:after="0"/>
              <w:jc w:val="left"/>
              <w:rPr>
                <w:rFonts w:asciiTheme="minorHAnsi" w:eastAsia="Times New Roman" w:hAnsiTheme="minorHAnsi"/>
                <w:szCs w:val="20"/>
                <w:lang w:val="en-GB"/>
              </w:rPr>
            </w:pPr>
            <w:r w:rsidRPr="003B6A69">
              <w:rPr>
                <w:rFonts w:asciiTheme="minorHAnsi" w:eastAsia="Times New Roman" w:hAnsiTheme="minorHAnsi"/>
                <w:color w:val="000000"/>
                <w:szCs w:val="20"/>
                <w:lang w:val="en-GB"/>
              </w:rPr>
              <w:t>Special purpose spatial plan for the coastal area of Montenegro (2018)</w:t>
            </w:r>
          </w:p>
        </w:tc>
        <w:tc>
          <w:tcPr>
            <w:tcW w:w="1800" w:type="dxa"/>
            <w:tcBorders>
              <w:top w:val="single" w:sz="6" w:space="0" w:color="auto"/>
              <w:left w:val="single" w:sz="6" w:space="0" w:color="auto"/>
              <w:bottom w:val="single" w:sz="6" w:space="0" w:color="auto"/>
              <w:right w:val="single" w:sz="6" w:space="0" w:color="auto"/>
            </w:tcBorders>
          </w:tcPr>
          <w:p w14:paraId="7D894411" w14:textId="77777777" w:rsidR="008B0101" w:rsidRPr="003B6A69" w:rsidRDefault="008B0101" w:rsidP="003C6B7B">
            <w:pPr>
              <w:numPr>
                <w:ilvl w:val="0"/>
                <w:numId w:val="18"/>
              </w:numPr>
              <w:autoSpaceDE w:val="0"/>
              <w:autoSpaceDN w:val="0"/>
              <w:adjustRightInd w:val="0"/>
              <w:spacing w:after="0" w:line="259" w:lineRule="auto"/>
              <w:contextualSpacing/>
              <w:jc w:val="center"/>
              <w:rPr>
                <w:rFonts w:asciiTheme="minorHAnsi" w:eastAsia="Times New Roman" w:hAnsiTheme="minorHAnsi"/>
                <w:color w:val="000000"/>
                <w:szCs w:val="20"/>
                <w:lang w:val="en-GB"/>
              </w:rPr>
            </w:pPr>
          </w:p>
        </w:tc>
      </w:tr>
      <w:tr w:rsidR="008B0101" w:rsidRPr="003B6A69" w14:paraId="4C473499" w14:textId="77777777" w:rsidTr="002B5F7E">
        <w:trPr>
          <w:trHeight w:val="53"/>
        </w:trPr>
        <w:tc>
          <w:tcPr>
            <w:tcW w:w="2430" w:type="dxa"/>
            <w:tcBorders>
              <w:top w:val="single" w:sz="6" w:space="0" w:color="auto"/>
              <w:left w:val="single" w:sz="6" w:space="0" w:color="auto"/>
              <w:bottom w:val="single" w:sz="6" w:space="0" w:color="auto"/>
              <w:right w:val="single" w:sz="6" w:space="0" w:color="auto"/>
            </w:tcBorders>
          </w:tcPr>
          <w:p w14:paraId="61196B47" w14:textId="77777777" w:rsidR="008B0101" w:rsidRPr="003B6A69" w:rsidRDefault="008B0101" w:rsidP="008B0101">
            <w:pPr>
              <w:autoSpaceDE w:val="0"/>
              <w:autoSpaceDN w:val="0"/>
              <w:adjustRightInd w:val="0"/>
              <w:spacing w:after="0"/>
              <w:rPr>
                <w:rFonts w:asciiTheme="minorHAnsi" w:eastAsia="Times New Roman" w:hAnsiTheme="minorHAnsi"/>
                <w:color w:val="000000"/>
                <w:szCs w:val="20"/>
                <w:lang w:val="en-GB"/>
              </w:rPr>
            </w:pPr>
            <w:r w:rsidRPr="003B6A69">
              <w:rPr>
                <w:rFonts w:asciiTheme="minorHAnsi" w:eastAsia="Times New Roman" w:hAnsiTheme="minorHAnsi"/>
                <w:color w:val="000000"/>
                <w:szCs w:val="20"/>
                <w:lang w:val="en-GB"/>
              </w:rPr>
              <w:t xml:space="preserve">Kotor </w:t>
            </w:r>
            <w:proofErr w:type="spellStart"/>
            <w:r w:rsidRPr="003B6A69">
              <w:rPr>
                <w:rFonts w:asciiTheme="minorHAnsi" w:eastAsia="Times New Roman" w:hAnsiTheme="minorHAnsi"/>
                <w:color w:val="000000"/>
                <w:szCs w:val="20"/>
                <w:lang w:val="en-GB"/>
              </w:rPr>
              <w:t>Risan</w:t>
            </w:r>
            <w:proofErr w:type="spellEnd"/>
            <w:r w:rsidRPr="003B6A69">
              <w:rPr>
                <w:rFonts w:asciiTheme="minorHAnsi" w:eastAsia="Times New Roman" w:hAnsiTheme="minorHAnsi"/>
                <w:color w:val="000000"/>
                <w:szCs w:val="20"/>
                <w:lang w:val="en-GB"/>
              </w:rPr>
              <w:t xml:space="preserve"> bay</w:t>
            </w:r>
          </w:p>
        </w:tc>
        <w:tc>
          <w:tcPr>
            <w:tcW w:w="5130" w:type="dxa"/>
            <w:tcBorders>
              <w:top w:val="single" w:sz="6" w:space="0" w:color="auto"/>
              <w:left w:val="single" w:sz="6" w:space="0" w:color="auto"/>
              <w:bottom w:val="single" w:sz="6" w:space="0" w:color="auto"/>
              <w:right w:val="single" w:sz="6" w:space="0" w:color="auto"/>
            </w:tcBorders>
          </w:tcPr>
          <w:p w14:paraId="273577AF" w14:textId="77777777" w:rsidR="008B0101" w:rsidRPr="003B6A69" w:rsidRDefault="008B0101" w:rsidP="008B0101">
            <w:pPr>
              <w:spacing w:after="0"/>
              <w:jc w:val="left"/>
              <w:rPr>
                <w:rFonts w:asciiTheme="minorHAnsi" w:eastAsia="Times New Roman" w:hAnsiTheme="minorHAnsi"/>
                <w:szCs w:val="20"/>
                <w:lang w:val="en-GB"/>
              </w:rPr>
            </w:pPr>
            <w:r w:rsidRPr="003B6A69">
              <w:rPr>
                <w:rFonts w:asciiTheme="minorHAnsi" w:eastAsia="Times New Roman" w:hAnsiTheme="minorHAnsi"/>
                <w:color w:val="000000"/>
                <w:szCs w:val="20"/>
                <w:lang w:val="en-GB"/>
              </w:rPr>
              <w:t>Special purpose spatial plan for the coastal area of Montenegro (2018)</w:t>
            </w:r>
          </w:p>
        </w:tc>
        <w:tc>
          <w:tcPr>
            <w:tcW w:w="1800" w:type="dxa"/>
            <w:tcBorders>
              <w:top w:val="single" w:sz="6" w:space="0" w:color="auto"/>
              <w:left w:val="single" w:sz="6" w:space="0" w:color="auto"/>
              <w:bottom w:val="single" w:sz="6" w:space="0" w:color="auto"/>
              <w:right w:val="single" w:sz="6" w:space="0" w:color="auto"/>
            </w:tcBorders>
          </w:tcPr>
          <w:p w14:paraId="493D35D6" w14:textId="77777777" w:rsidR="008B0101" w:rsidRPr="003B6A69" w:rsidRDefault="008B0101" w:rsidP="008B0101">
            <w:pPr>
              <w:autoSpaceDE w:val="0"/>
              <w:autoSpaceDN w:val="0"/>
              <w:adjustRightInd w:val="0"/>
              <w:spacing w:after="0"/>
              <w:jc w:val="center"/>
              <w:rPr>
                <w:rFonts w:asciiTheme="minorHAnsi" w:eastAsia="Times New Roman" w:hAnsiTheme="minorHAnsi"/>
                <w:color w:val="000000"/>
                <w:szCs w:val="20"/>
                <w:lang w:val="en-GB"/>
              </w:rPr>
            </w:pPr>
            <w:r w:rsidRPr="003B6A69">
              <w:rPr>
                <w:rFonts w:asciiTheme="minorHAnsi" w:eastAsia="Times New Roman" w:hAnsiTheme="minorHAnsi"/>
                <w:color w:val="000000"/>
                <w:szCs w:val="20"/>
                <w:lang w:val="en-GB"/>
              </w:rPr>
              <w:t>+</w:t>
            </w:r>
          </w:p>
        </w:tc>
      </w:tr>
      <w:tr w:rsidR="008B0101" w:rsidRPr="003B6A69" w14:paraId="23B9ABD4" w14:textId="77777777" w:rsidTr="002B5F7E">
        <w:trPr>
          <w:trHeight w:val="53"/>
        </w:trPr>
        <w:tc>
          <w:tcPr>
            <w:tcW w:w="2430" w:type="dxa"/>
            <w:tcBorders>
              <w:top w:val="single" w:sz="6" w:space="0" w:color="auto"/>
              <w:left w:val="single" w:sz="6" w:space="0" w:color="auto"/>
              <w:bottom w:val="single" w:sz="6" w:space="0" w:color="auto"/>
              <w:right w:val="single" w:sz="6" w:space="0" w:color="auto"/>
            </w:tcBorders>
          </w:tcPr>
          <w:p w14:paraId="62B9B3F6" w14:textId="77777777" w:rsidR="008B0101" w:rsidRPr="003B6A69" w:rsidRDefault="008B0101" w:rsidP="008B0101">
            <w:pPr>
              <w:autoSpaceDE w:val="0"/>
              <w:autoSpaceDN w:val="0"/>
              <w:adjustRightInd w:val="0"/>
              <w:spacing w:after="0"/>
              <w:rPr>
                <w:rFonts w:asciiTheme="minorHAnsi" w:eastAsia="Times New Roman" w:hAnsiTheme="minorHAnsi"/>
                <w:color w:val="000000"/>
                <w:szCs w:val="20"/>
                <w:lang w:val="en-GB"/>
              </w:rPr>
            </w:pPr>
            <w:proofErr w:type="spellStart"/>
            <w:r w:rsidRPr="003B6A69">
              <w:rPr>
                <w:rFonts w:asciiTheme="minorHAnsi" w:eastAsia="Times New Roman" w:hAnsiTheme="minorHAnsi"/>
                <w:color w:val="000000"/>
                <w:szCs w:val="20"/>
                <w:lang w:val="en-GB"/>
              </w:rPr>
              <w:t>Platamuni</w:t>
            </w:r>
            <w:proofErr w:type="spellEnd"/>
          </w:p>
        </w:tc>
        <w:tc>
          <w:tcPr>
            <w:tcW w:w="5130" w:type="dxa"/>
            <w:tcBorders>
              <w:top w:val="single" w:sz="6" w:space="0" w:color="auto"/>
              <w:left w:val="single" w:sz="6" w:space="0" w:color="auto"/>
              <w:bottom w:val="single" w:sz="6" w:space="0" w:color="auto"/>
              <w:right w:val="single" w:sz="6" w:space="0" w:color="auto"/>
            </w:tcBorders>
          </w:tcPr>
          <w:p w14:paraId="0939D12B" w14:textId="77777777" w:rsidR="008B0101" w:rsidRPr="003B6A69" w:rsidRDefault="008B0101" w:rsidP="008B0101">
            <w:pPr>
              <w:autoSpaceDE w:val="0"/>
              <w:autoSpaceDN w:val="0"/>
              <w:adjustRightInd w:val="0"/>
              <w:spacing w:after="0"/>
              <w:rPr>
                <w:rFonts w:asciiTheme="minorHAnsi" w:eastAsia="Times New Roman" w:hAnsiTheme="minorHAnsi"/>
                <w:color w:val="000000"/>
                <w:szCs w:val="20"/>
                <w:lang w:val="en-GB"/>
              </w:rPr>
            </w:pPr>
            <w:r w:rsidRPr="003B6A69">
              <w:rPr>
                <w:rFonts w:asciiTheme="minorHAnsi" w:eastAsia="Times New Roman" w:hAnsiTheme="minorHAnsi"/>
                <w:color w:val="000000"/>
                <w:szCs w:val="20"/>
                <w:lang w:val="en-GB"/>
              </w:rPr>
              <w:t>Special purpose spatial plan for the coastal area of Montenegro (2018)</w:t>
            </w:r>
          </w:p>
        </w:tc>
        <w:tc>
          <w:tcPr>
            <w:tcW w:w="1800" w:type="dxa"/>
            <w:tcBorders>
              <w:top w:val="single" w:sz="6" w:space="0" w:color="auto"/>
              <w:left w:val="single" w:sz="6" w:space="0" w:color="auto"/>
              <w:bottom w:val="single" w:sz="6" w:space="0" w:color="auto"/>
              <w:right w:val="single" w:sz="6" w:space="0" w:color="auto"/>
            </w:tcBorders>
          </w:tcPr>
          <w:p w14:paraId="0A1A0836" w14:textId="77777777" w:rsidR="008B0101" w:rsidRPr="003B6A69" w:rsidRDefault="008B0101" w:rsidP="003C6B7B">
            <w:pPr>
              <w:numPr>
                <w:ilvl w:val="0"/>
                <w:numId w:val="18"/>
              </w:numPr>
              <w:autoSpaceDE w:val="0"/>
              <w:autoSpaceDN w:val="0"/>
              <w:adjustRightInd w:val="0"/>
              <w:spacing w:after="0" w:line="259" w:lineRule="auto"/>
              <w:contextualSpacing/>
              <w:jc w:val="center"/>
              <w:rPr>
                <w:rFonts w:asciiTheme="minorHAnsi" w:eastAsia="Times New Roman" w:hAnsiTheme="minorHAnsi"/>
                <w:color w:val="000000"/>
                <w:szCs w:val="20"/>
                <w:lang w:val="en-GB"/>
              </w:rPr>
            </w:pPr>
          </w:p>
        </w:tc>
      </w:tr>
    </w:tbl>
    <w:p w14:paraId="25019DF0" w14:textId="77777777" w:rsidR="008B0101" w:rsidRPr="003B6A69" w:rsidRDefault="008B0101" w:rsidP="008B0101">
      <w:pPr>
        <w:tabs>
          <w:tab w:val="left" w:pos="426"/>
        </w:tabs>
        <w:spacing w:after="120"/>
        <w:rPr>
          <w:rFonts w:asciiTheme="minorHAnsi" w:hAnsiTheme="minorHAnsi" w:cs="Calibri"/>
          <w:bCs/>
          <w:sz w:val="22"/>
          <w:szCs w:val="22"/>
          <w:lang w:val="en-GB"/>
        </w:rPr>
      </w:pPr>
    </w:p>
    <w:p w14:paraId="7256CD4D" w14:textId="4380D2ED" w:rsidR="008B0101" w:rsidRPr="003B6A69" w:rsidRDefault="008B0101" w:rsidP="00E3185E">
      <w:pPr>
        <w:pStyle w:val="Heading6"/>
      </w:pPr>
      <w:bookmarkStart w:id="23" w:name="_Toc56670677"/>
      <w:r w:rsidRPr="003B6A69">
        <w:t>Output 2.1:</w:t>
      </w:r>
      <w:bookmarkEnd w:id="23"/>
      <w:r w:rsidRPr="003B6A69">
        <w:t xml:space="preserve"> Baseline studies and justification of priorities for </w:t>
      </w:r>
      <w:r w:rsidR="00A75B9B" w:rsidRPr="003B6A69">
        <w:t xml:space="preserve">the </w:t>
      </w:r>
      <w:r w:rsidRPr="003B6A69">
        <w:t>protection of key biodiversity hot-spots outside PAs</w:t>
      </w:r>
    </w:p>
    <w:p w14:paraId="7EF5E594" w14:textId="4028B3C7" w:rsidR="005036DD" w:rsidRPr="003B6A69" w:rsidRDefault="008B0101" w:rsidP="003C6B7B">
      <w:pPr>
        <w:numPr>
          <w:ilvl w:val="0"/>
          <w:numId w:val="41"/>
        </w:numPr>
        <w:tabs>
          <w:tab w:val="left" w:pos="426"/>
        </w:tabs>
        <w:spacing w:after="120"/>
        <w:ind w:left="0" w:firstLine="0"/>
        <w:rPr>
          <w:rFonts w:cs="Calibri"/>
          <w:bCs/>
          <w:szCs w:val="20"/>
          <w:lang w:val="en-GB"/>
        </w:rPr>
      </w:pPr>
      <w:r w:rsidRPr="003B6A69">
        <w:rPr>
          <w:rFonts w:cs="Calibri"/>
          <w:bCs/>
          <w:szCs w:val="20"/>
          <w:lang w:val="en-GB"/>
        </w:rPr>
        <w:t>The project will provide targeted resources for the survey, inventory</w:t>
      </w:r>
      <w:r w:rsidR="00A75B9B" w:rsidRPr="003B6A69">
        <w:rPr>
          <w:rFonts w:cs="Calibri"/>
          <w:bCs/>
          <w:szCs w:val="20"/>
          <w:lang w:val="en-GB"/>
        </w:rPr>
        <w:t>,</w:t>
      </w:r>
      <w:r w:rsidRPr="003B6A69">
        <w:rPr>
          <w:rFonts w:cs="Calibri"/>
          <w:bCs/>
          <w:szCs w:val="20"/>
          <w:lang w:val="en-GB"/>
        </w:rPr>
        <w:t xml:space="preserve"> and mapping of key biodiversity values within the zones of valuable and/or vulnerable biodiversity as identified by </w:t>
      </w:r>
      <w:r w:rsidR="00336CF6" w:rsidRPr="003B6A69">
        <w:rPr>
          <w:rFonts w:cs="Calibri"/>
          <w:bCs/>
          <w:szCs w:val="20"/>
          <w:lang w:val="en-GB"/>
        </w:rPr>
        <w:t xml:space="preserve">the </w:t>
      </w:r>
      <w:r w:rsidRPr="003B6A69">
        <w:rPr>
          <w:rFonts w:cs="Calibri"/>
          <w:bCs/>
          <w:szCs w:val="20"/>
          <w:lang w:val="en-GB"/>
        </w:rPr>
        <w:t xml:space="preserve">National Strategy for Biodiversity 2016-2020 and not yet covered either by Natura 2000 inventory of species </w:t>
      </w:r>
      <w:proofErr w:type="gramStart"/>
      <w:r w:rsidRPr="003B6A69">
        <w:rPr>
          <w:rFonts w:cs="Calibri"/>
          <w:bCs/>
          <w:szCs w:val="20"/>
          <w:lang w:val="en-GB"/>
        </w:rPr>
        <w:t>and</w:t>
      </w:r>
      <w:proofErr w:type="gramEnd"/>
      <w:r w:rsidRPr="003B6A69">
        <w:rPr>
          <w:rFonts w:cs="Calibri"/>
          <w:bCs/>
          <w:szCs w:val="20"/>
          <w:lang w:val="en-GB"/>
        </w:rPr>
        <w:t xml:space="preserve"> habitats</w:t>
      </w:r>
      <w:r w:rsidR="005036DD" w:rsidRPr="003B6A69">
        <w:rPr>
          <w:rFonts w:cs="Calibri"/>
          <w:bCs/>
          <w:szCs w:val="20"/>
          <w:lang w:val="en-GB"/>
        </w:rPr>
        <w:t xml:space="preserve">. </w:t>
      </w:r>
    </w:p>
    <w:p w14:paraId="4F53D9C8" w14:textId="77777777" w:rsidR="008B0101" w:rsidRPr="003B6A69" w:rsidRDefault="008B0101" w:rsidP="008B0101">
      <w:pPr>
        <w:spacing w:after="0"/>
        <w:rPr>
          <w:rFonts w:ascii="Times New Roman" w:eastAsiaTheme="minorHAnsi" w:hAnsi="Times New Roman"/>
          <w:iCs/>
          <w:szCs w:val="20"/>
          <w:lang w:val="sr-Latn-ME"/>
        </w:rPr>
      </w:pPr>
      <w:r w:rsidRPr="003B6A69">
        <w:rPr>
          <w:rFonts w:cs="Calibri"/>
          <w:bCs/>
          <w:szCs w:val="20"/>
          <w:lang w:val="en-GB"/>
        </w:rPr>
        <w:t>These are</w:t>
      </w:r>
      <w:r w:rsidRPr="003B6A69">
        <w:rPr>
          <w:rFonts w:ascii="Times New Roman" w:eastAsiaTheme="minorHAnsi" w:hAnsi="Times New Roman"/>
          <w:iCs/>
          <w:szCs w:val="20"/>
          <w:vertAlign w:val="superscript"/>
          <w:lang w:val="sr-Latn-ME"/>
        </w:rPr>
        <w:footnoteReference w:id="4"/>
      </w:r>
      <w:r w:rsidRPr="003B6A69">
        <w:rPr>
          <w:rFonts w:ascii="Times New Roman" w:eastAsiaTheme="minorHAnsi" w:hAnsi="Times New Roman"/>
          <w:iCs/>
          <w:szCs w:val="20"/>
          <w:lang w:val="sr-Latn-ME"/>
        </w:rPr>
        <w:t>:</w:t>
      </w:r>
    </w:p>
    <w:p w14:paraId="5ED6B894" w14:textId="77777777" w:rsidR="008B0101" w:rsidRPr="003B6A69" w:rsidRDefault="008B0101" w:rsidP="008B0101">
      <w:pPr>
        <w:spacing w:after="0"/>
        <w:rPr>
          <w:rFonts w:asciiTheme="minorHAnsi" w:eastAsiaTheme="minorHAnsi" w:hAnsiTheme="minorHAnsi"/>
          <w:iCs/>
          <w:szCs w:val="20"/>
          <w:lang w:val="sr-Latn-ME"/>
        </w:rPr>
      </w:pPr>
    </w:p>
    <w:p w14:paraId="6E73E752" w14:textId="77777777" w:rsidR="008B0101" w:rsidRPr="003B6A69" w:rsidRDefault="008B0101" w:rsidP="003C6B7B">
      <w:pPr>
        <w:numPr>
          <w:ilvl w:val="0"/>
          <w:numId w:val="19"/>
        </w:numPr>
        <w:spacing w:after="0" w:line="259" w:lineRule="auto"/>
        <w:contextualSpacing/>
        <w:jc w:val="left"/>
        <w:rPr>
          <w:rFonts w:asciiTheme="minorHAnsi" w:eastAsiaTheme="minorHAnsi" w:hAnsiTheme="minorHAnsi"/>
          <w:iCs/>
          <w:szCs w:val="20"/>
          <w:lang w:val="sr-Latn-ME"/>
        </w:rPr>
      </w:pPr>
      <w:r w:rsidRPr="003B6A69">
        <w:rPr>
          <w:rFonts w:asciiTheme="minorHAnsi" w:eastAsiaTheme="minorHAnsi" w:hAnsiTheme="minorHAnsi"/>
          <w:iCs/>
          <w:szCs w:val="20"/>
          <w:lang w:val="sr-Latn-ME"/>
        </w:rPr>
        <w:t>Areas that are with the Spatial Plan of Montenegro planned for protection until 2020 and have not yet been declared protected, and are not included in previous research within the establishment of the NATURA 2000 network in Montenegro</w:t>
      </w:r>
    </w:p>
    <w:p w14:paraId="6F7E21A8" w14:textId="77777777" w:rsidR="008B0101" w:rsidRPr="003B6A69" w:rsidRDefault="008B0101" w:rsidP="008B0101">
      <w:pPr>
        <w:spacing w:after="0"/>
        <w:ind w:left="1440"/>
        <w:contextualSpacing/>
        <w:rPr>
          <w:rFonts w:asciiTheme="minorHAnsi" w:eastAsiaTheme="minorHAnsi" w:hAnsiTheme="minorHAnsi"/>
          <w:iCs/>
          <w:szCs w:val="20"/>
          <w:lang w:val="sr-Latn-ME"/>
        </w:rPr>
      </w:pPr>
    </w:p>
    <w:p w14:paraId="54DE2763" w14:textId="77777777" w:rsidR="008B0101" w:rsidRPr="003B6A69" w:rsidRDefault="008B0101" w:rsidP="003C6B7B">
      <w:pPr>
        <w:numPr>
          <w:ilvl w:val="0"/>
          <w:numId w:val="19"/>
        </w:numPr>
        <w:spacing w:after="0" w:line="259" w:lineRule="auto"/>
        <w:contextualSpacing/>
        <w:jc w:val="left"/>
        <w:rPr>
          <w:rFonts w:asciiTheme="minorHAnsi" w:eastAsiaTheme="minorHAnsi" w:hAnsiTheme="minorHAnsi"/>
          <w:iCs/>
          <w:szCs w:val="20"/>
          <w:lang w:val="sr-Latn-ME"/>
        </w:rPr>
      </w:pPr>
      <w:r w:rsidRPr="003B6A69">
        <w:rPr>
          <w:rFonts w:asciiTheme="minorHAnsi" w:eastAsiaTheme="minorHAnsi" w:hAnsiTheme="minorHAnsi"/>
          <w:iCs/>
          <w:szCs w:val="20"/>
          <w:lang w:val="sr-Latn-ME"/>
        </w:rPr>
        <w:t>Areas of the EMERALD network that are unprotected by national legislation and uncovered by previous research within the establishment of the NATURA 2000 network in Montenegro</w:t>
      </w:r>
    </w:p>
    <w:p w14:paraId="6999D675" w14:textId="77777777" w:rsidR="008B0101" w:rsidRPr="003B6A69" w:rsidRDefault="008B0101" w:rsidP="008B0101">
      <w:pPr>
        <w:spacing w:after="0"/>
        <w:rPr>
          <w:rFonts w:asciiTheme="minorHAnsi" w:eastAsiaTheme="minorHAnsi" w:hAnsiTheme="minorHAnsi"/>
          <w:iCs/>
          <w:szCs w:val="20"/>
          <w:lang w:val="sr-Latn-ME"/>
        </w:rPr>
      </w:pPr>
    </w:p>
    <w:p w14:paraId="4DC52A02" w14:textId="4541F309" w:rsidR="008B0101" w:rsidRPr="003B6A69" w:rsidRDefault="008B0101" w:rsidP="008B0101">
      <w:pPr>
        <w:tabs>
          <w:tab w:val="left" w:pos="426"/>
        </w:tabs>
        <w:spacing w:after="120"/>
        <w:rPr>
          <w:rFonts w:asciiTheme="minorHAnsi" w:hAnsiTheme="minorHAnsi" w:cs="Calibri"/>
          <w:bCs/>
          <w:iCs/>
          <w:szCs w:val="20"/>
          <w:lang w:val="sr-Latn-ME"/>
        </w:rPr>
      </w:pPr>
      <w:r w:rsidRPr="003B6A69">
        <w:rPr>
          <w:rFonts w:asciiTheme="minorHAnsi" w:hAnsiTheme="minorHAnsi" w:cs="Calibri"/>
          <w:bCs/>
          <w:szCs w:val="20"/>
          <w:lang w:val="en-GB"/>
        </w:rPr>
        <w:t xml:space="preserve">In the current Spatial Plan for Montenegro till 2020, the following areas were proposed for protection: </w:t>
      </w:r>
      <w:proofErr w:type="spellStart"/>
      <w:r w:rsidRPr="003B6A69">
        <w:rPr>
          <w:rFonts w:asciiTheme="minorHAnsi" w:hAnsiTheme="minorHAnsi" w:cs="Calibri"/>
          <w:bCs/>
          <w:szCs w:val="20"/>
          <w:lang w:val="en-GB"/>
        </w:rPr>
        <w:t>Orjen</w:t>
      </w:r>
      <w:proofErr w:type="spellEnd"/>
      <w:r w:rsidRPr="003B6A69">
        <w:rPr>
          <w:rFonts w:asciiTheme="minorHAnsi" w:hAnsiTheme="minorHAnsi" w:cs="Calibri"/>
          <w:bCs/>
          <w:szCs w:val="20"/>
          <w:lang w:val="en-GB"/>
        </w:rPr>
        <w:t xml:space="preserve"> as a National park, and </w:t>
      </w:r>
      <w:r w:rsidRPr="003B6A69">
        <w:rPr>
          <w:rFonts w:asciiTheme="minorHAnsi" w:hAnsiTheme="minorHAnsi" w:cs="Calibri"/>
          <w:bCs/>
          <w:iCs/>
          <w:szCs w:val="20"/>
          <w:lang w:val="sr-Latn-ME"/>
        </w:rPr>
        <w:t>Rumija, Komovi, Sinjajevina, Bioc, Maglić and Volujak, Ljubišnja and Turjak with Hajla as Nature Parks to be managed by the municipal authorities. While for Orjen, Piva, Komovi the research to support the protection study has been commissioned, Rumija, Sinjajevina, and Turjak have not been covered by the research essential to substantiate the protection st</w:t>
      </w:r>
      <w:r w:rsidR="00A75B9B" w:rsidRPr="003B6A69">
        <w:rPr>
          <w:rFonts w:asciiTheme="minorHAnsi" w:hAnsiTheme="minorHAnsi" w:cs="Calibri"/>
          <w:bCs/>
          <w:iCs/>
          <w:szCs w:val="20"/>
          <w:lang w:val="sr-Latn-ME"/>
        </w:rPr>
        <w:t>u</w:t>
      </w:r>
      <w:r w:rsidRPr="003B6A69">
        <w:rPr>
          <w:rFonts w:asciiTheme="minorHAnsi" w:hAnsiTheme="minorHAnsi" w:cs="Calibri"/>
          <w:bCs/>
          <w:iCs/>
          <w:szCs w:val="20"/>
          <w:lang w:val="sr-Latn-ME"/>
        </w:rPr>
        <w:t xml:space="preserve">dy required for the PA proclamation. </w:t>
      </w:r>
    </w:p>
    <w:p w14:paraId="1FE970F6" w14:textId="12B16588" w:rsidR="008B0101" w:rsidRPr="003B6A69" w:rsidRDefault="008B0101" w:rsidP="008B0101">
      <w:pPr>
        <w:tabs>
          <w:tab w:val="left" w:pos="426"/>
        </w:tabs>
        <w:spacing w:after="120"/>
        <w:rPr>
          <w:rFonts w:asciiTheme="minorHAnsi" w:hAnsiTheme="minorHAnsi" w:cs="Calibri"/>
          <w:bCs/>
          <w:iCs/>
          <w:szCs w:val="20"/>
          <w:lang w:val="sr-Latn-ME"/>
        </w:rPr>
      </w:pPr>
      <w:r w:rsidRPr="003B6A69">
        <w:rPr>
          <w:rFonts w:asciiTheme="minorHAnsi" w:hAnsiTheme="minorHAnsi" w:cs="Calibri"/>
          <w:bCs/>
          <w:iCs/>
          <w:szCs w:val="20"/>
          <w:lang w:val="sr-Latn-ME"/>
        </w:rPr>
        <w:t xml:space="preserve">The following Emerald sites do not have any protection status and are uncovered by systematic research are: 1. part of Orjen, 2. Rumija, 3. River Bojana, 4. Đalovića gorge, 5. Mrtvice canyon, 6. Golija and Ledenice, 7. Visitor and Zeletin, 8. Sinjajevina. The latter has not been systematically researched, but during 2015, research was done for the purpose of </w:t>
      </w:r>
      <w:r w:rsidR="00336CF6" w:rsidRPr="003B6A69">
        <w:rPr>
          <w:rFonts w:asciiTheme="minorHAnsi" w:hAnsiTheme="minorHAnsi" w:cs="Calibri"/>
          <w:bCs/>
          <w:iCs/>
          <w:szCs w:val="20"/>
          <w:lang w:val="sr-Latn-ME"/>
        </w:rPr>
        <w:t>developing a Protection S</w:t>
      </w:r>
      <w:r w:rsidRPr="003B6A69">
        <w:rPr>
          <w:rFonts w:asciiTheme="minorHAnsi" w:hAnsiTheme="minorHAnsi" w:cs="Calibri"/>
          <w:bCs/>
          <w:iCs/>
          <w:szCs w:val="20"/>
          <w:lang w:val="sr-Latn-ME"/>
        </w:rPr>
        <w:t>tudy for the establishment of a protected area.</w:t>
      </w:r>
    </w:p>
    <w:p w14:paraId="599F45DD" w14:textId="77777777" w:rsidR="008B0101" w:rsidRPr="003B6A69" w:rsidRDefault="008B0101" w:rsidP="008B0101">
      <w:pPr>
        <w:tabs>
          <w:tab w:val="left" w:pos="426"/>
        </w:tabs>
        <w:spacing w:after="120"/>
        <w:rPr>
          <w:rFonts w:asciiTheme="minorHAnsi" w:hAnsiTheme="minorHAnsi" w:cs="Calibri"/>
          <w:bCs/>
          <w:iCs/>
          <w:szCs w:val="20"/>
          <w:lang w:val="sr-Latn-ME"/>
        </w:rPr>
      </w:pPr>
      <w:r w:rsidRPr="003B6A69">
        <w:rPr>
          <w:rFonts w:asciiTheme="minorHAnsi" w:hAnsiTheme="minorHAnsi" w:cs="Calibri"/>
          <w:bCs/>
          <w:iCs/>
          <w:szCs w:val="20"/>
          <w:lang w:val="sr-Latn-ME"/>
        </w:rPr>
        <w:t>The combined analysis of the priorities in the spatial planning documents, PAs and sites with the recognized BD values, the PPG experts have determined the following priority areas for the targeted BD assessment and research to be supported by the project: part of the mountain massif Orjen</w:t>
      </w:r>
      <w:r w:rsidRPr="003B6A69">
        <w:rPr>
          <w:rFonts w:asciiTheme="minorHAnsi" w:hAnsiTheme="minorHAnsi" w:cs="Calibri"/>
          <w:bCs/>
          <w:szCs w:val="20"/>
          <w:lang w:val="sr-Latn-ME"/>
        </w:rPr>
        <w:t xml:space="preserve">, mountain Rumija and the area of </w:t>
      </w:r>
      <w:r w:rsidRPr="003B6A69">
        <w:rPr>
          <w:rFonts w:asciiTheme="minorHAnsi" w:hAnsiTheme="minorHAnsi" w:cs="Calibri"/>
          <w:bCs/>
          <w:iCs/>
          <w:szCs w:val="20"/>
          <w:lang w:val="sr-Latn-ME"/>
        </w:rPr>
        <w:t xml:space="preserve">Bojana River, Đalovića gorge, Mrtvice canyon, Golija and Ledenice, Visitor and Zeletin. </w:t>
      </w:r>
    </w:p>
    <w:p w14:paraId="4E48077A" w14:textId="1DF7C6F0" w:rsidR="008B0101" w:rsidRPr="003B6A69" w:rsidRDefault="008B0101" w:rsidP="003C6B7B">
      <w:pPr>
        <w:numPr>
          <w:ilvl w:val="0"/>
          <w:numId w:val="20"/>
        </w:numPr>
        <w:tabs>
          <w:tab w:val="left" w:pos="426"/>
        </w:tabs>
        <w:spacing w:after="120" w:line="259" w:lineRule="auto"/>
        <w:jc w:val="left"/>
        <w:rPr>
          <w:rFonts w:asciiTheme="minorHAnsi" w:hAnsiTheme="minorHAnsi" w:cs="Calibri"/>
          <w:bCs/>
          <w:iCs/>
          <w:szCs w:val="20"/>
          <w:lang w:val="sr-Latn-ME"/>
        </w:rPr>
      </w:pPr>
      <w:r w:rsidRPr="003B6A69">
        <w:rPr>
          <w:rFonts w:asciiTheme="minorHAnsi" w:hAnsiTheme="minorHAnsi" w:cs="Calibri"/>
          <w:bCs/>
          <w:iCs/>
          <w:szCs w:val="20"/>
          <w:lang w:val="sr-Latn-ME"/>
        </w:rPr>
        <w:t xml:space="preserve">Part of the mountain massif Orjen: was given the highest priorities for organizing the BD research, given that the Spatial Plan of Montenegro has proposed to declare it a national park, and is part of the EMERALD network in Montenegro. The Nature Protection Agency </w:t>
      </w:r>
      <w:r w:rsidR="00F55040" w:rsidRPr="003B6A69">
        <w:rPr>
          <w:rFonts w:asciiTheme="minorHAnsi" w:hAnsiTheme="minorHAnsi" w:cs="Calibri"/>
          <w:bCs/>
          <w:iCs/>
          <w:szCs w:val="20"/>
          <w:lang w:val="sr-Latn-ME"/>
        </w:rPr>
        <w:t>conducted</w:t>
      </w:r>
      <w:r w:rsidRPr="003B6A69">
        <w:rPr>
          <w:rFonts w:asciiTheme="minorHAnsi" w:hAnsiTheme="minorHAnsi" w:cs="Calibri"/>
          <w:bCs/>
          <w:iCs/>
          <w:szCs w:val="20"/>
          <w:lang w:val="sr-Latn-ME"/>
        </w:rPr>
        <w:t xml:space="preserve"> research on Orjen within 2020 within the NATURA 2000 project; the project will cover the gaps </w:t>
      </w:r>
      <w:r w:rsidR="00F55040" w:rsidRPr="003B6A69">
        <w:rPr>
          <w:rFonts w:asciiTheme="minorHAnsi" w:hAnsiTheme="minorHAnsi" w:cs="Calibri"/>
          <w:bCs/>
          <w:iCs/>
          <w:szCs w:val="20"/>
          <w:lang w:val="sr-Latn-ME"/>
        </w:rPr>
        <w:t>(</w:t>
      </w:r>
      <w:r w:rsidR="00EA474D" w:rsidRPr="003B6A69">
        <w:rPr>
          <w:rFonts w:asciiTheme="minorHAnsi" w:hAnsiTheme="minorHAnsi" w:cs="Calibri"/>
          <w:bCs/>
          <w:iCs/>
          <w:szCs w:val="20"/>
          <w:lang w:val="sr-Latn-ME"/>
        </w:rPr>
        <w:t xml:space="preserve">gaps assessed at </w:t>
      </w:r>
      <w:r w:rsidR="00F55040" w:rsidRPr="003B6A69">
        <w:rPr>
          <w:rFonts w:asciiTheme="minorHAnsi" w:hAnsiTheme="minorHAnsi" w:cs="Calibri"/>
          <w:bCs/>
          <w:iCs/>
          <w:szCs w:val="20"/>
          <w:lang w:val="sr-Latn-ME"/>
        </w:rPr>
        <w:t xml:space="preserve">20% of the initial area of </w:t>
      </w:r>
      <w:r w:rsidR="00EA474D" w:rsidRPr="003B6A69">
        <w:rPr>
          <w:rFonts w:asciiTheme="minorHAnsi" w:hAnsiTheme="minorHAnsi" w:cs="Calibri"/>
          <w:bCs/>
          <w:iCs/>
          <w:szCs w:val="20"/>
          <w:lang w:val="sr-Latn-ME"/>
        </w:rPr>
        <w:t>20,000</w:t>
      </w:r>
      <w:r w:rsidR="00F55040" w:rsidRPr="003B6A69">
        <w:rPr>
          <w:rFonts w:asciiTheme="minorHAnsi" w:hAnsiTheme="minorHAnsi" w:cs="Calibri"/>
          <w:bCs/>
          <w:iCs/>
          <w:szCs w:val="20"/>
          <w:lang w:val="sr-Latn-ME"/>
        </w:rPr>
        <w:t xml:space="preserve"> ha)</w:t>
      </w:r>
      <w:r w:rsidRPr="003B6A69">
        <w:rPr>
          <w:rFonts w:asciiTheme="minorHAnsi" w:hAnsiTheme="minorHAnsi" w:cs="Calibri"/>
          <w:bCs/>
          <w:iCs/>
          <w:szCs w:val="20"/>
          <w:lang w:val="sr-Latn-ME"/>
        </w:rPr>
        <w:t xml:space="preserve">. </w:t>
      </w:r>
    </w:p>
    <w:p w14:paraId="3C53A524" w14:textId="4597B98F" w:rsidR="008B0101" w:rsidRPr="003B6A69" w:rsidRDefault="008B0101" w:rsidP="003C6B7B">
      <w:pPr>
        <w:numPr>
          <w:ilvl w:val="0"/>
          <w:numId w:val="20"/>
        </w:numPr>
        <w:tabs>
          <w:tab w:val="left" w:pos="426"/>
        </w:tabs>
        <w:spacing w:after="120" w:line="259" w:lineRule="auto"/>
        <w:jc w:val="left"/>
        <w:rPr>
          <w:rFonts w:asciiTheme="minorHAnsi" w:hAnsiTheme="minorHAnsi" w:cs="Calibri"/>
          <w:bCs/>
          <w:iCs/>
          <w:szCs w:val="20"/>
          <w:lang w:val="sr-Latn-ME"/>
        </w:rPr>
      </w:pPr>
      <w:r w:rsidRPr="003B6A69">
        <w:rPr>
          <w:rFonts w:asciiTheme="minorHAnsi" w:hAnsiTheme="minorHAnsi" w:cs="Calibri"/>
          <w:bCs/>
          <w:iCs/>
          <w:szCs w:val="20"/>
          <w:lang w:val="sr-Latn-ME"/>
        </w:rPr>
        <w:t>Rumija:</w:t>
      </w:r>
      <w:r w:rsidR="00EA474D" w:rsidRPr="003B6A69">
        <w:rPr>
          <w:rFonts w:asciiTheme="minorHAnsi" w:hAnsiTheme="minorHAnsi" w:cs="Calibri"/>
          <w:bCs/>
          <w:iCs/>
          <w:szCs w:val="20"/>
          <w:lang w:val="sr-Latn-ME"/>
        </w:rPr>
        <w:t xml:space="preserve"> </w:t>
      </w:r>
      <w:r w:rsidRPr="003B6A69">
        <w:rPr>
          <w:rFonts w:asciiTheme="minorHAnsi" w:hAnsiTheme="minorHAnsi" w:cs="Calibri"/>
          <w:bCs/>
          <w:iCs/>
          <w:szCs w:val="20"/>
          <w:lang w:val="sr-Latn-ME"/>
        </w:rPr>
        <w:t xml:space="preserve">takes the second place of priority areas, as in the Spatial Plan of Montenegro it is proposed to be declared a regional park, and it is part of the EMERALD network in Montenegro. Estimated surface area: 20, 000 ha. </w:t>
      </w:r>
    </w:p>
    <w:p w14:paraId="4C8C7440" w14:textId="39E716A6" w:rsidR="00BF2F47" w:rsidRPr="003B6A69" w:rsidRDefault="00F55040" w:rsidP="003C6B7B">
      <w:pPr>
        <w:numPr>
          <w:ilvl w:val="0"/>
          <w:numId w:val="20"/>
        </w:numPr>
        <w:rPr>
          <w:rFonts w:asciiTheme="minorHAnsi" w:hAnsiTheme="minorHAnsi" w:cs="Calibri"/>
          <w:bCs/>
          <w:iCs/>
          <w:szCs w:val="20"/>
          <w:lang w:val="sr-Latn-ME"/>
        </w:rPr>
      </w:pPr>
      <w:r w:rsidRPr="003B6A69">
        <w:rPr>
          <w:rFonts w:asciiTheme="minorHAnsi" w:hAnsiTheme="minorHAnsi" w:cs="Calibri"/>
          <w:bCs/>
          <w:iCs/>
          <w:szCs w:val="20"/>
          <w:lang w:val="sr-Latn-ME"/>
        </w:rPr>
        <w:t>Sinjajevina:</w:t>
      </w:r>
      <w:r w:rsidR="00BF2F47" w:rsidRPr="003B6A69">
        <w:rPr>
          <w:rFonts w:asciiTheme="minorHAnsi" w:hAnsiTheme="minorHAnsi" w:cs="Calibri"/>
          <w:bCs/>
          <w:iCs/>
          <w:szCs w:val="20"/>
          <w:lang w:val="sr-Latn-ME"/>
        </w:rPr>
        <w:t xml:space="preserve"> </w:t>
      </w:r>
      <w:r w:rsidR="00EA474D" w:rsidRPr="003B6A69">
        <w:rPr>
          <w:rFonts w:asciiTheme="minorHAnsi" w:hAnsiTheme="minorHAnsi" w:cs="Calibri"/>
          <w:bCs/>
          <w:iCs/>
          <w:szCs w:val="20"/>
          <w:lang w:val="sr-Latn-ME"/>
        </w:rPr>
        <w:t>56 163 ha;</w:t>
      </w:r>
      <w:r w:rsidR="00BF2F47" w:rsidRPr="003B6A69">
        <w:rPr>
          <w:rFonts w:asciiTheme="minorHAnsi" w:hAnsiTheme="minorHAnsi" w:cs="Calibri"/>
          <w:bCs/>
          <w:iCs/>
          <w:szCs w:val="20"/>
          <w:lang w:val="sr-Latn-ME"/>
        </w:rPr>
        <w:t xml:space="preserve"> </w:t>
      </w:r>
      <w:r w:rsidR="00EA474D" w:rsidRPr="003B6A69">
        <w:rPr>
          <w:rFonts w:asciiTheme="minorHAnsi" w:hAnsiTheme="minorHAnsi" w:cs="Calibri"/>
          <w:bCs/>
          <w:iCs/>
          <w:szCs w:val="20"/>
          <w:lang w:val="sr-Latn-ME"/>
        </w:rPr>
        <w:t>t</w:t>
      </w:r>
      <w:r w:rsidRPr="003B6A69">
        <w:rPr>
          <w:rFonts w:asciiTheme="minorHAnsi" w:hAnsiTheme="minorHAnsi" w:cs="Calibri"/>
          <w:bCs/>
          <w:iCs/>
          <w:szCs w:val="20"/>
          <w:lang w:val="sr-Latn-ME"/>
        </w:rPr>
        <w:t xml:space="preserve">he project will co-finance 50% </w:t>
      </w:r>
    </w:p>
    <w:p w14:paraId="6FF33D67" w14:textId="0BB349FA" w:rsidR="008B0101" w:rsidRPr="003B6A69" w:rsidRDefault="008B0101" w:rsidP="003C6B7B">
      <w:pPr>
        <w:numPr>
          <w:ilvl w:val="0"/>
          <w:numId w:val="20"/>
        </w:numPr>
        <w:tabs>
          <w:tab w:val="left" w:pos="426"/>
        </w:tabs>
        <w:spacing w:after="120" w:line="259" w:lineRule="auto"/>
        <w:jc w:val="left"/>
        <w:rPr>
          <w:rFonts w:asciiTheme="minorHAnsi" w:hAnsiTheme="minorHAnsi" w:cs="Calibri"/>
          <w:bCs/>
          <w:iCs/>
          <w:szCs w:val="20"/>
          <w:lang w:val="sr-Latn-ME"/>
        </w:rPr>
      </w:pPr>
      <w:r w:rsidRPr="003B6A69">
        <w:rPr>
          <w:rFonts w:asciiTheme="minorHAnsi" w:hAnsiTheme="minorHAnsi" w:cs="Calibri"/>
          <w:bCs/>
          <w:iCs/>
          <w:szCs w:val="20"/>
          <w:lang w:val="sr-Latn-ME"/>
        </w:rPr>
        <w:lastRenderedPageBreak/>
        <w:t>Bojana River, Đalovića gorge, Mrtvice canyon, Golija and Ledenice, Visitor and Zeletin are areas that are fairly equal in priority for research, because they are part of the EMERALD network, but are not proposed for protection in the Spatial Plan of Montenegro. The Nature Protection Agency planned to conduct research on Visitor</w:t>
      </w:r>
      <w:r w:rsidRPr="003B6A69">
        <w:rPr>
          <w:rFonts w:asciiTheme="minorHAnsi" w:eastAsiaTheme="minorHAnsi" w:hAnsiTheme="minorHAnsi" w:cstheme="minorBidi"/>
          <w:szCs w:val="20"/>
        </w:rPr>
        <w:t xml:space="preserve"> </w:t>
      </w:r>
      <w:r w:rsidRPr="003B6A69">
        <w:rPr>
          <w:rFonts w:asciiTheme="minorHAnsi" w:hAnsiTheme="minorHAnsi" w:cs="Calibri"/>
          <w:bCs/>
          <w:iCs/>
          <w:szCs w:val="20"/>
          <w:lang w:val="sr-Latn-ME"/>
        </w:rPr>
        <w:t xml:space="preserve">and Zeletin in 2020 within the NATURA 2000 project; which will start in June 2020. Depending on the progress and as requested by the MSDT, the UNDP-GEF project will cover the remaining gaps. </w:t>
      </w:r>
      <w:r w:rsidR="00EA474D" w:rsidRPr="003B6A69">
        <w:rPr>
          <w:rFonts w:asciiTheme="minorHAnsi" w:hAnsiTheme="minorHAnsi" w:cs="Calibri"/>
          <w:bCs/>
          <w:iCs/>
          <w:szCs w:val="20"/>
          <w:lang w:val="sr-Latn-ME"/>
        </w:rPr>
        <w:t xml:space="preserve">Estimated area: </w:t>
      </w:r>
    </w:p>
    <w:p w14:paraId="618784C3" w14:textId="7250A71D" w:rsidR="008B0101" w:rsidRPr="003B6A69" w:rsidRDefault="008B0101" w:rsidP="008B0101">
      <w:pPr>
        <w:tabs>
          <w:tab w:val="left" w:pos="426"/>
        </w:tabs>
        <w:spacing w:after="120"/>
        <w:ind w:left="720"/>
        <w:rPr>
          <w:rFonts w:asciiTheme="minorHAnsi" w:hAnsiTheme="minorHAnsi" w:cs="Calibri"/>
          <w:bCs/>
          <w:iCs/>
          <w:szCs w:val="20"/>
          <w:lang w:val="sr-Latn-ME"/>
        </w:rPr>
      </w:pPr>
      <w:r w:rsidRPr="003B6A69">
        <w:rPr>
          <w:rFonts w:asciiTheme="minorHAnsi" w:hAnsiTheme="minorHAnsi" w:cs="Calibri"/>
          <w:bCs/>
          <w:iCs/>
          <w:szCs w:val="20"/>
          <w:lang w:val="sr-Latn-ME"/>
        </w:rPr>
        <w:tab/>
        <w:t xml:space="preserve">Bojana – 3 000 ha, </w:t>
      </w:r>
    </w:p>
    <w:p w14:paraId="26FD1FDB" w14:textId="1B2804A4" w:rsidR="008B0101" w:rsidRPr="003B6A69" w:rsidRDefault="008B0101" w:rsidP="008B0101">
      <w:pPr>
        <w:tabs>
          <w:tab w:val="left" w:pos="426"/>
        </w:tabs>
        <w:spacing w:after="120"/>
        <w:ind w:left="720"/>
        <w:rPr>
          <w:rFonts w:asciiTheme="minorHAnsi" w:hAnsiTheme="minorHAnsi" w:cs="Calibri"/>
          <w:bCs/>
          <w:iCs/>
          <w:szCs w:val="20"/>
          <w:lang w:val="sr-Latn-ME"/>
        </w:rPr>
      </w:pPr>
      <w:r w:rsidRPr="003B6A69">
        <w:rPr>
          <w:rFonts w:asciiTheme="minorHAnsi" w:hAnsiTheme="minorHAnsi" w:cs="Calibri"/>
          <w:bCs/>
          <w:iCs/>
          <w:szCs w:val="20"/>
          <w:lang w:val="sr-Latn-ME"/>
        </w:rPr>
        <w:tab/>
        <w:t>Đalovića gorge – 200 ha,</w:t>
      </w:r>
    </w:p>
    <w:p w14:paraId="57BBE76E" w14:textId="6946B9DA" w:rsidR="008B0101" w:rsidRPr="003B6A69" w:rsidRDefault="008B0101" w:rsidP="008B0101">
      <w:pPr>
        <w:tabs>
          <w:tab w:val="left" w:pos="426"/>
        </w:tabs>
        <w:spacing w:after="120"/>
        <w:ind w:left="720"/>
        <w:rPr>
          <w:rFonts w:asciiTheme="minorHAnsi" w:hAnsiTheme="minorHAnsi" w:cs="Calibri"/>
          <w:bCs/>
          <w:iCs/>
          <w:szCs w:val="20"/>
          <w:lang w:val="sr-Latn-ME"/>
        </w:rPr>
      </w:pPr>
      <w:r w:rsidRPr="003B6A69">
        <w:rPr>
          <w:rFonts w:asciiTheme="minorHAnsi" w:hAnsiTheme="minorHAnsi" w:cs="Calibri"/>
          <w:bCs/>
          <w:iCs/>
          <w:szCs w:val="20"/>
          <w:lang w:val="sr-Latn-ME"/>
        </w:rPr>
        <w:tab/>
        <w:t xml:space="preserve">Mrtvica canyon – 3 000 ha, </w:t>
      </w:r>
    </w:p>
    <w:p w14:paraId="5EAA3CC1" w14:textId="5954DBD3" w:rsidR="008B0101" w:rsidRPr="003B6A69" w:rsidRDefault="008B0101" w:rsidP="008B0101">
      <w:pPr>
        <w:tabs>
          <w:tab w:val="left" w:pos="426"/>
        </w:tabs>
        <w:spacing w:after="120"/>
        <w:ind w:left="720"/>
        <w:rPr>
          <w:rFonts w:asciiTheme="minorHAnsi" w:hAnsiTheme="minorHAnsi" w:cs="Calibri"/>
          <w:bCs/>
          <w:iCs/>
          <w:szCs w:val="20"/>
          <w:lang w:val="sr-Latn-ME"/>
        </w:rPr>
      </w:pPr>
      <w:r w:rsidRPr="003B6A69">
        <w:rPr>
          <w:rFonts w:asciiTheme="minorHAnsi" w:hAnsiTheme="minorHAnsi" w:cs="Calibri"/>
          <w:bCs/>
          <w:iCs/>
          <w:szCs w:val="20"/>
          <w:lang w:val="sr-Latn-ME"/>
        </w:rPr>
        <w:tab/>
        <w:t xml:space="preserve">Golija and Ledenice – 20 000 ha, </w:t>
      </w:r>
    </w:p>
    <w:p w14:paraId="727170BB" w14:textId="2782229E" w:rsidR="008B0101" w:rsidRPr="003B6A69" w:rsidRDefault="008B0101" w:rsidP="008B0101">
      <w:pPr>
        <w:tabs>
          <w:tab w:val="left" w:pos="426"/>
        </w:tabs>
        <w:spacing w:after="120"/>
        <w:ind w:left="720"/>
        <w:rPr>
          <w:rFonts w:asciiTheme="minorHAnsi" w:hAnsiTheme="minorHAnsi" w:cs="Calibri"/>
          <w:bCs/>
          <w:iCs/>
          <w:szCs w:val="20"/>
          <w:lang w:val="sr-Latn-ME"/>
        </w:rPr>
      </w:pPr>
      <w:r w:rsidRPr="003B6A69">
        <w:rPr>
          <w:rFonts w:asciiTheme="minorHAnsi" w:hAnsiTheme="minorHAnsi" w:cs="Calibri"/>
          <w:bCs/>
          <w:iCs/>
          <w:szCs w:val="20"/>
          <w:lang w:val="sr-Latn-ME"/>
        </w:rPr>
        <w:tab/>
        <w:t xml:space="preserve">Visitor and Zeletin – 5 000 ha, </w:t>
      </w:r>
    </w:p>
    <w:p w14:paraId="3A756676" w14:textId="0EFD27C7" w:rsidR="005036DD" w:rsidRPr="003B6A69" w:rsidRDefault="008B0101" w:rsidP="003C6B7B">
      <w:pPr>
        <w:numPr>
          <w:ilvl w:val="0"/>
          <w:numId w:val="41"/>
        </w:numPr>
        <w:tabs>
          <w:tab w:val="left" w:pos="426"/>
        </w:tabs>
        <w:spacing w:after="120"/>
        <w:ind w:left="0" w:firstLine="0"/>
        <w:rPr>
          <w:rFonts w:cs="Calibri"/>
          <w:bCs/>
          <w:szCs w:val="20"/>
          <w:lang w:val="en-GB"/>
        </w:rPr>
      </w:pPr>
      <w:r w:rsidRPr="003B6A69">
        <w:rPr>
          <w:rFonts w:asciiTheme="minorHAnsi" w:hAnsiTheme="minorHAnsi" w:cs="Calibri"/>
          <w:bCs/>
          <w:iCs/>
          <w:szCs w:val="20"/>
          <w:lang w:val="sr-Latn-ME"/>
        </w:rPr>
        <w:t>To follow international principles for analysing the values of Key Biodiversity Areas (KBAs)</w:t>
      </w:r>
      <w:r w:rsidRPr="003B6A69">
        <w:rPr>
          <w:rFonts w:asciiTheme="minorHAnsi" w:hAnsiTheme="minorHAnsi" w:cs="Calibri"/>
          <w:bCs/>
          <w:iCs/>
          <w:szCs w:val="20"/>
          <w:vertAlign w:val="superscript"/>
          <w:lang w:val="sr-Latn-ME"/>
        </w:rPr>
        <w:footnoteReference w:id="5"/>
      </w:r>
      <w:r w:rsidRPr="003B6A69">
        <w:rPr>
          <w:rFonts w:asciiTheme="minorHAnsi" w:hAnsiTheme="minorHAnsi" w:cs="Calibri"/>
          <w:bCs/>
          <w:iCs/>
          <w:szCs w:val="20"/>
          <w:lang w:val="sr-Latn-ME"/>
        </w:rPr>
        <w:t xml:space="preserve"> the research on the relationship between the above-stated potential KBAs and habitats/protected areas should be undertaken to produce the specific KBA area map with a clear connection with habitat values/criteria, in the following categories: </w:t>
      </w:r>
    </w:p>
    <w:p w14:paraId="369926C1" w14:textId="77777777" w:rsidR="008B0101" w:rsidRPr="003B6A69" w:rsidRDefault="008B0101" w:rsidP="008B0101">
      <w:pPr>
        <w:tabs>
          <w:tab w:val="left" w:pos="426"/>
        </w:tabs>
        <w:spacing w:after="120"/>
        <w:rPr>
          <w:rFonts w:cs="Calibri"/>
          <w:bCs/>
          <w:szCs w:val="20"/>
          <w:lang w:val="sr-Latn-ME"/>
        </w:rPr>
      </w:pPr>
      <w:r w:rsidRPr="003B6A69">
        <w:rPr>
          <w:rFonts w:cs="Calibri"/>
          <w:bCs/>
          <w:szCs w:val="20"/>
          <w:lang w:val="sr-Latn-ME"/>
        </w:rPr>
        <w:t>a)</w:t>
      </w:r>
      <w:r w:rsidRPr="003B6A69">
        <w:rPr>
          <w:rFonts w:cs="Calibri"/>
          <w:bCs/>
          <w:szCs w:val="20"/>
          <w:lang w:val="sr-Latn-ME"/>
        </w:rPr>
        <w:tab/>
        <w:t>habitat of significant importance to Critically Endangered and/or Endangered species;</w:t>
      </w:r>
    </w:p>
    <w:p w14:paraId="2C708ABD" w14:textId="77777777" w:rsidR="008B0101" w:rsidRPr="003B6A69" w:rsidRDefault="008B0101" w:rsidP="008B0101">
      <w:pPr>
        <w:tabs>
          <w:tab w:val="left" w:pos="426"/>
        </w:tabs>
        <w:spacing w:after="120"/>
        <w:rPr>
          <w:rFonts w:cs="Calibri"/>
          <w:bCs/>
          <w:szCs w:val="20"/>
          <w:lang w:val="sr-Latn-ME"/>
        </w:rPr>
      </w:pPr>
      <w:r w:rsidRPr="003B6A69">
        <w:rPr>
          <w:rFonts w:cs="Calibri"/>
          <w:bCs/>
          <w:szCs w:val="20"/>
          <w:lang w:val="sr-Latn-ME"/>
        </w:rPr>
        <w:t>b)</w:t>
      </w:r>
      <w:r w:rsidRPr="003B6A69">
        <w:rPr>
          <w:rFonts w:cs="Calibri"/>
          <w:bCs/>
          <w:szCs w:val="20"/>
          <w:lang w:val="sr-Latn-ME"/>
        </w:rPr>
        <w:tab/>
        <w:t>habitat of significant importance to endemic and/or restricted-range species;</w:t>
      </w:r>
    </w:p>
    <w:p w14:paraId="74873937" w14:textId="6A5EC5CE" w:rsidR="008B0101" w:rsidRPr="003B6A69" w:rsidRDefault="008B0101" w:rsidP="008B0101">
      <w:pPr>
        <w:tabs>
          <w:tab w:val="left" w:pos="426"/>
        </w:tabs>
        <w:spacing w:after="120"/>
        <w:rPr>
          <w:rFonts w:cs="Calibri"/>
          <w:bCs/>
          <w:szCs w:val="20"/>
          <w:lang w:val="sr-Latn-ME"/>
        </w:rPr>
      </w:pPr>
      <w:r w:rsidRPr="003B6A69">
        <w:rPr>
          <w:rFonts w:cs="Calibri"/>
          <w:bCs/>
          <w:szCs w:val="20"/>
          <w:lang w:val="sr-Latn-ME"/>
        </w:rPr>
        <w:t>c)</w:t>
      </w:r>
      <w:r w:rsidRPr="003B6A69">
        <w:rPr>
          <w:rFonts w:cs="Calibri"/>
          <w:bCs/>
          <w:szCs w:val="20"/>
          <w:lang w:val="sr-Latn-ME"/>
        </w:rPr>
        <w:tab/>
        <w:t>habitat supporting globally significant concentrations of migratory species and/or congregat</w:t>
      </w:r>
      <w:r w:rsidR="00A75B9B" w:rsidRPr="003B6A69">
        <w:rPr>
          <w:rFonts w:cs="Calibri"/>
          <w:bCs/>
          <w:szCs w:val="20"/>
          <w:lang w:val="sr-Latn-ME"/>
        </w:rPr>
        <w:t>ion</w:t>
      </w:r>
      <w:r w:rsidRPr="003B6A69">
        <w:rPr>
          <w:rFonts w:cs="Calibri"/>
          <w:bCs/>
          <w:szCs w:val="20"/>
          <w:lang w:val="sr-Latn-ME"/>
        </w:rPr>
        <w:t xml:space="preserve"> species;</w:t>
      </w:r>
    </w:p>
    <w:p w14:paraId="02AAFAE8" w14:textId="77777777" w:rsidR="008B0101" w:rsidRPr="003B6A69" w:rsidRDefault="008B0101" w:rsidP="008B0101">
      <w:pPr>
        <w:tabs>
          <w:tab w:val="left" w:pos="426"/>
        </w:tabs>
        <w:spacing w:after="120"/>
        <w:rPr>
          <w:rFonts w:cs="Calibri"/>
          <w:bCs/>
          <w:szCs w:val="20"/>
          <w:lang w:val="sr-Latn-ME"/>
        </w:rPr>
      </w:pPr>
      <w:r w:rsidRPr="003B6A69">
        <w:rPr>
          <w:rFonts w:cs="Calibri"/>
          <w:bCs/>
          <w:szCs w:val="20"/>
          <w:lang w:val="sr-Latn-ME"/>
        </w:rPr>
        <w:t>d)</w:t>
      </w:r>
      <w:r w:rsidRPr="003B6A69">
        <w:rPr>
          <w:rFonts w:cs="Calibri"/>
          <w:bCs/>
          <w:szCs w:val="20"/>
          <w:lang w:val="sr-Latn-ME"/>
        </w:rPr>
        <w:tab/>
        <w:t>highly threatened and/or unique ecosystems; and</w:t>
      </w:r>
    </w:p>
    <w:p w14:paraId="20EBAE13" w14:textId="74683693" w:rsidR="008B0101" w:rsidRPr="003B6A69" w:rsidRDefault="008B0101" w:rsidP="008B0101">
      <w:pPr>
        <w:tabs>
          <w:tab w:val="left" w:pos="426"/>
        </w:tabs>
        <w:spacing w:after="120"/>
        <w:rPr>
          <w:rFonts w:cs="Calibri"/>
          <w:bCs/>
          <w:szCs w:val="20"/>
          <w:lang w:val="sr-Latn-ME"/>
        </w:rPr>
      </w:pPr>
      <w:r w:rsidRPr="003B6A69">
        <w:rPr>
          <w:rFonts w:cs="Calibri"/>
          <w:bCs/>
          <w:szCs w:val="20"/>
          <w:lang w:val="sr-Latn-ME"/>
        </w:rPr>
        <w:t>e)</w:t>
      </w:r>
      <w:r w:rsidRPr="003B6A69">
        <w:rPr>
          <w:rFonts w:cs="Calibri"/>
          <w:bCs/>
          <w:szCs w:val="20"/>
          <w:lang w:val="sr-Latn-ME"/>
        </w:rPr>
        <w:tab/>
        <w:t>areas associated with key evolutionary processes.</w:t>
      </w:r>
    </w:p>
    <w:p w14:paraId="67E85368" w14:textId="77777777" w:rsidR="00E3185E" w:rsidRPr="003B6A69" w:rsidRDefault="00E3185E" w:rsidP="003C6B7B">
      <w:pPr>
        <w:numPr>
          <w:ilvl w:val="0"/>
          <w:numId w:val="41"/>
        </w:numPr>
        <w:tabs>
          <w:tab w:val="left" w:pos="426"/>
        </w:tabs>
        <w:spacing w:after="120"/>
        <w:ind w:left="0" w:firstLine="0"/>
        <w:rPr>
          <w:rFonts w:cs="Calibri"/>
          <w:bCs/>
          <w:szCs w:val="20"/>
          <w:lang w:val="en-GB"/>
        </w:rPr>
      </w:pPr>
      <w:r w:rsidRPr="003B6A69">
        <w:rPr>
          <w:rFonts w:cs="Calibri"/>
          <w:bCs/>
          <w:szCs w:val="20"/>
          <w:lang w:val="sr-Latn-ME"/>
        </w:rPr>
        <w:t>The proposed methodology</w:t>
      </w:r>
      <w:r w:rsidRPr="003B6A69">
        <w:rPr>
          <w:rFonts w:cs="Calibri"/>
          <w:b/>
          <w:bCs/>
          <w:szCs w:val="20"/>
          <w:lang w:val="sr-Latn-ME"/>
        </w:rPr>
        <w:t xml:space="preserve"> </w:t>
      </w:r>
      <w:r w:rsidRPr="003B6A69">
        <w:rPr>
          <w:rFonts w:cs="Calibri"/>
          <w:bCs/>
          <w:szCs w:val="20"/>
          <w:lang w:val="sr-Latn-ME"/>
        </w:rPr>
        <w:t>to be used during the research is as follows</w:t>
      </w:r>
      <w:r w:rsidRPr="003B6A69">
        <w:rPr>
          <w:rFonts w:cs="Calibri"/>
          <w:bCs/>
          <w:szCs w:val="20"/>
          <w:lang w:val="en-GB"/>
        </w:rPr>
        <w:t>:</w:t>
      </w:r>
    </w:p>
    <w:p w14:paraId="08116E89" w14:textId="77777777" w:rsidR="00E3185E" w:rsidRPr="003B6A69" w:rsidRDefault="00E3185E" w:rsidP="00E3185E">
      <w:pPr>
        <w:tabs>
          <w:tab w:val="left" w:pos="426"/>
        </w:tabs>
        <w:spacing w:after="120"/>
        <w:rPr>
          <w:rFonts w:cs="Calibri"/>
          <w:bCs/>
          <w:szCs w:val="20"/>
          <w:lang w:val="en-GB"/>
        </w:rPr>
      </w:pPr>
      <w:r w:rsidRPr="003B6A69">
        <w:rPr>
          <w:rFonts w:cs="Calibri"/>
          <w:bCs/>
          <w:szCs w:val="20"/>
          <w:lang w:val="en-GB"/>
        </w:rPr>
        <w:t>-</w:t>
      </w:r>
      <w:r w:rsidRPr="003B6A69">
        <w:rPr>
          <w:rFonts w:cs="Calibri"/>
          <w:bCs/>
          <w:szCs w:val="20"/>
          <w:lang w:val="en-GB"/>
        </w:rPr>
        <w:tab/>
        <w:t xml:space="preserve">It is very important to plan the research so that it is realized during (at least) one vegetation season for plants, </w:t>
      </w:r>
      <w:proofErr w:type="gramStart"/>
      <w:r w:rsidRPr="003B6A69">
        <w:rPr>
          <w:rFonts w:cs="Calibri"/>
          <w:bCs/>
          <w:szCs w:val="20"/>
          <w:lang w:val="en-GB"/>
        </w:rPr>
        <w:t>i.e.</w:t>
      </w:r>
      <w:proofErr w:type="gramEnd"/>
      <w:r w:rsidRPr="003B6A69">
        <w:rPr>
          <w:rFonts w:cs="Calibri"/>
          <w:bCs/>
          <w:szCs w:val="20"/>
          <w:lang w:val="en-GB"/>
        </w:rPr>
        <w:t xml:space="preserve"> during optimal activities of different animal groups. In Montenegro, the period March (beginning) - November shows the largest number of plants and animals.</w:t>
      </w:r>
    </w:p>
    <w:p w14:paraId="1FCA28A1" w14:textId="3A90C0F0" w:rsidR="00E3185E" w:rsidRPr="003B6A69" w:rsidRDefault="00E3185E" w:rsidP="00E3185E">
      <w:pPr>
        <w:tabs>
          <w:tab w:val="left" w:pos="426"/>
        </w:tabs>
        <w:spacing w:after="120"/>
        <w:rPr>
          <w:rFonts w:cs="Calibri"/>
          <w:bCs/>
          <w:szCs w:val="20"/>
          <w:lang w:val="en-GB"/>
        </w:rPr>
      </w:pPr>
      <w:r w:rsidRPr="003B6A69">
        <w:rPr>
          <w:rFonts w:cs="Calibri"/>
          <w:bCs/>
          <w:szCs w:val="20"/>
          <w:lang w:val="en-GB"/>
        </w:rPr>
        <w:t>-</w:t>
      </w:r>
      <w:r w:rsidRPr="003B6A69">
        <w:rPr>
          <w:rFonts w:cs="Calibri"/>
          <w:bCs/>
          <w:szCs w:val="20"/>
          <w:lang w:val="en-GB"/>
        </w:rPr>
        <w:tab/>
        <w:t xml:space="preserve">The research should cover all components of biodiversity (plants, animals, fungi, algae) and habitats and species covered by the </w:t>
      </w:r>
      <w:r w:rsidR="00336CF6" w:rsidRPr="003B6A69">
        <w:rPr>
          <w:rFonts w:cs="Calibri"/>
          <w:bCs/>
          <w:szCs w:val="20"/>
          <w:lang w:val="en-GB"/>
        </w:rPr>
        <w:t xml:space="preserve">EU </w:t>
      </w:r>
      <w:r w:rsidRPr="003B6A69">
        <w:rPr>
          <w:rFonts w:cs="Calibri"/>
          <w:bCs/>
          <w:szCs w:val="20"/>
          <w:lang w:val="en-GB"/>
        </w:rPr>
        <w:t>Habitats Directive.</w:t>
      </w:r>
    </w:p>
    <w:p w14:paraId="29857E6F" w14:textId="77777777" w:rsidR="00E3185E" w:rsidRPr="003B6A69" w:rsidRDefault="00E3185E" w:rsidP="00E3185E">
      <w:pPr>
        <w:tabs>
          <w:tab w:val="left" w:pos="426"/>
        </w:tabs>
        <w:spacing w:after="120"/>
        <w:rPr>
          <w:rFonts w:cs="Calibri"/>
          <w:bCs/>
          <w:szCs w:val="20"/>
          <w:lang w:val="en-GB"/>
        </w:rPr>
      </w:pPr>
      <w:r w:rsidRPr="003B6A69">
        <w:rPr>
          <w:rFonts w:cs="Calibri"/>
          <w:bCs/>
          <w:szCs w:val="20"/>
          <w:lang w:val="en-GB"/>
        </w:rPr>
        <w:t>-</w:t>
      </w:r>
      <w:r w:rsidRPr="003B6A69">
        <w:rPr>
          <w:rFonts w:cs="Calibri"/>
          <w:bCs/>
          <w:szCs w:val="20"/>
          <w:lang w:val="en-GB"/>
        </w:rPr>
        <w:tab/>
        <w:t>For habitat research, it is best to use the methodology of predefined polygons, which means preparing polygons in GIS before going to the field. The accuracy of the drawn polygons is checked in the field and precise data on the floristic composition and representativeness of the habitat are taken.</w:t>
      </w:r>
    </w:p>
    <w:p w14:paraId="38C7D3B7" w14:textId="7642E1ED" w:rsidR="00E3185E" w:rsidRPr="003B6A69" w:rsidRDefault="00E3185E" w:rsidP="00E3185E">
      <w:pPr>
        <w:tabs>
          <w:tab w:val="left" w:pos="426"/>
        </w:tabs>
        <w:spacing w:after="120"/>
        <w:rPr>
          <w:rFonts w:cs="Calibri"/>
          <w:bCs/>
          <w:szCs w:val="20"/>
          <w:lang w:val="en-GB"/>
        </w:rPr>
      </w:pPr>
      <w:r w:rsidRPr="003B6A69">
        <w:rPr>
          <w:rFonts w:cs="Calibri"/>
          <w:bCs/>
          <w:szCs w:val="20"/>
          <w:lang w:val="en-GB"/>
        </w:rPr>
        <w:t>-</w:t>
      </w:r>
      <w:r w:rsidRPr="003B6A69">
        <w:rPr>
          <w:rFonts w:cs="Calibri"/>
          <w:bCs/>
          <w:szCs w:val="20"/>
          <w:lang w:val="en-GB"/>
        </w:rPr>
        <w:tab/>
        <w:t>During the research of species, it is necessary to pay special attention to the species from the Annexes to the Habitats Directive (primarily the species from Annex 2) and the species protected by national legislation. This implies not only recording the presence of the species but also distribution and estimating the size of the population and the main endangerment factors.</w:t>
      </w:r>
    </w:p>
    <w:p w14:paraId="69EC682E" w14:textId="5DBEA814" w:rsidR="005036DD" w:rsidRPr="003B6A69" w:rsidRDefault="00E3185E" w:rsidP="003C6B7B">
      <w:pPr>
        <w:numPr>
          <w:ilvl w:val="0"/>
          <w:numId w:val="41"/>
        </w:numPr>
        <w:tabs>
          <w:tab w:val="left" w:pos="426"/>
        </w:tabs>
        <w:spacing w:after="120"/>
        <w:ind w:left="0" w:firstLine="0"/>
        <w:rPr>
          <w:rFonts w:cs="Calibri"/>
          <w:bCs/>
          <w:szCs w:val="20"/>
          <w:lang w:val="en-GB"/>
        </w:rPr>
      </w:pPr>
      <w:r w:rsidRPr="003B6A69">
        <w:rPr>
          <w:rFonts w:cs="Calibri"/>
          <w:bCs/>
          <w:iCs/>
          <w:szCs w:val="20"/>
          <w:lang w:val="sr-Latn-ME"/>
        </w:rPr>
        <w:t>The research and studies supported by the project will allow for the mapping of specific KBAs based on significa</w:t>
      </w:r>
      <w:r w:rsidR="00A75B9B" w:rsidRPr="003B6A69">
        <w:rPr>
          <w:rFonts w:cs="Calibri"/>
          <w:bCs/>
          <w:iCs/>
          <w:szCs w:val="20"/>
          <w:lang w:val="sr-Latn-ME"/>
        </w:rPr>
        <w:t>n</w:t>
      </w:r>
      <w:r w:rsidRPr="003B6A69">
        <w:rPr>
          <w:rFonts w:cs="Calibri"/>
          <w:bCs/>
          <w:iCs/>
          <w:szCs w:val="20"/>
          <w:lang w:val="sr-Latn-ME"/>
        </w:rPr>
        <w:t>t factors and their relation to the habitat/biod</w:t>
      </w:r>
      <w:r w:rsidR="00A75B9B" w:rsidRPr="003B6A69">
        <w:rPr>
          <w:rFonts w:cs="Calibri"/>
          <w:bCs/>
          <w:iCs/>
          <w:szCs w:val="20"/>
          <w:lang w:val="sr-Latn-ME"/>
        </w:rPr>
        <w:t>i</w:t>
      </w:r>
      <w:r w:rsidRPr="003B6A69">
        <w:rPr>
          <w:rFonts w:cs="Calibri"/>
          <w:bCs/>
          <w:iCs/>
          <w:szCs w:val="20"/>
          <w:lang w:val="sr-Latn-ME"/>
        </w:rPr>
        <w:t xml:space="preserve">versity values. This will serve </w:t>
      </w:r>
      <w:r w:rsidR="00A75B9B" w:rsidRPr="003B6A69">
        <w:rPr>
          <w:rFonts w:cs="Calibri"/>
          <w:bCs/>
          <w:iCs/>
          <w:szCs w:val="20"/>
          <w:lang w:val="sr-Latn-ME"/>
        </w:rPr>
        <w:t xml:space="preserve">as </w:t>
      </w:r>
      <w:r w:rsidRPr="003B6A69">
        <w:rPr>
          <w:rFonts w:cs="Calibri"/>
          <w:bCs/>
          <w:iCs/>
          <w:szCs w:val="20"/>
          <w:lang w:val="sr-Latn-ME"/>
        </w:rPr>
        <w:t>the basis for management of such areas and planning of</w:t>
      </w:r>
      <w:r w:rsidR="00336CF6" w:rsidRPr="003B6A69">
        <w:rPr>
          <w:rFonts w:cs="Calibri"/>
          <w:bCs/>
          <w:iCs/>
          <w:szCs w:val="20"/>
          <w:lang w:val="sr-Latn-ME"/>
        </w:rPr>
        <w:t xml:space="preserve"> </w:t>
      </w:r>
      <w:r w:rsidRPr="003B6A69">
        <w:rPr>
          <w:rFonts w:cs="Calibri"/>
          <w:bCs/>
          <w:iCs/>
          <w:szCs w:val="20"/>
          <w:lang w:val="sr-Latn-ME"/>
        </w:rPr>
        <w:t>actions to ensure the continuity of the biodiversity elements for which the location is important and minimi</w:t>
      </w:r>
      <w:r w:rsidR="00A75B9B" w:rsidRPr="003B6A69">
        <w:rPr>
          <w:rFonts w:cs="Calibri"/>
          <w:bCs/>
          <w:iCs/>
          <w:szCs w:val="20"/>
          <w:lang w:val="sr-Latn-ME"/>
        </w:rPr>
        <w:t>z</w:t>
      </w:r>
      <w:r w:rsidRPr="003B6A69">
        <w:rPr>
          <w:rFonts w:cs="Calibri"/>
          <w:bCs/>
          <w:iCs/>
          <w:szCs w:val="20"/>
          <w:lang w:val="sr-Latn-ME"/>
        </w:rPr>
        <w:t>e the negative impacts of economic activities related to spatial planning and development. The PPG experts came up with the following management recommendations:</w:t>
      </w:r>
    </w:p>
    <w:p w14:paraId="7E828CCB" w14:textId="47B3C6F2" w:rsidR="00E3185E" w:rsidRPr="003B6A69" w:rsidRDefault="00E3185E" w:rsidP="00E3185E">
      <w:pPr>
        <w:tabs>
          <w:tab w:val="left" w:pos="426"/>
        </w:tabs>
        <w:spacing w:after="120"/>
        <w:rPr>
          <w:rFonts w:cs="Calibri"/>
          <w:bCs/>
          <w:szCs w:val="20"/>
          <w:lang w:val="en-GB"/>
        </w:rPr>
      </w:pPr>
      <w:r w:rsidRPr="003B6A69">
        <w:rPr>
          <w:rFonts w:cs="Calibri"/>
          <w:bCs/>
          <w:szCs w:val="20"/>
          <w:lang w:val="en-GB"/>
        </w:rPr>
        <w:t>1.</w:t>
      </w:r>
      <w:r w:rsidRPr="003B6A69">
        <w:rPr>
          <w:rFonts w:cs="Calibri"/>
          <w:bCs/>
          <w:szCs w:val="20"/>
          <w:lang w:val="en-GB"/>
        </w:rPr>
        <w:tab/>
        <w:t>Based on the KBAs value, develop management and/or action plan(s) for the specific area to ensure protection and minimi</w:t>
      </w:r>
      <w:r w:rsidR="00A75B9B" w:rsidRPr="003B6A69">
        <w:rPr>
          <w:rFonts w:cs="Calibri"/>
          <w:bCs/>
          <w:szCs w:val="20"/>
          <w:lang w:val="en-GB"/>
        </w:rPr>
        <w:t>z</w:t>
      </w:r>
      <w:r w:rsidRPr="003B6A69">
        <w:rPr>
          <w:rFonts w:cs="Calibri"/>
          <w:bCs/>
          <w:szCs w:val="20"/>
          <w:lang w:val="en-GB"/>
        </w:rPr>
        <w:t>ing negative effects of potential development (include restrictions on activities at a site or biodiversity conservation targets that a land user might be expected to meet</w:t>
      </w:r>
      <w:proofErr w:type="gramStart"/>
      <w:r w:rsidRPr="003B6A69">
        <w:rPr>
          <w:rFonts w:cs="Calibri"/>
          <w:bCs/>
          <w:szCs w:val="20"/>
          <w:lang w:val="en-GB"/>
        </w:rPr>
        <w:t>);</w:t>
      </w:r>
      <w:proofErr w:type="gramEnd"/>
    </w:p>
    <w:p w14:paraId="71605655" w14:textId="56E40B4D" w:rsidR="00E3185E" w:rsidRPr="003B6A69" w:rsidRDefault="00E3185E" w:rsidP="00E3185E">
      <w:pPr>
        <w:tabs>
          <w:tab w:val="left" w:pos="426"/>
        </w:tabs>
        <w:spacing w:after="120"/>
        <w:rPr>
          <w:rFonts w:cs="Calibri"/>
          <w:bCs/>
          <w:szCs w:val="20"/>
          <w:lang w:val="en-GB"/>
        </w:rPr>
      </w:pPr>
      <w:r w:rsidRPr="003B6A69">
        <w:rPr>
          <w:rFonts w:cs="Calibri"/>
          <w:bCs/>
          <w:szCs w:val="20"/>
          <w:lang w:val="en-GB"/>
        </w:rPr>
        <w:t>2.</w:t>
      </w:r>
      <w:r w:rsidRPr="003B6A69">
        <w:rPr>
          <w:rFonts w:cs="Calibri"/>
          <w:bCs/>
          <w:szCs w:val="20"/>
          <w:lang w:val="en-GB"/>
        </w:rPr>
        <w:tab/>
        <w:t xml:space="preserve">Use the KBA value mapping to recommend </w:t>
      </w:r>
      <w:r w:rsidR="00A75B9B" w:rsidRPr="003B6A69">
        <w:rPr>
          <w:rFonts w:cs="Calibri"/>
          <w:bCs/>
          <w:szCs w:val="20"/>
          <w:lang w:val="en-GB"/>
        </w:rPr>
        <w:t xml:space="preserve">the </w:t>
      </w:r>
      <w:r w:rsidRPr="003B6A69">
        <w:rPr>
          <w:rFonts w:cs="Calibri"/>
          <w:bCs/>
          <w:szCs w:val="20"/>
          <w:lang w:val="en-GB"/>
        </w:rPr>
        <w:t>preparation of location restoration plans (where needed and found to be relevant – Bojana River) as the existence of a KBA can be an important criterion in the choice of restoration sites.</w:t>
      </w:r>
    </w:p>
    <w:p w14:paraId="2556430E" w14:textId="05927D91" w:rsidR="00E3185E" w:rsidRPr="003B6A69" w:rsidRDefault="00E3185E" w:rsidP="00E3185E">
      <w:pPr>
        <w:tabs>
          <w:tab w:val="left" w:pos="426"/>
        </w:tabs>
        <w:spacing w:after="120"/>
        <w:rPr>
          <w:rFonts w:cs="Calibri"/>
          <w:bCs/>
          <w:szCs w:val="20"/>
          <w:lang w:val="en-GB"/>
        </w:rPr>
      </w:pPr>
      <w:r w:rsidRPr="003B6A69">
        <w:rPr>
          <w:rFonts w:cs="Calibri"/>
          <w:bCs/>
          <w:szCs w:val="20"/>
          <w:lang w:val="en-GB"/>
        </w:rPr>
        <w:lastRenderedPageBreak/>
        <w:t xml:space="preserve">The project will support </w:t>
      </w:r>
      <w:r w:rsidR="00A75B9B" w:rsidRPr="003B6A69">
        <w:rPr>
          <w:rFonts w:cs="Calibri"/>
          <w:bCs/>
          <w:szCs w:val="20"/>
          <w:lang w:val="en-GB"/>
        </w:rPr>
        <w:t xml:space="preserve">the </w:t>
      </w:r>
      <w:r w:rsidRPr="003B6A69">
        <w:rPr>
          <w:rFonts w:cs="Calibri"/>
          <w:bCs/>
          <w:szCs w:val="20"/>
          <w:lang w:val="en-GB"/>
        </w:rPr>
        <w:t xml:space="preserve">targeted implementation of the management recommendation above for the </w:t>
      </w:r>
      <w:proofErr w:type="gramStart"/>
      <w:r w:rsidRPr="003B6A69">
        <w:rPr>
          <w:rFonts w:cs="Calibri"/>
          <w:bCs/>
          <w:szCs w:val="20"/>
          <w:lang w:val="en-GB"/>
        </w:rPr>
        <w:t>particular sites</w:t>
      </w:r>
      <w:proofErr w:type="gramEnd"/>
      <w:r w:rsidRPr="003B6A69">
        <w:rPr>
          <w:rFonts w:cs="Calibri"/>
          <w:bCs/>
          <w:szCs w:val="20"/>
          <w:lang w:val="en-GB"/>
        </w:rPr>
        <w:t>, as requested by the Government.</w:t>
      </w:r>
    </w:p>
    <w:p w14:paraId="3FDE2048" w14:textId="5FE7C910" w:rsidR="00E3185E" w:rsidRPr="003B6A69" w:rsidRDefault="00E3185E" w:rsidP="00E3185E">
      <w:pPr>
        <w:pStyle w:val="Heading6"/>
      </w:pPr>
      <w:bookmarkStart w:id="24" w:name="_Toc56670678"/>
      <w:r w:rsidRPr="003B6A69">
        <w:t>Output 2.2: The Spatial Plan for Montenegro and the General Regulation Plan are developed and adopted with due consideration of biodiversity conservation priorities and concrete solutions for valuable BD conservation outside PAs</w:t>
      </w:r>
      <w:bookmarkEnd w:id="24"/>
    </w:p>
    <w:p w14:paraId="6E826113" w14:textId="5A195D27" w:rsidR="00E3185E" w:rsidRPr="003B6A69" w:rsidRDefault="00E3185E" w:rsidP="003C6B7B">
      <w:pPr>
        <w:numPr>
          <w:ilvl w:val="0"/>
          <w:numId w:val="41"/>
        </w:numPr>
        <w:tabs>
          <w:tab w:val="left" w:pos="426"/>
        </w:tabs>
        <w:spacing w:after="120"/>
        <w:ind w:left="0" w:firstLine="0"/>
        <w:rPr>
          <w:rFonts w:cs="Calibri"/>
          <w:bCs/>
          <w:szCs w:val="20"/>
          <w:lang w:val="en-GB"/>
        </w:rPr>
      </w:pPr>
      <w:r w:rsidRPr="003B6A69">
        <w:rPr>
          <w:rFonts w:cs="Calibri"/>
          <w:bCs/>
          <w:lang w:val="en-GB"/>
        </w:rPr>
        <w:t>Long-term projections of nature protection under the current Spatial Plan of Montenegro, as well as major conflicts between planned development and biodiversity protection</w:t>
      </w:r>
      <w:r w:rsidR="00A75B9B" w:rsidRPr="003B6A69">
        <w:rPr>
          <w:rFonts w:cs="Calibri"/>
          <w:bCs/>
          <w:lang w:val="en-GB"/>
        </w:rPr>
        <w:t>,</w:t>
      </w:r>
      <w:r w:rsidRPr="003B6A69">
        <w:rPr>
          <w:rFonts w:cs="Calibri"/>
          <w:bCs/>
          <w:lang w:val="en-GB"/>
        </w:rPr>
        <w:t xml:space="preserve"> were </w:t>
      </w:r>
      <w:proofErr w:type="spellStart"/>
      <w:r w:rsidRPr="003B6A69">
        <w:rPr>
          <w:rFonts w:cs="Calibri"/>
          <w:bCs/>
          <w:lang w:val="en-GB"/>
        </w:rPr>
        <w:t>analyzed</w:t>
      </w:r>
      <w:proofErr w:type="spellEnd"/>
      <w:r w:rsidRPr="003B6A69">
        <w:rPr>
          <w:rFonts w:cs="Calibri"/>
          <w:bCs/>
          <w:lang w:val="en-GB"/>
        </w:rPr>
        <w:t xml:space="preserve"> </w:t>
      </w:r>
      <w:proofErr w:type="gramStart"/>
      <w:r w:rsidRPr="003B6A69">
        <w:rPr>
          <w:rFonts w:cs="Calibri"/>
          <w:bCs/>
          <w:lang w:val="en-GB"/>
        </w:rPr>
        <w:t>in order to</w:t>
      </w:r>
      <w:proofErr w:type="gramEnd"/>
      <w:r w:rsidRPr="003B6A69">
        <w:rPr>
          <w:rFonts w:cs="Calibri"/>
          <w:bCs/>
          <w:lang w:val="en-GB"/>
        </w:rPr>
        <w:t xml:space="preserve"> provide adequate guidelines for project activities that will support the preparation of umbrella planning documentation in Montenegro. Proposed project activities can provide support for both planning documents: Spatial Plan of Montenegro and General Regulation Plan (GRP).</w:t>
      </w:r>
    </w:p>
    <w:p w14:paraId="78A564C6" w14:textId="604C9E2A" w:rsidR="00E3185E" w:rsidRPr="003B6A69" w:rsidRDefault="00E3185E" w:rsidP="003C6B7B">
      <w:pPr>
        <w:numPr>
          <w:ilvl w:val="0"/>
          <w:numId w:val="41"/>
        </w:numPr>
        <w:tabs>
          <w:tab w:val="left" w:pos="426"/>
        </w:tabs>
        <w:spacing w:after="120"/>
        <w:ind w:left="0" w:firstLine="0"/>
        <w:rPr>
          <w:rFonts w:cs="Calibri"/>
          <w:bCs/>
          <w:szCs w:val="20"/>
          <w:lang w:val="en-GB"/>
        </w:rPr>
      </w:pPr>
      <w:r w:rsidRPr="003B6A69">
        <w:rPr>
          <w:rFonts w:cs="Calibri"/>
          <w:bCs/>
          <w:szCs w:val="20"/>
          <w:lang w:val="en-GB"/>
        </w:rPr>
        <w:t xml:space="preserve">The project experts will develop a proposal for consideration by the </w:t>
      </w:r>
      <w:r w:rsidR="00336CF6" w:rsidRPr="003B6A69">
        <w:rPr>
          <w:rFonts w:cs="Calibri"/>
          <w:bCs/>
          <w:szCs w:val="20"/>
          <w:lang w:val="en-GB"/>
        </w:rPr>
        <w:t>MESPU</w:t>
      </w:r>
      <w:r w:rsidRPr="003B6A69">
        <w:rPr>
          <w:rFonts w:cs="Calibri"/>
          <w:bCs/>
          <w:szCs w:val="20"/>
          <w:lang w:val="en-GB"/>
        </w:rPr>
        <w:t xml:space="preserve"> Spatial Planning Directorate core team responsible for elaboration and synthesis of the new Spatial Plan, specifically for the section related to spatial planning for </w:t>
      </w:r>
      <w:r w:rsidR="00A75B9B" w:rsidRPr="003B6A69">
        <w:rPr>
          <w:rFonts w:cs="Calibri"/>
          <w:bCs/>
          <w:szCs w:val="20"/>
          <w:lang w:val="en-GB"/>
        </w:rPr>
        <w:t xml:space="preserve">the </w:t>
      </w:r>
      <w:r w:rsidRPr="003B6A69">
        <w:rPr>
          <w:rFonts w:cs="Calibri"/>
          <w:bCs/>
          <w:szCs w:val="20"/>
          <w:lang w:val="en-GB"/>
        </w:rPr>
        <w:t xml:space="preserve">protection of nature and cultural heritage in the </w:t>
      </w:r>
      <w:proofErr w:type="gramStart"/>
      <w:r w:rsidRPr="003B6A69">
        <w:rPr>
          <w:rFonts w:cs="Calibri"/>
          <w:bCs/>
          <w:szCs w:val="20"/>
          <w:lang w:val="en-GB"/>
        </w:rPr>
        <w:t>future Plan</w:t>
      </w:r>
      <w:proofErr w:type="gramEnd"/>
      <w:r w:rsidRPr="003B6A69">
        <w:rPr>
          <w:rFonts w:cs="Calibri"/>
          <w:bCs/>
          <w:szCs w:val="20"/>
          <w:lang w:val="en-GB"/>
        </w:rPr>
        <w:t>. The main idea would be to emphasi</w:t>
      </w:r>
      <w:r w:rsidR="00A75B9B" w:rsidRPr="003B6A69">
        <w:rPr>
          <w:rFonts w:cs="Calibri"/>
          <w:bCs/>
          <w:szCs w:val="20"/>
          <w:lang w:val="en-GB"/>
        </w:rPr>
        <w:t>z</w:t>
      </w:r>
      <w:r w:rsidRPr="003B6A69">
        <w:rPr>
          <w:rFonts w:cs="Calibri"/>
          <w:bCs/>
          <w:szCs w:val="20"/>
          <w:lang w:val="en-GB"/>
        </w:rPr>
        <w:t xml:space="preserve">e the necessity for </w:t>
      </w:r>
      <w:r w:rsidRPr="003B6A69">
        <w:rPr>
          <w:rFonts w:cs="Calibri"/>
          <w:bCs/>
          <w:szCs w:val="20"/>
          <w:u w:val="single"/>
          <w:lang w:val="en-GB"/>
        </w:rPr>
        <w:t>assigning the national protection status of the internationally recogni</w:t>
      </w:r>
      <w:r w:rsidR="00A75B9B" w:rsidRPr="003B6A69">
        <w:rPr>
          <w:rFonts w:cs="Calibri"/>
          <w:bCs/>
          <w:szCs w:val="20"/>
          <w:u w:val="single"/>
          <w:lang w:val="en-GB"/>
        </w:rPr>
        <w:t>z</w:t>
      </w:r>
      <w:r w:rsidRPr="003B6A69">
        <w:rPr>
          <w:rFonts w:cs="Calibri"/>
          <w:bCs/>
          <w:szCs w:val="20"/>
          <w:u w:val="single"/>
          <w:lang w:val="en-GB"/>
        </w:rPr>
        <w:t>ed KBAs</w:t>
      </w:r>
      <w:r w:rsidRPr="003B6A69">
        <w:rPr>
          <w:rFonts w:cs="Calibri"/>
          <w:bCs/>
          <w:szCs w:val="20"/>
          <w:lang w:val="en-GB"/>
        </w:rPr>
        <w:t xml:space="preserve"> is adequately reflected in the main strategic framework document related </w:t>
      </w:r>
      <w:r w:rsidR="00336CF6" w:rsidRPr="003B6A69">
        <w:rPr>
          <w:rFonts w:cs="Calibri"/>
          <w:bCs/>
          <w:szCs w:val="20"/>
          <w:lang w:val="en-GB"/>
        </w:rPr>
        <w:t xml:space="preserve">to </w:t>
      </w:r>
      <w:r w:rsidRPr="003B6A69">
        <w:rPr>
          <w:rFonts w:cs="Calibri"/>
          <w:bCs/>
          <w:szCs w:val="20"/>
          <w:lang w:val="en-GB"/>
        </w:rPr>
        <w:t>spatial planning and land use in Montenegro.</w:t>
      </w:r>
    </w:p>
    <w:p w14:paraId="4A55C4B4" w14:textId="72B3B777" w:rsidR="00E3185E" w:rsidRPr="003B6A69" w:rsidRDefault="00E3185E" w:rsidP="003C6B7B">
      <w:pPr>
        <w:numPr>
          <w:ilvl w:val="0"/>
          <w:numId w:val="41"/>
        </w:numPr>
        <w:tabs>
          <w:tab w:val="left" w:pos="426"/>
        </w:tabs>
        <w:spacing w:after="120"/>
        <w:ind w:left="0" w:firstLine="0"/>
      </w:pPr>
      <w:r w:rsidRPr="003B6A69">
        <w:rPr>
          <w:rFonts w:cs="Calibri"/>
          <w:bCs/>
          <w:lang w:val="en-GB"/>
        </w:rPr>
        <w:t>The UNDP</w:t>
      </w:r>
      <w:r w:rsidR="001E3526" w:rsidRPr="003B6A69">
        <w:rPr>
          <w:rFonts w:cs="Calibri"/>
          <w:bCs/>
          <w:lang w:val="en-GB"/>
        </w:rPr>
        <w:t xml:space="preserve">-GEF experts will propose that </w:t>
      </w:r>
      <w:r w:rsidRPr="003B6A69">
        <w:rPr>
          <w:rFonts w:cs="Calibri"/>
          <w:bCs/>
          <w:lang w:val="en-GB"/>
        </w:rPr>
        <w:t xml:space="preserve">the draft Spatial Plan for 2021-2031 should further develop the concept of </w:t>
      </w:r>
      <w:r w:rsidRPr="003B6A69">
        <w:rPr>
          <w:rFonts w:cs="Calibri"/>
          <w:bCs/>
          <w:u w:val="single"/>
          <w:lang w:val="en-GB"/>
        </w:rPr>
        <w:t>corridors important for biodiversity conservation.</w:t>
      </w:r>
      <w:r w:rsidRPr="003B6A69">
        <w:rPr>
          <w:rFonts w:cs="Calibri"/>
          <w:bCs/>
          <w:lang w:val="en-GB"/>
        </w:rPr>
        <w:t xml:space="preserve"> The last four paragraphs of Section 2.9 of the current Spatial Plan will be used as “baseline” while the “corridor” dimension in the Nature Protection Section of the Spatial Plan will be clarified and expanded.</w:t>
      </w:r>
      <w:r w:rsidR="0096120F" w:rsidRPr="003B6A69">
        <w:rPr>
          <w:rFonts w:cs="Calibri"/>
          <w:bCs/>
          <w:lang w:val="en-GB"/>
        </w:rPr>
        <w:t xml:space="preserve"> Also, the project will make sure that the spatial development scenarios are reflective of the climate change threats and impacts, and climate resilience and adaptation solutions are considered within the spatial development priorities for the areas that are vulnerable to and/or affected by climate change effects. </w:t>
      </w:r>
    </w:p>
    <w:p w14:paraId="00C409AC" w14:textId="0C8190C6" w:rsidR="00E3185E" w:rsidRPr="003B6A69" w:rsidRDefault="00E3185E" w:rsidP="003C6B7B">
      <w:pPr>
        <w:numPr>
          <w:ilvl w:val="0"/>
          <w:numId w:val="41"/>
        </w:numPr>
        <w:tabs>
          <w:tab w:val="left" w:pos="426"/>
        </w:tabs>
        <w:spacing w:after="120"/>
        <w:ind w:left="0" w:firstLine="0"/>
        <w:rPr>
          <w:rFonts w:cs="Calibri"/>
          <w:bCs/>
          <w:szCs w:val="20"/>
          <w:lang w:val="en-GB"/>
        </w:rPr>
      </w:pPr>
      <w:r w:rsidRPr="003B6A69">
        <w:rPr>
          <w:rFonts w:cs="Calibri"/>
          <w:bCs/>
          <w:szCs w:val="20"/>
          <w:lang w:val="en-GB"/>
        </w:rPr>
        <w:t xml:space="preserve">The UNDP-GEF project is expected to provide a BD mainstreaming dimension and content to the new General Regulation Plan where relevant and as requested by the Government. The current recommendation is that the UNDP-GEF project will finance the baseline studies to cover the unprotected KBAs and biodiversity centres: part of </w:t>
      </w:r>
      <w:proofErr w:type="spellStart"/>
      <w:r w:rsidRPr="003B6A69">
        <w:rPr>
          <w:rFonts w:cs="Calibri"/>
          <w:bCs/>
          <w:szCs w:val="20"/>
          <w:lang w:val="en-GB"/>
        </w:rPr>
        <w:t>Orjen</w:t>
      </w:r>
      <w:proofErr w:type="spellEnd"/>
      <w:r w:rsidRPr="003B6A69">
        <w:rPr>
          <w:rFonts w:cs="Calibri"/>
          <w:bCs/>
          <w:szCs w:val="20"/>
          <w:lang w:val="en-GB"/>
        </w:rPr>
        <w:t xml:space="preserve">, </w:t>
      </w:r>
      <w:proofErr w:type="spellStart"/>
      <w:r w:rsidRPr="003B6A69">
        <w:rPr>
          <w:rFonts w:cs="Calibri"/>
          <w:bCs/>
          <w:szCs w:val="20"/>
          <w:lang w:val="en-GB"/>
        </w:rPr>
        <w:t>Sinjajevina</w:t>
      </w:r>
      <w:proofErr w:type="spellEnd"/>
      <w:r w:rsidRPr="003B6A69">
        <w:rPr>
          <w:rFonts w:cs="Calibri"/>
          <w:bCs/>
          <w:szCs w:val="20"/>
          <w:lang w:val="en-GB"/>
        </w:rPr>
        <w:t xml:space="preserve">, </w:t>
      </w:r>
      <w:proofErr w:type="spellStart"/>
      <w:r w:rsidRPr="003B6A69">
        <w:rPr>
          <w:rFonts w:cs="Calibri"/>
          <w:bCs/>
          <w:szCs w:val="20"/>
          <w:lang w:val="en-GB"/>
        </w:rPr>
        <w:t>Rumija</w:t>
      </w:r>
      <w:proofErr w:type="spellEnd"/>
      <w:r w:rsidRPr="003B6A69">
        <w:rPr>
          <w:rFonts w:cs="Calibri"/>
          <w:bCs/>
          <w:szCs w:val="20"/>
          <w:lang w:val="en-GB"/>
        </w:rPr>
        <w:t xml:space="preserve">, </w:t>
      </w:r>
      <w:r w:rsidRPr="003B6A69">
        <w:rPr>
          <w:rFonts w:cs="Calibri"/>
          <w:bCs/>
          <w:iCs/>
          <w:szCs w:val="20"/>
          <w:lang w:val="sr-Latn-ME"/>
        </w:rPr>
        <w:t>Bojana River, Đalovića gorge, Mrtvice canyon, Golija and Ledenice, Visitor and Zeletin.</w:t>
      </w:r>
    </w:p>
    <w:p w14:paraId="4ABDD1EE" w14:textId="77777777" w:rsidR="00E3185E" w:rsidRPr="003B6A69" w:rsidRDefault="00E3185E" w:rsidP="00E3185E">
      <w:pPr>
        <w:pStyle w:val="Heading6"/>
      </w:pPr>
      <w:bookmarkStart w:id="25" w:name="_Toc56670679"/>
      <w:r w:rsidRPr="003B6A69">
        <w:t>Output 2.3: Concrete mechanisms for KBA protection outside PAs identified and set for implementation</w:t>
      </w:r>
      <w:r w:rsidRPr="003B6A69">
        <w:rPr>
          <w:rStyle w:val="FootnoteReference"/>
        </w:rPr>
        <w:footnoteReference w:id="6"/>
      </w:r>
      <w:bookmarkEnd w:id="25"/>
    </w:p>
    <w:p w14:paraId="619BA1D7" w14:textId="70553A76" w:rsidR="00E3185E" w:rsidRPr="003B6A69" w:rsidRDefault="00E3185E" w:rsidP="003C6B7B">
      <w:pPr>
        <w:numPr>
          <w:ilvl w:val="0"/>
          <w:numId w:val="41"/>
        </w:numPr>
        <w:tabs>
          <w:tab w:val="left" w:pos="426"/>
        </w:tabs>
        <w:spacing w:after="120"/>
        <w:ind w:left="0" w:firstLine="0"/>
        <w:rPr>
          <w:rFonts w:cs="Calibri"/>
          <w:bCs/>
          <w:szCs w:val="20"/>
          <w:lang w:val="en-GB"/>
        </w:rPr>
      </w:pPr>
      <w:r w:rsidRPr="003B6A69">
        <w:rPr>
          <w:rFonts w:cs="Calibri"/>
          <w:bCs/>
          <w:iCs/>
          <w:szCs w:val="20"/>
          <w:lang w:val="en-GB"/>
        </w:rPr>
        <w:t xml:space="preserve">Based on the analysis of the most important strategic and planning documents and the identified conflicts between the activities envisaged by these documents and the protection of biodiversity in unprotected parts of the KBA, the </w:t>
      </w:r>
      <w:r w:rsidR="003955F7" w:rsidRPr="003B6A69">
        <w:rPr>
          <w:rFonts w:cs="Calibri"/>
          <w:bCs/>
          <w:iCs/>
          <w:szCs w:val="20"/>
          <w:lang w:val="en-GB"/>
        </w:rPr>
        <w:t>incremental activities</w:t>
      </w:r>
      <w:r w:rsidRPr="003B6A69">
        <w:rPr>
          <w:rFonts w:cs="Calibri"/>
          <w:bCs/>
          <w:iCs/>
          <w:szCs w:val="20"/>
          <w:lang w:val="en-GB"/>
        </w:rPr>
        <w:t xml:space="preserve">, as described below, are proposed within the KBA Delta Bojana. There are 3 areas where pilot projects would be implemented, as follows: Long beach/Velika </w:t>
      </w:r>
      <w:proofErr w:type="spellStart"/>
      <w:r w:rsidRPr="003B6A69">
        <w:rPr>
          <w:rFonts w:cs="Calibri"/>
          <w:bCs/>
          <w:iCs/>
          <w:szCs w:val="20"/>
          <w:lang w:val="en-GB"/>
        </w:rPr>
        <w:t>plaža</w:t>
      </w:r>
      <w:proofErr w:type="spellEnd"/>
      <w:r w:rsidRPr="003B6A69">
        <w:rPr>
          <w:rFonts w:cs="Calibri"/>
          <w:bCs/>
          <w:iCs/>
          <w:szCs w:val="20"/>
          <w:lang w:val="en-GB"/>
        </w:rPr>
        <w:t xml:space="preserve">, Ada Bojana and </w:t>
      </w:r>
      <w:proofErr w:type="spellStart"/>
      <w:r w:rsidRPr="003B6A69">
        <w:rPr>
          <w:rFonts w:cs="Calibri"/>
          <w:bCs/>
          <w:iCs/>
          <w:szCs w:val="20"/>
          <w:lang w:val="en-GB"/>
        </w:rPr>
        <w:t>Šasko</w:t>
      </w:r>
      <w:proofErr w:type="spellEnd"/>
      <w:r w:rsidRPr="003B6A69">
        <w:rPr>
          <w:rFonts w:cs="Calibri"/>
          <w:bCs/>
          <w:iCs/>
          <w:szCs w:val="20"/>
          <w:lang w:val="en-GB"/>
        </w:rPr>
        <w:t xml:space="preserve"> </w:t>
      </w:r>
      <w:r w:rsidR="00EA474D" w:rsidRPr="003B6A69">
        <w:rPr>
          <w:rFonts w:cs="Calibri"/>
          <w:bCs/>
          <w:iCs/>
          <w:szCs w:val="20"/>
          <w:lang w:val="en-GB"/>
        </w:rPr>
        <w:t>lake</w:t>
      </w:r>
      <w:r w:rsidRPr="003B6A69">
        <w:rPr>
          <w:rFonts w:cs="Calibri"/>
          <w:bCs/>
          <w:iCs/>
          <w:szCs w:val="20"/>
          <w:lang w:val="en-GB"/>
        </w:rPr>
        <w:t xml:space="preserve"> with its surroundings (</w:t>
      </w:r>
      <w:proofErr w:type="spellStart"/>
      <w:r w:rsidRPr="003B6A69">
        <w:rPr>
          <w:rFonts w:cs="Calibri"/>
          <w:bCs/>
          <w:iCs/>
          <w:szCs w:val="20"/>
          <w:lang w:val="en-GB"/>
        </w:rPr>
        <w:t>Briska</w:t>
      </w:r>
      <w:proofErr w:type="spellEnd"/>
      <w:r w:rsidRPr="003B6A69">
        <w:rPr>
          <w:rFonts w:cs="Calibri"/>
          <w:bCs/>
          <w:iCs/>
          <w:szCs w:val="20"/>
          <w:lang w:val="en-GB"/>
        </w:rPr>
        <w:t xml:space="preserve"> </w:t>
      </w:r>
      <w:proofErr w:type="spellStart"/>
      <w:r w:rsidRPr="003B6A69">
        <w:rPr>
          <w:rFonts w:cs="Calibri"/>
          <w:bCs/>
          <w:iCs/>
          <w:szCs w:val="20"/>
          <w:lang w:val="en-GB"/>
        </w:rPr>
        <w:t>gora</w:t>
      </w:r>
      <w:proofErr w:type="spellEnd"/>
      <w:r w:rsidRPr="003B6A69">
        <w:rPr>
          <w:rFonts w:cs="Calibri"/>
          <w:bCs/>
          <w:iCs/>
          <w:szCs w:val="20"/>
          <w:lang w:val="en-GB"/>
        </w:rPr>
        <w:t>).</w:t>
      </w:r>
    </w:p>
    <w:p w14:paraId="1320DAFD" w14:textId="77777777" w:rsidR="00E3185E" w:rsidRPr="003B6A69" w:rsidRDefault="00E3185E" w:rsidP="00E3185E">
      <w:pPr>
        <w:tabs>
          <w:tab w:val="left" w:pos="426"/>
        </w:tabs>
        <w:spacing w:after="120"/>
        <w:rPr>
          <w:rFonts w:cs="Calibri"/>
          <w:b/>
          <w:bCs/>
          <w:szCs w:val="20"/>
          <w:lang w:val="en-GB"/>
        </w:rPr>
      </w:pPr>
      <w:r w:rsidRPr="003B6A69">
        <w:rPr>
          <w:rFonts w:cs="Calibri"/>
          <w:b/>
          <w:bCs/>
          <w:szCs w:val="20"/>
          <w:lang w:val="en-GB"/>
        </w:rPr>
        <w:t xml:space="preserve">Long beach/Velika </w:t>
      </w:r>
      <w:proofErr w:type="spellStart"/>
      <w:r w:rsidRPr="003B6A69">
        <w:rPr>
          <w:rFonts w:cs="Calibri"/>
          <w:b/>
          <w:bCs/>
          <w:szCs w:val="20"/>
          <w:lang w:val="en-GB"/>
        </w:rPr>
        <w:t>plaža</w:t>
      </w:r>
      <w:proofErr w:type="spellEnd"/>
    </w:p>
    <w:p w14:paraId="6E7DEABB" w14:textId="77777777" w:rsidR="00E3185E" w:rsidRPr="003B6A69" w:rsidRDefault="00E3185E" w:rsidP="00E3185E">
      <w:pPr>
        <w:tabs>
          <w:tab w:val="left" w:pos="426"/>
        </w:tabs>
        <w:spacing w:after="120"/>
        <w:rPr>
          <w:rFonts w:cs="Calibri"/>
          <w:bCs/>
          <w:szCs w:val="20"/>
          <w:lang w:val="en-GB"/>
        </w:rPr>
      </w:pPr>
      <w:r w:rsidRPr="003B6A69">
        <w:rPr>
          <w:rFonts w:cs="Calibri"/>
          <w:bCs/>
          <w:szCs w:val="20"/>
          <w:lang w:val="en-GB"/>
        </w:rPr>
        <w:t xml:space="preserve">The justification for Velika </w:t>
      </w:r>
      <w:proofErr w:type="spellStart"/>
      <w:r w:rsidRPr="003B6A69">
        <w:rPr>
          <w:rFonts w:cs="Calibri"/>
          <w:bCs/>
          <w:szCs w:val="20"/>
          <w:lang w:val="en-GB"/>
        </w:rPr>
        <w:t>Plaža</w:t>
      </w:r>
      <w:proofErr w:type="spellEnd"/>
      <w:r w:rsidRPr="003B6A69">
        <w:rPr>
          <w:rFonts w:cs="Calibri"/>
          <w:bCs/>
          <w:szCs w:val="20"/>
          <w:lang w:val="en-GB"/>
        </w:rPr>
        <w:t xml:space="preserve"> as a pilot site is as follows:</w:t>
      </w:r>
    </w:p>
    <w:p w14:paraId="6FA30B6E" w14:textId="5A450DBD" w:rsidR="00E3185E" w:rsidRPr="003B6A69" w:rsidRDefault="00E3185E" w:rsidP="00E3185E">
      <w:pPr>
        <w:tabs>
          <w:tab w:val="left" w:pos="426"/>
        </w:tabs>
        <w:spacing w:after="120"/>
        <w:rPr>
          <w:rFonts w:cs="Calibri"/>
          <w:bCs/>
          <w:szCs w:val="20"/>
          <w:lang w:val="en-GB"/>
        </w:rPr>
      </w:pPr>
      <w:r w:rsidRPr="003B6A69">
        <w:rPr>
          <w:rFonts w:cs="Calibri"/>
          <w:bCs/>
          <w:szCs w:val="20"/>
          <w:lang w:val="en-GB"/>
        </w:rPr>
        <w:t>1.</w:t>
      </w:r>
      <w:r w:rsidRPr="003B6A69">
        <w:rPr>
          <w:rFonts w:cs="Calibri"/>
          <w:bCs/>
          <w:szCs w:val="20"/>
          <w:lang w:val="en-GB"/>
        </w:rPr>
        <w:tab/>
        <w:t xml:space="preserve">The Long beach/Velika </w:t>
      </w:r>
      <w:proofErr w:type="spellStart"/>
      <w:r w:rsidRPr="003B6A69">
        <w:rPr>
          <w:rFonts w:cs="Calibri"/>
          <w:bCs/>
          <w:szCs w:val="20"/>
          <w:lang w:val="en-GB"/>
        </w:rPr>
        <w:t>plaža</w:t>
      </w:r>
      <w:proofErr w:type="spellEnd"/>
      <w:r w:rsidRPr="003B6A69">
        <w:rPr>
          <w:rFonts w:cs="Calibri"/>
          <w:bCs/>
          <w:szCs w:val="20"/>
          <w:lang w:val="en-GB"/>
        </w:rPr>
        <w:t xml:space="preserve"> with Ada Bojana is one of the last zones in the Mediterranean region with preserved vegetation of </w:t>
      </w:r>
      <w:proofErr w:type="spellStart"/>
      <w:r w:rsidRPr="003B6A69">
        <w:rPr>
          <w:rFonts w:cs="Calibri"/>
          <w:bCs/>
          <w:szCs w:val="20"/>
          <w:lang w:val="en-GB"/>
        </w:rPr>
        <w:t>psammophytes</w:t>
      </w:r>
      <w:proofErr w:type="spellEnd"/>
      <w:r w:rsidRPr="003B6A69">
        <w:rPr>
          <w:rFonts w:cs="Calibri"/>
          <w:bCs/>
          <w:szCs w:val="20"/>
          <w:lang w:val="en-GB"/>
        </w:rPr>
        <w:t xml:space="preserve"> and other types of Mediterranean habitats that occur in the hinterland. 12 habitat types from the Habitat Directive have been recorded on Long beach/Velika </w:t>
      </w:r>
      <w:proofErr w:type="spellStart"/>
      <w:r w:rsidRPr="003B6A69">
        <w:rPr>
          <w:rFonts w:cs="Calibri"/>
          <w:bCs/>
          <w:szCs w:val="20"/>
          <w:lang w:val="en-GB"/>
        </w:rPr>
        <w:t>plaža</w:t>
      </w:r>
      <w:proofErr w:type="spellEnd"/>
      <w:r w:rsidRPr="003B6A69">
        <w:rPr>
          <w:rFonts w:cs="Calibri"/>
          <w:bCs/>
          <w:szCs w:val="20"/>
          <w:lang w:val="en-GB"/>
        </w:rPr>
        <w:t xml:space="preserve">, 3 of which are recorded in Montenegro only and exclusively on Long beach/Velika </w:t>
      </w:r>
      <w:proofErr w:type="spellStart"/>
      <w:r w:rsidRPr="003B6A69">
        <w:rPr>
          <w:rFonts w:cs="Calibri"/>
          <w:bCs/>
          <w:szCs w:val="20"/>
          <w:lang w:val="en-GB"/>
        </w:rPr>
        <w:t>plaža</w:t>
      </w:r>
      <w:proofErr w:type="spellEnd"/>
      <w:r w:rsidRPr="003B6A69">
        <w:rPr>
          <w:rFonts w:cs="Calibri"/>
          <w:bCs/>
          <w:szCs w:val="20"/>
          <w:lang w:val="en-GB"/>
        </w:rPr>
        <w:t xml:space="preserve"> and nowhere else (2240 * Dina pastures with annual species, 2270 * Pine forests on coastal dunes, 3170 * Mediterranean occasional ponds). Two habitat types are present only on Long beach/Velika </w:t>
      </w:r>
      <w:proofErr w:type="spellStart"/>
      <w:r w:rsidRPr="003B6A69">
        <w:rPr>
          <w:rFonts w:cs="Calibri"/>
          <w:bCs/>
          <w:szCs w:val="20"/>
          <w:lang w:val="en-GB"/>
        </w:rPr>
        <w:t>plaža</w:t>
      </w:r>
      <w:proofErr w:type="spellEnd"/>
      <w:r w:rsidRPr="003B6A69">
        <w:rPr>
          <w:rFonts w:cs="Calibri"/>
          <w:bCs/>
          <w:szCs w:val="20"/>
          <w:lang w:val="en-GB"/>
        </w:rPr>
        <w:t xml:space="preserve"> and on Ada Bojana: 2120 Movable coastal dunes with </w:t>
      </w:r>
      <w:proofErr w:type="spellStart"/>
      <w:r w:rsidRPr="003B6A69">
        <w:rPr>
          <w:rFonts w:cs="Calibri"/>
          <w:bCs/>
          <w:i/>
          <w:szCs w:val="20"/>
          <w:lang w:val="en-GB"/>
        </w:rPr>
        <w:t>Ammophila</w:t>
      </w:r>
      <w:proofErr w:type="spellEnd"/>
      <w:r w:rsidRPr="003B6A69">
        <w:rPr>
          <w:rFonts w:cs="Calibri"/>
          <w:bCs/>
          <w:i/>
          <w:szCs w:val="20"/>
          <w:lang w:val="en-GB"/>
        </w:rPr>
        <w:t xml:space="preserve"> arenaria</w:t>
      </w:r>
      <w:r w:rsidRPr="003B6A69">
        <w:rPr>
          <w:rFonts w:cs="Calibri"/>
          <w:bCs/>
          <w:szCs w:val="20"/>
          <w:lang w:val="en-GB"/>
        </w:rPr>
        <w:t xml:space="preserve"> (white dunes) and 2190 Wet mobile dunes. Specific flora and fauna </w:t>
      </w:r>
      <w:proofErr w:type="gramStart"/>
      <w:r w:rsidRPr="003B6A69">
        <w:rPr>
          <w:rFonts w:cs="Calibri"/>
          <w:bCs/>
          <w:szCs w:val="20"/>
          <w:lang w:val="en-GB"/>
        </w:rPr>
        <w:t>are located in</w:t>
      </w:r>
      <w:proofErr w:type="gramEnd"/>
      <w:r w:rsidRPr="003B6A69">
        <w:rPr>
          <w:rFonts w:cs="Calibri"/>
          <w:bCs/>
          <w:szCs w:val="20"/>
          <w:lang w:val="en-GB"/>
        </w:rPr>
        <w:t xml:space="preserve"> these habitats, thus with the devastation of habitats</w:t>
      </w:r>
      <w:r w:rsidR="00A75B9B" w:rsidRPr="003B6A69">
        <w:rPr>
          <w:rFonts w:cs="Calibri"/>
          <w:bCs/>
          <w:szCs w:val="20"/>
          <w:lang w:val="en-GB"/>
        </w:rPr>
        <w:t>,</w:t>
      </w:r>
      <w:r w:rsidRPr="003B6A69">
        <w:rPr>
          <w:rFonts w:cs="Calibri"/>
          <w:bCs/>
          <w:szCs w:val="20"/>
          <w:lang w:val="en-GB"/>
        </w:rPr>
        <w:t xml:space="preserve"> these elements of biodiversity would disappear from Montenegro. Several species that once had a wider distribution in Montenegro are now recorded only on Long beach/Velika </w:t>
      </w:r>
      <w:proofErr w:type="spellStart"/>
      <w:r w:rsidRPr="003B6A69">
        <w:rPr>
          <w:rFonts w:cs="Calibri"/>
          <w:bCs/>
          <w:szCs w:val="20"/>
          <w:lang w:val="en-GB"/>
        </w:rPr>
        <w:t>plaža</w:t>
      </w:r>
      <w:proofErr w:type="spellEnd"/>
      <w:r w:rsidRPr="003B6A69">
        <w:rPr>
          <w:rFonts w:cs="Calibri"/>
          <w:bCs/>
          <w:szCs w:val="20"/>
          <w:lang w:val="en-GB"/>
        </w:rPr>
        <w:t>, as they have disappeared from other localities due to the development of tourism and urbanization.</w:t>
      </w:r>
    </w:p>
    <w:p w14:paraId="5CFA72C5" w14:textId="77777777" w:rsidR="00E3185E" w:rsidRPr="003B6A69" w:rsidRDefault="00E3185E" w:rsidP="00E3185E">
      <w:pPr>
        <w:tabs>
          <w:tab w:val="left" w:pos="426"/>
        </w:tabs>
        <w:spacing w:after="120"/>
        <w:rPr>
          <w:rFonts w:cs="Calibri"/>
          <w:bCs/>
          <w:szCs w:val="20"/>
          <w:lang w:val="en-GB"/>
        </w:rPr>
      </w:pPr>
      <w:r w:rsidRPr="003B6A69">
        <w:rPr>
          <w:rFonts w:cs="Calibri"/>
          <w:bCs/>
          <w:szCs w:val="20"/>
          <w:lang w:val="en-GB"/>
        </w:rPr>
        <w:t>2.</w:t>
      </w:r>
      <w:r w:rsidRPr="003B6A69">
        <w:rPr>
          <w:rFonts w:cs="Calibri"/>
          <w:bCs/>
          <w:szCs w:val="20"/>
          <w:lang w:val="en-GB"/>
        </w:rPr>
        <w:tab/>
        <w:t xml:space="preserve">Long beach/Velika </w:t>
      </w:r>
      <w:proofErr w:type="spellStart"/>
      <w:r w:rsidRPr="003B6A69">
        <w:rPr>
          <w:rFonts w:cs="Calibri"/>
          <w:bCs/>
          <w:szCs w:val="20"/>
          <w:lang w:val="en-GB"/>
        </w:rPr>
        <w:t>plaža</w:t>
      </w:r>
      <w:proofErr w:type="spellEnd"/>
      <w:r w:rsidRPr="003B6A69">
        <w:rPr>
          <w:rFonts w:cs="Calibri"/>
          <w:bCs/>
          <w:szCs w:val="20"/>
          <w:lang w:val="en-GB"/>
        </w:rPr>
        <w:t xml:space="preserve"> and Ada Bojana are recognized as EMERALD sites, IPA and IBA areas.</w:t>
      </w:r>
    </w:p>
    <w:p w14:paraId="0F11DA7E" w14:textId="77777777" w:rsidR="00E3185E" w:rsidRPr="003B6A69" w:rsidRDefault="00E3185E" w:rsidP="00E3185E">
      <w:pPr>
        <w:tabs>
          <w:tab w:val="left" w:pos="426"/>
        </w:tabs>
        <w:spacing w:after="120"/>
        <w:rPr>
          <w:rFonts w:cs="Calibri"/>
          <w:bCs/>
          <w:szCs w:val="20"/>
          <w:lang w:val="en-GB"/>
        </w:rPr>
      </w:pPr>
      <w:r w:rsidRPr="003B6A69">
        <w:rPr>
          <w:rFonts w:cs="Calibri"/>
          <w:bCs/>
          <w:szCs w:val="20"/>
          <w:lang w:val="en-GB"/>
        </w:rPr>
        <w:t>3.</w:t>
      </w:r>
      <w:r w:rsidRPr="003B6A69">
        <w:rPr>
          <w:rFonts w:cs="Calibri"/>
          <w:bCs/>
          <w:szCs w:val="20"/>
          <w:lang w:val="en-GB"/>
        </w:rPr>
        <w:tab/>
        <w:t xml:space="preserve">Sand dune ecosystems are known as fragile ecosystems, very sensitive to anthropogenic impact. In the Vulnerability Analysis of the narrow coastal area, Long beach/Velika </w:t>
      </w:r>
      <w:proofErr w:type="spellStart"/>
      <w:r w:rsidRPr="003B6A69">
        <w:rPr>
          <w:rFonts w:cs="Calibri"/>
          <w:bCs/>
          <w:szCs w:val="20"/>
          <w:lang w:val="en-GB"/>
        </w:rPr>
        <w:t>plaža</w:t>
      </w:r>
      <w:proofErr w:type="spellEnd"/>
      <w:r w:rsidRPr="003B6A69">
        <w:rPr>
          <w:rFonts w:cs="Calibri"/>
          <w:bCs/>
          <w:szCs w:val="20"/>
          <w:lang w:val="en-GB"/>
        </w:rPr>
        <w:t xml:space="preserve"> and Ada Bojana were assessed as areas of very high vulnerability. Once disturbed, the balance is difficult to be re-established, and usually invasive and weed species are easily incorporated into these ecosystems.</w:t>
      </w:r>
    </w:p>
    <w:p w14:paraId="3AF7CEF8" w14:textId="091A97C2" w:rsidR="00E3185E" w:rsidRPr="003B6A69" w:rsidRDefault="00E3185E" w:rsidP="00E3185E">
      <w:pPr>
        <w:tabs>
          <w:tab w:val="left" w:pos="426"/>
        </w:tabs>
        <w:spacing w:after="120"/>
        <w:rPr>
          <w:rFonts w:cs="Calibri"/>
          <w:bCs/>
          <w:szCs w:val="20"/>
          <w:lang w:val="en-GB"/>
        </w:rPr>
      </w:pPr>
      <w:r w:rsidRPr="003B6A69">
        <w:rPr>
          <w:rFonts w:cs="Calibri"/>
          <w:bCs/>
          <w:szCs w:val="20"/>
          <w:lang w:val="en-GB"/>
        </w:rPr>
        <w:lastRenderedPageBreak/>
        <w:t>4.</w:t>
      </w:r>
      <w:r w:rsidRPr="003B6A69">
        <w:rPr>
          <w:rFonts w:cs="Calibri"/>
          <w:bCs/>
          <w:szCs w:val="20"/>
          <w:lang w:val="en-GB"/>
        </w:rPr>
        <w:tab/>
        <w:t xml:space="preserve">Development of tourism complexes in this area is inevitable, which will lead to the devastation of biodiversity. The GEF increment could identify / mark areas of special interest for protection and support </w:t>
      </w:r>
      <w:r w:rsidR="00A75B9B" w:rsidRPr="003B6A69">
        <w:rPr>
          <w:rFonts w:cs="Calibri"/>
          <w:bCs/>
          <w:szCs w:val="20"/>
          <w:lang w:val="en-GB"/>
        </w:rPr>
        <w:t xml:space="preserve">the </w:t>
      </w:r>
      <w:r w:rsidRPr="003B6A69">
        <w:rPr>
          <w:rFonts w:cs="Calibri"/>
          <w:bCs/>
          <w:szCs w:val="20"/>
          <w:lang w:val="en-GB"/>
        </w:rPr>
        <w:t>formulation of the detailed baseline studies with conservation measures for endangered habitats</w:t>
      </w:r>
      <w:r w:rsidR="00A75B9B" w:rsidRPr="003B6A69">
        <w:rPr>
          <w:rFonts w:cs="Calibri"/>
          <w:bCs/>
          <w:szCs w:val="20"/>
          <w:lang w:val="en-GB"/>
        </w:rPr>
        <w:t>/</w:t>
      </w:r>
      <w:r w:rsidRPr="003B6A69">
        <w:rPr>
          <w:rFonts w:cs="Calibri"/>
          <w:bCs/>
          <w:szCs w:val="20"/>
          <w:lang w:val="en-GB"/>
        </w:rPr>
        <w:t xml:space="preserve">species, which will contain specific conservation measures that are not </w:t>
      </w:r>
      <w:r w:rsidR="00A75B9B" w:rsidRPr="003B6A69">
        <w:rPr>
          <w:rFonts w:cs="Calibri"/>
          <w:bCs/>
          <w:szCs w:val="20"/>
          <w:lang w:val="en-GB"/>
        </w:rPr>
        <w:t>clearly</w:t>
      </w:r>
      <w:r w:rsidRPr="003B6A69">
        <w:rPr>
          <w:rFonts w:cs="Calibri"/>
          <w:bCs/>
          <w:szCs w:val="20"/>
          <w:lang w:val="en-GB"/>
        </w:rPr>
        <w:t xml:space="preserve"> defined in the existing planning documentation. </w:t>
      </w:r>
    </w:p>
    <w:p w14:paraId="4FCBC69A" w14:textId="77777777" w:rsidR="00E3185E" w:rsidRPr="003B6A69" w:rsidRDefault="00E3185E" w:rsidP="00E3185E">
      <w:pPr>
        <w:tabs>
          <w:tab w:val="left" w:pos="426"/>
        </w:tabs>
        <w:spacing w:after="120"/>
        <w:rPr>
          <w:rFonts w:cs="Calibri"/>
          <w:bCs/>
          <w:szCs w:val="20"/>
          <w:lang w:val="en-GB"/>
        </w:rPr>
      </w:pPr>
      <w:r w:rsidRPr="003B6A69">
        <w:rPr>
          <w:rFonts w:cs="Calibri"/>
          <w:bCs/>
          <w:szCs w:val="20"/>
          <w:lang w:val="en-GB"/>
        </w:rPr>
        <w:t>5.</w:t>
      </w:r>
      <w:r w:rsidRPr="003B6A69">
        <w:rPr>
          <w:rFonts w:cs="Calibri"/>
          <w:bCs/>
          <w:szCs w:val="20"/>
          <w:lang w:val="en-GB"/>
        </w:rPr>
        <w:tab/>
        <w:t xml:space="preserve">The current time is the right period for planning and preparing conservation plans and measures, given that the implementation of planned large-scale infrastructure projects has not yet begun on Long beach/Velika </w:t>
      </w:r>
      <w:proofErr w:type="spellStart"/>
      <w:r w:rsidRPr="003B6A69">
        <w:rPr>
          <w:rFonts w:cs="Calibri"/>
          <w:bCs/>
          <w:szCs w:val="20"/>
          <w:lang w:val="en-GB"/>
        </w:rPr>
        <w:t>plaža</w:t>
      </w:r>
      <w:proofErr w:type="spellEnd"/>
      <w:r w:rsidRPr="003B6A69">
        <w:rPr>
          <w:rFonts w:cs="Calibri"/>
          <w:bCs/>
          <w:szCs w:val="20"/>
          <w:lang w:val="en-GB"/>
        </w:rPr>
        <w:t xml:space="preserve"> and Ada Bojana. Amendments to the Spatial - urban plan of the Municipality Ulcinj are planned this year (2020).</w:t>
      </w:r>
    </w:p>
    <w:p w14:paraId="578ED8DC" w14:textId="328B6EBF" w:rsidR="00E3185E" w:rsidRPr="003B6A69" w:rsidRDefault="00E3185E" w:rsidP="00E3185E">
      <w:pPr>
        <w:tabs>
          <w:tab w:val="left" w:pos="426"/>
        </w:tabs>
        <w:spacing w:after="120"/>
        <w:rPr>
          <w:rFonts w:cs="Calibri"/>
          <w:b/>
          <w:bCs/>
          <w:szCs w:val="20"/>
          <w:lang w:val="en-GB"/>
        </w:rPr>
      </w:pPr>
      <w:proofErr w:type="spellStart"/>
      <w:r w:rsidRPr="003B6A69">
        <w:rPr>
          <w:rFonts w:cs="Calibri"/>
          <w:b/>
          <w:bCs/>
          <w:szCs w:val="20"/>
          <w:lang w:val="en-GB"/>
        </w:rPr>
        <w:t>Šasko</w:t>
      </w:r>
      <w:proofErr w:type="spellEnd"/>
      <w:r w:rsidRPr="003B6A69">
        <w:rPr>
          <w:rFonts w:cs="Calibri"/>
          <w:b/>
          <w:bCs/>
          <w:szCs w:val="20"/>
          <w:lang w:val="en-GB"/>
        </w:rPr>
        <w:t xml:space="preserve"> </w:t>
      </w:r>
      <w:r w:rsidR="00A07BD0" w:rsidRPr="003B6A69">
        <w:rPr>
          <w:rFonts w:cs="Calibri"/>
          <w:b/>
          <w:bCs/>
          <w:szCs w:val="20"/>
          <w:lang w:val="en-GB"/>
        </w:rPr>
        <w:t>L</w:t>
      </w:r>
      <w:r w:rsidRPr="003B6A69">
        <w:rPr>
          <w:rFonts w:cs="Calibri"/>
          <w:b/>
          <w:bCs/>
          <w:szCs w:val="20"/>
          <w:lang w:val="en-GB"/>
        </w:rPr>
        <w:t>ake</w:t>
      </w:r>
    </w:p>
    <w:p w14:paraId="1E2264BD" w14:textId="77777777" w:rsidR="00E3185E" w:rsidRPr="003B6A69" w:rsidRDefault="00E3185E" w:rsidP="00E3185E">
      <w:pPr>
        <w:tabs>
          <w:tab w:val="left" w:pos="426"/>
        </w:tabs>
        <w:spacing w:after="120"/>
        <w:rPr>
          <w:rFonts w:cs="Calibri"/>
          <w:bCs/>
          <w:szCs w:val="20"/>
          <w:lang w:val="en-GB"/>
        </w:rPr>
      </w:pPr>
      <w:r w:rsidRPr="003B6A69">
        <w:rPr>
          <w:rFonts w:cs="Calibri"/>
          <w:bCs/>
          <w:szCs w:val="20"/>
          <w:lang w:val="en-GB"/>
        </w:rPr>
        <w:t>The intervention pilot is justified as follows:</w:t>
      </w:r>
    </w:p>
    <w:p w14:paraId="287F60F5" w14:textId="1B5994F0" w:rsidR="00E3185E" w:rsidRPr="003B6A69" w:rsidRDefault="00E3185E" w:rsidP="00E3185E">
      <w:pPr>
        <w:tabs>
          <w:tab w:val="left" w:pos="426"/>
        </w:tabs>
        <w:spacing w:after="120"/>
        <w:rPr>
          <w:rFonts w:cs="Calibri"/>
          <w:bCs/>
          <w:szCs w:val="20"/>
          <w:lang w:val="en-GB"/>
        </w:rPr>
      </w:pPr>
      <w:r w:rsidRPr="003B6A69">
        <w:rPr>
          <w:rFonts w:cs="Calibri"/>
          <w:bCs/>
          <w:szCs w:val="20"/>
          <w:lang w:val="en-GB"/>
        </w:rPr>
        <w:t>1.</w:t>
      </w:r>
      <w:r w:rsidRPr="003B6A69">
        <w:rPr>
          <w:rFonts w:cs="Calibri"/>
          <w:bCs/>
          <w:szCs w:val="20"/>
          <w:lang w:val="en-GB"/>
        </w:rPr>
        <w:tab/>
        <w:t xml:space="preserve">The Special purpose spatial plan for the coastal area of Montenegro (2018) and the Spatial - urban plan of the Municipality Ulcinj envisage the construction of a new sports and recreation complex with tourist facilities and capacities in the zone of </w:t>
      </w:r>
      <w:proofErr w:type="spellStart"/>
      <w:r w:rsidRPr="003B6A69">
        <w:rPr>
          <w:rFonts w:cs="Calibri"/>
          <w:bCs/>
          <w:szCs w:val="20"/>
          <w:lang w:val="en-GB"/>
        </w:rPr>
        <w:t>Šasko</w:t>
      </w:r>
      <w:proofErr w:type="spellEnd"/>
      <w:r w:rsidRPr="003B6A69">
        <w:rPr>
          <w:rFonts w:cs="Calibri"/>
          <w:bCs/>
          <w:szCs w:val="20"/>
          <w:lang w:val="en-GB"/>
        </w:rPr>
        <w:t xml:space="preserve"> Lake and its wider surroundings, underlining that in this zone construction of a golf complex can also be reali</w:t>
      </w:r>
      <w:r w:rsidR="00A75B9B" w:rsidRPr="003B6A69">
        <w:rPr>
          <w:rFonts w:cs="Calibri"/>
          <w:bCs/>
          <w:szCs w:val="20"/>
          <w:lang w:val="en-GB"/>
        </w:rPr>
        <w:t>z</w:t>
      </w:r>
      <w:r w:rsidRPr="003B6A69">
        <w:rPr>
          <w:rFonts w:cs="Calibri"/>
          <w:bCs/>
          <w:szCs w:val="20"/>
          <w:lang w:val="en-GB"/>
        </w:rPr>
        <w:t xml:space="preserve">ed. This proposal is in direct contradiction with the guidelines found in the same Plan, referring to the preservation of the ecological characteristics of </w:t>
      </w:r>
      <w:proofErr w:type="spellStart"/>
      <w:r w:rsidRPr="003B6A69">
        <w:rPr>
          <w:rFonts w:cs="Calibri"/>
          <w:bCs/>
          <w:szCs w:val="20"/>
          <w:lang w:val="en-GB"/>
        </w:rPr>
        <w:t>Šasko</w:t>
      </w:r>
      <w:proofErr w:type="spellEnd"/>
      <w:r w:rsidRPr="003B6A69">
        <w:rPr>
          <w:rFonts w:cs="Calibri"/>
          <w:bCs/>
          <w:szCs w:val="20"/>
          <w:lang w:val="en-GB"/>
        </w:rPr>
        <w:t xml:space="preserve"> Lake as an EMERALD area. The document proposes that </w:t>
      </w:r>
      <w:proofErr w:type="spellStart"/>
      <w:r w:rsidRPr="003B6A69">
        <w:rPr>
          <w:rFonts w:cs="Calibri"/>
          <w:bCs/>
          <w:szCs w:val="20"/>
          <w:lang w:val="en-GB"/>
        </w:rPr>
        <w:t>Šasko</w:t>
      </w:r>
      <w:proofErr w:type="spellEnd"/>
      <w:r w:rsidRPr="003B6A69">
        <w:rPr>
          <w:rFonts w:cs="Calibri"/>
          <w:bCs/>
          <w:szCs w:val="20"/>
          <w:lang w:val="en-GB"/>
        </w:rPr>
        <w:t xml:space="preserve"> Lake is given the status of protection - a Natural Monument. With the implementation of the planned infrastructure projects, the </w:t>
      </w:r>
      <w:proofErr w:type="spellStart"/>
      <w:r w:rsidRPr="003B6A69">
        <w:rPr>
          <w:rFonts w:cs="Calibri"/>
          <w:bCs/>
          <w:szCs w:val="20"/>
          <w:lang w:val="en-GB"/>
        </w:rPr>
        <w:t>Šasko</w:t>
      </w:r>
      <w:proofErr w:type="spellEnd"/>
      <w:r w:rsidRPr="003B6A69">
        <w:rPr>
          <w:rFonts w:cs="Calibri"/>
          <w:bCs/>
          <w:szCs w:val="20"/>
          <w:lang w:val="en-GB"/>
        </w:rPr>
        <w:t xml:space="preserve"> Lake area and its surroundings would be irreversibly degraded.</w:t>
      </w:r>
    </w:p>
    <w:p w14:paraId="39B7569E" w14:textId="77777777" w:rsidR="00E3185E" w:rsidRPr="003B6A69" w:rsidRDefault="00E3185E" w:rsidP="00E3185E">
      <w:pPr>
        <w:tabs>
          <w:tab w:val="left" w:pos="426"/>
        </w:tabs>
        <w:spacing w:after="120"/>
        <w:rPr>
          <w:rFonts w:cs="Calibri"/>
          <w:bCs/>
          <w:szCs w:val="20"/>
          <w:lang w:val="en-GB"/>
        </w:rPr>
      </w:pPr>
      <w:r w:rsidRPr="003B6A69">
        <w:rPr>
          <w:rFonts w:cs="Calibri"/>
          <w:bCs/>
          <w:szCs w:val="20"/>
          <w:lang w:val="en-GB"/>
        </w:rPr>
        <w:t>2.</w:t>
      </w:r>
      <w:r w:rsidRPr="003B6A69">
        <w:rPr>
          <w:rFonts w:cs="Calibri"/>
          <w:bCs/>
          <w:szCs w:val="20"/>
          <w:lang w:val="en-GB"/>
        </w:rPr>
        <w:tab/>
      </w:r>
      <w:proofErr w:type="spellStart"/>
      <w:r w:rsidRPr="003B6A69">
        <w:rPr>
          <w:rFonts w:cs="Calibri"/>
          <w:bCs/>
          <w:szCs w:val="20"/>
          <w:lang w:val="en-GB"/>
        </w:rPr>
        <w:t>Šasko</w:t>
      </w:r>
      <w:proofErr w:type="spellEnd"/>
      <w:r w:rsidRPr="003B6A69">
        <w:rPr>
          <w:rFonts w:cs="Calibri"/>
          <w:bCs/>
          <w:szCs w:val="20"/>
          <w:lang w:val="en-GB"/>
        </w:rPr>
        <w:t xml:space="preserve"> Lake is part of the EMERALD site "</w:t>
      </w:r>
      <w:proofErr w:type="spellStart"/>
      <w:r w:rsidRPr="003B6A69">
        <w:rPr>
          <w:rFonts w:cs="Calibri"/>
          <w:bCs/>
          <w:szCs w:val="20"/>
          <w:lang w:val="en-GB"/>
        </w:rPr>
        <w:t>Šasko</w:t>
      </w:r>
      <w:proofErr w:type="spellEnd"/>
      <w:r w:rsidRPr="003B6A69">
        <w:rPr>
          <w:rFonts w:cs="Calibri"/>
          <w:bCs/>
          <w:szCs w:val="20"/>
          <w:lang w:val="en-GB"/>
        </w:rPr>
        <w:t xml:space="preserve"> Lake, Bojana River, </w:t>
      </w:r>
      <w:proofErr w:type="spellStart"/>
      <w:r w:rsidRPr="003B6A69">
        <w:rPr>
          <w:rFonts w:cs="Calibri"/>
          <w:bCs/>
          <w:szCs w:val="20"/>
          <w:lang w:val="en-GB"/>
        </w:rPr>
        <w:t>Knete</w:t>
      </w:r>
      <w:proofErr w:type="spellEnd"/>
      <w:r w:rsidRPr="003B6A69">
        <w:rPr>
          <w:rFonts w:cs="Calibri"/>
          <w:bCs/>
          <w:szCs w:val="20"/>
          <w:lang w:val="en-GB"/>
        </w:rPr>
        <w:t xml:space="preserve">, Ada Bojana" and is recognized as an IBA area. The two karst chains that surround </w:t>
      </w:r>
      <w:proofErr w:type="spellStart"/>
      <w:r w:rsidRPr="003B6A69">
        <w:rPr>
          <w:rFonts w:cs="Calibri"/>
          <w:bCs/>
          <w:szCs w:val="20"/>
          <w:lang w:val="en-GB"/>
        </w:rPr>
        <w:t>Šasko</w:t>
      </w:r>
      <w:proofErr w:type="spellEnd"/>
      <w:r w:rsidRPr="003B6A69">
        <w:rPr>
          <w:rFonts w:cs="Calibri"/>
          <w:bCs/>
          <w:szCs w:val="20"/>
          <w:lang w:val="en-GB"/>
        </w:rPr>
        <w:t xml:space="preserve"> Lake (</w:t>
      </w:r>
      <w:proofErr w:type="spellStart"/>
      <w:r w:rsidRPr="003B6A69">
        <w:rPr>
          <w:rFonts w:cs="Calibri"/>
          <w:bCs/>
          <w:szCs w:val="20"/>
          <w:lang w:val="en-GB"/>
        </w:rPr>
        <w:t>Briska</w:t>
      </w:r>
      <w:proofErr w:type="spellEnd"/>
      <w:r w:rsidRPr="003B6A69">
        <w:rPr>
          <w:rFonts w:cs="Calibri"/>
          <w:bCs/>
          <w:szCs w:val="20"/>
          <w:lang w:val="en-GB"/>
        </w:rPr>
        <w:t xml:space="preserve"> </w:t>
      </w:r>
      <w:proofErr w:type="spellStart"/>
      <w:r w:rsidRPr="003B6A69">
        <w:rPr>
          <w:rFonts w:cs="Calibri"/>
          <w:bCs/>
          <w:szCs w:val="20"/>
          <w:lang w:val="en-GB"/>
        </w:rPr>
        <w:t>gora</w:t>
      </w:r>
      <w:proofErr w:type="spellEnd"/>
      <w:r w:rsidRPr="003B6A69">
        <w:rPr>
          <w:rFonts w:cs="Calibri"/>
          <w:bCs/>
          <w:szCs w:val="20"/>
          <w:lang w:val="en-GB"/>
        </w:rPr>
        <w:t xml:space="preserve"> and </w:t>
      </w:r>
      <w:proofErr w:type="spellStart"/>
      <w:r w:rsidRPr="003B6A69">
        <w:rPr>
          <w:rFonts w:cs="Calibri"/>
          <w:bCs/>
          <w:szCs w:val="20"/>
          <w:lang w:val="en-GB"/>
        </w:rPr>
        <w:t>Šasko</w:t>
      </w:r>
      <w:proofErr w:type="spellEnd"/>
      <w:r w:rsidRPr="003B6A69">
        <w:rPr>
          <w:rFonts w:cs="Calibri"/>
          <w:bCs/>
          <w:szCs w:val="20"/>
          <w:lang w:val="en-GB"/>
        </w:rPr>
        <w:t xml:space="preserve"> </w:t>
      </w:r>
      <w:proofErr w:type="spellStart"/>
      <w:r w:rsidRPr="003B6A69">
        <w:rPr>
          <w:rFonts w:cs="Calibri"/>
          <w:bCs/>
          <w:szCs w:val="20"/>
          <w:lang w:val="en-GB"/>
        </w:rPr>
        <w:t>brdo</w:t>
      </w:r>
      <w:proofErr w:type="spellEnd"/>
      <w:r w:rsidRPr="003B6A69">
        <w:rPr>
          <w:rFonts w:cs="Calibri"/>
          <w:bCs/>
          <w:szCs w:val="20"/>
          <w:lang w:val="en-GB"/>
        </w:rPr>
        <w:t>) are natural bridges for large mammals and other terrestrial animals that migrate from the mountains to the shore. Mountainous areas are important shelters for several endangered species and have a high landscape value. Untouched by man, these areas represent significant habitats for several species of birds of prey.</w:t>
      </w:r>
    </w:p>
    <w:p w14:paraId="4982CD68" w14:textId="399D9CEB" w:rsidR="00E3185E" w:rsidRPr="003B6A69" w:rsidRDefault="00E3185E" w:rsidP="00E3185E">
      <w:pPr>
        <w:tabs>
          <w:tab w:val="left" w:pos="426"/>
        </w:tabs>
        <w:spacing w:after="120"/>
        <w:rPr>
          <w:rFonts w:cs="Calibri"/>
          <w:bCs/>
          <w:szCs w:val="20"/>
          <w:lang w:val="en-GB"/>
        </w:rPr>
      </w:pPr>
      <w:r w:rsidRPr="003B6A69">
        <w:rPr>
          <w:rFonts w:cs="Calibri"/>
          <w:bCs/>
          <w:szCs w:val="20"/>
          <w:lang w:val="en-GB"/>
        </w:rPr>
        <w:t>3.</w:t>
      </w:r>
      <w:r w:rsidRPr="003B6A69">
        <w:rPr>
          <w:rFonts w:cs="Calibri"/>
          <w:bCs/>
          <w:szCs w:val="20"/>
          <w:lang w:val="en-GB"/>
        </w:rPr>
        <w:tab/>
        <w:t xml:space="preserve">The GEF increment could identify / mark areas of special interest for protection and support </w:t>
      </w:r>
      <w:r w:rsidR="00A75B9B" w:rsidRPr="003B6A69">
        <w:rPr>
          <w:rFonts w:cs="Calibri"/>
          <w:bCs/>
          <w:szCs w:val="20"/>
          <w:lang w:val="en-GB"/>
        </w:rPr>
        <w:t xml:space="preserve">the </w:t>
      </w:r>
      <w:r w:rsidRPr="003B6A69">
        <w:rPr>
          <w:rFonts w:cs="Calibri"/>
          <w:bCs/>
          <w:szCs w:val="20"/>
          <w:lang w:val="en-GB"/>
        </w:rPr>
        <w:t>formulation of the detailed baseline studies with conservation measures for endangered habitats</w:t>
      </w:r>
      <w:r w:rsidR="00A75B9B" w:rsidRPr="003B6A69">
        <w:rPr>
          <w:rFonts w:cs="Calibri"/>
          <w:bCs/>
          <w:szCs w:val="20"/>
          <w:lang w:val="en-GB"/>
        </w:rPr>
        <w:t>/</w:t>
      </w:r>
      <w:r w:rsidRPr="003B6A69">
        <w:rPr>
          <w:rFonts w:cs="Calibri"/>
          <w:bCs/>
          <w:szCs w:val="20"/>
          <w:lang w:val="en-GB"/>
        </w:rPr>
        <w:t xml:space="preserve">species, which will contain specific conservation measures that are not </w:t>
      </w:r>
      <w:r w:rsidR="00A75B9B" w:rsidRPr="003B6A69">
        <w:rPr>
          <w:rFonts w:cs="Calibri"/>
          <w:bCs/>
          <w:szCs w:val="20"/>
          <w:lang w:val="en-GB"/>
        </w:rPr>
        <w:t>clearly</w:t>
      </w:r>
      <w:r w:rsidRPr="003B6A69">
        <w:rPr>
          <w:rFonts w:cs="Calibri"/>
          <w:bCs/>
          <w:szCs w:val="20"/>
          <w:lang w:val="en-GB"/>
        </w:rPr>
        <w:t xml:space="preserve"> defined in the existing planning documentation. </w:t>
      </w:r>
    </w:p>
    <w:p w14:paraId="3A0ED8BC" w14:textId="77777777" w:rsidR="00E3185E" w:rsidRPr="003B6A69" w:rsidRDefault="00E3185E" w:rsidP="00E3185E">
      <w:pPr>
        <w:tabs>
          <w:tab w:val="left" w:pos="426"/>
        </w:tabs>
        <w:spacing w:after="120"/>
        <w:rPr>
          <w:rFonts w:cs="Calibri"/>
          <w:bCs/>
          <w:szCs w:val="20"/>
          <w:lang w:val="en-GB"/>
        </w:rPr>
      </w:pPr>
      <w:r w:rsidRPr="003B6A69">
        <w:rPr>
          <w:rFonts w:cs="Calibri"/>
          <w:bCs/>
          <w:szCs w:val="20"/>
          <w:lang w:val="en-GB"/>
        </w:rPr>
        <w:t>The UNDP-GEF intervention will support the preparation of the baseline study for the pilot KBAs that will include the following:</w:t>
      </w:r>
    </w:p>
    <w:p w14:paraId="669D88D9" w14:textId="2E49B9E7" w:rsidR="00E3185E" w:rsidRPr="003B6A69" w:rsidRDefault="00E3185E" w:rsidP="00E3185E">
      <w:pPr>
        <w:tabs>
          <w:tab w:val="left" w:pos="426"/>
        </w:tabs>
        <w:spacing w:after="120"/>
        <w:rPr>
          <w:rFonts w:cs="Calibri"/>
          <w:bCs/>
          <w:szCs w:val="20"/>
          <w:lang w:val="en-GB"/>
        </w:rPr>
      </w:pPr>
      <w:r w:rsidRPr="003B6A69">
        <w:rPr>
          <w:rFonts w:cs="Calibri"/>
          <w:bCs/>
          <w:szCs w:val="20"/>
          <w:lang w:val="en-GB"/>
        </w:rPr>
        <w:t>-</w:t>
      </w:r>
      <w:r w:rsidRPr="003B6A69">
        <w:rPr>
          <w:rFonts w:cs="Calibri"/>
          <w:bCs/>
          <w:szCs w:val="20"/>
          <w:lang w:val="en-GB"/>
        </w:rPr>
        <w:tab/>
        <w:t>Map and provide a background study for the most representative habitats important sites for the protection of endangered species, which should be exempt from urbanization. The Spatial - urban plan of the Municipality Ulcinj envisages that there will be "green zones" between urbanized zones</w:t>
      </w:r>
      <w:r w:rsidR="00A75B9B" w:rsidRPr="003B6A69">
        <w:rPr>
          <w:rFonts w:cs="Calibri"/>
          <w:bCs/>
          <w:szCs w:val="20"/>
          <w:lang w:val="en-GB"/>
        </w:rPr>
        <w:t>/</w:t>
      </w:r>
      <w:r w:rsidRPr="003B6A69">
        <w:rPr>
          <w:rFonts w:cs="Calibri"/>
          <w:bCs/>
          <w:szCs w:val="20"/>
          <w:lang w:val="en-GB"/>
        </w:rPr>
        <w:t>hotel complexes, which will not be urbanized. The GEF increment should describe short-term, medium-term</w:t>
      </w:r>
      <w:r w:rsidR="00A75B9B" w:rsidRPr="003B6A69">
        <w:rPr>
          <w:rFonts w:cs="Calibri"/>
          <w:bCs/>
          <w:szCs w:val="20"/>
          <w:lang w:val="en-GB"/>
        </w:rPr>
        <w:t>,</w:t>
      </w:r>
      <w:r w:rsidRPr="003B6A69">
        <w:rPr>
          <w:rFonts w:cs="Calibri"/>
          <w:bCs/>
          <w:szCs w:val="20"/>
          <w:lang w:val="en-GB"/>
        </w:rPr>
        <w:t xml:space="preserve"> and long-term measures</w:t>
      </w:r>
      <w:r w:rsidR="00A75B9B" w:rsidRPr="003B6A69">
        <w:rPr>
          <w:rFonts w:cs="Calibri"/>
          <w:bCs/>
          <w:szCs w:val="20"/>
          <w:lang w:val="en-GB"/>
        </w:rPr>
        <w:t>/</w:t>
      </w:r>
      <w:r w:rsidRPr="003B6A69">
        <w:rPr>
          <w:rFonts w:cs="Calibri"/>
          <w:bCs/>
          <w:szCs w:val="20"/>
          <w:lang w:val="en-GB"/>
        </w:rPr>
        <w:t xml:space="preserve">proposals of activities that should be implemented </w:t>
      </w:r>
      <w:proofErr w:type="gramStart"/>
      <w:r w:rsidRPr="003B6A69">
        <w:rPr>
          <w:rFonts w:cs="Calibri"/>
          <w:bCs/>
          <w:szCs w:val="20"/>
          <w:lang w:val="en-GB"/>
        </w:rPr>
        <w:t>in order to</w:t>
      </w:r>
      <w:proofErr w:type="gramEnd"/>
      <w:r w:rsidRPr="003B6A69">
        <w:rPr>
          <w:rFonts w:cs="Calibri"/>
          <w:bCs/>
          <w:szCs w:val="20"/>
          <w:lang w:val="en-GB"/>
        </w:rPr>
        <w:t xml:space="preserve"> better preserve natural habitats</w:t>
      </w:r>
      <w:r w:rsidR="00A75B9B" w:rsidRPr="003B6A69">
        <w:rPr>
          <w:rFonts w:cs="Calibri"/>
          <w:bCs/>
          <w:szCs w:val="20"/>
          <w:lang w:val="en-GB"/>
        </w:rPr>
        <w:t>/</w:t>
      </w:r>
      <w:r w:rsidRPr="003B6A69">
        <w:rPr>
          <w:rFonts w:cs="Calibri"/>
          <w:bCs/>
          <w:szCs w:val="20"/>
          <w:lang w:val="en-GB"/>
        </w:rPr>
        <w:t>populations of endangered species in the "green zones".</w:t>
      </w:r>
    </w:p>
    <w:p w14:paraId="4497E3E5" w14:textId="77777777" w:rsidR="00E3185E" w:rsidRPr="003B6A69" w:rsidRDefault="00E3185E" w:rsidP="00E3185E">
      <w:pPr>
        <w:tabs>
          <w:tab w:val="left" w:pos="426"/>
        </w:tabs>
        <w:spacing w:after="120"/>
        <w:rPr>
          <w:rFonts w:cs="Calibri"/>
          <w:bCs/>
          <w:szCs w:val="20"/>
          <w:lang w:val="en-GB"/>
        </w:rPr>
      </w:pPr>
      <w:r w:rsidRPr="003B6A69">
        <w:rPr>
          <w:rFonts w:cs="Calibri"/>
          <w:bCs/>
          <w:szCs w:val="20"/>
          <w:lang w:val="en-GB"/>
        </w:rPr>
        <w:t>-</w:t>
      </w:r>
      <w:r w:rsidRPr="003B6A69">
        <w:rPr>
          <w:rFonts w:cs="Calibri"/>
          <w:bCs/>
          <w:szCs w:val="20"/>
          <w:lang w:val="en-GB"/>
        </w:rPr>
        <w:tab/>
        <w:t xml:space="preserve">Define the program and protection measures for significant species and habitats in these </w:t>
      </w:r>
      <w:proofErr w:type="gramStart"/>
      <w:r w:rsidRPr="003B6A69">
        <w:rPr>
          <w:rFonts w:cs="Calibri"/>
          <w:bCs/>
          <w:szCs w:val="20"/>
          <w:lang w:val="en-GB"/>
        </w:rPr>
        <w:t>localities, and</w:t>
      </w:r>
      <w:proofErr w:type="gramEnd"/>
      <w:r w:rsidRPr="003B6A69">
        <w:rPr>
          <w:rFonts w:cs="Calibri"/>
          <w:bCs/>
          <w:szCs w:val="20"/>
          <w:lang w:val="en-GB"/>
        </w:rPr>
        <w:t xml:space="preserve"> leave a minimally required natural habitat area.</w:t>
      </w:r>
    </w:p>
    <w:p w14:paraId="120E93B9" w14:textId="77777777" w:rsidR="00E3185E" w:rsidRPr="003B6A69" w:rsidRDefault="00E3185E" w:rsidP="00E3185E">
      <w:pPr>
        <w:tabs>
          <w:tab w:val="left" w:pos="426"/>
        </w:tabs>
        <w:spacing w:after="120"/>
        <w:rPr>
          <w:rFonts w:cs="Calibri"/>
          <w:bCs/>
          <w:szCs w:val="20"/>
          <w:lang w:val="en-GB"/>
        </w:rPr>
      </w:pPr>
      <w:r w:rsidRPr="003B6A69">
        <w:rPr>
          <w:rFonts w:cs="Calibri"/>
          <w:bCs/>
          <w:szCs w:val="20"/>
          <w:lang w:val="en-GB"/>
        </w:rPr>
        <w:t>-</w:t>
      </w:r>
      <w:r w:rsidRPr="003B6A69">
        <w:rPr>
          <w:rFonts w:cs="Calibri"/>
          <w:bCs/>
          <w:szCs w:val="20"/>
          <w:lang w:val="en-GB"/>
        </w:rPr>
        <w:tab/>
        <w:t>Develop hazard studies by habitats and populations of targeted species of the identified conflict area, with associated unit areas.</w:t>
      </w:r>
    </w:p>
    <w:p w14:paraId="5445D747" w14:textId="7AB207FC" w:rsidR="00E3185E" w:rsidRPr="003B6A69" w:rsidRDefault="00E3185E" w:rsidP="00E3185E">
      <w:pPr>
        <w:tabs>
          <w:tab w:val="left" w:pos="426"/>
        </w:tabs>
        <w:spacing w:after="120"/>
        <w:rPr>
          <w:rFonts w:cs="Calibri"/>
          <w:bCs/>
          <w:szCs w:val="20"/>
          <w:lang w:val="en-GB"/>
        </w:rPr>
      </w:pPr>
      <w:r w:rsidRPr="003B6A69">
        <w:rPr>
          <w:rFonts w:cs="Calibri"/>
          <w:bCs/>
          <w:szCs w:val="20"/>
          <w:lang w:val="en-GB"/>
        </w:rPr>
        <w:t>-</w:t>
      </w:r>
      <w:r w:rsidRPr="003B6A69">
        <w:rPr>
          <w:rFonts w:cs="Calibri"/>
          <w:bCs/>
          <w:szCs w:val="20"/>
          <w:lang w:val="en-GB"/>
        </w:rPr>
        <w:tab/>
        <w:t>Support preparation of Urbanistic project</w:t>
      </w:r>
      <w:r w:rsidR="005E3550" w:rsidRPr="003B6A69">
        <w:rPr>
          <w:rStyle w:val="FootnoteReference"/>
        </w:rPr>
        <w:footnoteReference w:id="7"/>
      </w:r>
      <w:r w:rsidRPr="003B6A69">
        <w:rPr>
          <w:rFonts w:cs="Calibri"/>
          <w:bCs/>
          <w:szCs w:val="20"/>
          <w:lang w:val="en-GB"/>
        </w:rPr>
        <w:t>, as the action for implementation of the General Regulation Plan of Montenegro on the local level (to be developed by the Local Government), for the area where extensive development is envisioned (</w:t>
      </w:r>
      <w:proofErr w:type="gramStart"/>
      <w:r w:rsidRPr="003B6A69">
        <w:rPr>
          <w:rFonts w:cs="Calibri"/>
          <w:bCs/>
          <w:szCs w:val="20"/>
          <w:lang w:val="en-GB"/>
        </w:rPr>
        <w:t>e.g.</w:t>
      </w:r>
      <w:proofErr w:type="gramEnd"/>
      <w:r w:rsidRPr="003B6A69">
        <w:rPr>
          <w:rFonts w:cs="Calibri"/>
          <w:bCs/>
          <w:szCs w:val="20"/>
          <w:lang w:val="en-GB"/>
        </w:rPr>
        <w:t xml:space="preserve"> Velika Plaza hinterland development).   </w:t>
      </w:r>
    </w:p>
    <w:p w14:paraId="3C5D9DFA" w14:textId="438E427B" w:rsidR="00E3185E" w:rsidRPr="003B6A69" w:rsidRDefault="00E3185E" w:rsidP="00E3185E">
      <w:pPr>
        <w:tabs>
          <w:tab w:val="left" w:pos="426"/>
        </w:tabs>
        <w:spacing w:after="120"/>
        <w:rPr>
          <w:rFonts w:cs="Calibri"/>
          <w:bCs/>
          <w:szCs w:val="20"/>
          <w:lang w:val="en-GB"/>
        </w:rPr>
      </w:pPr>
      <w:r w:rsidRPr="003B6A69">
        <w:rPr>
          <w:rFonts w:cs="Calibri"/>
          <w:bCs/>
          <w:szCs w:val="20"/>
          <w:lang w:val="en-GB"/>
        </w:rPr>
        <w:t>The proposed activities and proposed actions need to be followed with a wider stakeholder engagement process, with most relevant actors on national and local levels as follows: Ministry of Sustainable Development and Tourism, Agency for Nature protection and Environment, Integrated Coastal Zone Management Institution/</w:t>
      </w:r>
      <w:proofErr w:type="spellStart"/>
      <w:r w:rsidRPr="003B6A69">
        <w:rPr>
          <w:rFonts w:cs="Calibri"/>
          <w:bCs/>
          <w:szCs w:val="20"/>
          <w:lang w:val="en-GB"/>
        </w:rPr>
        <w:t>Morsko</w:t>
      </w:r>
      <w:proofErr w:type="spellEnd"/>
      <w:r w:rsidRPr="003B6A69">
        <w:rPr>
          <w:rFonts w:cs="Calibri"/>
          <w:bCs/>
          <w:szCs w:val="20"/>
          <w:lang w:val="en-GB"/>
        </w:rPr>
        <w:t xml:space="preserve"> dobro, Administration for Inspection Affairs, </w:t>
      </w:r>
      <w:r w:rsidR="00A75B9B" w:rsidRPr="003B6A69">
        <w:rPr>
          <w:rFonts w:cs="Calibri"/>
          <w:bCs/>
          <w:szCs w:val="20"/>
          <w:lang w:val="en-GB"/>
        </w:rPr>
        <w:t xml:space="preserve">the </w:t>
      </w:r>
      <w:r w:rsidRPr="003B6A69">
        <w:rPr>
          <w:rFonts w:cs="Calibri"/>
          <w:bCs/>
          <w:szCs w:val="20"/>
          <w:lang w:val="en-GB"/>
        </w:rPr>
        <w:t>University of Montenegro-Institute for Marine Biology, municipalities, NGOs and civil society organi</w:t>
      </w:r>
      <w:r w:rsidR="00A75B9B" w:rsidRPr="003B6A69">
        <w:rPr>
          <w:rFonts w:cs="Calibri"/>
          <w:bCs/>
          <w:szCs w:val="20"/>
          <w:lang w:val="en-GB"/>
        </w:rPr>
        <w:t>z</w:t>
      </w:r>
      <w:r w:rsidRPr="003B6A69">
        <w:rPr>
          <w:rFonts w:cs="Calibri"/>
          <w:bCs/>
          <w:szCs w:val="20"/>
          <w:lang w:val="en-GB"/>
        </w:rPr>
        <w:t>ations interested in the area and the topic. The PPG experts will commission a comprehensive Stakeholder Engagement Plan with more detail on the consultation process.</w:t>
      </w:r>
    </w:p>
    <w:p w14:paraId="57014418" w14:textId="3307E199" w:rsidR="005C5123" w:rsidRPr="003B6A69" w:rsidRDefault="005C5123" w:rsidP="005E3550">
      <w:pPr>
        <w:pStyle w:val="Heading3"/>
      </w:pPr>
      <w:bookmarkStart w:id="26" w:name="_Toc82018252"/>
      <w:r w:rsidRPr="003B6A69">
        <w:rPr>
          <w:bCs/>
        </w:rPr>
        <w:lastRenderedPageBreak/>
        <w:t>Component</w:t>
      </w:r>
      <w:r w:rsidRPr="003B6A69">
        <w:t xml:space="preserve"> 2: BD mainstreaming into sectoral policies and practices</w:t>
      </w:r>
      <w:bookmarkEnd w:id="26"/>
    </w:p>
    <w:p w14:paraId="669E317F" w14:textId="43994957" w:rsidR="005C5123" w:rsidRPr="003B6A69" w:rsidRDefault="005C5123" w:rsidP="003C6B7B">
      <w:pPr>
        <w:numPr>
          <w:ilvl w:val="0"/>
          <w:numId w:val="41"/>
        </w:numPr>
        <w:tabs>
          <w:tab w:val="left" w:pos="426"/>
        </w:tabs>
        <w:spacing w:after="120"/>
        <w:ind w:left="0" w:hanging="14"/>
        <w:rPr>
          <w:rFonts w:cs="Calibri"/>
          <w:bCs/>
          <w:szCs w:val="20"/>
          <w:lang w:val="en-GB"/>
        </w:rPr>
      </w:pPr>
      <w:r w:rsidRPr="003B6A69">
        <w:rPr>
          <w:szCs w:val="20"/>
        </w:rPr>
        <w:t>Component 2 will focus on embedding the biodiversity conservation and sustainable use objective into the key sectoral policies and practices: tourism, forestry</w:t>
      </w:r>
      <w:r w:rsidR="00A75B9B" w:rsidRPr="003B6A69">
        <w:rPr>
          <w:szCs w:val="20"/>
        </w:rPr>
        <w:t>,</w:t>
      </w:r>
      <w:r w:rsidRPr="003B6A69">
        <w:rPr>
          <w:szCs w:val="20"/>
        </w:rPr>
        <w:t xml:space="preserve"> and agriculture. </w:t>
      </w:r>
      <w:r w:rsidRPr="003B6A69">
        <w:rPr>
          <w:rFonts w:cs="Calibri"/>
          <w:bCs/>
          <w:szCs w:val="20"/>
          <w:lang w:val="en-GB"/>
        </w:rPr>
        <w:t xml:space="preserve"> </w:t>
      </w:r>
    </w:p>
    <w:p w14:paraId="62F4459D" w14:textId="77777777" w:rsidR="005E3550" w:rsidRPr="003B6A69" w:rsidRDefault="005E3550" w:rsidP="002B5F7E">
      <w:pPr>
        <w:pStyle w:val="Heading3"/>
      </w:pPr>
      <w:bookmarkStart w:id="27" w:name="_Toc56670681"/>
      <w:bookmarkStart w:id="28" w:name="_Toc82018253"/>
      <w:r w:rsidRPr="003B6A69">
        <w:t>Outcome 3: BD conservation considerations mainstreamed for sustainable tourism development</w:t>
      </w:r>
      <w:bookmarkEnd w:id="27"/>
      <w:bookmarkEnd w:id="28"/>
    </w:p>
    <w:p w14:paraId="6129D281" w14:textId="77777777" w:rsidR="005E3550" w:rsidRPr="003B6A69" w:rsidRDefault="005E3550" w:rsidP="005E3550">
      <w:pPr>
        <w:pStyle w:val="Heading6"/>
      </w:pPr>
      <w:bookmarkStart w:id="29" w:name="_Toc56670682"/>
      <w:r w:rsidRPr="003B6A69">
        <w:t>Output 3.1: Best-practice standards for nature-based BD friendly tourism developed and endorsed</w:t>
      </w:r>
      <w:bookmarkEnd w:id="29"/>
    </w:p>
    <w:p w14:paraId="0C329953" w14:textId="6403F143" w:rsidR="00AF1F0F" w:rsidRPr="003B6A69" w:rsidRDefault="005E3550" w:rsidP="003C6B7B">
      <w:pPr>
        <w:numPr>
          <w:ilvl w:val="0"/>
          <w:numId w:val="41"/>
        </w:numPr>
        <w:tabs>
          <w:tab w:val="left" w:pos="426"/>
        </w:tabs>
        <w:spacing w:after="120"/>
        <w:ind w:left="0" w:hanging="14"/>
        <w:rPr>
          <w:rFonts w:cs="Calibri"/>
          <w:bCs/>
          <w:szCs w:val="20"/>
          <w:lang w:val="en-GB"/>
        </w:rPr>
      </w:pPr>
      <w:r w:rsidRPr="003B6A69">
        <w:rPr>
          <w:rFonts w:cs="Calibri"/>
          <w:bCs/>
          <w:lang w:val="en-GB"/>
        </w:rPr>
        <w:t xml:space="preserve">Output 3.1 will support BD mainstreaming into sectoral policy and regulatory framework used to plan, </w:t>
      </w:r>
      <w:proofErr w:type="gramStart"/>
      <w:r w:rsidRPr="003B6A69">
        <w:rPr>
          <w:rFonts w:cs="Calibri"/>
          <w:bCs/>
          <w:lang w:val="en-GB"/>
        </w:rPr>
        <w:t>license</w:t>
      </w:r>
      <w:proofErr w:type="gramEnd"/>
      <w:r w:rsidRPr="003B6A69">
        <w:rPr>
          <w:rFonts w:cs="Calibri"/>
          <w:bCs/>
          <w:lang w:val="en-GB"/>
        </w:rPr>
        <w:t xml:space="preserve"> and oversee tourism and related real estate development. Specifically, the project will </w:t>
      </w:r>
      <w:proofErr w:type="gramStart"/>
      <w:r w:rsidRPr="003B6A69">
        <w:rPr>
          <w:rFonts w:cs="Calibri"/>
          <w:bCs/>
          <w:lang w:val="en-GB"/>
        </w:rPr>
        <w:t>offer assistance to</w:t>
      </w:r>
      <w:proofErr w:type="gramEnd"/>
      <w:r w:rsidRPr="003B6A69">
        <w:rPr>
          <w:rFonts w:cs="Calibri"/>
          <w:bCs/>
          <w:lang w:val="en-GB"/>
        </w:rPr>
        <w:t xml:space="preserve"> the Ministry of </w:t>
      </w:r>
      <w:r w:rsidR="0039710B" w:rsidRPr="003B6A69">
        <w:rPr>
          <w:rFonts w:cs="Calibri"/>
          <w:bCs/>
          <w:lang w:val="en-GB"/>
        </w:rPr>
        <w:t>Economic Development</w:t>
      </w:r>
      <w:r w:rsidRPr="003B6A69">
        <w:rPr>
          <w:rFonts w:cs="Calibri"/>
          <w:bCs/>
          <w:lang w:val="en-GB"/>
        </w:rPr>
        <w:t xml:space="preserve"> in the development of best-practice standards for sustainable tourism and nature-based BD</w:t>
      </w:r>
      <w:r w:rsidR="00A75B9B" w:rsidRPr="003B6A69">
        <w:rPr>
          <w:rFonts w:cs="Calibri"/>
          <w:bCs/>
          <w:lang w:val="en-GB"/>
        </w:rPr>
        <w:t>-</w:t>
      </w:r>
      <w:r w:rsidRPr="003B6A69">
        <w:rPr>
          <w:rFonts w:cs="Calibri"/>
          <w:bCs/>
          <w:lang w:val="en-GB"/>
        </w:rPr>
        <w:t>friendly tourism</w:t>
      </w:r>
      <w:r w:rsidR="005C5123" w:rsidRPr="003B6A69">
        <w:rPr>
          <w:rFonts w:cs="Calibri"/>
          <w:bCs/>
          <w:sz w:val="22"/>
          <w:szCs w:val="22"/>
          <w:lang w:val="en-GB"/>
        </w:rPr>
        <w:t>.</w:t>
      </w:r>
      <w:r w:rsidRPr="003B6A69">
        <w:rPr>
          <w:rFonts w:cs="Calibri"/>
          <w:bCs/>
          <w:lang w:val="en-GB"/>
        </w:rPr>
        <w:t xml:space="preserve"> In particular, the project will assist the Government with an introduction of a biodiversity-sensitive dimension to the existing mechanisms within the national voluntary certification system and verification mechanisms for hotels and tourism operators.</w:t>
      </w:r>
    </w:p>
    <w:p w14:paraId="51541253" w14:textId="67482DAF" w:rsidR="005C5123" w:rsidRPr="003B6A69" w:rsidRDefault="00AF1F0F" w:rsidP="003C6B7B">
      <w:pPr>
        <w:numPr>
          <w:ilvl w:val="0"/>
          <w:numId w:val="41"/>
        </w:numPr>
        <w:tabs>
          <w:tab w:val="left" w:pos="426"/>
        </w:tabs>
        <w:spacing w:after="120"/>
        <w:ind w:left="0" w:hanging="14"/>
        <w:rPr>
          <w:rFonts w:cs="Calibri"/>
          <w:bCs/>
          <w:szCs w:val="20"/>
          <w:lang w:val="en-GB"/>
        </w:rPr>
      </w:pPr>
      <w:r w:rsidRPr="003B6A69">
        <w:t>The</w:t>
      </w:r>
      <w:r w:rsidRPr="003B6A69">
        <w:rPr>
          <w:bCs/>
        </w:rPr>
        <w:t xml:space="preserve"> eco-certification baseline study for Montenegro </w:t>
      </w:r>
      <w:hyperlink w:anchor="_Annex_18._Sustainable" w:history="1">
        <w:r w:rsidRPr="003B6A69">
          <w:rPr>
            <w:rStyle w:val="Hyperlink"/>
            <w:bCs/>
            <w:lang w:val="en-GB"/>
          </w:rPr>
          <w:t>(</w:t>
        </w:r>
        <w:r w:rsidRPr="003B6A69">
          <w:rPr>
            <w:rStyle w:val="Hyperlink"/>
            <w:bCs/>
          </w:rPr>
          <w:t>Annex</w:t>
        </w:r>
        <w:r w:rsidR="006C1C66" w:rsidRPr="003B6A69">
          <w:rPr>
            <w:rStyle w:val="Hyperlink"/>
            <w:bCs/>
          </w:rPr>
          <w:t xml:space="preserve"> 16</w:t>
        </w:r>
      </w:hyperlink>
      <w:r w:rsidRPr="003B6A69">
        <w:rPr>
          <w:bCs/>
          <w:lang w:val="en-GB"/>
        </w:rPr>
        <w:t xml:space="preserve">) </w:t>
      </w:r>
      <w:r w:rsidRPr="003B6A69">
        <w:rPr>
          <w:bCs/>
        </w:rPr>
        <w:t>showcases very few certification systems and indicators that are in use. In</w:t>
      </w:r>
      <w:r w:rsidR="00F31132" w:rsidRPr="003B6A69">
        <w:t xml:space="preserve"> response to these findings, the UNDP-GEF at its inception stage will organize a survey on eco</w:t>
      </w:r>
      <w:r w:rsidR="00A75B9B" w:rsidRPr="003B6A69">
        <w:t>-</w:t>
      </w:r>
      <w:r w:rsidR="00F31132" w:rsidRPr="003B6A69">
        <w:t xml:space="preserve">certification schemes in tourism with specific attention being placed on the BD dimension. In follow-up, the project will suggest and support </w:t>
      </w:r>
      <w:r w:rsidR="00A75B9B" w:rsidRPr="003B6A69">
        <w:t xml:space="preserve">the </w:t>
      </w:r>
      <w:r w:rsidR="00F31132" w:rsidRPr="003B6A69">
        <w:t xml:space="preserve">implementation of the specific awareness measures to raise the knowledge on the opportunities these schemes bring for </w:t>
      </w:r>
      <w:r w:rsidR="00F31132" w:rsidRPr="003B6A69">
        <w:rPr>
          <w:szCs w:val="20"/>
        </w:rPr>
        <w:t>businesses, especially from the commercial perspective.</w:t>
      </w:r>
    </w:p>
    <w:p w14:paraId="003135AB" w14:textId="692B4F7C" w:rsidR="00F31132" w:rsidRPr="003B6A69" w:rsidRDefault="00F31132" w:rsidP="003C6B7B">
      <w:pPr>
        <w:numPr>
          <w:ilvl w:val="0"/>
          <w:numId w:val="41"/>
        </w:numPr>
        <w:tabs>
          <w:tab w:val="left" w:pos="426"/>
        </w:tabs>
        <w:spacing w:after="120"/>
        <w:ind w:left="0" w:hanging="14"/>
        <w:rPr>
          <w:rFonts w:cs="Calibri"/>
          <w:bCs/>
          <w:szCs w:val="20"/>
          <w:lang w:val="en-GB"/>
        </w:rPr>
      </w:pPr>
      <w:r w:rsidRPr="003B6A69">
        <w:rPr>
          <w:rFonts w:cs="Calibri"/>
          <w:bCs/>
          <w:szCs w:val="20"/>
        </w:rPr>
        <w:t>The project will offer a BD dimension (criteria, verification mechanisms</w:t>
      </w:r>
      <w:r w:rsidR="00A75B9B" w:rsidRPr="003B6A69">
        <w:rPr>
          <w:rFonts w:cs="Calibri"/>
          <w:bCs/>
          <w:szCs w:val="20"/>
        </w:rPr>
        <w:t>,</w:t>
      </w:r>
      <w:r w:rsidRPr="003B6A69">
        <w:rPr>
          <w:rFonts w:cs="Calibri"/>
          <w:bCs/>
          <w:szCs w:val="20"/>
        </w:rPr>
        <w:t xml:space="preserve"> etc.) to the existing certification schemes that have already been tested and applied in the country. </w:t>
      </w:r>
      <w:r w:rsidR="00A75B9B" w:rsidRPr="003B6A69">
        <w:rPr>
          <w:rFonts w:cs="Calibri"/>
          <w:bCs/>
          <w:szCs w:val="20"/>
        </w:rPr>
        <w:t>The e</w:t>
      </w:r>
      <w:r w:rsidRPr="003B6A69">
        <w:rPr>
          <w:rFonts w:cs="Calibri"/>
          <w:bCs/>
          <w:szCs w:val="20"/>
        </w:rPr>
        <w:t>ffectiveness of the amended standards would rely directly on the body that establishes them within MSDT and would allow for additional marketing opportunities for both businesses and Montenegro as a destination.</w:t>
      </w:r>
      <w:r w:rsidRPr="003B6A69">
        <w:rPr>
          <w:rFonts w:cs="Calibri"/>
          <w:bCs/>
          <w:sz w:val="22"/>
          <w:szCs w:val="22"/>
          <w:lang w:val="en-GB"/>
        </w:rPr>
        <w:t xml:space="preserve"> </w:t>
      </w:r>
      <w:r w:rsidRPr="003B6A69">
        <w:rPr>
          <w:rFonts w:cs="Calibri"/>
          <w:bCs/>
          <w:szCs w:val="20"/>
          <w:lang w:val="en-GB"/>
        </w:rPr>
        <w:t xml:space="preserve">Besides this, the project can support </w:t>
      </w:r>
      <w:r w:rsidR="00A75B9B" w:rsidRPr="003B6A69">
        <w:rPr>
          <w:rFonts w:cs="Calibri"/>
          <w:bCs/>
          <w:szCs w:val="20"/>
          <w:lang w:val="en-GB"/>
        </w:rPr>
        <w:t xml:space="preserve">the </w:t>
      </w:r>
      <w:r w:rsidRPr="003B6A69">
        <w:rPr>
          <w:rFonts w:cs="Calibri"/>
          <w:bCs/>
          <w:szCs w:val="20"/>
          <w:lang w:val="en-GB"/>
        </w:rPr>
        <w:t xml:space="preserve">introduction of one more certification scheme that is more BD-sensitive than those currently applied. One of the options could be to introduce the Green Globe 21 scheme in accordance with the IUCN guidelines. Training for the local community to introduce the certification schemes and gain </w:t>
      </w:r>
      <w:r w:rsidR="00A75B9B" w:rsidRPr="003B6A69">
        <w:rPr>
          <w:rFonts w:cs="Calibri"/>
          <w:bCs/>
          <w:szCs w:val="20"/>
          <w:lang w:val="en-GB"/>
        </w:rPr>
        <w:t xml:space="preserve">a </w:t>
      </w:r>
      <w:r w:rsidRPr="003B6A69">
        <w:rPr>
          <w:rFonts w:cs="Calibri"/>
          <w:bCs/>
          <w:szCs w:val="20"/>
          <w:lang w:val="en-GB"/>
        </w:rPr>
        <w:t xml:space="preserve">better understanding of their </w:t>
      </w:r>
      <w:proofErr w:type="gramStart"/>
      <w:r w:rsidRPr="003B6A69">
        <w:rPr>
          <w:rFonts w:cs="Calibri"/>
          <w:bCs/>
          <w:szCs w:val="20"/>
          <w:lang w:val="en-GB"/>
        </w:rPr>
        <w:t>benefits, or</w:t>
      </w:r>
      <w:proofErr w:type="gramEnd"/>
      <w:r w:rsidRPr="003B6A69">
        <w:rPr>
          <w:rFonts w:cs="Calibri"/>
          <w:bCs/>
          <w:szCs w:val="20"/>
          <w:lang w:val="en-GB"/>
        </w:rPr>
        <w:t xml:space="preserve"> using certification schemes as leverage when giving concessions or when entering into public</w:t>
      </w:r>
      <w:r w:rsidR="00A75B9B" w:rsidRPr="003B6A69">
        <w:rPr>
          <w:rFonts w:cs="Calibri"/>
          <w:bCs/>
          <w:szCs w:val="20"/>
          <w:lang w:val="en-GB"/>
        </w:rPr>
        <w:t>-</w:t>
      </w:r>
      <w:r w:rsidRPr="003B6A69">
        <w:rPr>
          <w:rFonts w:cs="Calibri"/>
          <w:bCs/>
          <w:szCs w:val="20"/>
          <w:lang w:val="en-GB"/>
        </w:rPr>
        <w:t xml:space="preserve">private partnerships, </w:t>
      </w:r>
      <w:r w:rsidR="00244183" w:rsidRPr="003B6A69">
        <w:rPr>
          <w:rFonts w:cs="Calibri"/>
          <w:bCs/>
          <w:szCs w:val="20"/>
          <w:lang w:val="en-GB"/>
        </w:rPr>
        <w:t>will be provided along with institutional capacity building support to the introduction of the new incentives</w:t>
      </w:r>
      <w:r w:rsidRPr="003B6A69">
        <w:rPr>
          <w:rFonts w:cs="Calibri"/>
          <w:bCs/>
          <w:szCs w:val="20"/>
          <w:lang w:val="en-GB"/>
        </w:rPr>
        <w:t>.</w:t>
      </w:r>
    </w:p>
    <w:p w14:paraId="37FFC248" w14:textId="35838A68" w:rsidR="00F31132" w:rsidRPr="003B6A69" w:rsidRDefault="00F31132" w:rsidP="003C6B7B">
      <w:pPr>
        <w:numPr>
          <w:ilvl w:val="0"/>
          <w:numId w:val="41"/>
        </w:numPr>
        <w:tabs>
          <w:tab w:val="left" w:pos="426"/>
        </w:tabs>
        <w:spacing w:after="120"/>
        <w:ind w:left="0" w:hanging="14"/>
        <w:rPr>
          <w:rFonts w:cs="Calibri"/>
          <w:bCs/>
          <w:szCs w:val="20"/>
          <w:lang w:val="en-GB"/>
        </w:rPr>
      </w:pPr>
      <w:r w:rsidRPr="003B6A69">
        <w:rPr>
          <w:rFonts w:cs="Calibri"/>
          <w:bCs/>
          <w:szCs w:val="20"/>
          <w:lang w:val="en-GB"/>
        </w:rPr>
        <w:t>Within the project impact area, the project will support M</w:t>
      </w:r>
      <w:r w:rsidR="006B6997">
        <w:rPr>
          <w:rFonts w:cs="Calibri"/>
          <w:bCs/>
          <w:szCs w:val="20"/>
          <w:lang w:val="en-GB"/>
        </w:rPr>
        <w:t>ESPU</w:t>
      </w:r>
      <w:r w:rsidRPr="003B6A69">
        <w:rPr>
          <w:rFonts w:cs="Calibri"/>
          <w:bCs/>
          <w:szCs w:val="20"/>
          <w:lang w:val="en-GB"/>
        </w:rPr>
        <w:t xml:space="preserve"> with an </w:t>
      </w:r>
      <w:r w:rsidRPr="003B6A69">
        <w:rPr>
          <w:rFonts w:cs="Calibri"/>
          <w:bCs/>
          <w:szCs w:val="20"/>
        </w:rPr>
        <w:t>assessment and evaluation of how the COVID-19 crisis has affected the tourism sector so far. The project will gather expertise and resource to offer a set of recommendations aimed to ensure that the economic recovery and development plans are prepared with due account of increased environmental pressure and possible biodiversity loss associated with the speedy recovery measures. For the MSDT tourism recovery scenarios, the project experts will make sure that the economic incentives and on-the-ground support measures are environmentally sensitive and do not impose additional risks of biodiversity loss.</w:t>
      </w:r>
    </w:p>
    <w:p w14:paraId="75F70B35" w14:textId="105BBEC1" w:rsidR="00F31132" w:rsidRPr="003B6A69" w:rsidRDefault="00F31132" w:rsidP="002B5F7E">
      <w:pPr>
        <w:pStyle w:val="Heading6"/>
      </w:pPr>
      <w:bookmarkStart w:id="30" w:name="_Toc56670683"/>
      <w:r w:rsidRPr="003B6A69">
        <w:t>Output 3.2: Small-scale tourism business</w:t>
      </w:r>
      <w:r w:rsidR="006B6997">
        <w:rPr>
          <w:lang w:val="en-US"/>
        </w:rPr>
        <w:t>es</w:t>
      </w:r>
      <w:r w:rsidRPr="003B6A69">
        <w:t xml:space="preserve"> are stimulated to introduce biodiversity-sensitive business models</w:t>
      </w:r>
      <w:bookmarkEnd w:id="30"/>
    </w:p>
    <w:p w14:paraId="4E5A3D55" w14:textId="3D953EF5" w:rsidR="005C5123" w:rsidRPr="003B6A69" w:rsidRDefault="00F31132" w:rsidP="003C6B7B">
      <w:pPr>
        <w:numPr>
          <w:ilvl w:val="0"/>
          <w:numId w:val="41"/>
        </w:numPr>
        <w:tabs>
          <w:tab w:val="left" w:pos="426"/>
        </w:tabs>
        <w:spacing w:after="120"/>
        <w:ind w:left="0" w:firstLine="0"/>
        <w:rPr>
          <w:rFonts w:cs="Calibri"/>
          <w:bCs/>
          <w:sz w:val="22"/>
          <w:szCs w:val="22"/>
          <w:lang w:val="en-GB"/>
        </w:rPr>
      </w:pPr>
      <w:r w:rsidRPr="003B6A69">
        <w:rPr>
          <w:rFonts w:cs="Calibri"/>
          <w:bCs/>
          <w:lang w:val="en-GB"/>
        </w:rPr>
        <w:t xml:space="preserve">Output 3.2. will support the business associations and the small-scale tourism businesses to mitigate the </w:t>
      </w:r>
      <w:r w:rsidRPr="003B6A69">
        <w:rPr>
          <w:rFonts w:cs="Calibri"/>
          <w:bCs/>
        </w:rPr>
        <w:t xml:space="preserve">impact of the COVID-19 pandemic and adapt to the new reality of the tourism and travel industry while minimizing the potential negative side-effects on vulnerable ecosystems and biodiversity. While the pandemic is still at its peak and no comprehensive analysis of its impact on </w:t>
      </w:r>
      <w:proofErr w:type="gramStart"/>
      <w:r w:rsidRPr="003B6A69">
        <w:rPr>
          <w:rFonts w:cs="Calibri"/>
          <w:bCs/>
        </w:rPr>
        <w:t>particular tourism</w:t>
      </w:r>
      <w:proofErr w:type="gramEnd"/>
      <w:r w:rsidRPr="003B6A69">
        <w:rPr>
          <w:rFonts w:cs="Calibri"/>
          <w:bCs/>
        </w:rPr>
        <w:t xml:space="preserve"> segments was made available, one adaptation solution that is commonly advised is the diversification of products, services</w:t>
      </w:r>
      <w:r w:rsidR="00A75B9B" w:rsidRPr="003B6A69">
        <w:rPr>
          <w:rFonts w:cs="Calibri"/>
          <w:bCs/>
        </w:rPr>
        <w:t>,</w:t>
      </w:r>
      <w:r w:rsidRPr="003B6A69">
        <w:rPr>
          <w:rFonts w:cs="Calibri"/>
          <w:bCs/>
        </w:rPr>
        <w:t xml:space="preserve"> and markets to build resilience and avoid overdependence on one or a few activities or markets. </w:t>
      </w:r>
      <w:r w:rsidRPr="003B6A69">
        <w:rPr>
          <w:rFonts w:cs="Calibri"/>
          <w:bCs/>
          <w:lang w:val="en-GB"/>
        </w:rPr>
        <w:t xml:space="preserve">New models and incentives for the tourism product diversification from the basic “bed and breakfast” mountainous tourism offering and the “sun and the sea” coastal tourism business-as-usual, will be offered and tested. </w:t>
      </w:r>
      <w:r w:rsidRPr="003B6A69">
        <w:rPr>
          <w:rFonts w:cs="Calibri"/>
          <w:bCs/>
        </w:rPr>
        <w:t xml:space="preserve">The project will explore possibilities to develop and boost off-peak tourism products and to stimulate travel by specific groups, </w:t>
      </w:r>
      <w:proofErr w:type="gramStart"/>
      <w:r w:rsidRPr="003B6A69">
        <w:rPr>
          <w:rFonts w:cs="Calibri"/>
          <w:bCs/>
        </w:rPr>
        <w:t>e.g.</w:t>
      </w:r>
      <w:proofErr w:type="gramEnd"/>
      <w:r w:rsidRPr="003B6A69">
        <w:rPr>
          <w:rFonts w:cs="Calibri"/>
          <w:bCs/>
        </w:rPr>
        <w:t xml:space="preserve"> through developing nature-based tourism schemes aimed at families, elderly groups, and youth.</w:t>
      </w:r>
    </w:p>
    <w:p w14:paraId="008DA4DE" w14:textId="1E52CBB6" w:rsidR="00F31132" w:rsidRPr="003B6A69" w:rsidRDefault="00F31132" w:rsidP="003C6B7B">
      <w:pPr>
        <w:numPr>
          <w:ilvl w:val="0"/>
          <w:numId w:val="41"/>
        </w:numPr>
        <w:tabs>
          <w:tab w:val="left" w:pos="426"/>
        </w:tabs>
        <w:spacing w:after="120"/>
        <w:ind w:left="0" w:firstLine="0"/>
        <w:rPr>
          <w:rFonts w:cs="Calibri"/>
          <w:bCs/>
          <w:szCs w:val="20"/>
          <w:lang w:val="en-GB"/>
        </w:rPr>
      </w:pPr>
      <w:r w:rsidRPr="003B6A69">
        <w:rPr>
          <w:rFonts w:cs="Calibri"/>
          <w:bCs/>
          <w:szCs w:val="20"/>
        </w:rPr>
        <w:t>The project will support the pilot tourism businesses with the development/amendment of the Destination Plans/Master Plans/Business recovery models, with due recognition of the natur</w:t>
      </w:r>
      <w:r w:rsidR="00A75B9B" w:rsidRPr="003B6A69">
        <w:rPr>
          <w:rFonts w:cs="Calibri"/>
          <w:bCs/>
          <w:szCs w:val="20"/>
        </w:rPr>
        <w:t>al</w:t>
      </w:r>
      <w:r w:rsidRPr="003B6A69">
        <w:rPr>
          <w:rFonts w:cs="Calibri"/>
          <w:bCs/>
          <w:szCs w:val="20"/>
        </w:rPr>
        <w:t xml:space="preserve"> values and biodiversity threat assessments for the tourism destinations/offers in the post-COVID environment.</w:t>
      </w:r>
      <w:r w:rsidRPr="003B6A69">
        <w:rPr>
          <w:rFonts w:cs="Calibri"/>
          <w:bCs/>
          <w:lang w:val="en-GB"/>
        </w:rPr>
        <w:t xml:space="preserve"> On top of the recovery measures adopted by the Government, the project will propose incentives, such as awards to the local tourism BD-friendly product providers, targeted financial support to model eco-tourism offerings, pilot finance of biodiversity-sensitive business recovery scenarios, and present successful business models for further replication.</w:t>
      </w:r>
    </w:p>
    <w:p w14:paraId="176025B6" w14:textId="7CE31830" w:rsidR="00F31132" w:rsidRPr="003B6A69" w:rsidRDefault="00F31132" w:rsidP="003C6B7B">
      <w:pPr>
        <w:numPr>
          <w:ilvl w:val="0"/>
          <w:numId w:val="41"/>
        </w:numPr>
        <w:tabs>
          <w:tab w:val="left" w:pos="426"/>
        </w:tabs>
        <w:spacing w:after="120"/>
        <w:ind w:left="0" w:firstLine="0"/>
        <w:rPr>
          <w:rFonts w:cs="Calibri"/>
          <w:bCs/>
          <w:szCs w:val="20"/>
          <w:lang w:val="en-GB"/>
        </w:rPr>
      </w:pPr>
      <w:r w:rsidRPr="003B6A69">
        <w:rPr>
          <w:rFonts w:cs="Calibri"/>
          <w:bCs/>
          <w:szCs w:val="20"/>
        </w:rPr>
        <w:lastRenderedPageBreak/>
        <w:t xml:space="preserve">The project will support </w:t>
      </w:r>
      <w:r w:rsidRPr="003B6A69">
        <w:rPr>
          <w:rFonts w:cs="Calibri"/>
          <w:bCs/>
          <w:szCs w:val="20"/>
          <w:lang w:val="en-GB"/>
        </w:rPr>
        <w:t>small-scale tourism business development towards the more offerings of biodiversity-sensitive nature-based tourism products. The project will provide guidance to local business actors, municipal tourist organi</w:t>
      </w:r>
      <w:r w:rsidR="00A75B9B" w:rsidRPr="003B6A69">
        <w:rPr>
          <w:rFonts w:cs="Calibri"/>
          <w:bCs/>
          <w:szCs w:val="20"/>
          <w:lang w:val="en-GB"/>
        </w:rPr>
        <w:t>z</w:t>
      </w:r>
      <w:r w:rsidRPr="003B6A69">
        <w:rPr>
          <w:rFonts w:cs="Calibri"/>
          <w:bCs/>
          <w:szCs w:val="20"/>
          <w:lang w:val="en-GB"/>
        </w:rPr>
        <w:t>ations</w:t>
      </w:r>
      <w:r w:rsidR="00A75B9B" w:rsidRPr="003B6A69">
        <w:rPr>
          <w:rFonts w:cs="Calibri"/>
          <w:bCs/>
          <w:szCs w:val="20"/>
          <w:lang w:val="en-GB"/>
        </w:rPr>
        <w:t>,</w:t>
      </w:r>
      <w:r w:rsidRPr="003B6A69">
        <w:rPr>
          <w:rFonts w:cs="Calibri"/>
          <w:bCs/>
          <w:szCs w:val="20"/>
          <w:lang w:val="en-GB"/>
        </w:rPr>
        <w:t xml:space="preserve"> and local communities wishing to engage in </w:t>
      </w:r>
      <w:r w:rsidR="00A75B9B" w:rsidRPr="003B6A69">
        <w:rPr>
          <w:rFonts w:cs="Calibri"/>
          <w:bCs/>
          <w:szCs w:val="20"/>
          <w:lang w:val="en-GB"/>
        </w:rPr>
        <w:t xml:space="preserve">the </w:t>
      </w:r>
      <w:r w:rsidRPr="003B6A69">
        <w:rPr>
          <w:rFonts w:cs="Calibri"/>
          <w:bCs/>
          <w:szCs w:val="20"/>
          <w:lang w:val="en-GB"/>
        </w:rPr>
        <w:t xml:space="preserve">development of biodiversity-sensitive nature-based tourism products, by assessing potential services and products </w:t>
      </w:r>
      <w:proofErr w:type="gramStart"/>
      <w:r w:rsidRPr="003B6A69">
        <w:rPr>
          <w:rFonts w:cs="Calibri"/>
          <w:bCs/>
          <w:szCs w:val="20"/>
          <w:lang w:val="en-GB"/>
        </w:rPr>
        <w:t>with regard to</w:t>
      </w:r>
      <w:proofErr w:type="gramEnd"/>
      <w:r w:rsidRPr="003B6A69">
        <w:rPr>
          <w:rFonts w:cs="Calibri"/>
          <w:bCs/>
          <w:szCs w:val="20"/>
          <w:lang w:val="en-GB"/>
        </w:rPr>
        <w:t xml:space="preserve"> their viability.</w:t>
      </w:r>
    </w:p>
    <w:p w14:paraId="0B9B8AFE" w14:textId="77777777" w:rsidR="00F31132" w:rsidRPr="003B6A69" w:rsidRDefault="00F31132" w:rsidP="002B5F7E">
      <w:pPr>
        <w:pStyle w:val="Heading6"/>
      </w:pPr>
      <w:bookmarkStart w:id="31" w:name="_Toc56670684"/>
      <w:r w:rsidRPr="003B6A69">
        <w:t xml:space="preserve">Output 3.3: Public-private </w:t>
      </w:r>
      <w:bookmarkEnd w:id="31"/>
      <w:r w:rsidRPr="003B6A69">
        <w:t>partnerships in tourism as a post-COVID resilience mechanism for responsible tourism development</w:t>
      </w:r>
    </w:p>
    <w:p w14:paraId="233AA818" w14:textId="668A69BC" w:rsidR="00F31132" w:rsidRPr="003B6A69" w:rsidRDefault="00F31132" w:rsidP="003C6B7B">
      <w:pPr>
        <w:numPr>
          <w:ilvl w:val="0"/>
          <w:numId w:val="41"/>
        </w:numPr>
        <w:tabs>
          <w:tab w:val="left" w:pos="426"/>
        </w:tabs>
        <w:spacing w:after="120"/>
        <w:ind w:left="0" w:firstLine="0"/>
        <w:rPr>
          <w:rFonts w:cs="Calibri"/>
          <w:bCs/>
          <w:sz w:val="22"/>
          <w:szCs w:val="22"/>
          <w:lang w:val="en-GB"/>
        </w:rPr>
      </w:pPr>
      <w:r w:rsidRPr="003B6A69">
        <w:rPr>
          <w:rFonts w:cs="Calibri"/>
          <w:bCs/>
          <w:lang w:val="en-GB"/>
        </w:rPr>
        <w:t>The project will r</w:t>
      </w:r>
      <w:proofErr w:type="spellStart"/>
      <w:r w:rsidRPr="003B6A69">
        <w:rPr>
          <w:rFonts w:cs="Calibri"/>
          <w:bCs/>
        </w:rPr>
        <w:t>eview</w:t>
      </w:r>
      <w:proofErr w:type="spellEnd"/>
      <w:r w:rsidRPr="003B6A69">
        <w:rPr>
          <w:rFonts w:cs="Calibri"/>
          <w:bCs/>
        </w:rPr>
        <w:t xml:space="preserve"> the </w:t>
      </w:r>
      <w:proofErr w:type="gramStart"/>
      <w:r w:rsidRPr="003B6A69">
        <w:rPr>
          <w:rFonts w:cs="Calibri"/>
          <w:bCs/>
        </w:rPr>
        <w:t>current status</w:t>
      </w:r>
      <w:proofErr w:type="gramEnd"/>
      <w:r w:rsidRPr="003B6A69">
        <w:rPr>
          <w:rFonts w:cs="Calibri"/>
          <w:bCs/>
        </w:rPr>
        <w:t xml:space="preserve"> and initiatives of public-private partnership in tourism with a view to advising on improvements for the communication channels between public and private sectors to stimulate confidence, build mutual trust and accelerate tourism recovery</w:t>
      </w:r>
      <w:r w:rsidR="00A75B9B" w:rsidRPr="003B6A69">
        <w:rPr>
          <w:rFonts w:cs="Calibri"/>
          <w:bCs/>
        </w:rPr>
        <w:t>,</w:t>
      </w:r>
      <w:r w:rsidRPr="003B6A69">
        <w:rPr>
          <w:rFonts w:cs="Calibri"/>
          <w:bCs/>
        </w:rPr>
        <w:t xml:space="preserve"> and to identify opportunities to build on successful multi-stakeholder mechanisms when developing joint actions in the COVID-19 aftermath. The project will outreach to the municipal tourist organi</w:t>
      </w:r>
      <w:r w:rsidR="00A75B9B" w:rsidRPr="003B6A69">
        <w:rPr>
          <w:rFonts w:cs="Calibri"/>
          <w:bCs/>
        </w:rPr>
        <w:t>z</w:t>
      </w:r>
      <w:r w:rsidRPr="003B6A69">
        <w:rPr>
          <w:rFonts w:cs="Calibri"/>
          <w:bCs/>
        </w:rPr>
        <w:t xml:space="preserve">ations, tour operators and individual businesses </w:t>
      </w:r>
      <w:proofErr w:type="gramStart"/>
      <w:r w:rsidRPr="003B6A69">
        <w:rPr>
          <w:rFonts w:cs="Calibri"/>
          <w:bCs/>
        </w:rPr>
        <w:t>in order to</w:t>
      </w:r>
      <w:proofErr w:type="gramEnd"/>
      <w:r w:rsidRPr="003B6A69">
        <w:rPr>
          <w:rFonts w:cs="Calibri"/>
          <w:bCs/>
        </w:rPr>
        <w:t xml:space="preserve"> establish a dialogue and a multi-stakeholder consultation process to identify and reach consensus on priority initiatives to undertake for responsible tourism recovery through public</w:t>
      </w:r>
      <w:r w:rsidR="00A75B9B" w:rsidRPr="003B6A69">
        <w:rPr>
          <w:rFonts w:cs="Calibri"/>
          <w:bCs/>
        </w:rPr>
        <w:t>-</w:t>
      </w:r>
      <w:r w:rsidRPr="003B6A69">
        <w:rPr>
          <w:rFonts w:cs="Calibri"/>
          <w:bCs/>
        </w:rPr>
        <w:t xml:space="preserve">private partnerships. The project will offer an action plan for public-private partnership initiatives for responsible tourism recovery, with clear descriptions of activities to be carried out, roles and responsibilities of each organization, timeframe, and proposed budget and funding sources. The multi-stakeholder dialogue will help </w:t>
      </w:r>
      <w:r w:rsidR="00A75B9B" w:rsidRPr="003B6A69">
        <w:rPr>
          <w:rFonts w:cs="Calibri"/>
          <w:bCs/>
        </w:rPr>
        <w:t>to identify</w:t>
      </w:r>
      <w:r w:rsidRPr="003B6A69">
        <w:rPr>
          <w:rFonts w:cs="Calibri"/>
          <w:bCs/>
        </w:rPr>
        <w:t xml:space="preserve"> the viable partnership models involving tourism businesses, municipal authorities, and local communities.</w:t>
      </w:r>
    </w:p>
    <w:p w14:paraId="6A3E55A9" w14:textId="660B513D" w:rsidR="005C5123" w:rsidRPr="003B6A69" w:rsidRDefault="00F31132" w:rsidP="003C6B7B">
      <w:pPr>
        <w:numPr>
          <w:ilvl w:val="0"/>
          <w:numId w:val="41"/>
        </w:numPr>
        <w:tabs>
          <w:tab w:val="left" w:pos="426"/>
        </w:tabs>
        <w:spacing w:after="120"/>
        <w:ind w:left="0" w:firstLine="0"/>
        <w:rPr>
          <w:rFonts w:cs="Calibri"/>
          <w:bCs/>
          <w:szCs w:val="20"/>
          <w:lang w:val="en-GB"/>
        </w:rPr>
      </w:pPr>
      <w:r w:rsidRPr="003B6A69">
        <w:rPr>
          <w:rFonts w:cs="Calibri"/>
          <w:bCs/>
          <w:lang w:val="en-GB"/>
        </w:rPr>
        <w:t xml:space="preserve">At the concept development stage, </w:t>
      </w:r>
      <w:proofErr w:type="spellStart"/>
      <w:r w:rsidRPr="003B6A69">
        <w:rPr>
          <w:rFonts w:cs="Calibri"/>
          <w:bCs/>
          <w:lang w:val="en-GB"/>
        </w:rPr>
        <w:t>Luštica</w:t>
      </w:r>
      <w:proofErr w:type="spellEnd"/>
      <w:r w:rsidRPr="003B6A69">
        <w:rPr>
          <w:rFonts w:cs="Calibri"/>
          <w:bCs/>
          <w:lang w:val="en-GB"/>
        </w:rPr>
        <w:t xml:space="preserve"> Development AD was mentioned as one potential partner for developing such a partnership: construction of a tourist city at the </w:t>
      </w:r>
      <w:proofErr w:type="spellStart"/>
      <w:r w:rsidRPr="003B6A69">
        <w:rPr>
          <w:rFonts w:cs="Calibri"/>
          <w:bCs/>
          <w:lang w:val="en-GB"/>
        </w:rPr>
        <w:t>Luštica</w:t>
      </w:r>
      <w:proofErr w:type="spellEnd"/>
      <w:r w:rsidRPr="003B6A69">
        <w:rPr>
          <w:rFonts w:cs="Calibri"/>
          <w:bCs/>
          <w:lang w:val="en-GB"/>
        </w:rPr>
        <w:t xml:space="preserve"> peninsula was initially planned as a project aimed at </w:t>
      </w:r>
      <w:proofErr w:type="spellStart"/>
      <w:r w:rsidRPr="003B6A69">
        <w:rPr>
          <w:rFonts w:cs="Calibri"/>
          <w:bCs/>
          <w:lang w:val="en-GB"/>
        </w:rPr>
        <w:t>valorization</w:t>
      </w:r>
      <w:proofErr w:type="spellEnd"/>
      <w:r w:rsidRPr="003B6A69">
        <w:rPr>
          <w:rFonts w:cs="Calibri"/>
          <w:bCs/>
          <w:lang w:val="en-GB"/>
        </w:rPr>
        <w:t xml:space="preserve"> of an attractive tourist location, with certain PP elements already embedded into the implementation modality. The project will further explore options for concrete small-scale pilot projects aimed at community involvement, </w:t>
      </w:r>
      <w:proofErr w:type="spellStart"/>
      <w:r w:rsidRPr="003B6A69">
        <w:rPr>
          <w:rFonts w:cs="Calibri"/>
          <w:bCs/>
          <w:lang w:val="en-GB"/>
        </w:rPr>
        <w:t>valorization</w:t>
      </w:r>
      <w:proofErr w:type="spellEnd"/>
      <w:r w:rsidRPr="003B6A69">
        <w:rPr>
          <w:rFonts w:cs="Calibri"/>
          <w:bCs/>
          <w:lang w:val="en-GB"/>
        </w:rPr>
        <w:t xml:space="preserve"> of nature values</w:t>
      </w:r>
      <w:r w:rsidR="00A75B9B" w:rsidRPr="003B6A69">
        <w:rPr>
          <w:rFonts w:cs="Calibri"/>
          <w:bCs/>
          <w:lang w:val="en-GB"/>
        </w:rPr>
        <w:t>,</w:t>
      </w:r>
      <w:r w:rsidRPr="003B6A69">
        <w:rPr>
          <w:rFonts w:cs="Calibri"/>
          <w:bCs/>
          <w:lang w:val="en-GB"/>
        </w:rPr>
        <w:t xml:space="preserve"> and support to the local nature conservation activities. One essential element and key partner for the PPP model is the protected area, in case of </w:t>
      </w:r>
      <w:proofErr w:type="spellStart"/>
      <w:r w:rsidRPr="003B6A69">
        <w:rPr>
          <w:rFonts w:cs="Calibri"/>
          <w:bCs/>
          <w:lang w:val="en-GB"/>
        </w:rPr>
        <w:t>Lustica</w:t>
      </w:r>
      <w:proofErr w:type="spellEnd"/>
      <w:r w:rsidRPr="003B6A69">
        <w:rPr>
          <w:rFonts w:cs="Calibri"/>
          <w:bCs/>
          <w:lang w:val="en-GB"/>
        </w:rPr>
        <w:t xml:space="preserve"> it is </w:t>
      </w:r>
      <w:proofErr w:type="spellStart"/>
      <w:r w:rsidRPr="003B6A69">
        <w:rPr>
          <w:rFonts w:cs="Calibri"/>
          <w:bCs/>
          <w:lang w:val="en-GB"/>
        </w:rPr>
        <w:t>Tivatska</w:t>
      </w:r>
      <w:proofErr w:type="spellEnd"/>
      <w:r w:rsidRPr="003B6A69">
        <w:rPr>
          <w:rFonts w:cs="Calibri"/>
          <w:bCs/>
          <w:lang w:val="en-GB"/>
        </w:rPr>
        <w:t xml:space="preserve"> </w:t>
      </w:r>
      <w:proofErr w:type="spellStart"/>
      <w:r w:rsidRPr="003B6A69">
        <w:rPr>
          <w:rFonts w:cs="Calibri"/>
          <w:bCs/>
          <w:lang w:val="en-GB"/>
        </w:rPr>
        <w:t>Solila</w:t>
      </w:r>
      <w:proofErr w:type="spellEnd"/>
      <w:r w:rsidRPr="003B6A69">
        <w:rPr>
          <w:rFonts w:cs="Calibri"/>
          <w:bCs/>
          <w:lang w:val="en-GB"/>
        </w:rPr>
        <w:t xml:space="preserve"> Special Nature Reserve and Ramsar site. Through </w:t>
      </w:r>
      <w:r w:rsidR="00A75B9B" w:rsidRPr="003B6A69">
        <w:rPr>
          <w:rFonts w:cs="Calibri"/>
          <w:bCs/>
          <w:lang w:val="en-GB"/>
        </w:rPr>
        <w:t xml:space="preserve">the </w:t>
      </w:r>
      <w:r w:rsidRPr="003B6A69">
        <w:rPr>
          <w:rFonts w:cs="Calibri"/>
          <w:bCs/>
          <w:lang w:val="en-GB"/>
        </w:rPr>
        <w:t xml:space="preserve">partnership with the visitor programmes of the reserve, the private tour operator has an opportunity to expand and diversify the standard tourist package and offer a unique experience to its clients, while promoting environmental awareness and care. The tourist package can include various elements of eco-tourism, respond to specific customer requests and requirements, offer a variety of products and trendy modes (glamping) that will be in demand. There are many options and mechanisms for cooperation; </w:t>
      </w:r>
      <w:proofErr w:type="spellStart"/>
      <w:r w:rsidRPr="003B6A69">
        <w:rPr>
          <w:rFonts w:cs="Calibri"/>
          <w:bCs/>
          <w:lang w:val="en-GB"/>
        </w:rPr>
        <w:t>valorization</w:t>
      </w:r>
      <w:proofErr w:type="spellEnd"/>
      <w:r w:rsidRPr="003B6A69">
        <w:rPr>
          <w:rFonts w:cs="Calibri"/>
          <w:bCs/>
          <w:lang w:val="en-GB"/>
        </w:rPr>
        <w:t xml:space="preserve"> of the Ramsar site is one area where a private sector supported program can be run to raise awareness of the Ramsar site values, birding and camping opportunities through guides, booklets, support to the visitor </w:t>
      </w:r>
      <w:proofErr w:type="spellStart"/>
      <w:r w:rsidRPr="003B6A69">
        <w:rPr>
          <w:rFonts w:cs="Calibri"/>
          <w:bCs/>
          <w:lang w:val="en-GB"/>
        </w:rPr>
        <w:t>center</w:t>
      </w:r>
      <w:proofErr w:type="spellEnd"/>
      <w:r w:rsidRPr="003B6A69">
        <w:rPr>
          <w:rFonts w:cs="Calibri"/>
          <w:bCs/>
          <w:lang w:val="en-GB"/>
        </w:rPr>
        <w:t xml:space="preserve">, specifically tailored guided tours, learning activities, etc. Birdwatching in and around the PA would be an amazing opportunity for those who travel in the low season, and </w:t>
      </w:r>
      <w:r w:rsidR="00A75B9B" w:rsidRPr="003B6A69">
        <w:rPr>
          <w:rFonts w:cs="Calibri"/>
          <w:bCs/>
          <w:lang w:val="en-GB"/>
        </w:rPr>
        <w:t>a</w:t>
      </w:r>
      <w:r w:rsidRPr="003B6A69">
        <w:rPr>
          <w:rFonts w:cs="Calibri"/>
          <w:bCs/>
          <w:lang w:val="en-GB"/>
        </w:rPr>
        <w:t xml:space="preserve"> better awareness of the value and quality of this unique eco-tourism offer can </w:t>
      </w:r>
      <w:r w:rsidRPr="003B6A69">
        <w:rPr>
          <w:rFonts w:cs="Calibri"/>
          <w:bCs/>
          <w:szCs w:val="20"/>
          <w:lang w:val="en-GB"/>
        </w:rPr>
        <w:t xml:space="preserve">be promoted by the hotels offering low season discounts. </w:t>
      </w:r>
      <w:proofErr w:type="spellStart"/>
      <w:r w:rsidRPr="003B6A69">
        <w:rPr>
          <w:rFonts w:cs="Calibri"/>
          <w:bCs/>
          <w:szCs w:val="20"/>
          <w:lang w:val="en-GB"/>
        </w:rPr>
        <w:t>Valori</w:t>
      </w:r>
      <w:r w:rsidR="00A75B9B" w:rsidRPr="003B6A69">
        <w:rPr>
          <w:rFonts w:cs="Calibri"/>
          <w:bCs/>
          <w:szCs w:val="20"/>
          <w:lang w:val="en-GB"/>
        </w:rPr>
        <w:t>z</w:t>
      </w:r>
      <w:r w:rsidRPr="003B6A69">
        <w:rPr>
          <w:rFonts w:cs="Calibri"/>
          <w:bCs/>
          <w:szCs w:val="20"/>
          <w:lang w:val="en-GB"/>
        </w:rPr>
        <w:t>ation</w:t>
      </w:r>
      <w:proofErr w:type="spellEnd"/>
      <w:r w:rsidRPr="003B6A69">
        <w:rPr>
          <w:rFonts w:cs="Calibri"/>
          <w:bCs/>
          <w:szCs w:val="20"/>
          <w:lang w:val="en-GB"/>
        </w:rPr>
        <w:t xml:space="preserve"> effort</w:t>
      </w:r>
      <w:r w:rsidR="00A75B9B" w:rsidRPr="003B6A69">
        <w:rPr>
          <w:rFonts w:cs="Calibri"/>
          <w:bCs/>
          <w:szCs w:val="20"/>
          <w:lang w:val="en-GB"/>
        </w:rPr>
        <w:t>s</w:t>
      </w:r>
      <w:r w:rsidRPr="003B6A69">
        <w:rPr>
          <w:rFonts w:cs="Calibri"/>
          <w:bCs/>
          <w:szCs w:val="20"/>
          <w:lang w:val="en-GB"/>
        </w:rPr>
        <w:t xml:space="preserve"> can include responsible tourism businesses and the PA to cross-market their websites </w:t>
      </w:r>
      <w:proofErr w:type="gramStart"/>
      <w:r w:rsidRPr="003B6A69">
        <w:rPr>
          <w:rFonts w:cs="Calibri"/>
          <w:bCs/>
          <w:szCs w:val="20"/>
          <w:lang w:val="en-GB"/>
        </w:rPr>
        <w:t>so as to</w:t>
      </w:r>
      <w:proofErr w:type="gramEnd"/>
      <w:r w:rsidRPr="003B6A69">
        <w:rPr>
          <w:rFonts w:cs="Calibri"/>
          <w:bCs/>
          <w:szCs w:val="20"/>
          <w:lang w:val="en-GB"/>
        </w:rPr>
        <w:t xml:space="preserve"> increase the number of short visits by business </w:t>
      </w:r>
      <w:proofErr w:type="spellStart"/>
      <w:r w:rsidRPr="003B6A69">
        <w:rPr>
          <w:rFonts w:cs="Calibri"/>
          <w:bCs/>
          <w:szCs w:val="20"/>
          <w:lang w:val="en-GB"/>
        </w:rPr>
        <w:t>travelers</w:t>
      </w:r>
      <w:proofErr w:type="spellEnd"/>
      <w:r w:rsidRPr="003B6A69">
        <w:rPr>
          <w:rFonts w:cs="Calibri"/>
          <w:bCs/>
          <w:szCs w:val="20"/>
          <w:lang w:val="en-GB"/>
        </w:rPr>
        <w:t xml:space="preserve">. Both the PA and the hotel website can broadcast the webcam information showcasing the birdlife. One important element for the private sector partner and the PA would be the nearby community involvement in </w:t>
      </w:r>
      <w:proofErr w:type="spellStart"/>
      <w:r w:rsidRPr="003B6A69">
        <w:rPr>
          <w:rFonts w:cs="Calibri"/>
          <w:bCs/>
          <w:szCs w:val="20"/>
          <w:lang w:val="en-GB"/>
        </w:rPr>
        <w:t>valori</w:t>
      </w:r>
      <w:r w:rsidR="00A75B9B" w:rsidRPr="003B6A69">
        <w:rPr>
          <w:rFonts w:cs="Calibri"/>
          <w:bCs/>
          <w:szCs w:val="20"/>
          <w:lang w:val="en-GB"/>
        </w:rPr>
        <w:t>z</w:t>
      </w:r>
      <w:r w:rsidRPr="003B6A69">
        <w:rPr>
          <w:rFonts w:cs="Calibri"/>
          <w:bCs/>
          <w:szCs w:val="20"/>
          <w:lang w:val="en-GB"/>
        </w:rPr>
        <w:t>ation</w:t>
      </w:r>
      <w:proofErr w:type="spellEnd"/>
      <w:r w:rsidRPr="003B6A69">
        <w:rPr>
          <w:rFonts w:cs="Calibri"/>
          <w:bCs/>
          <w:szCs w:val="20"/>
          <w:lang w:val="en-GB"/>
        </w:rPr>
        <w:t>, awareness rising, cleaning campaigns, guided travel support</w:t>
      </w:r>
      <w:r w:rsidR="00A75B9B" w:rsidRPr="003B6A69">
        <w:rPr>
          <w:rFonts w:cs="Calibri"/>
          <w:bCs/>
          <w:szCs w:val="20"/>
          <w:lang w:val="en-GB"/>
        </w:rPr>
        <w:t>,</w:t>
      </w:r>
      <w:r w:rsidRPr="003B6A69">
        <w:rPr>
          <w:rFonts w:cs="Calibri"/>
          <w:bCs/>
          <w:szCs w:val="20"/>
          <w:lang w:val="en-GB"/>
        </w:rPr>
        <w:t xml:space="preserve"> etc. The project will cooperate with a private operator for </w:t>
      </w:r>
      <w:proofErr w:type="spellStart"/>
      <w:r w:rsidRPr="003B6A69">
        <w:rPr>
          <w:rFonts w:cs="Calibri"/>
          <w:bCs/>
          <w:szCs w:val="20"/>
          <w:lang w:val="en-GB"/>
        </w:rPr>
        <w:t>Ulcinjska</w:t>
      </w:r>
      <w:proofErr w:type="spellEnd"/>
      <w:r w:rsidRPr="003B6A69">
        <w:rPr>
          <w:rFonts w:cs="Calibri"/>
          <w:bCs/>
          <w:szCs w:val="20"/>
          <w:lang w:val="en-GB"/>
        </w:rPr>
        <w:t xml:space="preserve"> Salina depending on the chosen management and investment scenario for the area. As mentioned in the strategy for Outcome 1, the project will help </w:t>
      </w:r>
      <w:r w:rsidR="00A75B9B" w:rsidRPr="003B6A69">
        <w:rPr>
          <w:rFonts w:cs="Calibri"/>
          <w:bCs/>
          <w:szCs w:val="20"/>
          <w:lang w:val="en-GB"/>
        </w:rPr>
        <w:t>to identify</w:t>
      </w:r>
      <w:r w:rsidRPr="003B6A69">
        <w:rPr>
          <w:rFonts w:cs="Calibri"/>
          <w:bCs/>
          <w:szCs w:val="20"/>
          <w:lang w:val="en-GB"/>
        </w:rPr>
        <w:t xml:space="preserve"> the investment opportunities to fuel </w:t>
      </w:r>
      <w:r w:rsidR="00A75B9B" w:rsidRPr="003B6A69">
        <w:rPr>
          <w:rFonts w:cs="Calibri"/>
          <w:bCs/>
          <w:szCs w:val="20"/>
          <w:lang w:val="en-GB"/>
        </w:rPr>
        <w:t xml:space="preserve">the </w:t>
      </w:r>
      <w:r w:rsidRPr="003B6A69">
        <w:rPr>
          <w:rFonts w:cs="Calibri"/>
          <w:bCs/>
          <w:szCs w:val="20"/>
          <w:lang w:val="en-GB"/>
        </w:rPr>
        <w:t xml:space="preserve">implementation of the business plan and help </w:t>
      </w:r>
      <w:r w:rsidR="00A75B9B" w:rsidRPr="003B6A69">
        <w:rPr>
          <w:rFonts w:cs="Calibri"/>
          <w:bCs/>
          <w:szCs w:val="20"/>
          <w:lang w:val="en-GB"/>
        </w:rPr>
        <w:t>to define</w:t>
      </w:r>
      <w:r w:rsidRPr="003B6A69">
        <w:rPr>
          <w:rFonts w:cs="Calibri"/>
          <w:bCs/>
          <w:szCs w:val="20"/>
          <w:lang w:val="en-GB"/>
        </w:rPr>
        <w:t xml:space="preserve"> the level of entry fees and tourist service costs so that they respond to the market and at the same time make a significant income that partially covers the maintenance cost. A PPP model can be developed for the area in cooperation with the private operator once the management arrangements are set.</w:t>
      </w:r>
    </w:p>
    <w:p w14:paraId="373450E3" w14:textId="77777777" w:rsidR="00F31132" w:rsidRPr="003B6A69" w:rsidRDefault="00F31132" w:rsidP="00F31132">
      <w:pPr>
        <w:pStyle w:val="Heading6"/>
      </w:pPr>
      <w:bookmarkStart w:id="32" w:name="_Toc56670685"/>
      <w:r w:rsidRPr="003B6A69">
        <w:t>Output 3.4: PAs integrated into sustainable tourism development</w:t>
      </w:r>
      <w:bookmarkEnd w:id="32"/>
    </w:p>
    <w:p w14:paraId="4EB913FC" w14:textId="012055EE" w:rsidR="00F31132" w:rsidRPr="003B6A69" w:rsidRDefault="00F31132" w:rsidP="003C6B7B">
      <w:pPr>
        <w:numPr>
          <w:ilvl w:val="0"/>
          <w:numId w:val="41"/>
        </w:numPr>
        <w:tabs>
          <w:tab w:val="left" w:pos="426"/>
        </w:tabs>
        <w:spacing w:after="120"/>
        <w:ind w:left="0" w:firstLine="0"/>
        <w:rPr>
          <w:rFonts w:cs="Calibri"/>
          <w:bCs/>
          <w:szCs w:val="20"/>
          <w:lang w:val="en-GB"/>
        </w:rPr>
      </w:pPr>
      <w:r w:rsidRPr="003B6A69">
        <w:rPr>
          <w:rFonts w:cs="Calibri"/>
          <w:bCs/>
          <w:szCs w:val="20"/>
          <w:lang w:val="en-GB"/>
        </w:rPr>
        <w:t xml:space="preserve">Output 3.4 will be dedicated to PA integration into sustainable tourism development. Activities under this Output will be implemented in close coordination with the specific management capacity building actions planned under Outputs 1.2 and 1.3 within Outcome 1 where it concerns the pilot PAs for the project. Particularly, for </w:t>
      </w:r>
      <w:proofErr w:type="spellStart"/>
      <w:r w:rsidRPr="003B6A69">
        <w:rPr>
          <w:rFonts w:cs="Calibri"/>
          <w:bCs/>
          <w:szCs w:val="20"/>
          <w:lang w:val="en-GB"/>
        </w:rPr>
        <w:t>Durmitor</w:t>
      </w:r>
      <w:proofErr w:type="spellEnd"/>
      <w:r w:rsidRPr="003B6A69">
        <w:rPr>
          <w:rFonts w:cs="Calibri"/>
          <w:bCs/>
          <w:szCs w:val="20"/>
          <w:lang w:val="en-GB"/>
        </w:rPr>
        <w:t xml:space="preserve"> National Park, the effort will be focused on the low-impact tourism development as specifically recommended by UNESCO/IUCN mission. </w:t>
      </w:r>
      <w:r w:rsidRPr="003B6A69">
        <w:rPr>
          <w:rFonts w:cstheme="minorHAnsi"/>
          <w:szCs w:val="20"/>
          <w:lang w:val="en-GB"/>
        </w:rPr>
        <w:t xml:space="preserve">The tourist </w:t>
      </w:r>
      <w:proofErr w:type="gramStart"/>
      <w:r w:rsidRPr="003B6A69">
        <w:rPr>
          <w:rFonts w:cstheme="minorHAnsi"/>
          <w:szCs w:val="20"/>
          <w:lang w:val="en-GB"/>
        </w:rPr>
        <w:t>offer</w:t>
      </w:r>
      <w:proofErr w:type="gramEnd"/>
      <w:r w:rsidRPr="003B6A69">
        <w:rPr>
          <w:rFonts w:cstheme="minorHAnsi"/>
          <w:szCs w:val="20"/>
          <w:lang w:val="en-GB"/>
        </w:rPr>
        <w:t xml:space="preserve"> there should focus on the appreciation and enjoyment of wild and undisturbed nature through hiking and guided tours.</w:t>
      </w:r>
      <w:r w:rsidRPr="003B6A69">
        <w:rPr>
          <w:szCs w:val="20"/>
        </w:rPr>
        <w:t xml:space="preserve"> </w:t>
      </w:r>
      <w:r w:rsidRPr="003B6A69">
        <w:rPr>
          <w:rFonts w:cstheme="minorHAnsi"/>
          <w:szCs w:val="20"/>
          <w:lang w:val="en-GB"/>
        </w:rPr>
        <w:t xml:space="preserve">An approach to address these issues could be the application of the UNESCO World Heritage Sustainable Tourism Toolkit, which focuses on best practice approaches to sustainable economic development through tourism and which offers direction and guidance to managers of World Heritage tourism destinations and other stakeholders to help identify the most suitable solutions for circumstances in their local environments and aid in developing general knowhow for the management of NP </w:t>
      </w:r>
      <w:proofErr w:type="spellStart"/>
      <w:r w:rsidRPr="003B6A69">
        <w:rPr>
          <w:rFonts w:cstheme="minorHAnsi"/>
          <w:szCs w:val="20"/>
          <w:lang w:val="en-GB"/>
        </w:rPr>
        <w:t>Durmitor</w:t>
      </w:r>
      <w:proofErr w:type="spellEnd"/>
      <w:r w:rsidRPr="003B6A69">
        <w:rPr>
          <w:rFonts w:cstheme="minorHAnsi"/>
          <w:szCs w:val="20"/>
          <w:lang w:val="en-GB"/>
        </w:rPr>
        <w:t xml:space="preserve">. </w:t>
      </w:r>
      <w:r w:rsidR="00A75B9B" w:rsidRPr="003B6A69">
        <w:rPr>
          <w:rFonts w:cstheme="minorHAnsi"/>
          <w:szCs w:val="20"/>
          <w:lang w:val="en-GB"/>
        </w:rPr>
        <w:t>A g</w:t>
      </w:r>
      <w:r w:rsidRPr="003B6A69">
        <w:rPr>
          <w:rFonts w:cstheme="minorHAnsi"/>
          <w:szCs w:val="20"/>
          <w:lang w:val="en-GB"/>
        </w:rPr>
        <w:t>eneral recommendation would be to define, measure</w:t>
      </w:r>
      <w:r w:rsidR="00A75B9B" w:rsidRPr="003B6A69">
        <w:rPr>
          <w:rFonts w:cstheme="minorHAnsi"/>
          <w:szCs w:val="20"/>
          <w:lang w:val="en-GB"/>
        </w:rPr>
        <w:t>,</w:t>
      </w:r>
      <w:r w:rsidRPr="003B6A69">
        <w:rPr>
          <w:rFonts w:cstheme="minorHAnsi"/>
          <w:szCs w:val="20"/>
          <w:lang w:val="en-GB"/>
        </w:rPr>
        <w:t xml:space="preserve"> and evaluate </w:t>
      </w:r>
      <w:r w:rsidR="00A75B9B" w:rsidRPr="003B6A69">
        <w:rPr>
          <w:rFonts w:cstheme="minorHAnsi"/>
          <w:szCs w:val="20"/>
          <w:lang w:val="en-GB"/>
        </w:rPr>
        <w:t xml:space="preserve">the </w:t>
      </w:r>
      <w:r w:rsidRPr="003B6A69">
        <w:rPr>
          <w:rFonts w:cstheme="minorHAnsi"/>
          <w:szCs w:val="20"/>
          <w:lang w:val="en-GB"/>
        </w:rPr>
        <w:t xml:space="preserve">carrying capacity of the NP </w:t>
      </w:r>
      <w:proofErr w:type="spellStart"/>
      <w:r w:rsidRPr="003B6A69">
        <w:rPr>
          <w:rFonts w:cstheme="minorHAnsi"/>
          <w:szCs w:val="20"/>
          <w:lang w:val="en-GB"/>
        </w:rPr>
        <w:t>Durmitor</w:t>
      </w:r>
      <w:proofErr w:type="spellEnd"/>
      <w:r w:rsidRPr="003B6A69">
        <w:rPr>
          <w:rFonts w:cstheme="minorHAnsi"/>
          <w:szCs w:val="20"/>
          <w:lang w:val="en-GB"/>
        </w:rPr>
        <w:t xml:space="preserve">, which can then be used as a baseline for developing </w:t>
      </w:r>
      <w:proofErr w:type="gramStart"/>
      <w:r w:rsidRPr="003B6A69">
        <w:rPr>
          <w:rFonts w:cstheme="minorHAnsi"/>
          <w:szCs w:val="20"/>
          <w:lang w:val="en-GB"/>
        </w:rPr>
        <w:t>5/10 year</w:t>
      </w:r>
      <w:proofErr w:type="gramEnd"/>
      <w:r w:rsidRPr="003B6A69">
        <w:rPr>
          <w:rFonts w:cstheme="minorHAnsi"/>
          <w:szCs w:val="20"/>
          <w:lang w:val="en-GB"/>
        </w:rPr>
        <w:t xml:space="preserve"> Master management plan for the area (refer to </w:t>
      </w:r>
      <w:hyperlink w:anchor="_Annex_17._Carrying" w:history="1">
        <w:r w:rsidRPr="003B6A69">
          <w:rPr>
            <w:rStyle w:val="Hyperlink"/>
            <w:rFonts w:cstheme="minorHAnsi"/>
            <w:color w:val="4472C4" w:themeColor="accent5"/>
            <w:szCs w:val="20"/>
          </w:rPr>
          <w:t xml:space="preserve">Annex </w:t>
        </w:r>
        <w:r w:rsidR="006C1C66" w:rsidRPr="003B6A69">
          <w:rPr>
            <w:rStyle w:val="Hyperlink"/>
            <w:rFonts w:cstheme="minorHAnsi"/>
            <w:color w:val="4472C4" w:themeColor="accent5"/>
            <w:szCs w:val="20"/>
          </w:rPr>
          <w:t>17</w:t>
        </w:r>
      </w:hyperlink>
      <w:r w:rsidRPr="003B6A69">
        <w:rPr>
          <w:rFonts w:cstheme="minorHAnsi"/>
          <w:szCs w:val="20"/>
          <w:lang w:val="en-GB"/>
        </w:rPr>
        <w:t xml:space="preserve"> for more detail regarding the carrying capacity assessment).</w:t>
      </w:r>
    </w:p>
    <w:p w14:paraId="0016C864" w14:textId="71597F65" w:rsidR="00F31132" w:rsidRPr="003B6A69" w:rsidRDefault="00F31132" w:rsidP="003C6B7B">
      <w:pPr>
        <w:numPr>
          <w:ilvl w:val="0"/>
          <w:numId w:val="41"/>
        </w:numPr>
        <w:tabs>
          <w:tab w:val="left" w:pos="426"/>
        </w:tabs>
        <w:spacing w:after="120"/>
        <w:ind w:left="0" w:firstLine="0"/>
        <w:rPr>
          <w:rFonts w:cs="Calibri"/>
          <w:bCs/>
          <w:szCs w:val="20"/>
          <w:lang w:val="en-GB"/>
        </w:rPr>
      </w:pPr>
      <w:r w:rsidRPr="003B6A69">
        <w:rPr>
          <w:rFonts w:cs="Calibri"/>
          <w:bCs/>
          <w:szCs w:val="20"/>
          <w:lang w:val="en-GB"/>
        </w:rPr>
        <w:lastRenderedPageBreak/>
        <w:t xml:space="preserve">An option for </w:t>
      </w:r>
      <w:proofErr w:type="spellStart"/>
      <w:r w:rsidRPr="003B6A69">
        <w:rPr>
          <w:rFonts w:cs="Calibri"/>
          <w:bCs/>
          <w:szCs w:val="20"/>
          <w:lang w:val="en-GB"/>
        </w:rPr>
        <w:t>Ulcinjska</w:t>
      </w:r>
      <w:proofErr w:type="spellEnd"/>
      <w:r w:rsidRPr="003B6A69">
        <w:rPr>
          <w:rFonts w:cs="Calibri"/>
          <w:bCs/>
          <w:szCs w:val="20"/>
          <w:lang w:val="en-GB"/>
        </w:rPr>
        <w:t xml:space="preserve"> Salina could be the opening of an ornithological park to discover, observe and photograph a plethora of bird species, which include hundreds of pink flamingos in their natural habitat. This could be done by Nature Park itself, or through collaboration with </w:t>
      </w:r>
      <w:r w:rsidR="00A75B9B" w:rsidRPr="003B6A69">
        <w:rPr>
          <w:rFonts w:cs="Calibri"/>
          <w:bCs/>
          <w:szCs w:val="20"/>
          <w:lang w:val="en-GB"/>
        </w:rPr>
        <w:t xml:space="preserve">a </w:t>
      </w:r>
      <w:r w:rsidRPr="003B6A69">
        <w:rPr>
          <w:rFonts w:cs="Calibri"/>
          <w:bCs/>
          <w:szCs w:val="20"/>
          <w:lang w:val="en-GB"/>
        </w:rPr>
        <w:t xml:space="preserve">private partner or an NGO such as CZIP. The primary mission should be to help the PA in its metamorphosis by accompanying it in its educational and structural approaches. It should be involved in scientific actions as well: species follow-up, ring fitting camps, natural habitat management, raising awareness for the protection of nature. The old office building could be transformed into </w:t>
      </w:r>
      <w:r w:rsidR="00A75B9B" w:rsidRPr="003B6A69">
        <w:rPr>
          <w:rFonts w:cs="Calibri"/>
          <w:bCs/>
          <w:szCs w:val="20"/>
          <w:lang w:val="en-GB"/>
        </w:rPr>
        <w:t>a</w:t>
      </w:r>
      <w:r w:rsidRPr="003B6A69">
        <w:rPr>
          <w:rFonts w:cs="Calibri"/>
          <w:bCs/>
          <w:szCs w:val="20"/>
          <w:lang w:val="en-GB"/>
        </w:rPr>
        <w:t xml:space="preserve"> care and rehabilitation facility for wounded wild birds. The initial idea is to give everyone a chance to watch free</w:t>
      </w:r>
      <w:r w:rsidR="00A75B9B" w:rsidRPr="003B6A69">
        <w:rPr>
          <w:rFonts w:cs="Calibri"/>
          <w:bCs/>
          <w:szCs w:val="20"/>
          <w:lang w:val="en-GB"/>
        </w:rPr>
        <w:t>-</w:t>
      </w:r>
      <w:r w:rsidRPr="003B6A69">
        <w:rPr>
          <w:rFonts w:cs="Calibri"/>
          <w:bCs/>
          <w:szCs w:val="20"/>
          <w:lang w:val="en-GB"/>
        </w:rPr>
        <w:t>roaming birds as easily as possible. Bringing nature to everyone’s reach, allowing for a better understanding of it to appreciate it better. Educational panels and nature animations unveil the avifauna’s secrets. Education about the site, initiation into the environment</w:t>
      </w:r>
      <w:r w:rsidR="00A75B9B" w:rsidRPr="003B6A69">
        <w:rPr>
          <w:rFonts w:cs="Calibri"/>
          <w:bCs/>
          <w:szCs w:val="20"/>
          <w:lang w:val="en-GB"/>
        </w:rPr>
        <w:t>,</w:t>
      </w:r>
      <w:r w:rsidRPr="003B6A69">
        <w:rPr>
          <w:rFonts w:cs="Calibri"/>
          <w:bCs/>
          <w:szCs w:val="20"/>
          <w:lang w:val="en-GB"/>
        </w:rPr>
        <w:t xml:space="preserve"> and raising awareness on protecting nature are all integral parts of this idea. Even more so than bringing knowledge, the goal is to give visitors the keys to a better understanding of their environment and teaching the children how they can become eco-responsible.</w:t>
      </w:r>
    </w:p>
    <w:p w14:paraId="454FB3E1" w14:textId="5D7B81C6" w:rsidR="00F31132" w:rsidRPr="003B6A69" w:rsidRDefault="00F31132" w:rsidP="003C6B7B">
      <w:pPr>
        <w:numPr>
          <w:ilvl w:val="0"/>
          <w:numId w:val="41"/>
        </w:numPr>
        <w:tabs>
          <w:tab w:val="left" w:pos="426"/>
        </w:tabs>
        <w:spacing w:after="120"/>
        <w:ind w:left="0" w:firstLine="0"/>
        <w:rPr>
          <w:rFonts w:cs="Calibri"/>
          <w:bCs/>
          <w:szCs w:val="20"/>
          <w:lang w:val="en-GB"/>
        </w:rPr>
      </w:pPr>
      <w:r w:rsidRPr="003B6A69">
        <w:rPr>
          <w:rFonts w:cs="Calibri"/>
          <w:bCs/>
          <w:szCs w:val="20"/>
          <w:lang w:val="en-GB"/>
        </w:rPr>
        <w:t xml:space="preserve">The project </w:t>
      </w:r>
      <w:r w:rsidR="00A75B9B" w:rsidRPr="003B6A69">
        <w:rPr>
          <w:rFonts w:cs="Calibri"/>
          <w:bCs/>
          <w:szCs w:val="20"/>
          <w:lang w:val="en-GB"/>
        </w:rPr>
        <w:t>will</w:t>
      </w:r>
      <w:r w:rsidRPr="003B6A69">
        <w:rPr>
          <w:rFonts w:cs="Calibri"/>
          <w:bCs/>
          <w:szCs w:val="20"/>
          <w:lang w:val="en-GB"/>
        </w:rPr>
        <w:t xml:space="preserve"> assist PA management in </w:t>
      </w:r>
      <w:r w:rsidR="00A75B9B" w:rsidRPr="003B6A69">
        <w:rPr>
          <w:rFonts w:cs="Calibri"/>
          <w:bCs/>
          <w:szCs w:val="20"/>
          <w:lang w:val="en-GB"/>
        </w:rPr>
        <w:t xml:space="preserve">the </w:t>
      </w:r>
      <w:r w:rsidRPr="003B6A69">
        <w:rPr>
          <w:rFonts w:cs="Calibri"/>
          <w:bCs/>
          <w:szCs w:val="20"/>
          <w:lang w:val="en-GB"/>
        </w:rPr>
        <w:t>development and packaging of tourism products tailored to fit individual values, capacities, opportunities</w:t>
      </w:r>
      <w:r w:rsidR="00A75B9B" w:rsidRPr="003B6A69">
        <w:rPr>
          <w:rFonts w:cs="Calibri"/>
          <w:bCs/>
          <w:szCs w:val="20"/>
          <w:lang w:val="en-GB"/>
        </w:rPr>
        <w:t>,</w:t>
      </w:r>
      <w:r w:rsidRPr="003B6A69">
        <w:rPr>
          <w:rFonts w:cs="Calibri"/>
          <w:bCs/>
          <w:szCs w:val="20"/>
          <w:lang w:val="en-GB"/>
        </w:rPr>
        <w:t xml:space="preserve"> and limitations of the targeted PAs. To encourage demand for local entrepreneurs’ services, the project will target areas where a nature-based vacation could help to enrich important ecosystems for both people and the environment. </w:t>
      </w:r>
    </w:p>
    <w:p w14:paraId="4991EE8F" w14:textId="1DB49835" w:rsidR="00F31132" w:rsidRPr="003B6A69" w:rsidRDefault="00F31132" w:rsidP="003C6B7B">
      <w:pPr>
        <w:numPr>
          <w:ilvl w:val="0"/>
          <w:numId w:val="41"/>
        </w:numPr>
        <w:tabs>
          <w:tab w:val="left" w:pos="426"/>
        </w:tabs>
        <w:spacing w:after="120"/>
        <w:ind w:left="0" w:firstLine="0"/>
        <w:rPr>
          <w:rFonts w:cs="Calibri"/>
          <w:bCs/>
          <w:szCs w:val="20"/>
          <w:lang w:val="en-GB"/>
        </w:rPr>
      </w:pPr>
      <w:r w:rsidRPr="003B6A69">
        <w:rPr>
          <w:rFonts w:cs="Calibri"/>
          <w:bCs/>
          <w:szCs w:val="20"/>
          <w:lang w:val="en-GB"/>
        </w:rPr>
        <w:t>For the low-category PAs</w:t>
      </w:r>
      <w:proofErr w:type="gramStart"/>
      <w:r w:rsidRPr="003B6A69">
        <w:rPr>
          <w:rFonts w:cs="Calibri"/>
          <w:bCs/>
          <w:szCs w:val="20"/>
          <w:lang w:val="en-GB"/>
        </w:rPr>
        <w:t>, in particular, the</w:t>
      </w:r>
      <w:proofErr w:type="gramEnd"/>
      <w:r w:rsidRPr="003B6A69">
        <w:rPr>
          <w:rFonts w:cs="Calibri"/>
          <w:bCs/>
          <w:szCs w:val="20"/>
          <w:lang w:val="en-GB"/>
        </w:rPr>
        <w:t xml:space="preserve"> project will support the management authorities in their effort to re-visit the management plans for the municipal PAs and see if their participation in sustainable tourism offering in the respective municipalities is sufficient for adequate income generation. The project will also take care of branding and marketing of products and services in the targeted PAs.</w:t>
      </w:r>
    </w:p>
    <w:p w14:paraId="343FD816" w14:textId="1F10F467" w:rsidR="00F31132" w:rsidRPr="003B6A69" w:rsidRDefault="00F31132" w:rsidP="003C6B7B">
      <w:pPr>
        <w:numPr>
          <w:ilvl w:val="0"/>
          <w:numId w:val="41"/>
        </w:numPr>
        <w:tabs>
          <w:tab w:val="left" w:pos="426"/>
        </w:tabs>
        <w:spacing w:after="120"/>
        <w:ind w:left="0" w:firstLine="0"/>
        <w:rPr>
          <w:rFonts w:cs="Calibri"/>
          <w:bCs/>
          <w:szCs w:val="20"/>
          <w:lang w:val="en-GB"/>
        </w:rPr>
      </w:pPr>
      <w:r w:rsidRPr="003B6A69">
        <w:rPr>
          <w:rFonts w:cs="Calibri"/>
          <w:bCs/>
          <w:szCs w:val="20"/>
          <w:lang w:val="en-GB"/>
        </w:rPr>
        <w:t xml:space="preserve">The project might support PA authorities with enforcement models aimed to strengthen the entrance fee policies of the parks; the awareness elements explaining the fee policy relevance for </w:t>
      </w:r>
      <w:r w:rsidR="00A75B9B" w:rsidRPr="003B6A69">
        <w:rPr>
          <w:rFonts w:cs="Calibri"/>
          <w:bCs/>
          <w:szCs w:val="20"/>
          <w:lang w:val="en-GB"/>
        </w:rPr>
        <w:t xml:space="preserve">the </w:t>
      </w:r>
      <w:r w:rsidRPr="003B6A69">
        <w:rPr>
          <w:rFonts w:cstheme="minorHAnsi"/>
          <w:szCs w:val="20"/>
        </w:rPr>
        <w:t>protection of keystone species and sensitive habitats, and the transparency in fee contribution for improved nature conservation finance and community engagement.</w:t>
      </w:r>
    </w:p>
    <w:p w14:paraId="5C32977D" w14:textId="5A071FED" w:rsidR="00F31132" w:rsidRPr="003B6A69" w:rsidRDefault="00F31132" w:rsidP="003C6B7B">
      <w:pPr>
        <w:numPr>
          <w:ilvl w:val="0"/>
          <w:numId w:val="41"/>
        </w:numPr>
        <w:tabs>
          <w:tab w:val="left" w:pos="426"/>
        </w:tabs>
        <w:spacing w:after="120"/>
        <w:ind w:left="0" w:firstLine="0"/>
        <w:rPr>
          <w:rFonts w:cs="Calibri"/>
          <w:bCs/>
          <w:szCs w:val="20"/>
          <w:lang w:val="en-GB"/>
        </w:rPr>
      </w:pPr>
      <w:r w:rsidRPr="003B6A69">
        <w:rPr>
          <w:rFonts w:cs="Calibri"/>
          <w:bCs/>
          <w:szCs w:val="20"/>
          <w:lang w:val="en-GB"/>
        </w:rPr>
        <w:t xml:space="preserve">The protected areas, particularly those that had generated a significant number of tourist visits, currently experience a drastic decrease in the number of visitors associated with the COVID pandemic restrictions. </w:t>
      </w:r>
      <w:r w:rsidRPr="003B6A69">
        <w:rPr>
          <w:rFonts w:cs="Calibri"/>
          <w:bCs/>
          <w:szCs w:val="20"/>
        </w:rPr>
        <w:t xml:space="preserve">The PA management authorities will be offered targeted investment support for promotional activities and </w:t>
      </w:r>
      <w:r w:rsidR="00A75B9B" w:rsidRPr="003B6A69">
        <w:rPr>
          <w:rFonts w:cs="Calibri"/>
          <w:bCs/>
          <w:szCs w:val="20"/>
        </w:rPr>
        <w:t xml:space="preserve">the </w:t>
      </w:r>
      <w:r w:rsidRPr="003B6A69">
        <w:rPr>
          <w:rFonts w:cs="Calibri"/>
          <w:bCs/>
          <w:szCs w:val="20"/>
        </w:rPr>
        <w:t>development of marketing plans with a view to achiev</w:t>
      </w:r>
      <w:r w:rsidR="00A75B9B" w:rsidRPr="003B6A69">
        <w:rPr>
          <w:rFonts w:cs="Calibri"/>
          <w:bCs/>
          <w:szCs w:val="20"/>
        </w:rPr>
        <w:t>ing</w:t>
      </w:r>
      <w:r w:rsidRPr="003B6A69">
        <w:rPr>
          <w:rFonts w:cs="Calibri"/>
          <w:bCs/>
          <w:szCs w:val="20"/>
        </w:rPr>
        <w:t xml:space="preserve"> </w:t>
      </w:r>
      <w:r w:rsidR="00A75B9B" w:rsidRPr="003B6A69">
        <w:rPr>
          <w:rFonts w:cs="Calibri"/>
          <w:bCs/>
          <w:szCs w:val="20"/>
        </w:rPr>
        <w:t xml:space="preserve">a </w:t>
      </w:r>
      <w:r w:rsidRPr="003B6A69">
        <w:rPr>
          <w:rFonts w:cs="Calibri"/>
          <w:bCs/>
          <w:szCs w:val="20"/>
        </w:rPr>
        <w:t>stable increase in the visitation rates.</w:t>
      </w:r>
    </w:p>
    <w:p w14:paraId="46AD98B8" w14:textId="66014AB6" w:rsidR="005C5123" w:rsidRPr="003B6A69" w:rsidRDefault="005C5123" w:rsidP="00F31132">
      <w:pPr>
        <w:pStyle w:val="Heading3"/>
        <w:rPr>
          <w:bCs/>
          <w:u w:val="none"/>
        </w:rPr>
      </w:pPr>
      <w:bookmarkStart w:id="33" w:name="_Toc82018254"/>
      <w:r w:rsidRPr="003B6A69">
        <w:rPr>
          <w:bCs/>
          <w:u w:val="none"/>
        </w:rPr>
        <w:t xml:space="preserve">Outcome 4: </w:t>
      </w:r>
      <w:r w:rsidRPr="003B6A69">
        <w:rPr>
          <w:u w:val="none"/>
        </w:rPr>
        <w:t>BD conservation considerations mainstreamed into forestry policies and practices around KBAs</w:t>
      </w:r>
      <w:bookmarkEnd w:id="33"/>
    </w:p>
    <w:p w14:paraId="5C348E46" w14:textId="0917A4E3" w:rsidR="005C5123" w:rsidRPr="003B6A69" w:rsidRDefault="00F31132" w:rsidP="003C6B7B">
      <w:pPr>
        <w:numPr>
          <w:ilvl w:val="0"/>
          <w:numId w:val="41"/>
        </w:numPr>
        <w:tabs>
          <w:tab w:val="left" w:pos="426"/>
        </w:tabs>
        <w:spacing w:after="120"/>
        <w:ind w:left="0" w:firstLine="0"/>
        <w:rPr>
          <w:rFonts w:cs="Calibri"/>
          <w:bCs/>
          <w:sz w:val="22"/>
          <w:szCs w:val="22"/>
          <w:lang w:val="en-GB"/>
        </w:rPr>
      </w:pPr>
      <w:r w:rsidRPr="003B6A69">
        <w:rPr>
          <w:rFonts w:cs="Calibri"/>
          <w:bCs/>
        </w:rPr>
        <w:t xml:space="preserve">Outcome 4 will have forestry </w:t>
      </w:r>
      <w:r w:rsidR="00A1129A" w:rsidRPr="003B6A69">
        <w:rPr>
          <w:rFonts w:cs="Calibri"/>
          <w:bCs/>
        </w:rPr>
        <w:t>in</w:t>
      </w:r>
      <w:r w:rsidRPr="003B6A69">
        <w:rPr>
          <w:rFonts w:cs="Calibri"/>
          <w:bCs/>
        </w:rPr>
        <w:t xml:space="preserve"> the focus; the project will offer a set of practical incremental activities and measures supporting the key directions listed below as identified in the National Forest and Forest Land Administration Policy adopted by the Government of Montenegro in 2008. </w:t>
      </w:r>
      <w:r w:rsidRPr="003B6A69">
        <w:t>Output 4.1 does not have a specific geographical focus and aims to introduce sector-wise changes and standards. The concrete investment pilots for Output 4.1 where i</w:t>
      </w:r>
      <w:r w:rsidR="00B34659" w:rsidRPr="003B6A69">
        <w:t>t</w:t>
      </w:r>
      <w:r w:rsidRPr="003B6A69">
        <w:t xml:space="preserve"> concerns private forest management will depend on the level of commitment from the private sector partners. Output 4.2 is devoted to the practical conservation and sustainable management measures for High Conservation Value Forests. Within those, an investment priority vests with those within the project pilot PAs and KBAs</w:t>
      </w:r>
      <w:r w:rsidR="005C5123" w:rsidRPr="003B6A69">
        <w:rPr>
          <w:sz w:val="22"/>
          <w:szCs w:val="22"/>
        </w:rPr>
        <w:t>.</w:t>
      </w:r>
    </w:p>
    <w:p w14:paraId="165839AB" w14:textId="77777777" w:rsidR="00F31132" w:rsidRPr="003B6A69" w:rsidRDefault="00F31132" w:rsidP="00F31132">
      <w:pPr>
        <w:pStyle w:val="Heading6"/>
      </w:pPr>
      <w:bookmarkStart w:id="34" w:name="_Toc56670687"/>
      <w:r w:rsidRPr="003B6A69">
        <w:t>Output 4.1: Best-practice standards mainstreaming biodiversity-friendly forestry practices developed</w:t>
      </w:r>
      <w:bookmarkEnd w:id="34"/>
    </w:p>
    <w:p w14:paraId="55E1C5EB" w14:textId="77777777" w:rsidR="00A1129A" w:rsidRPr="003B6A69" w:rsidRDefault="00F31132" w:rsidP="003C6B7B">
      <w:pPr>
        <w:numPr>
          <w:ilvl w:val="0"/>
          <w:numId w:val="41"/>
        </w:numPr>
        <w:tabs>
          <w:tab w:val="left" w:pos="426"/>
        </w:tabs>
        <w:spacing w:after="120"/>
        <w:ind w:left="0" w:firstLine="0"/>
        <w:rPr>
          <w:rFonts w:cs="Calibri"/>
          <w:bCs/>
          <w:szCs w:val="20"/>
          <w:lang w:val="en-GB"/>
        </w:rPr>
      </w:pPr>
      <w:r w:rsidRPr="003B6A69">
        <w:rPr>
          <w:rFonts w:cs="Calibri"/>
          <w:bCs/>
          <w:lang w:val="en-GB"/>
        </w:rPr>
        <w:t xml:space="preserve">Output 4.1 will offer best-practice standards for mainstreaming biodiversity-friendly forestry practices. Specifically, the project will offer mechanisms to ensure that the production of non-timber forest products such as medicinal plants, mushrooms, forest fruits, and honey are increased, generating income for the local communities. The project </w:t>
      </w:r>
      <w:r w:rsidR="005005FB" w:rsidRPr="003B6A69">
        <w:rPr>
          <w:rFonts w:cs="Calibri"/>
          <w:bCs/>
          <w:lang w:val="en-GB"/>
        </w:rPr>
        <w:t>will</w:t>
      </w:r>
      <w:r w:rsidRPr="003B6A69">
        <w:rPr>
          <w:rFonts w:cs="Calibri"/>
          <w:bCs/>
          <w:lang w:val="en-GB"/>
        </w:rPr>
        <w:t xml:space="preserve"> help the </w:t>
      </w:r>
      <w:r w:rsidRPr="003B6A69">
        <w:rPr>
          <w:rFonts w:cs="Calibri"/>
          <w:bCs/>
          <w:szCs w:val="20"/>
          <w:lang w:val="en-GB"/>
        </w:rPr>
        <w:t>Government in their effort to establish associations of harvesters of non-timber products and foresters</w:t>
      </w:r>
      <w:r w:rsidR="005C5123" w:rsidRPr="003B6A69">
        <w:rPr>
          <w:szCs w:val="20"/>
        </w:rPr>
        <w:t>.</w:t>
      </w:r>
    </w:p>
    <w:p w14:paraId="646445D0" w14:textId="200AAF92" w:rsidR="005005FB" w:rsidRPr="003B6A69" w:rsidRDefault="00A1129A" w:rsidP="003C6B7B">
      <w:pPr>
        <w:numPr>
          <w:ilvl w:val="0"/>
          <w:numId w:val="41"/>
        </w:numPr>
        <w:tabs>
          <w:tab w:val="left" w:pos="426"/>
        </w:tabs>
        <w:spacing w:after="120"/>
        <w:ind w:left="0" w:firstLine="0"/>
        <w:rPr>
          <w:rFonts w:cs="Calibri"/>
          <w:bCs/>
          <w:szCs w:val="20"/>
          <w:lang w:val="en-GB"/>
        </w:rPr>
      </w:pPr>
      <w:r w:rsidRPr="003B6A69">
        <w:rPr>
          <w:rFonts w:cs="Calibri"/>
          <w:bCs/>
          <w:szCs w:val="20"/>
          <w:lang w:val="en-GB"/>
        </w:rPr>
        <w:t xml:space="preserve">The project will </w:t>
      </w:r>
      <w:proofErr w:type="gramStart"/>
      <w:r w:rsidRPr="003B6A69">
        <w:rPr>
          <w:rFonts w:cs="Calibri"/>
          <w:bCs/>
          <w:szCs w:val="20"/>
          <w:lang w:val="en-GB"/>
        </w:rPr>
        <w:t>provide assistance to</w:t>
      </w:r>
      <w:proofErr w:type="gramEnd"/>
      <w:r w:rsidRPr="003B6A69">
        <w:rPr>
          <w:rFonts w:cs="Calibri"/>
          <w:bCs/>
          <w:szCs w:val="20"/>
          <w:lang w:val="en-GB"/>
        </w:rPr>
        <w:t xml:space="preserve"> the Government in the development of practical measures to support the implementation and enforcement of the regulations to use the non-timber forest products</w:t>
      </w:r>
      <w:r w:rsidR="00CA238C" w:rsidRPr="003B6A69">
        <w:rPr>
          <w:rFonts w:cs="Calibri"/>
          <w:bCs/>
          <w:szCs w:val="20"/>
          <w:lang w:val="en-GB"/>
        </w:rPr>
        <w:t xml:space="preserve"> (NTFP)</w:t>
      </w:r>
      <w:r w:rsidRPr="003B6A69">
        <w:rPr>
          <w:rFonts w:cs="Calibri"/>
          <w:bCs/>
          <w:szCs w:val="20"/>
          <w:lang w:val="en-GB"/>
        </w:rPr>
        <w:t xml:space="preserve">, both by state and private forest owners. The project will consult with the relevant stakeholders </w:t>
      </w:r>
      <w:proofErr w:type="gramStart"/>
      <w:r w:rsidRPr="003B6A69">
        <w:rPr>
          <w:rFonts w:cs="Calibri"/>
          <w:bCs/>
          <w:szCs w:val="20"/>
          <w:lang w:val="en-GB"/>
        </w:rPr>
        <w:t>in order to</w:t>
      </w:r>
      <w:proofErr w:type="gramEnd"/>
      <w:r w:rsidRPr="003B6A69">
        <w:rPr>
          <w:rFonts w:cs="Calibri"/>
          <w:bCs/>
          <w:szCs w:val="20"/>
          <w:lang w:val="en-GB"/>
        </w:rPr>
        <w:t xml:space="preserve"> suggest amendments to make sure that the regulations define the limits and categories of NTFP use, provide a practical dimension to the existing regulations, make sure that the regulations serve the purpose and that the applied practice is not contradictory to other sectoral regulations.</w:t>
      </w:r>
    </w:p>
    <w:p w14:paraId="210D1D7D" w14:textId="2307ECD7" w:rsidR="005C5123" w:rsidRPr="003B6A69" w:rsidRDefault="00F31132" w:rsidP="003C6B7B">
      <w:pPr>
        <w:numPr>
          <w:ilvl w:val="0"/>
          <w:numId w:val="41"/>
        </w:numPr>
        <w:tabs>
          <w:tab w:val="left" w:pos="426"/>
        </w:tabs>
        <w:spacing w:after="120"/>
        <w:ind w:left="0" w:firstLine="0"/>
        <w:rPr>
          <w:rFonts w:cs="Calibri"/>
          <w:bCs/>
          <w:sz w:val="22"/>
          <w:szCs w:val="22"/>
          <w:lang w:val="en-GB"/>
        </w:rPr>
      </w:pPr>
      <w:r w:rsidRPr="003B6A69">
        <w:rPr>
          <w:rFonts w:cs="Calibri"/>
          <w:bCs/>
          <w:lang w:val="en-GB"/>
        </w:rPr>
        <w:t xml:space="preserve">The project will assist the Government with support and services to private forest </w:t>
      </w:r>
      <w:proofErr w:type="gramStart"/>
      <w:r w:rsidRPr="003B6A69">
        <w:rPr>
          <w:rFonts w:cs="Calibri"/>
          <w:bCs/>
          <w:lang w:val="en-GB"/>
        </w:rPr>
        <w:t>owners, and</w:t>
      </w:r>
      <w:proofErr w:type="gramEnd"/>
      <w:r w:rsidRPr="003B6A69">
        <w:rPr>
          <w:rFonts w:cs="Calibri"/>
          <w:bCs/>
          <w:lang w:val="en-GB"/>
        </w:rPr>
        <w:t xml:space="preserve"> help promote biodiversity-positive entrepreneurship in forestry. Advice on best available practice, assistance</w:t>
      </w:r>
      <w:r w:rsidR="00A75B9B" w:rsidRPr="003B6A69">
        <w:rPr>
          <w:rFonts w:cs="Calibri"/>
          <w:bCs/>
          <w:lang w:val="en-GB"/>
        </w:rPr>
        <w:t>,</w:t>
      </w:r>
      <w:r w:rsidRPr="003B6A69">
        <w:rPr>
          <w:rFonts w:cs="Calibri"/>
          <w:bCs/>
          <w:lang w:val="en-GB"/>
        </w:rPr>
        <w:t xml:space="preserve"> and training will be provided. The project </w:t>
      </w:r>
      <w:r w:rsidR="00A07BD0" w:rsidRPr="003B6A69">
        <w:rPr>
          <w:rFonts w:cs="Calibri"/>
          <w:bCs/>
          <w:lang w:val="en-GB"/>
        </w:rPr>
        <w:t>will</w:t>
      </w:r>
      <w:r w:rsidRPr="003B6A69">
        <w:rPr>
          <w:rFonts w:cs="Calibri"/>
          <w:bCs/>
          <w:lang w:val="en-GB"/>
        </w:rPr>
        <w:t xml:space="preserve"> pilot incentives for biodiversity-positive forest owners including services such as free-of-charge </w:t>
      </w:r>
      <w:r w:rsidRPr="003B6A69">
        <w:rPr>
          <w:rFonts w:cs="Calibri"/>
          <w:bCs/>
          <w:lang w:val="en-GB"/>
        </w:rPr>
        <w:lastRenderedPageBreak/>
        <w:t>forest management planning and subsidies for re-forestation and sylviculture.</w:t>
      </w:r>
      <w:r w:rsidRPr="003B6A69">
        <w:rPr>
          <w:rFonts w:cstheme="minorHAnsi"/>
        </w:rPr>
        <w:t xml:space="preserve"> Based on PPG assessments, several private forest owners in </w:t>
      </w:r>
      <w:proofErr w:type="spellStart"/>
      <w:r w:rsidRPr="003B6A69">
        <w:rPr>
          <w:rFonts w:cstheme="minorHAnsi"/>
        </w:rPr>
        <w:t>Plav</w:t>
      </w:r>
      <w:proofErr w:type="spellEnd"/>
      <w:r w:rsidRPr="003B6A69">
        <w:rPr>
          <w:rFonts w:cstheme="minorHAnsi"/>
        </w:rPr>
        <w:t xml:space="preserve">, </w:t>
      </w:r>
      <w:proofErr w:type="spellStart"/>
      <w:r w:rsidRPr="003B6A69">
        <w:rPr>
          <w:rFonts w:cstheme="minorHAnsi"/>
        </w:rPr>
        <w:t>Rozaje</w:t>
      </w:r>
      <w:proofErr w:type="spellEnd"/>
      <w:r w:rsidRPr="003B6A69">
        <w:rPr>
          <w:rFonts w:cstheme="minorHAnsi"/>
        </w:rPr>
        <w:t xml:space="preserve">, </w:t>
      </w:r>
      <w:proofErr w:type="spellStart"/>
      <w:r w:rsidRPr="003B6A69">
        <w:rPr>
          <w:rFonts w:cstheme="minorHAnsi"/>
        </w:rPr>
        <w:t>Bijelo</w:t>
      </w:r>
      <w:proofErr w:type="spellEnd"/>
      <w:r w:rsidRPr="003B6A69">
        <w:rPr>
          <w:rFonts w:cstheme="minorHAnsi"/>
        </w:rPr>
        <w:t xml:space="preserve"> Polje are interested </w:t>
      </w:r>
      <w:r w:rsidR="00A75B9B" w:rsidRPr="003B6A69">
        <w:rPr>
          <w:rFonts w:cstheme="minorHAnsi"/>
        </w:rPr>
        <w:t>in</w:t>
      </w:r>
      <w:r w:rsidRPr="003B6A69">
        <w:rPr>
          <w:rFonts w:cstheme="minorHAnsi"/>
        </w:rPr>
        <w:t xml:space="preserve"> </w:t>
      </w:r>
      <w:r w:rsidR="00A75B9B" w:rsidRPr="003B6A69">
        <w:rPr>
          <w:rFonts w:cstheme="minorHAnsi"/>
        </w:rPr>
        <w:t xml:space="preserve">the </w:t>
      </w:r>
      <w:r w:rsidRPr="003B6A69">
        <w:rPr>
          <w:rFonts w:cstheme="minorHAnsi"/>
        </w:rPr>
        <w:t>protection and sustainable exploitation of forests</w:t>
      </w:r>
      <w:r w:rsidRPr="003B6A69">
        <w:rPr>
          <w:rFonts w:cstheme="minorHAnsi"/>
          <w:vertAlign w:val="superscript"/>
        </w:rPr>
        <w:footnoteReference w:id="8"/>
      </w:r>
      <w:r w:rsidRPr="003B6A69">
        <w:rPr>
          <w:rFonts w:cstheme="minorHAnsi"/>
        </w:rPr>
        <w:t xml:space="preserve">. </w:t>
      </w:r>
    </w:p>
    <w:p w14:paraId="77170CE0" w14:textId="573DF612" w:rsidR="0074509B" w:rsidRPr="003B6A69" w:rsidRDefault="0074509B" w:rsidP="003C6B7B">
      <w:pPr>
        <w:numPr>
          <w:ilvl w:val="0"/>
          <w:numId w:val="41"/>
        </w:numPr>
        <w:tabs>
          <w:tab w:val="left" w:pos="426"/>
        </w:tabs>
        <w:spacing w:after="120"/>
        <w:ind w:left="0" w:firstLine="0"/>
        <w:rPr>
          <w:rFonts w:cs="Calibri"/>
          <w:bCs/>
          <w:szCs w:val="20"/>
          <w:lang w:val="en-GB"/>
        </w:rPr>
      </w:pPr>
      <w:r w:rsidRPr="003B6A69">
        <w:rPr>
          <w:rFonts w:cs="Calibri"/>
          <w:bCs/>
          <w:szCs w:val="20"/>
          <w:lang w:val="en-GB"/>
        </w:rPr>
        <w:t xml:space="preserve">Under this </w:t>
      </w:r>
      <w:r w:rsidR="00A75B9B" w:rsidRPr="003B6A69">
        <w:rPr>
          <w:rFonts w:cs="Calibri"/>
          <w:bCs/>
          <w:szCs w:val="20"/>
          <w:lang w:val="en-GB"/>
        </w:rPr>
        <w:t>O</w:t>
      </w:r>
      <w:r w:rsidRPr="003B6A69">
        <w:rPr>
          <w:rFonts w:cs="Calibri"/>
          <w:bCs/>
          <w:szCs w:val="20"/>
          <w:lang w:val="en-GB"/>
        </w:rPr>
        <w:t>utput</w:t>
      </w:r>
      <w:r w:rsidR="00A75B9B" w:rsidRPr="003B6A69">
        <w:rPr>
          <w:rFonts w:cs="Calibri"/>
          <w:bCs/>
          <w:szCs w:val="20"/>
          <w:lang w:val="en-GB"/>
        </w:rPr>
        <w:t>,</w:t>
      </w:r>
      <w:r w:rsidRPr="003B6A69">
        <w:rPr>
          <w:rFonts w:cs="Calibri"/>
          <w:bCs/>
          <w:szCs w:val="20"/>
          <w:lang w:val="en-GB"/>
        </w:rPr>
        <w:t xml:space="preserve"> the project will partner with a particular private forestry business identified through the consultations at the PPG stage – a private forestry business in the municipality of Kotor (600 ha). The project will </w:t>
      </w:r>
      <w:proofErr w:type="gramStart"/>
      <w:r w:rsidRPr="003B6A69">
        <w:rPr>
          <w:rFonts w:cs="Calibri"/>
          <w:bCs/>
          <w:szCs w:val="20"/>
          <w:lang w:val="en-GB"/>
        </w:rPr>
        <w:t>offer assistance</w:t>
      </w:r>
      <w:proofErr w:type="gramEnd"/>
      <w:r w:rsidRPr="003B6A69">
        <w:rPr>
          <w:rFonts w:cs="Calibri"/>
          <w:bCs/>
          <w:szCs w:val="20"/>
          <w:lang w:val="en-GB"/>
        </w:rPr>
        <w:t xml:space="preserve"> with </w:t>
      </w:r>
      <w:r w:rsidR="00A75B9B" w:rsidRPr="003B6A69">
        <w:rPr>
          <w:rFonts w:cs="Calibri"/>
          <w:bCs/>
          <w:szCs w:val="20"/>
          <w:lang w:val="en-GB"/>
        </w:rPr>
        <w:t xml:space="preserve">the </w:t>
      </w:r>
      <w:r w:rsidRPr="003B6A69">
        <w:rPr>
          <w:rFonts w:cs="Calibri"/>
          <w:bCs/>
          <w:szCs w:val="20"/>
          <w:lang w:val="en-GB"/>
        </w:rPr>
        <w:t>preparation of a model Forest Management Plan with a view of providing sustainable forest management guidance to the owner, adding conservation, sustainable use, recreational</w:t>
      </w:r>
      <w:r w:rsidR="00A75B9B" w:rsidRPr="003B6A69">
        <w:rPr>
          <w:rFonts w:cs="Calibri"/>
          <w:bCs/>
          <w:szCs w:val="20"/>
          <w:lang w:val="en-GB"/>
        </w:rPr>
        <w:t>,</w:t>
      </w:r>
      <w:r w:rsidRPr="003B6A69">
        <w:rPr>
          <w:rFonts w:cs="Calibri"/>
          <w:bCs/>
          <w:szCs w:val="20"/>
          <w:lang w:val="en-GB"/>
        </w:rPr>
        <w:t xml:space="preserve"> and other associated benefits to the forestry plots. The new management model will ensure diversification and optimi</w:t>
      </w:r>
      <w:r w:rsidR="00A75B9B" w:rsidRPr="003B6A69">
        <w:rPr>
          <w:rFonts w:cs="Calibri"/>
          <w:bCs/>
          <w:szCs w:val="20"/>
          <w:lang w:val="en-GB"/>
        </w:rPr>
        <w:t>z</w:t>
      </w:r>
      <w:r w:rsidRPr="003B6A69">
        <w:rPr>
          <w:rFonts w:cs="Calibri"/>
          <w:bCs/>
          <w:szCs w:val="20"/>
          <w:lang w:val="en-GB"/>
        </w:rPr>
        <w:t>ation of the “core” business, justify diversification of timber products and use of by</w:t>
      </w:r>
      <w:r w:rsidR="00A75B9B" w:rsidRPr="003B6A69">
        <w:rPr>
          <w:rFonts w:cs="Calibri"/>
          <w:bCs/>
          <w:szCs w:val="20"/>
          <w:lang w:val="en-GB"/>
        </w:rPr>
        <w:t>-</w:t>
      </w:r>
      <w:r w:rsidRPr="003B6A69">
        <w:rPr>
          <w:rFonts w:cs="Calibri"/>
          <w:bCs/>
          <w:szCs w:val="20"/>
          <w:lang w:val="en-GB"/>
        </w:rPr>
        <w:t>products such as charcoal, and development of “side” businesses - ecotourism (</w:t>
      </w:r>
      <w:proofErr w:type="gramStart"/>
      <w:r w:rsidRPr="003B6A69">
        <w:rPr>
          <w:rFonts w:cs="Calibri"/>
          <w:bCs/>
          <w:szCs w:val="20"/>
          <w:lang w:val="en-GB"/>
        </w:rPr>
        <w:t>e.g.</w:t>
      </w:r>
      <w:proofErr w:type="gramEnd"/>
      <w:r w:rsidRPr="003B6A69">
        <w:rPr>
          <w:rFonts w:cs="Calibri"/>
          <w:bCs/>
          <w:szCs w:val="20"/>
          <w:lang w:val="en-GB"/>
        </w:rPr>
        <w:t xml:space="preserve"> development of an adventure park) and use of NTFP. This innovative management exercise will be adding a more comprehensive conservation dimension to the business practice and will offer BD-sensitive indicators for monitoring and assessment of forest management effectiveness.</w:t>
      </w:r>
    </w:p>
    <w:p w14:paraId="452B63E3" w14:textId="0AFD8CAD" w:rsidR="00124AF2" w:rsidRPr="003B6A69" w:rsidRDefault="00D83647" w:rsidP="00D83647">
      <w:pPr>
        <w:tabs>
          <w:tab w:val="left" w:pos="426"/>
        </w:tabs>
        <w:spacing w:after="120"/>
        <w:rPr>
          <w:rFonts w:cs="Calibri"/>
          <w:bCs/>
          <w:szCs w:val="20"/>
        </w:rPr>
      </w:pPr>
      <w:r w:rsidRPr="003B6A69">
        <w:rPr>
          <w:rFonts w:cs="Calibri"/>
          <w:bCs/>
          <w:szCs w:val="20"/>
          <w:lang w:val="en-GB"/>
        </w:rPr>
        <w:t>The model, development methodology</w:t>
      </w:r>
      <w:r w:rsidR="00A75B9B" w:rsidRPr="003B6A69">
        <w:rPr>
          <w:rFonts w:cs="Calibri"/>
          <w:bCs/>
          <w:szCs w:val="20"/>
          <w:lang w:val="en-GB"/>
        </w:rPr>
        <w:t>,</w:t>
      </w:r>
      <w:r w:rsidRPr="003B6A69">
        <w:rPr>
          <w:rFonts w:cs="Calibri"/>
          <w:bCs/>
          <w:szCs w:val="20"/>
          <w:lang w:val="en-GB"/>
        </w:rPr>
        <w:t xml:space="preserve"> and detailed guidelines for Forest Management Plan development will be designed and disseminated among private forest owners.</w:t>
      </w:r>
      <w:r w:rsidR="00124AF2" w:rsidRPr="003B6A69">
        <w:rPr>
          <w:rFonts w:cs="Calibri"/>
          <w:bCs/>
          <w:szCs w:val="20"/>
          <w:lang w:val="en-GB"/>
        </w:rPr>
        <w:t xml:space="preserve"> </w:t>
      </w:r>
      <w:r w:rsidRPr="003B6A69">
        <w:rPr>
          <w:rFonts w:cs="Calibri"/>
          <w:bCs/>
          <w:szCs w:val="20"/>
        </w:rPr>
        <w:t xml:space="preserve">The project will demonstrate </w:t>
      </w:r>
      <w:r w:rsidR="00124AF2" w:rsidRPr="003B6A69">
        <w:rPr>
          <w:rFonts w:cs="Calibri"/>
          <w:bCs/>
          <w:szCs w:val="20"/>
        </w:rPr>
        <w:t xml:space="preserve">the following key elements through </w:t>
      </w:r>
      <w:r w:rsidR="00A75B9B" w:rsidRPr="003B6A69">
        <w:rPr>
          <w:rFonts w:cs="Calibri"/>
          <w:bCs/>
          <w:szCs w:val="20"/>
        </w:rPr>
        <w:t xml:space="preserve">a </w:t>
      </w:r>
      <w:r w:rsidR="00124AF2" w:rsidRPr="003B6A69">
        <w:rPr>
          <w:rFonts w:cs="Calibri"/>
          <w:bCs/>
          <w:szCs w:val="20"/>
        </w:rPr>
        <w:t>partnership with the model private forestry plot:</w:t>
      </w:r>
    </w:p>
    <w:p w14:paraId="27DB04B9" w14:textId="77777777" w:rsidR="00124AF2" w:rsidRPr="003B6A69" w:rsidRDefault="00124AF2" w:rsidP="00D83647">
      <w:pPr>
        <w:tabs>
          <w:tab w:val="left" w:pos="426"/>
        </w:tabs>
        <w:spacing w:after="120"/>
        <w:rPr>
          <w:rFonts w:cs="Calibri"/>
          <w:bCs/>
          <w:szCs w:val="20"/>
        </w:rPr>
      </w:pPr>
      <w:r w:rsidRPr="003B6A69">
        <w:rPr>
          <w:rFonts w:cs="Calibri"/>
          <w:bCs/>
          <w:szCs w:val="20"/>
        </w:rPr>
        <w:t>-</w:t>
      </w:r>
      <w:r w:rsidR="00D83647" w:rsidRPr="003B6A69">
        <w:rPr>
          <w:rFonts w:cs="Calibri"/>
          <w:bCs/>
          <w:szCs w:val="20"/>
        </w:rPr>
        <w:t xml:space="preserve">efficiency of sustainable forestry practices with diversified timber products and </w:t>
      </w:r>
      <w:proofErr w:type="gramStart"/>
      <w:r w:rsidR="00D83647" w:rsidRPr="003B6A69">
        <w:rPr>
          <w:rFonts w:cs="Calibri"/>
          <w:bCs/>
          <w:szCs w:val="20"/>
        </w:rPr>
        <w:t>by-products;</w:t>
      </w:r>
      <w:proofErr w:type="gramEnd"/>
      <w:r w:rsidR="00D83647" w:rsidRPr="003B6A69">
        <w:rPr>
          <w:rFonts w:cs="Calibri"/>
          <w:bCs/>
          <w:szCs w:val="20"/>
        </w:rPr>
        <w:t xml:space="preserve"> </w:t>
      </w:r>
    </w:p>
    <w:p w14:paraId="4261A247" w14:textId="3C0A7954" w:rsidR="00124AF2" w:rsidRPr="003B6A69" w:rsidRDefault="00124AF2" w:rsidP="00D83647">
      <w:pPr>
        <w:tabs>
          <w:tab w:val="left" w:pos="426"/>
        </w:tabs>
        <w:spacing w:after="120"/>
        <w:rPr>
          <w:rFonts w:cs="Calibri"/>
          <w:bCs/>
          <w:szCs w:val="20"/>
        </w:rPr>
      </w:pPr>
      <w:r w:rsidRPr="003B6A69">
        <w:rPr>
          <w:rFonts w:cs="Calibri"/>
          <w:bCs/>
          <w:szCs w:val="20"/>
        </w:rPr>
        <w:t>- sustainable</w:t>
      </w:r>
      <w:r w:rsidR="00D83647" w:rsidRPr="003B6A69">
        <w:rPr>
          <w:rFonts w:cs="Calibri"/>
          <w:bCs/>
          <w:szCs w:val="20"/>
        </w:rPr>
        <w:t xml:space="preserve"> NTFP use a</w:t>
      </w:r>
      <w:r w:rsidRPr="003B6A69">
        <w:rPr>
          <w:rFonts w:cs="Calibri"/>
          <w:bCs/>
          <w:szCs w:val="20"/>
        </w:rPr>
        <w:t xml:space="preserve">nd supply to </w:t>
      </w:r>
      <w:r w:rsidR="00A75B9B" w:rsidRPr="003B6A69">
        <w:rPr>
          <w:rFonts w:cs="Calibri"/>
          <w:bCs/>
          <w:szCs w:val="20"/>
        </w:rPr>
        <w:t xml:space="preserve">the </w:t>
      </w:r>
      <w:r w:rsidRPr="003B6A69">
        <w:rPr>
          <w:rFonts w:cs="Calibri"/>
          <w:bCs/>
          <w:szCs w:val="20"/>
        </w:rPr>
        <w:t xml:space="preserve">local </w:t>
      </w:r>
      <w:proofErr w:type="gramStart"/>
      <w:r w:rsidRPr="003B6A69">
        <w:rPr>
          <w:rFonts w:cs="Calibri"/>
          <w:bCs/>
          <w:szCs w:val="20"/>
        </w:rPr>
        <w:t>market;</w:t>
      </w:r>
      <w:proofErr w:type="gramEnd"/>
      <w:r w:rsidR="00D83647" w:rsidRPr="003B6A69">
        <w:rPr>
          <w:rFonts w:cs="Calibri"/>
          <w:bCs/>
          <w:szCs w:val="20"/>
        </w:rPr>
        <w:t xml:space="preserve"> </w:t>
      </w:r>
    </w:p>
    <w:p w14:paraId="1D2B3CC0" w14:textId="025ADE0F" w:rsidR="0074509B" w:rsidRPr="003B6A69" w:rsidRDefault="00124AF2" w:rsidP="00D83647">
      <w:pPr>
        <w:tabs>
          <w:tab w:val="left" w:pos="426"/>
        </w:tabs>
        <w:spacing w:after="120"/>
        <w:rPr>
          <w:rFonts w:cs="Calibri"/>
          <w:bCs/>
          <w:szCs w:val="20"/>
        </w:rPr>
      </w:pPr>
      <w:r w:rsidRPr="003B6A69">
        <w:rPr>
          <w:rFonts w:cs="Calibri"/>
          <w:bCs/>
          <w:szCs w:val="20"/>
        </w:rPr>
        <w:t>-</w:t>
      </w:r>
      <w:r w:rsidR="00D83647" w:rsidRPr="003B6A69">
        <w:rPr>
          <w:rFonts w:cs="Calibri"/>
          <w:bCs/>
          <w:szCs w:val="20"/>
        </w:rPr>
        <w:t xml:space="preserve">additional lines of services associated with tourism, and optimized business planning deriving multiple benefits to the owner and the community. </w:t>
      </w:r>
    </w:p>
    <w:p w14:paraId="1CFB6ED7" w14:textId="77777777" w:rsidR="00F31132" w:rsidRPr="003B6A69" w:rsidRDefault="00F31132" w:rsidP="00F31132">
      <w:pPr>
        <w:pStyle w:val="Heading6"/>
      </w:pPr>
      <w:bookmarkStart w:id="35" w:name="_Toc56670688"/>
      <w:r w:rsidRPr="003B6A69">
        <w:t>Output 4.2: Strengthened resilience of High-Conservation Value forests to fire threats</w:t>
      </w:r>
      <w:bookmarkEnd w:id="35"/>
    </w:p>
    <w:p w14:paraId="1CFD3808" w14:textId="0BFEF930" w:rsidR="001C397B" w:rsidRPr="003B6A69" w:rsidRDefault="001C397B" w:rsidP="003C6B7B">
      <w:pPr>
        <w:numPr>
          <w:ilvl w:val="0"/>
          <w:numId w:val="41"/>
        </w:numPr>
        <w:tabs>
          <w:tab w:val="left" w:pos="426"/>
        </w:tabs>
        <w:spacing w:after="120"/>
        <w:ind w:left="0" w:firstLine="0"/>
        <w:rPr>
          <w:rFonts w:cs="Calibri"/>
          <w:bCs/>
          <w:szCs w:val="20"/>
          <w:lang w:val="en-GB"/>
        </w:rPr>
      </w:pPr>
      <w:r w:rsidRPr="003B6A69">
        <w:rPr>
          <w:rFonts w:cs="Calibri"/>
          <w:bCs/>
          <w:szCs w:val="20"/>
        </w:rPr>
        <w:t>Under t</w:t>
      </w:r>
      <w:r w:rsidR="00F31132" w:rsidRPr="003B6A69">
        <w:rPr>
          <w:rFonts w:cs="Calibri"/>
          <w:bCs/>
          <w:szCs w:val="20"/>
          <w:lang w:val="en-GB"/>
        </w:rPr>
        <w:t>he project will help identify, in accordance with the Forest Administration Policy directives, the targeted interventions required to preserve landscapes, protect habitats</w:t>
      </w:r>
      <w:r w:rsidR="00A75B9B" w:rsidRPr="003B6A69">
        <w:rPr>
          <w:rFonts w:cs="Calibri"/>
          <w:bCs/>
          <w:szCs w:val="20"/>
          <w:lang w:val="en-GB"/>
        </w:rPr>
        <w:t>,</w:t>
      </w:r>
      <w:r w:rsidR="00F31132" w:rsidRPr="003B6A69">
        <w:rPr>
          <w:rFonts w:cs="Calibri"/>
          <w:bCs/>
          <w:szCs w:val="20"/>
          <w:lang w:val="en-GB"/>
        </w:rPr>
        <w:t xml:space="preserve"> and </w:t>
      </w:r>
      <w:r w:rsidRPr="003B6A69">
        <w:rPr>
          <w:rFonts w:cs="Calibri"/>
          <w:bCs/>
          <w:szCs w:val="20"/>
          <w:lang w:val="en-GB"/>
        </w:rPr>
        <w:t>better manage</w:t>
      </w:r>
      <w:r w:rsidR="00A75B9B" w:rsidRPr="003B6A69">
        <w:rPr>
          <w:rFonts w:cs="Calibri"/>
          <w:bCs/>
          <w:szCs w:val="20"/>
          <w:lang w:val="en-GB"/>
        </w:rPr>
        <w:t>ment</w:t>
      </w:r>
      <w:r w:rsidRPr="003B6A69">
        <w:rPr>
          <w:rFonts w:cs="Calibri"/>
          <w:bCs/>
          <w:szCs w:val="20"/>
          <w:lang w:val="en-GB"/>
        </w:rPr>
        <w:t xml:space="preserve"> and </w:t>
      </w:r>
      <w:r w:rsidR="00F31132" w:rsidRPr="003B6A69">
        <w:rPr>
          <w:rFonts w:cs="Calibri"/>
          <w:bCs/>
          <w:szCs w:val="20"/>
          <w:lang w:val="en-GB"/>
        </w:rPr>
        <w:t xml:space="preserve">protection of High-Conservation Value forests, as well as other unprotected but valuable forested areas against fires. </w:t>
      </w:r>
    </w:p>
    <w:p w14:paraId="4DB3CE1A" w14:textId="59675677" w:rsidR="00F31132" w:rsidRPr="003B6A69" w:rsidRDefault="00F31132" w:rsidP="003C6B7B">
      <w:pPr>
        <w:numPr>
          <w:ilvl w:val="0"/>
          <w:numId w:val="41"/>
        </w:numPr>
        <w:tabs>
          <w:tab w:val="left" w:pos="426"/>
        </w:tabs>
        <w:spacing w:after="120"/>
        <w:ind w:left="0" w:firstLine="0"/>
        <w:rPr>
          <w:rFonts w:cs="Calibri"/>
          <w:bCs/>
          <w:szCs w:val="20"/>
          <w:lang w:val="en-GB"/>
        </w:rPr>
      </w:pPr>
      <w:r w:rsidRPr="003B6A69">
        <w:rPr>
          <w:rFonts w:cs="Calibri"/>
          <w:bCs/>
          <w:szCs w:val="20"/>
          <w:lang w:val="en-GB"/>
        </w:rPr>
        <w:t xml:space="preserve">A study </w:t>
      </w:r>
      <w:r w:rsidR="001C397B" w:rsidRPr="003B6A69">
        <w:rPr>
          <w:rFonts w:cs="Calibri"/>
          <w:bCs/>
          <w:szCs w:val="20"/>
          <w:lang w:val="en-GB"/>
        </w:rPr>
        <w:t xml:space="preserve">of </w:t>
      </w:r>
      <w:r w:rsidR="001C397B" w:rsidRPr="003B6A69">
        <w:rPr>
          <w:rFonts w:cs="Calibri"/>
          <w:bCs/>
          <w:lang w:val="en-GB"/>
        </w:rPr>
        <w:t xml:space="preserve">current practices related to management and conservation of High-Conservation Value forests (protected and protection forest categories), regulatory obstacles, capacity </w:t>
      </w:r>
      <w:proofErr w:type="gramStart"/>
      <w:r w:rsidR="001C397B" w:rsidRPr="003B6A69">
        <w:rPr>
          <w:rFonts w:cs="Calibri"/>
          <w:bCs/>
          <w:lang w:val="en-GB"/>
        </w:rPr>
        <w:t>constraints,  analysis</w:t>
      </w:r>
      <w:proofErr w:type="gramEnd"/>
      <w:r w:rsidR="001C397B" w:rsidRPr="003B6A69">
        <w:rPr>
          <w:rFonts w:cs="Calibri"/>
          <w:bCs/>
          <w:lang w:val="en-GB"/>
        </w:rPr>
        <w:t xml:space="preserve"> of applicable best practice in HCVF management, and proposals justifying the specific measures and changes in the current practices will be offered as a key best practice tool to the sectoral management authorities and enterprises</w:t>
      </w:r>
      <w:r w:rsidR="00967672" w:rsidRPr="003B6A69">
        <w:rPr>
          <w:rFonts w:cs="Calibri"/>
          <w:bCs/>
          <w:szCs w:val="20"/>
          <w:lang w:val="en-GB"/>
        </w:rPr>
        <w:t>.</w:t>
      </w:r>
      <w:r w:rsidR="00A95BE3" w:rsidRPr="003B6A69">
        <w:rPr>
          <w:rFonts w:cs="Calibri"/>
          <w:bCs/>
          <w:sz w:val="22"/>
          <w:szCs w:val="22"/>
          <w:lang w:val="en-GB"/>
        </w:rPr>
        <w:t xml:space="preserve"> </w:t>
      </w:r>
    </w:p>
    <w:p w14:paraId="6BC5393B" w14:textId="4946579E" w:rsidR="00A95BE3" w:rsidRPr="003B6A69" w:rsidRDefault="00A75B9B" w:rsidP="003C6B7B">
      <w:pPr>
        <w:numPr>
          <w:ilvl w:val="0"/>
          <w:numId w:val="41"/>
        </w:numPr>
        <w:tabs>
          <w:tab w:val="left" w:pos="426"/>
        </w:tabs>
        <w:spacing w:after="120"/>
        <w:ind w:left="0" w:firstLine="0"/>
        <w:rPr>
          <w:rFonts w:cs="Calibri"/>
          <w:bCs/>
          <w:szCs w:val="20"/>
          <w:lang w:val="en-GB"/>
        </w:rPr>
      </w:pPr>
      <w:r w:rsidRPr="003B6A69">
        <w:rPr>
          <w:rFonts w:cs="Calibri"/>
          <w:bCs/>
          <w:szCs w:val="20"/>
          <w:lang w:val="en-GB"/>
        </w:rPr>
        <w:t xml:space="preserve">It is understood that </w:t>
      </w:r>
      <w:r w:rsidR="00A95BE3" w:rsidRPr="003B6A69">
        <w:rPr>
          <w:rFonts w:cs="Calibri"/>
          <w:bCs/>
          <w:szCs w:val="20"/>
          <w:lang w:val="en-GB"/>
        </w:rPr>
        <w:t xml:space="preserve">the key threats to HCVF are attributed to fires. The project will offer an increment to the EU-funded IPA Floods and Forest programme to be implemented in Montenegro as part of a regional programme supporting flood prevention and first fires risk management in the Western Balkans and Turkey through capacity building and sharing international practices and promoting alignment to EU framework of ministries/institutions involved in floods and forest-fires risk management. The UNDP-GEF project will strategize its intervention in synergy with the IPA FF Component Workplan where it concerns assessment of fire management capacities, capacity building and training for </w:t>
      </w:r>
      <w:proofErr w:type="spellStart"/>
      <w:r w:rsidR="00A95BE3" w:rsidRPr="003B6A69">
        <w:rPr>
          <w:rFonts w:cs="Calibri"/>
          <w:bCs/>
          <w:szCs w:val="20"/>
          <w:lang w:val="en-GB"/>
        </w:rPr>
        <w:t>fire fighting</w:t>
      </w:r>
      <w:proofErr w:type="spellEnd"/>
      <w:r w:rsidR="00A95BE3" w:rsidRPr="003B6A69">
        <w:rPr>
          <w:rFonts w:cs="Calibri"/>
          <w:bCs/>
          <w:szCs w:val="20"/>
          <w:lang w:val="en-GB"/>
        </w:rPr>
        <w:t xml:space="preserve">, and fire management arrangements and protocols. </w:t>
      </w:r>
      <w:proofErr w:type="gramStart"/>
      <w:r w:rsidR="00A95BE3" w:rsidRPr="003B6A69">
        <w:rPr>
          <w:rFonts w:cs="Calibri"/>
          <w:bCs/>
          <w:szCs w:val="20"/>
          <w:lang w:val="en-GB"/>
        </w:rPr>
        <w:t>Specifically</w:t>
      </w:r>
      <w:proofErr w:type="gramEnd"/>
      <w:r w:rsidR="00A95BE3" w:rsidRPr="003B6A69">
        <w:rPr>
          <w:rFonts w:cs="Calibri"/>
          <w:bCs/>
          <w:szCs w:val="20"/>
          <w:lang w:val="en-GB"/>
        </w:rPr>
        <w:t xml:space="preserve"> for the latter, the GEF 7 project will develop explicit proposals for improving the coordination of the wildland fire management activities (i.e. planning and implementation of wildfire preparedness, wildfire suppression, hazardous fuels reduction, landscape restoration and rehabilitation, fire reporting and communication, and education).</w:t>
      </w:r>
    </w:p>
    <w:p w14:paraId="776A70E5" w14:textId="43D7CFA9" w:rsidR="00A95BE3" w:rsidRPr="003B6A69" w:rsidRDefault="00967672" w:rsidP="003C6B7B">
      <w:pPr>
        <w:numPr>
          <w:ilvl w:val="0"/>
          <w:numId w:val="41"/>
        </w:numPr>
        <w:tabs>
          <w:tab w:val="left" w:pos="426"/>
        </w:tabs>
        <w:spacing w:after="120"/>
        <w:ind w:left="0" w:firstLine="0"/>
        <w:rPr>
          <w:rFonts w:cs="Calibri"/>
          <w:bCs/>
          <w:szCs w:val="20"/>
          <w:lang w:val="en-GB"/>
        </w:rPr>
      </w:pPr>
      <w:r w:rsidRPr="003B6A69">
        <w:rPr>
          <w:rFonts w:cs="Calibri"/>
          <w:bCs/>
          <w:szCs w:val="20"/>
          <w:lang w:val="en-GB"/>
        </w:rPr>
        <w:t xml:space="preserve">The project </w:t>
      </w:r>
      <w:r w:rsidR="00A95BE3" w:rsidRPr="003B6A69">
        <w:rPr>
          <w:rFonts w:cs="Calibri"/>
          <w:bCs/>
          <w:szCs w:val="20"/>
          <w:lang w:val="en-GB"/>
        </w:rPr>
        <w:t>will</w:t>
      </w:r>
      <w:r w:rsidRPr="003B6A69">
        <w:rPr>
          <w:rFonts w:cs="Calibri"/>
          <w:bCs/>
          <w:szCs w:val="20"/>
          <w:lang w:val="en-GB"/>
        </w:rPr>
        <w:t xml:space="preserve"> facilitate the establishment of local rapid-response community fire-fighting teams who could be deployed by any of the responsible authorities to assist in controlling the outbreak of small, locali</w:t>
      </w:r>
      <w:r w:rsidR="00A75B9B" w:rsidRPr="003B6A69">
        <w:rPr>
          <w:rFonts w:cs="Calibri"/>
          <w:bCs/>
          <w:szCs w:val="20"/>
          <w:lang w:val="en-GB"/>
        </w:rPr>
        <w:t>z</w:t>
      </w:r>
      <w:r w:rsidRPr="003B6A69">
        <w:rPr>
          <w:rFonts w:cs="Calibri"/>
          <w:bCs/>
          <w:szCs w:val="20"/>
          <w:lang w:val="en-GB"/>
        </w:rPr>
        <w:t>ed fires. If feasible, the project may further develop the capacity of these rapid response community fire-fighting teams to locally support more proactive fire management measures (</w:t>
      </w:r>
      <w:proofErr w:type="gramStart"/>
      <w:r w:rsidRPr="003B6A69">
        <w:rPr>
          <w:rFonts w:cs="Calibri"/>
          <w:bCs/>
          <w:szCs w:val="20"/>
          <w:lang w:val="en-GB"/>
        </w:rPr>
        <w:t>e.g.</w:t>
      </w:r>
      <w:proofErr w:type="gramEnd"/>
      <w:r w:rsidRPr="003B6A69">
        <w:rPr>
          <w:rFonts w:cs="Calibri"/>
          <w:bCs/>
          <w:szCs w:val="20"/>
          <w:lang w:val="en-GB"/>
        </w:rPr>
        <w:t xml:space="preserve"> block control burning, fire education and awareness, fire records, etc.) in forests and/or pastures.</w:t>
      </w:r>
      <w:r w:rsidRPr="003B6A69">
        <w:rPr>
          <w:rFonts w:cs="Calibri"/>
          <w:bCs/>
          <w:sz w:val="22"/>
          <w:szCs w:val="22"/>
          <w:lang w:val="en-GB"/>
        </w:rPr>
        <w:t xml:space="preserve"> </w:t>
      </w:r>
    </w:p>
    <w:p w14:paraId="46E07484" w14:textId="2A9C1E58" w:rsidR="00A95BE3" w:rsidRPr="003B6A69" w:rsidRDefault="00A95BE3" w:rsidP="003C6B7B">
      <w:pPr>
        <w:numPr>
          <w:ilvl w:val="0"/>
          <w:numId w:val="41"/>
        </w:numPr>
        <w:tabs>
          <w:tab w:val="left" w:pos="426"/>
        </w:tabs>
        <w:spacing w:after="120"/>
        <w:ind w:left="0" w:firstLine="0"/>
        <w:rPr>
          <w:rFonts w:cs="Calibri"/>
          <w:bCs/>
          <w:szCs w:val="20"/>
          <w:lang w:val="en-GB"/>
        </w:rPr>
      </w:pPr>
      <w:r w:rsidRPr="003B6A69">
        <w:rPr>
          <w:rFonts w:cs="Calibri"/>
          <w:bCs/>
          <w:szCs w:val="20"/>
          <w:lang w:val="en-GB"/>
        </w:rPr>
        <w:t xml:space="preserve">As agreed during the PPG consultations, the project activities targeting fire threats to HCVF will be focused on piloting the innovative fire remediation and damaged forest restoration techniques, demonstrating best </w:t>
      </w:r>
      <w:proofErr w:type="gramStart"/>
      <w:r w:rsidRPr="003B6A69">
        <w:rPr>
          <w:rFonts w:cs="Calibri"/>
          <w:bCs/>
          <w:szCs w:val="20"/>
          <w:lang w:val="en-GB"/>
        </w:rPr>
        <w:t>practices</w:t>
      </w:r>
      <w:proofErr w:type="gramEnd"/>
      <w:r w:rsidRPr="003B6A69">
        <w:rPr>
          <w:rFonts w:cs="Calibri"/>
          <w:bCs/>
          <w:szCs w:val="20"/>
          <w:lang w:val="en-GB"/>
        </w:rPr>
        <w:t xml:space="preserve"> and building capacities to eliminate damage from forest fires. Specifically, the project will develop and test a practice guide for fire remediation techniques, offer and test best reforestation practices for specific pilot areas, provide support to private </w:t>
      </w:r>
      <w:r w:rsidRPr="003B6A69">
        <w:rPr>
          <w:rFonts w:cs="Calibri"/>
          <w:bCs/>
          <w:szCs w:val="20"/>
          <w:lang w:val="en-GB"/>
        </w:rPr>
        <w:lastRenderedPageBreak/>
        <w:t>initiatives to establish nurseries with indigenous seeding material, and test the management/finance models for the restoration of privately owned degraded forests, with a focus on KBAs.</w:t>
      </w:r>
    </w:p>
    <w:p w14:paraId="53008E32" w14:textId="316DA692" w:rsidR="001F65EB" w:rsidRPr="003B6A69" w:rsidRDefault="001F65EB" w:rsidP="002B5F7E">
      <w:pPr>
        <w:pStyle w:val="Heading3"/>
        <w:rPr>
          <w:color w:val="0070C0"/>
          <w:u w:val="none"/>
        </w:rPr>
      </w:pPr>
      <w:bookmarkStart w:id="36" w:name="_Toc82018255"/>
      <w:r w:rsidRPr="003B6A69">
        <w:rPr>
          <w:u w:val="none"/>
        </w:rPr>
        <w:t>Outcome 5: BD conservation considerations mainstreamed into agricultural policies and practices around KBAs</w:t>
      </w:r>
      <w:bookmarkEnd w:id="36"/>
    </w:p>
    <w:p w14:paraId="279EABAB" w14:textId="06BCDC59" w:rsidR="001F65EB" w:rsidRPr="003B6A69" w:rsidRDefault="00A75B9B" w:rsidP="003C6B7B">
      <w:pPr>
        <w:numPr>
          <w:ilvl w:val="0"/>
          <w:numId w:val="41"/>
        </w:numPr>
        <w:tabs>
          <w:tab w:val="left" w:pos="426"/>
        </w:tabs>
        <w:spacing w:after="120"/>
        <w:ind w:left="0" w:firstLine="0"/>
        <w:rPr>
          <w:rFonts w:cs="Calibri"/>
          <w:bCs/>
          <w:szCs w:val="20"/>
          <w:lang w:val="en-GB"/>
        </w:rPr>
      </w:pPr>
      <w:r w:rsidRPr="003B6A69">
        <w:rPr>
          <w:rFonts w:cs="Calibri"/>
          <w:bCs/>
          <w:szCs w:val="20"/>
        </w:rPr>
        <w:t>P</w:t>
      </w:r>
      <w:r w:rsidR="00B34659" w:rsidRPr="003B6A69">
        <w:rPr>
          <w:rFonts w:cs="Calibri"/>
          <w:bCs/>
          <w:szCs w:val="20"/>
        </w:rPr>
        <w:t xml:space="preserve">roject Outcome 5 will target the agricultural sector and will focus on </w:t>
      </w:r>
      <w:r w:rsidRPr="003B6A69">
        <w:rPr>
          <w:rFonts w:cs="Calibri"/>
          <w:bCs/>
          <w:szCs w:val="20"/>
        </w:rPr>
        <w:t xml:space="preserve">the </w:t>
      </w:r>
      <w:r w:rsidR="00B34659" w:rsidRPr="003B6A69">
        <w:rPr>
          <w:rFonts w:cs="Calibri"/>
          <w:bCs/>
          <w:szCs w:val="20"/>
        </w:rPr>
        <w:t xml:space="preserve">conservation and sustainable management of valuable ecosystems and habitats currently unprotected by the PA system and being used as agricultural land. The project will assist the relevant government authorities at both the national and the municipal levels to develop and implement special measures to regulate the use of such land, </w:t>
      </w:r>
      <w:proofErr w:type="gramStart"/>
      <w:r w:rsidR="00B34659" w:rsidRPr="003B6A69">
        <w:rPr>
          <w:rFonts w:cs="Calibri"/>
          <w:bCs/>
          <w:szCs w:val="20"/>
        </w:rPr>
        <w:t>taking into account</w:t>
      </w:r>
      <w:proofErr w:type="gramEnd"/>
      <w:r w:rsidR="00B34659" w:rsidRPr="003B6A69">
        <w:rPr>
          <w:rFonts w:cs="Calibri"/>
          <w:bCs/>
          <w:szCs w:val="20"/>
        </w:rPr>
        <w:t xml:space="preserve"> their high natural value. While Output 5.1 does not have a specific geographical focus and aims to provide a BD-sensitive dimension to the </w:t>
      </w:r>
      <w:proofErr w:type="spellStart"/>
      <w:r w:rsidR="00B34659" w:rsidRPr="003B6A69">
        <w:rPr>
          <w:rFonts w:cs="Calibri"/>
          <w:bCs/>
          <w:szCs w:val="20"/>
        </w:rPr>
        <w:t>agro</w:t>
      </w:r>
      <w:proofErr w:type="spellEnd"/>
      <w:r w:rsidR="00B34659" w:rsidRPr="003B6A69">
        <w:rPr>
          <w:rFonts w:cs="Calibri"/>
          <w:bCs/>
          <w:szCs w:val="20"/>
        </w:rPr>
        <w:t>-environmental incentive policy and practice, Output 5.2 is about the on-the-ground practical solutions on the agricultural lands within the biodiversity corridors and in the vicinity of KBAs</w:t>
      </w:r>
      <w:r w:rsidR="001F65EB" w:rsidRPr="003B6A69">
        <w:rPr>
          <w:rFonts w:cs="Calibri"/>
          <w:bCs/>
          <w:szCs w:val="20"/>
          <w:lang w:val="en-GB"/>
        </w:rPr>
        <w:t xml:space="preserve">. </w:t>
      </w:r>
    </w:p>
    <w:p w14:paraId="67D370C2" w14:textId="502F5373" w:rsidR="00A95BE3" w:rsidRPr="003B6A69" w:rsidRDefault="00A95BE3" w:rsidP="00A95BE3">
      <w:pPr>
        <w:tabs>
          <w:tab w:val="left" w:pos="426"/>
        </w:tabs>
        <w:spacing w:after="120"/>
        <w:rPr>
          <w:rFonts w:cs="Calibri"/>
          <w:bCs/>
          <w:szCs w:val="20"/>
          <w:lang w:val="en-GB"/>
        </w:rPr>
      </w:pPr>
      <w:r w:rsidRPr="003B6A69">
        <w:rPr>
          <w:rFonts w:cs="Calibri"/>
          <w:bCs/>
          <w:szCs w:val="20"/>
          <w:lang w:val="en-GB"/>
        </w:rPr>
        <w:t>Through its Output 5.1</w:t>
      </w:r>
      <w:r w:rsidR="00A75B9B" w:rsidRPr="003B6A69">
        <w:rPr>
          <w:rFonts w:cs="Calibri"/>
          <w:bCs/>
          <w:szCs w:val="20"/>
          <w:lang w:val="en-GB"/>
        </w:rPr>
        <w:t>,</w:t>
      </w:r>
      <w:r w:rsidRPr="003B6A69">
        <w:rPr>
          <w:rFonts w:cs="Calibri"/>
          <w:bCs/>
          <w:szCs w:val="20"/>
          <w:lang w:val="en-GB"/>
        </w:rPr>
        <w:t xml:space="preserve"> the project will support the Government with “greening” of the direct payment scheme to support agricultural practices with the aim of restoring, preserving</w:t>
      </w:r>
      <w:r w:rsidR="00A75B9B" w:rsidRPr="003B6A69">
        <w:rPr>
          <w:rFonts w:cs="Calibri"/>
          <w:bCs/>
          <w:szCs w:val="20"/>
          <w:lang w:val="en-GB"/>
        </w:rPr>
        <w:t>,</w:t>
      </w:r>
      <w:r w:rsidRPr="003B6A69">
        <w:rPr>
          <w:rFonts w:cs="Calibri"/>
          <w:bCs/>
          <w:szCs w:val="20"/>
          <w:lang w:val="en-GB"/>
        </w:rPr>
        <w:t xml:space="preserve"> and promoting sustainable biodiversity-friendly use of valuable agricultural land in the vicinity of KBAs. </w:t>
      </w:r>
      <w:proofErr w:type="spellStart"/>
      <w:r w:rsidRPr="003B6A69">
        <w:rPr>
          <w:rFonts w:cs="Calibri"/>
          <w:bCs/>
          <w:szCs w:val="20"/>
          <w:lang w:val="en-GB"/>
        </w:rPr>
        <w:t>Agro</w:t>
      </w:r>
      <w:proofErr w:type="spellEnd"/>
      <w:r w:rsidRPr="003B6A69">
        <w:rPr>
          <w:rFonts w:cs="Calibri"/>
          <w:bCs/>
          <w:szCs w:val="20"/>
          <w:lang w:val="en-GB"/>
        </w:rPr>
        <w:t xml:space="preserve">-environmental incentives will be designed to encourage uptake of sustainable BD-friendly agricultural practices demonstrated through </w:t>
      </w:r>
      <w:r w:rsidR="00A75B9B" w:rsidRPr="003B6A69">
        <w:rPr>
          <w:rFonts w:cs="Calibri"/>
          <w:bCs/>
          <w:szCs w:val="20"/>
          <w:lang w:val="en-GB"/>
        </w:rPr>
        <w:t xml:space="preserve">the </w:t>
      </w:r>
      <w:r w:rsidRPr="003B6A69">
        <w:rPr>
          <w:rFonts w:cs="Calibri"/>
          <w:bCs/>
          <w:szCs w:val="20"/>
          <w:lang w:val="en-GB"/>
        </w:rPr>
        <w:t>implementation of Output 5.2. below.</w:t>
      </w:r>
    </w:p>
    <w:p w14:paraId="22A716AA" w14:textId="77777777" w:rsidR="00B34659" w:rsidRPr="003B6A69" w:rsidRDefault="00B34659" w:rsidP="00B34659">
      <w:pPr>
        <w:pStyle w:val="Heading6"/>
      </w:pPr>
      <w:bookmarkStart w:id="37" w:name="_Toc56670690"/>
      <w:r w:rsidRPr="003B6A69">
        <w:t>Output 5.1: Biodiversity conservation incentives for “green” small-scale farming introduced</w:t>
      </w:r>
      <w:bookmarkEnd w:id="37"/>
    </w:p>
    <w:p w14:paraId="75D4B1B2" w14:textId="79B27A52" w:rsidR="008749C8" w:rsidRPr="003B6A69" w:rsidRDefault="001F65EB" w:rsidP="003C6B7B">
      <w:pPr>
        <w:numPr>
          <w:ilvl w:val="0"/>
          <w:numId w:val="41"/>
        </w:numPr>
        <w:tabs>
          <w:tab w:val="left" w:pos="426"/>
        </w:tabs>
        <w:spacing w:after="120"/>
        <w:ind w:left="0" w:firstLine="0"/>
        <w:rPr>
          <w:rFonts w:cs="Calibri"/>
          <w:bCs/>
          <w:szCs w:val="20"/>
          <w:lang w:val="en-GB"/>
        </w:rPr>
      </w:pPr>
      <w:r w:rsidRPr="003B6A69">
        <w:rPr>
          <w:rFonts w:cs="Calibri"/>
          <w:bCs/>
          <w:szCs w:val="20"/>
          <w:lang w:val="en-GB"/>
        </w:rPr>
        <w:t xml:space="preserve">Through its Output 5.1. the project will support the Government with the introduction of incentives </w:t>
      </w:r>
      <w:r w:rsidRPr="003B6A69">
        <w:rPr>
          <w:szCs w:val="20"/>
        </w:rPr>
        <w:t xml:space="preserve">(e.g. </w:t>
      </w:r>
      <w:hyperlink r:id="rId17" w:history="1">
        <w:r w:rsidRPr="003B6A69">
          <w:rPr>
            <w:rStyle w:val="Hyperlink"/>
            <w:szCs w:val="20"/>
          </w:rPr>
          <w:t>green payments in accordance with the principles of the EU Common Agricultural Policy</w:t>
        </w:r>
      </w:hyperlink>
      <w:r w:rsidRPr="003B6A69">
        <w:rPr>
          <w:sz w:val="22"/>
          <w:szCs w:val="22"/>
        </w:rPr>
        <w:t>)</w:t>
      </w:r>
      <w:r w:rsidRPr="003B6A69">
        <w:rPr>
          <w:rFonts w:cs="Calibri"/>
          <w:bCs/>
          <w:color w:val="2E74B5" w:themeColor="accent1" w:themeShade="BF"/>
          <w:sz w:val="22"/>
          <w:szCs w:val="22"/>
          <w:lang w:val="en-GB"/>
        </w:rPr>
        <w:t xml:space="preserve"> </w:t>
      </w:r>
      <w:r w:rsidRPr="003B6A69">
        <w:rPr>
          <w:rFonts w:cs="Calibri"/>
          <w:bCs/>
          <w:szCs w:val="20"/>
          <w:lang w:val="en-GB"/>
        </w:rPr>
        <w:t xml:space="preserve">to support agricultural practices with the aim of promoting sustainable use of valuable agricultural land. </w:t>
      </w:r>
    </w:p>
    <w:p w14:paraId="0D2C8AE1" w14:textId="3E393FA0" w:rsidR="001F65EB" w:rsidRPr="003B6A69" w:rsidRDefault="008749C8" w:rsidP="003C6B7B">
      <w:pPr>
        <w:numPr>
          <w:ilvl w:val="0"/>
          <w:numId w:val="41"/>
        </w:numPr>
        <w:tabs>
          <w:tab w:val="left" w:pos="426"/>
        </w:tabs>
        <w:spacing w:after="120"/>
        <w:ind w:left="0" w:firstLine="0"/>
        <w:rPr>
          <w:rFonts w:cs="Calibri"/>
          <w:bCs/>
          <w:szCs w:val="20"/>
          <w:lang w:val="en-GB"/>
        </w:rPr>
      </w:pPr>
      <w:r w:rsidRPr="003B6A69">
        <w:rPr>
          <w:rFonts w:cs="Calibri"/>
          <w:bCs/>
          <w:szCs w:val="20"/>
        </w:rPr>
        <w:t>The project will provide a detail</w:t>
      </w:r>
      <w:r w:rsidR="00A75B9B" w:rsidRPr="003B6A69">
        <w:rPr>
          <w:rFonts w:cs="Calibri"/>
          <w:bCs/>
          <w:szCs w:val="20"/>
        </w:rPr>
        <w:t>ed</w:t>
      </w:r>
      <w:r w:rsidRPr="003B6A69">
        <w:rPr>
          <w:rFonts w:cs="Calibri"/>
          <w:bCs/>
          <w:szCs w:val="20"/>
        </w:rPr>
        <w:t xml:space="preserve"> analysis of the existing agricultural subsidies in terms of content, process, and institutional arrangements, and generate a Strengths Weaknesses Opportunities Threats (SWOT) analysis. Based on this, the project experts will develop concrete recommendations on how </w:t>
      </w:r>
      <w:r w:rsidR="00A75B9B" w:rsidRPr="003B6A69">
        <w:rPr>
          <w:rFonts w:cs="Calibri"/>
          <w:bCs/>
          <w:szCs w:val="20"/>
        </w:rPr>
        <w:t xml:space="preserve">the </w:t>
      </w:r>
      <w:r w:rsidRPr="003B6A69">
        <w:rPr>
          <w:rFonts w:cs="Calibri"/>
          <w:bCs/>
          <w:szCs w:val="20"/>
        </w:rPr>
        <w:t xml:space="preserve">existing direct payments scheme can be amended to support agricultural producers to encourage them to switch to more sustainable and biodiversity-friendly agricultural practices. In developing recommendations for the </w:t>
      </w:r>
      <w:proofErr w:type="spellStart"/>
      <w:r w:rsidRPr="003B6A69">
        <w:rPr>
          <w:rFonts w:cs="Calibri"/>
          <w:bCs/>
          <w:szCs w:val="20"/>
        </w:rPr>
        <w:t>agro</w:t>
      </w:r>
      <w:proofErr w:type="spellEnd"/>
      <w:r w:rsidRPr="003B6A69">
        <w:rPr>
          <w:rFonts w:cs="Calibri"/>
          <w:bCs/>
          <w:szCs w:val="20"/>
        </w:rPr>
        <w:t xml:space="preserve">-environmental measures, the project will draw on the best international experience available, </w:t>
      </w:r>
      <w:proofErr w:type="gramStart"/>
      <w:r w:rsidRPr="003B6A69">
        <w:rPr>
          <w:rFonts w:cs="Calibri"/>
          <w:bCs/>
          <w:szCs w:val="20"/>
        </w:rPr>
        <w:t>first of all</w:t>
      </w:r>
      <w:proofErr w:type="gramEnd"/>
      <w:r w:rsidRPr="003B6A69">
        <w:rPr>
          <w:rFonts w:cs="Calibri"/>
          <w:bCs/>
          <w:szCs w:val="20"/>
        </w:rPr>
        <w:t xml:space="preserve"> in the EU, and will use results and lessons learned from the piloted </w:t>
      </w:r>
      <w:proofErr w:type="spellStart"/>
      <w:r w:rsidRPr="003B6A69">
        <w:rPr>
          <w:rFonts w:cs="Calibri"/>
          <w:bCs/>
          <w:szCs w:val="20"/>
        </w:rPr>
        <w:t>agro</w:t>
      </w:r>
      <w:proofErr w:type="spellEnd"/>
      <w:r w:rsidRPr="003B6A69">
        <w:rPr>
          <w:rFonts w:cs="Calibri"/>
          <w:bCs/>
          <w:szCs w:val="20"/>
        </w:rPr>
        <w:t>-environmental subsidies at demonstration sites</w:t>
      </w:r>
      <w:r w:rsidRPr="003B6A69">
        <w:rPr>
          <w:rFonts w:cs="Calibri"/>
          <w:bCs/>
          <w:szCs w:val="20"/>
          <w:lang w:val="en-GB"/>
        </w:rPr>
        <w:t xml:space="preserve"> (Output 5.2. below)</w:t>
      </w:r>
      <w:r w:rsidRPr="003B6A69">
        <w:rPr>
          <w:rFonts w:cs="Calibri"/>
          <w:bCs/>
          <w:szCs w:val="20"/>
        </w:rPr>
        <w:t>. The recommendations will be discussed with the project partners and submitted to MARD for consideration.</w:t>
      </w:r>
    </w:p>
    <w:p w14:paraId="2093D08D" w14:textId="49A80D85" w:rsidR="008749C8" w:rsidRPr="003B6A69" w:rsidRDefault="008749C8" w:rsidP="003C6B7B">
      <w:pPr>
        <w:numPr>
          <w:ilvl w:val="0"/>
          <w:numId w:val="41"/>
        </w:numPr>
        <w:tabs>
          <w:tab w:val="left" w:pos="426"/>
        </w:tabs>
        <w:spacing w:after="120"/>
        <w:ind w:left="0" w:firstLine="0"/>
        <w:rPr>
          <w:rFonts w:cs="Calibri"/>
          <w:bCs/>
          <w:szCs w:val="20"/>
          <w:lang w:val="en-GB"/>
        </w:rPr>
      </w:pPr>
      <w:r w:rsidRPr="003B6A69">
        <w:rPr>
          <w:rFonts w:cs="Calibri"/>
          <w:bCs/>
          <w:szCs w:val="20"/>
          <w:lang w:val="en-GB"/>
        </w:rPr>
        <w:t xml:space="preserve">The UNDP/GEF project will offer a set of incremental activities aimed to create enabling environment for </w:t>
      </w:r>
      <w:r w:rsidR="00A75B9B" w:rsidRPr="003B6A69">
        <w:rPr>
          <w:rFonts w:cs="Calibri"/>
          <w:bCs/>
          <w:szCs w:val="20"/>
          <w:lang w:val="en-GB"/>
        </w:rPr>
        <w:t xml:space="preserve">the </w:t>
      </w:r>
      <w:r w:rsidRPr="003B6A69">
        <w:rPr>
          <w:rFonts w:cs="Calibri"/>
          <w:bCs/>
          <w:szCs w:val="20"/>
          <w:lang w:val="en-GB"/>
        </w:rPr>
        <w:t xml:space="preserve">introduction of incentives to farmers complying with the key EU CAP “greening” principles. This support will include </w:t>
      </w:r>
      <w:r w:rsidR="00A75B9B" w:rsidRPr="003B6A69">
        <w:rPr>
          <w:rFonts w:cs="Calibri"/>
          <w:bCs/>
          <w:szCs w:val="20"/>
          <w:lang w:val="en-GB"/>
        </w:rPr>
        <w:t xml:space="preserve">the </w:t>
      </w:r>
      <w:r w:rsidRPr="003B6A69">
        <w:rPr>
          <w:rFonts w:cs="Calibri"/>
          <w:bCs/>
          <w:szCs w:val="20"/>
          <w:lang w:val="en-GB"/>
        </w:rPr>
        <w:t>d</w:t>
      </w:r>
      <w:r w:rsidR="00336CF6" w:rsidRPr="003B6A69">
        <w:rPr>
          <w:rFonts w:cs="Calibri"/>
          <w:bCs/>
          <w:szCs w:val="20"/>
          <w:lang w:val="en-GB"/>
        </w:rPr>
        <w:t xml:space="preserve">evelopment of a finance scheme </w:t>
      </w:r>
      <w:r w:rsidRPr="003B6A69">
        <w:rPr>
          <w:rFonts w:cs="Calibri"/>
          <w:bCs/>
          <w:szCs w:val="20"/>
          <w:lang w:val="en-GB"/>
        </w:rPr>
        <w:t>for the top-up “green” payments to farmers. A detailed plan for operationali</w:t>
      </w:r>
      <w:r w:rsidR="00A75B9B" w:rsidRPr="003B6A69">
        <w:rPr>
          <w:rFonts w:cs="Calibri"/>
          <w:bCs/>
          <w:szCs w:val="20"/>
          <w:lang w:val="en-GB"/>
        </w:rPr>
        <w:t>z</w:t>
      </w:r>
      <w:r w:rsidRPr="003B6A69">
        <w:rPr>
          <w:rFonts w:cs="Calibri"/>
          <w:bCs/>
          <w:szCs w:val="20"/>
          <w:lang w:val="en-GB"/>
        </w:rPr>
        <w:t xml:space="preserve">ing the finance scheme, including its financial and accounting adherence to national regulations and UNDP rules and requirements, will be commissioned as one of the first products under this Outcome in project year 1. A set of agricultural practices, that will help reduce threats to the adjacent KBA biodiversity and ensure sustainable land management, will be </w:t>
      </w:r>
      <w:proofErr w:type="spellStart"/>
      <w:r w:rsidRPr="003B6A69">
        <w:rPr>
          <w:rFonts w:cs="Calibri"/>
          <w:bCs/>
          <w:szCs w:val="20"/>
          <w:lang w:val="en-GB"/>
        </w:rPr>
        <w:t>analy</w:t>
      </w:r>
      <w:r w:rsidR="00A75B9B" w:rsidRPr="003B6A69">
        <w:rPr>
          <w:rFonts w:cs="Calibri"/>
          <w:bCs/>
          <w:szCs w:val="20"/>
          <w:lang w:val="en-GB"/>
        </w:rPr>
        <w:t>z</w:t>
      </w:r>
      <w:r w:rsidRPr="003B6A69">
        <w:rPr>
          <w:rFonts w:cs="Calibri"/>
          <w:bCs/>
          <w:szCs w:val="20"/>
          <w:lang w:val="en-GB"/>
        </w:rPr>
        <w:t>ed</w:t>
      </w:r>
      <w:proofErr w:type="spellEnd"/>
      <w:r w:rsidRPr="003B6A69">
        <w:rPr>
          <w:rFonts w:cs="Calibri"/>
          <w:bCs/>
          <w:szCs w:val="20"/>
          <w:lang w:val="en-GB"/>
        </w:rPr>
        <w:t xml:space="preserve"> in consultation with the leading sectoral practitioners and BD experts, and form the basis for the list of farming activities/technologies/equipment eligible for the “green” payments scheme. The project experts will develop an institutional framework for the functioning of the “green” payments scheme, provide details on the design and implementation of the finance programme, along with selection criteria for the future participants, eligibility check-up criteria and mechanisms, capacity building activities, administration of the financial resources of the green payments program, and reporting, </w:t>
      </w:r>
      <w:proofErr w:type="gramStart"/>
      <w:r w:rsidRPr="003B6A69">
        <w:rPr>
          <w:rFonts w:cs="Calibri"/>
          <w:bCs/>
          <w:szCs w:val="20"/>
          <w:lang w:val="en-GB"/>
        </w:rPr>
        <w:t>monitoring</w:t>
      </w:r>
      <w:proofErr w:type="gramEnd"/>
      <w:r w:rsidRPr="003B6A69">
        <w:rPr>
          <w:rFonts w:cs="Calibri"/>
          <w:bCs/>
          <w:szCs w:val="20"/>
          <w:lang w:val="en-GB"/>
        </w:rPr>
        <w:t xml:space="preserve"> and evaluation mechanisms. Rules and Procedures for the “green” payments programme will detail (a) the type and size of the financial support; (b) requirements and evaluation criteria for prospective projects; (c) the application and review process; (d) details on available financial instruments in the subsidy program; and (e) the monitoring needs of approved projects.</w:t>
      </w:r>
    </w:p>
    <w:p w14:paraId="68EF8B35" w14:textId="6B9263AF" w:rsidR="008749C8" w:rsidRPr="003B6A69" w:rsidRDefault="008749C8" w:rsidP="003C6B7B">
      <w:pPr>
        <w:numPr>
          <w:ilvl w:val="0"/>
          <w:numId w:val="41"/>
        </w:numPr>
        <w:tabs>
          <w:tab w:val="left" w:pos="426"/>
        </w:tabs>
        <w:spacing w:after="120"/>
        <w:ind w:left="0" w:firstLine="0"/>
        <w:rPr>
          <w:rFonts w:cs="Calibri"/>
          <w:bCs/>
          <w:szCs w:val="20"/>
          <w:lang w:val="en-GB"/>
        </w:rPr>
      </w:pPr>
      <w:r w:rsidRPr="003B6A69">
        <w:rPr>
          <w:rFonts w:cs="Calibri"/>
          <w:bCs/>
          <w:szCs w:val="20"/>
          <w:lang w:val="en-GB"/>
        </w:rPr>
        <w:t>Specific eligibility criteria and a tentative set of eligible agricultural practices will be developed in the project</w:t>
      </w:r>
      <w:r w:rsidR="00A75B9B" w:rsidRPr="003B6A69">
        <w:rPr>
          <w:rFonts w:cs="Calibri"/>
          <w:bCs/>
          <w:szCs w:val="20"/>
          <w:lang w:val="en-GB"/>
        </w:rPr>
        <w:t>'s</w:t>
      </w:r>
      <w:r w:rsidRPr="003B6A69">
        <w:rPr>
          <w:rFonts w:cs="Calibri"/>
          <w:bCs/>
          <w:szCs w:val="20"/>
          <w:lang w:val="en-GB"/>
        </w:rPr>
        <w:t xml:space="preserve"> main phase. The project activities in support of the “green” payment scheme will include preparation and dissemination of the information package regarding the “green” payments opportunities to the potential participants; consultation with prospective participants of the “green” payments programme about </w:t>
      </w:r>
      <w:r w:rsidR="00A75B9B" w:rsidRPr="003B6A69">
        <w:rPr>
          <w:rFonts w:cs="Calibri"/>
          <w:bCs/>
          <w:szCs w:val="20"/>
          <w:lang w:val="en-GB"/>
        </w:rPr>
        <w:t xml:space="preserve">the </w:t>
      </w:r>
      <w:r w:rsidRPr="003B6A69">
        <w:rPr>
          <w:rFonts w:cs="Calibri"/>
          <w:bCs/>
          <w:szCs w:val="20"/>
          <w:lang w:val="en-GB"/>
        </w:rPr>
        <w:t xml:space="preserve">alignment of their proposed activities with the eligibility criteria; screening of the thematically relevant business proposals before a recommendation is made to the Project Board to release a top-up payment; M&amp;E of the “green” payment programme via site visits and reviews of progress and financial reports; and summarizing and publishing results and lessons learned from </w:t>
      </w:r>
      <w:r w:rsidR="00A75B9B" w:rsidRPr="003B6A69">
        <w:rPr>
          <w:rFonts w:cs="Calibri"/>
          <w:bCs/>
          <w:szCs w:val="20"/>
          <w:lang w:val="en-GB"/>
        </w:rPr>
        <w:t xml:space="preserve">the </w:t>
      </w:r>
      <w:r w:rsidRPr="003B6A69">
        <w:rPr>
          <w:rFonts w:cs="Calibri"/>
          <w:bCs/>
          <w:szCs w:val="20"/>
          <w:lang w:val="en-GB"/>
        </w:rPr>
        <w:t>implementation of the finance scheme.</w:t>
      </w:r>
    </w:p>
    <w:p w14:paraId="737E45FB" w14:textId="33FBA07C" w:rsidR="008749C8" w:rsidRPr="003B6A69" w:rsidRDefault="008749C8" w:rsidP="008749C8">
      <w:pPr>
        <w:pStyle w:val="Heading6"/>
      </w:pPr>
      <w:r w:rsidRPr="003B6A69">
        <w:lastRenderedPageBreak/>
        <w:t xml:space="preserve">Output 5.2: </w:t>
      </w:r>
      <w:proofErr w:type="spellStart"/>
      <w:r w:rsidRPr="003B6A69">
        <w:t>Agro</w:t>
      </w:r>
      <w:proofErr w:type="spellEnd"/>
      <w:r w:rsidRPr="003B6A69">
        <w:t>-environmental measures introduced to promote sustainable use of agricultural lands within the biodiversity buffer zones</w:t>
      </w:r>
    </w:p>
    <w:p w14:paraId="1146A14B" w14:textId="5FCB4F51" w:rsidR="008749C8" w:rsidRPr="003B6A69" w:rsidRDefault="008749C8" w:rsidP="003C6B7B">
      <w:pPr>
        <w:numPr>
          <w:ilvl w:val="0"/>
          <w:numId w:val="41"/>
        </w:numPr>
        <w:tabs>
          <w:tab w:val="left" w:pos="426"/>
        </w:tabs>
        <w:spacing w:after="120"/>
        <w:ind w:left="0" w:firstLine="0"/>
        <w:rPr>
          <w:rFonts w:cs="Calibri"/>
          <w:bCs/>
          <w:szCs w:val="20"/>
          <w:lang w:val="en-GB"/>
        </w:rPr>
      </w:pPr>
      <w:r w:rsidRPr="003B6A69">
        <w:rPr>
          <w:rFonts w:cs="Calibri"/>
          <w:bCs/>
          <w:szCs w:val="20"/>
        </w:rPr>
        <w:t xml:space="preserve">Piloting </w:t>
      </w:r>
      <w:proofErr w:type="spellStart"/>
      <w:r w:rsidRPr="003B6A69">
        <w:rPr>
          <w:rFonts w:cs="Calibri"/>
          <w:bCs/>
          <w:szCs w:val="20"/>
        </w:rPr>
        <w:t>agro</w:t>
      </w:r>
      <w:proofErr w:type="spellEnd"/>
      <w:r w:rsidRPr="003B6A69">
        <w:rPr>
          <w:rFonts w:cs="Calibri"/>
          <w:bCs/>
          <w:szCs w:val="20"/>
        </w:rPr>
        <w:t xml:space="preserve">-environmental incentives will be supported by </w:t>
      </w:r>
      <w:r w:rsidR="00A75B9B" w:rsidRPr="003B6A69">
        <w:rPr>
          <w:rFonts w:cs="Calibri"/>
          <w:bCs/>
          <w:szCs w:val="20"/>
        </w:rPr>
        <w:t>the</w:t>
      </w:r>
      <w:r w:rsidRPr="003B6A69">
        <w:rPr>
          <w:rFonts w:cs="Calibri"/>
          <w:bCs/>
          <w:szCs w:val="20"/>
        </w:rPr>
        <w:t xml:space="preserve"> project as a tool for integrating environmental concerns into agricultural policy and farming practice. With </w:t>
      </w:r>
      <w:proofErr w:type="spellStart"/>
      <w:r w:rsidRPr="003B6A69">
        <w:rPr>
          <w:rFonts w:cs="Calibri"/>
          <w:bCs/>
          <w:szCs w:val="20"/>
        </w:rPr>
        <w:t>agro</w:t>
      </w:r>
      <w:proofErr w:type="spellEnd"/>
      <w:r w:rsidRPr="003B6A69">
        <w:rPr>
          <w:rFonts w:cs="Calibri"/>
          <w:bCs/>
          <w:szCs w:val="20"/>
        </w:rPr>
        <w:t xml:space="preserve">-environmental schemes in place to support farmers in </w:t>
      </w:r>
      <w:proofErr w:type="gramStart"/>
      <w:r w:rsidRPr="003B6A69">
        <w:rPr>
          <w:rFonts w:cs="Calibri"/>
          <w:bCs/>
          <w:szCs w:val="20"/>
        </w:rPr>
        <w:t>environmentally-sensitive</w:t>
      </w:r>
      <w:proofErr w:type="gramEnd"/>
      <w:r w:rsidRPr="003B6A69">
        <w:rPr>
          <w:rFonts w:cs="Calibri"/>
          <w:bCs/>
          <w:szCs w:val="20"/>
        </w:rPr>
        <w:t xml:space="preserve"> techniques, biodiversity within and around the agricultural landscape in the vicinity of KBAs will be afforded better protection and care. </w:t>
      </w:r>
      <w:r w:rsidRPr="003B6A69">
        <w:rPr>
          <w:rFonts w:cs="Calibri"/>
          <w:bCs/>
          <w:szCs w:val="20"/>
          <w:lang w:val="en-GB"/>
        </w:rPr>
        <w:t xml:space="preserve">Output 5.2. will support practical measures to mainstream biodiversity-friendly practices for the agricultural lands within the “biodiversity” corridors between and around the KBAs. The project will pilot technical/financial support to agricultural producers in a practical application of innovative BD-sensitive trends and techniques. The GEF finance will support </w:t>
      </w:r>
      <w:r w:rsidR="00A75B9B" w:rsidRPr="003B6A69">
        <w:rPr>
          <w:rFonts w:cs="Calibri"/>
          <w:bCs/>
          <w:szCs w:val="20"/>
          <w:lang w:val="en-GB"/>
        </w:rPr>
        <w:t xml:space="preserve">the </w:t>
      </w:r>
      <w:r w:rsidRPr="003B6A69">
        <w:rPr>
          <w:rFonts w:cs="Calibri"/>
          <w:bCs/>
          <w:szCs w:val="20"/>
          <w:lang w:val="en-GB"/>
        </w:rPr>
        <w:t xml:space="preserve">demonstration of agricultural practices that will contribute to the reduction of threats </w:t>
      </w:r>
      <w:r w:rsidR="005C4922" w:rsidRPr="003B6A69">
        <w:rPr>
          <w:rFonts w:cs="Calibri"/>
          <w:bCs/>
          <w:szCs w:val="20"/>
          <w:lang w:val="en-GB"/>
        </w:rPr>
        <w:t xml:space="preserve">(including those related to climate change and extreme climate events) </w:t>
      </w:r>
      <w:r w:rsidRPr="003B6A69">
        <w:rPr>
          <w:rFonts w:cs="Calibri"/>
          <w:bCs/>
          <w:szCs w:val="20"/>
          <w:lang w:val="en-GB"/>
        </w:rPr>
        <w:t xml:space="preserve">both to the valuable agricultural lands and adjacent </w:t>
      </w:r>
      <w:proofErr w:type="gramStart"/>
      <w:r w:rsidRPr="003B6A69">
        <w:rPr>
          <w:rFonts w:cs="Calibri"/>
          <w:bCs/>
          <w:szCs w:val="20"/>
          <w:lang w:val="en-GB"/>
        </w:rPr>
        <w:t>KBAs, and</w:t>
      </w:r>
      <w:proofErr w:type="gramEnd"/>
      <w:r w:rsidRPr="003B6A69">
        <w:rPr>
          <w:rFonts w:cs="Calibri"/>
          <w:bCs/>
          <w:szCs w:val="20"/>
          <w:lang w:val="en-GB"/>
        </w:rPr>
        <w:t xml:space="preserve"> be sustainable and replicable.</w:t>
      </w:r>
    </w:p>
    <w:p w14:paraId="0B427FDF" w14:textId="38377C2F" w:rsidR="008749C8" w:rsidRPr="003B6A69" w:rsidRDefault="008749C8" w:rsidP="003C6B7B">
      <w:pPr>
        <w:numPr>
          <w:ilvl w:val="0"/>
          <w:numId w:val="41"/>
        </w:numPr>
        <w:tabs>
          <w:tab w:val="left" w:pos="426"/>
        </w:tabs>
        <w:spacing w:after="120"/>
        <w:ind w:left="0" w:firstLine="0"/>
        <w:rPr>
          <w:rFonts w:cs="Calibri"/>
          <w:bCs/>
          <w:szCs w:val="20"/>
          <w:lang w:val="en-GB"/>
        </w:rPr>
      </w:pPr>
      <w:r w:rsidRPr="003B6A69">
        <w:rPr>
          <w:rFonts w:cs="Calibri"/>
          <w:bCs/>
          <w:szCs w:val="20"/>
        </w:rPr>
        <w:t xml:space="preserve">The project will commission an analysis of the gaps between the setup biodiversity objectives and </w:t>
      </w:r>
      <w:proofErr w:type="spellStart"/>
      <w:r w:rsidRPr="003B6A69">
        <w:rPr>
          <w:rFonts w:cs="Calibri"/>
          <w:bCs/>
          <w:szCs w:val="20"/>
        </w:rPr>
        <w:t>agro</w:t>
      </w:r>
      <w:proofErr w:type="spellEnd"/>
      <w:r w:rsidRPr="003B6A69">
        <w:rPr>
          <w:rFonts w:cs="Calibri"/>
          <w:bCs/>
          <w:szCs w:val="20"/>
        </w:rPr>
        <w:t xml:space="preserve">-programming measures in the project focus </w:t>
      </w:r>
      <w:proofErr w:type="gramStart"/>
      <w:r w:rsidRPr="003B6A69">
        <w:rPr>
          <w:rFonts w:cs="Calibri"/>
          <w:bCs/>
          <w:szCs w:val="20"/>
        </w:rPr>
        <w:t>areas, and</w:t>
      </w:r>
      <w:proofErr w:type="gramEnd"/>
      <w:r w:rsidRPr="003B6A69">
        <w:rPr>
          <w:rFonts w:cs="Calibri"/>
          <w:bCs/>
          <w:szCs w:val="20"/>
        </w:rPr>
        <w:t xml:space="preserve"> suggest the mechanisms of stimulation of the increase of farm biodiversity and enforcement of </w:t>
      </w:r>
      <w:proofErr w:type="spellStart"/>
      <w:r w:rsidRPr="003B6A69">
        <w:rPr>
          <w:rFonts w:cs="Calibri"/>
          <w:bCs/>
          <w:szCs w:val="20"/>
        </w:rPr>
        <w:t>agro</w:t>
      </w:r>
      <w:proofErr w:type="spellEnd"/>
      <w:r w:rsidRPr="003B6A69">
        <w:rPr>
          <w:rFonts w:cs="Calibri"/>
          <w:bCs/>
          <w:szCs w:val="20"/>
        </w:rPr>
        <w:t>-environmental incentives.  This involves both public systems in the fields of research, education</w:t>
      </w:r>
      <w:r w:rsidR="00A75B9B" w:rsidRPr="003B6A69">
        <w:rPr>
          <w:rFonts w:cs="Calibri"/>
          <w:bCs/>
          <w:szCs w:val="20"/>
        </w:rPr>
        <w:t>,</w:t>
      </w:r>
      <w:r w:rsidRPr="003B6A69">
        <w:rPr>
          <w:rFonts w:cs="Calibri"/>
          <w:bCs/>
          <w:szCs w:val="20"/>
        </w:rPr>
        <w:t xml:space="preserve"> and extension, </w:t>
      </w:r>
      <w:proofErr w:type="gramStart"/>
      <w:r w:rsidRPr="003B6A69">
        <w:rPr>
          <w:rFonts w:cs="Calibri"/>
          <w:bCs/>
          <w:szCs w:val="20"/>
        </w:rPr>
        <w:t>and also</w:t>
      </w:r>
      <w:proofErr w:type="gramEnd"/>
      <w:r w:rsidRPr="003B6A69">
        <w:rPr>
          <w:rFonts w:cs="Calibri"/>
          <w:bCs/>
          <w:szCs w:val="20"/>
        </w:rPr>
        <w:t xml:space="preserve"> a more prominent role for the private sector and a commitment to achieving sustainability objectives at the level of agricultural holdings and agricultural policy in general. In the planning phase for the </w:t>
      </w:r>
      <w:proofErr w:type="spellStart"/>
      <w:r w:rsidRPr="003B6A69">
        <w:rPr>
          <w:rFonts w:cs="Calibri"/>
          <w:bCs/>
          <w:szCs w:val="20"/>
        </w:rPr>
        <w:t>agro</w:t>
      </w:r>
      <w:proofErr w:type="spellEnd"/>
      <w:r w:rsidRPr="003B6A69">
        <w:rPr>
          <w:rFonts w:cs="Calibri"/>
          <w:bCs/>
          <w:szCs w:val="20"/>
        </w:rPr>
        <w:t xml:space="preserve">-environmental pilots, the project experts will look at the most relevant and effective examples </w:t>
      </w:r>
      <w:r w:rsidR="00A75B9B" w:rsidRPr="003B6A69">
        <w:rPr>
          <w:rFonts w:cs="Calibri"/>
          <w:bCs/>
          <w:szCs w:val="20"/>
        </w:rPr>
        <w:t xml:space="preserve">of </w:t>
      </w:r>
      <w:r w:rsidRPr="003B6A69">
        <w:rPr>
          <w:rFonts w:cs="Calibri"/>
          <w:bCs/>
          <w:szCs w:val="20"/>
        </w:rPr>
        <w:t xml:space="preserve">practices within the </w:t>
      </w:r>
      <w:proofErr w:type="spellStart"/>
      <w:r w:rsidRPr="003B6A69">
        <w:rPr>
          <w:rFonts w:cs="Calibri"/>
          <w:bCs/>
          <w:szCs w:val="20"/>
        </w:rPr>
        <w:t>agro</w:t>
      </w:r>
      <w:proofErr w:type="spellEnd"/>
      <w:r w:rsidRPr="003B6A69">
        <w:rPr>
          <w:rFonts w:cs="Calibri"/>
          <w:bCs/>
          <w:szCs w:val="20"/>
        </w:rPr>
        <w:t xml:space="preserve">-environmental schemes according to the EU CAP, choosing the most representative and replicable pilots within the available range of </w:t>
      </w:r>
      <w:proofErr w:type="spellStart"/>
      <w:r w:rsidRPr="003B6A69">
        <w:rPr>
          <w:rFonts w:cs="Calibri"/>
          <w:bCs/>
          <w:szCs w:val="20"/>
        </w:rPr>
        <w:t>agro</w:t>
      </w:r>
      <w:proofErr w:type="spellEnd"/>
      <w:r w:rsidRPr="003B6A69">
        <w:rPr>
          <w:rFonts w:cs="Calibri"/>
          <w:bCs/>
          <w:szCs w:val="20"/>
        </w:rPr>
        <w:t>- environmental measures (AEM). There is a wide variety of management practices promoted through the AEM mechanism in the EU, which reflects the complexity of both farming systems and ecosystems — some examples of measures include organic farming; integrated production; reducing inputs of fertili</w:t>
      </w:r>
      <w:r w:rsidR="00A75B9B" w:rsidRPr="003B6A69">
        <w:rPr>
          <w:rFonts w:cs="Calibri"/>
          <w:bCs/>
          <w:szCs w:val="20"/>
        </w:rPr>
        <w:t>z</w:t>
      </w:r>
      <w:r w:rsidRPr="003B6A69">
        <w:rPr>
          <w:rFonts w:cs="Calibri"/>
          <w:bCs/>
          <w:szCs w:val="20"/>
        </w:rPr>
        <w:t xml:space="preserve">ers and/or pesticides; crop rotation; enhancing habitats for wildlife; introducing buffer strips; managing livestock to provide the right grazing pressure on grassland species and avoiding the risk of soil erosion; conserving genetic resources in agriculture and local species and in animal breeds threatened by genetic erosion. Typically, </w:t>
      </w:r>
      <w:proofErr w:type="spellStart"/>
      <w:r w:rsidRPr="003B6A69">
        <w:rPr>
          <w:rFonts w:cs="Calibri"/>
          <w:bCs/>
          <w:szCs w:val="20"/>
        </w:rPr>
        <w:t>agro</w:t>
      </w:r>
      <w:proofErr w:type="spellEnd"/>
      <w:r w:rsidRPr="003B6A69">
        <w:rPr>
          <w:rFonts w:cs="Calibri"/>
          <w:bCs/>
          <w:szCs w:val="20"/>
        </w:rPr>
        <w:t>-environmental schemes (AESs) are implemented through a contract made between a public body in the EU Member States and a beneficiary (farmer or land manager) for a given period, usually five to ten years. The resulting agreements require farmers to modify their farming practices in exchange for a per-hectare payment. Farmers commit to implement</w:t>
      </w:r>
      <w:r w:rsidR="00A75B9B" w:rsidRPr="003B6A69">
        <w:rPr>
          <w:rFonts w:cs="Calibri"/>
          <w:bCs/>
          <w:szCs w:val="20"/>
        </w:rPr>
        <w:t>ing</w:t>
      </w:r>
      <w:r w:rsidRPr="003B6A69">
        <w:rPr>
          <w:rFonts w:cs="Calibri"/>
          <w:bCs/>
          <w:szCs w:val="20"/>
        </w:rPr>
        <w:t xml:space="preserve"> one or more of the following farming practices on their land: organic farming; integrated production; other extensification of farming systems (input reduction and extensification of livestock farming); crop rotation, maintenance of set-aside areas; action to prevent or reduce soil erosion; genetic resources preservation; biodiversity conservation and enhancement actions; upkeep of the landscape, conservation of historical features on agricultural land and public access; and, water-related actions such as buffer strips, field margins, wetland management</w:t>
      </w:r>
      <w:r w:rsidR="00A75B9B" w:rsidRPr="003B6A69">
        <w:rPr>
          <w:rFonts w:cs="Calibri"/>
          <w:bCs/>
          <w:szCs w:val="20"/>
        </w:rPr>
        <w:t>,</w:t>
      </w:r>
      <w:r w:rsidRPr="003B6A69">
        <w:rPr>
          <w:rFonts w:cs="Calibri"/>
          <w:bCs/>
          <w:szCs w:val="20"/>
        </w:rPr>
        <w:t xml:space="preserve"> and reduction.</w:t>
      </w:r>
    </w:p>
    <w:p w14:paraId="192871B9" w14:textId="1A72F7B0" w:rsidR="008749C8" w:rsidRPr="003B6A69" w:rsidRDefault="008749C8" w:rsidP="003C6B7B">
      <w:pPr>
        <w:numPr>
          <w:ilvl w:val="0"/>
          <w:numId w:val="41"/>
        </w:numPr>
        <w:tabs>
          <w:tab w:val="left" w:pos="426"/>
        </w:tabs>
        <w:spacing w:after="120"/>
        <w:ind w:left="0" w:firstLine="0"/>
        <w:rPr>
          <w:rFonts w:cs="Calibri"/>
          <w:bCs/>
          <w:szCs w:val="20"/>
          <w:lang w:val="en-GB"/>
        </w:rPr>
      </w:pPr>
      <w:r w:rsidRPr="003B6A69">
        <w:rPr>
          <w:rFonts w:cs="Calibri"/>
          <w:bCs/>
          <w:szCs w:val="20"/>
          <w:lang w:val="en-GB"/>
        </w:rPr>
        <w:t xml:space="preserve">In consultation with </w:t>
      </w:r>
      <w:r w:rsidR="006C1C66" w:rsidRPr="003B6A69">
        <w:rPr>
          <w:rFonts w:cs="Calibri"/>
          <w:bCs/>
          <w:szCs w:val="20"/>
          <w:lang w:val="en-GB"/>
        </w:rPr>
        <w:t>the Ministry of Agriculture</w:t>
      </w:r>
      <w:r w:rsidRPr="003B6A69">
        <w:rPr>
          <w:rFonts w:cs="Calibri"/>
          <w:bCs/>
          <w:szCs w:val="20"/>
          <w:lang w:val="en-GB"/>
        </w:rPr>
        <w:t xml:space="preserve"> and the local authorities, the project will identify the partners and detail content for piloting the </w:t>
      </w:r>
      <w:proofErr w:type="spellStart"/>
      <w:r w:rsidRPr="003B6A69">
        <w:rPr>
          <w:rFonts w:cs="Calibri"/>
          <w:bCs/>
          <w:szCs w:val="20"/>
          <w:lang w:val="en-GB"/>
        </w:rPr>
        <w:t>agro</w:t>
      </w:r>
      <w:proofErr w:type="spellEnd"/>
      <w:r w:rsidRPr="003B6A69">
        <w:rPr>
          <w:rFonts w:cs="Calibri"/>
          <w:bCs/>
          <w:szCs w:val="20"/>
          <w:lang w:val="en-GB"/>
        </w:rPr>
        <w:t xml:space="preserve">-environmental measures at appropriate scales. While the exact focus and scope of the </w:t>
      </w:r>
      <w:proofErr w:type="spellStart"/>
      <w:r w:rsidRPr="003B6A69">
        <w:rPr>
          <w:rFonts w:cs="Calibri"/>
          <w:bCs/>
          <w:szCs w:val="20"/>
          <w:lang w:val="en-GB"/>
        </w:rPr>
        <w:t>agro</w:t>
      </w:r>
      <w:proofErr w:type="spellEnd"/>
      <w:r w:rsidRPr="003B6A69">
        <w:rPr>
          <w:rFonts w:cs="Calibri"/>
          <w:bCs/>
          <w:szCs w:val="20"/>
          <w:lang w:val="en-GB"/>
        </w:rPr>
        <w:t>-incentive pilots will be defined based on the stakeholder constitutions in the project inception phase, the following directions have been identified as the most relevant by the PPG analysis (</w:t>
      </w:r>
      <w:hyperlink w:anchor="_Annex_23:_Forestry" w:history="1">
        <w:r w:rsidR="00013260" w:rsidRPr="003B6A69">
          <w:rPr>
            <w:rStyle w:val="Hyperlink"/>
            <w:rFonts w:cs="Calibri"/>
            <w:bCs/>
            <w:szCs w:val="20"/>
            <w:lang w:val="en-GB"/>
          </w:rPr>
          <w:t xml:space="preserve">Annex </w:t>
        </w:r>
        <w:r w:rsidR="006C1C66" w:rsidRPr="003B6A69">
          <w:rPr>
            <w:rStyle w:val="Hyperlink"/>
            <w:rFonts w:cs="Calibri"/>
            <w:bCs/>
            <w:szCs w:val="20"/>
            <w:lang w:val="en-GB"/>
          </w:rPr>
          <w:t>19</w:t>
        </w:r>
      </w:hyperlink>
      <w:r w:rsidRPr="003B6A69">
        <w:rPr>
          <w:rFonts w:cs="Calibri"/>
          <w:bCs/>
          <w:szCs w:val="20"/>
          <w:lang w:val="en-GB"/>
        </w:rPr>
        <w:t>): BD-sensitive pasture management techniques</w:t>
      </w:r>
      <w:r w:rsidR="00202509" w:rsidRPr="003B6A69">
        <w:rPr>
          <w:rFonts w:cs="Calibri"/>
          <w:bCs/>
          <w:szCs w:val="20"/>
          <w:lang w:val="en-GB"/>
        </w:rPr>
        <w:t xml:space="preserve"> supporting climate resilience</w:t>
      </w:r>
      <w:r w:rsidRPr="003B6A69">
        <w:rPr>
          <w:rFonts w:cs="Calibri"/>
          <w:bCs/>
          <w:szCs w:val="20"/>
          <w:lang w:val="en-GB"/>
        </w:rPr>
        <w:t xml:space="preserve">; wildflower belts on arable lands alleviating the decline of bees and other essential pollinating insects; </w:t>
      </w:r>
      <w:r w:rsidRPr="003B6A69">
        <w:rPr>
          <w:rFonts w:cs="Calibri"/>
          <w:bCs/>
          <w:szCs w:val="20"/>
        </w:rPr>
        <w:t>growing, exploration and preservation of the abundant areas with medicinal plants.</w:t>
      </w:r>
    </w:p>
    <w:p w14:paraId="60250BD8" w14:textId="004506F8" w:rsidR="008749C8" w:rsidRPr="003B6A69" w:rsidRDefault="008749C8" w:rsidP="003C6B7B">
      <w:pPr>
        <w:numPr>
          <w:ilvl w:val="0"/>
          <w:numId w:val="41"/>
        </w:numPr>
        <w:tabs>
          <w:tab w:val="left" w:pos="426"/>
        </w:tabs>
        <w:spacing w:after="120"/>
        <w:ind w:left="0" w:firstLine="0"/>
        <w:rPr>
          <w:rFonts w:cs="Calibri"/>
          <w:bCs/>
          <w:szCs w:val="20"/>
          <w:lang w:val="en-GB"/>
        </w:rPr>
      </w:pPr>
      <w:r w:rsidRPr="003B6A69">
        <w:rPr>
          <w:rFonts w:cs="Calibri"/>
          <w:bCs/>
          <w:szCs w:val="20"/>
          <w:lang w:val="en-GB"/>
        </w:rPr>
        <w:t xml:space="preserve">The project </w:t>
      </w:r>
      <w:r w:rsidR="00667466" w:rsidRPr="003B6A69">
        <w:rPr>
          <w:rFonts w:cs="Calibri"/>
          <w:bCs/>
          <w:szCs w:val="20"/>
          <w:lang w:val="en-GB"/>
        </w:rPr>
        <w:t xml:space="preserve">will </w:t>
      </w:r>
      <w:r w:rsidRPr="003B6A69">
        <w:rPr>
          <w:rFonts w:cs="Calibri"/>
          <w:bCs/>
          <w:szCs w:val="20"/>
          <w:lang w:val="en-GB"/>
        </w:rPr>
        <w:t>provide an incremental added value for on-the-ground activities aimed at restoring, preserving</w:t>
      </w:r>
      <w:r w:rsidR="00A75B9B" w:rsidRPr="003B6A69">
        <w:rPr>
          <w:rFonts w:cs="Calibri"/>
          <w:bCs/>
          <w:szCs w:val="20"/>
          <w:lang w:val="en-GB"/>
        </w:rPr>
        <w:t>,</w:t>
      </w:r>
      <w:r w:rsidRPr="003B6A69">
        <w:rPr>
          <w:rFonts w:cs="Calibri"/>
          <w:bCs/>
          <w:szCs w:val="20"/>
          <w:lang w:val="en-GB"/>
        </w:rPr>
        <w:t xml:space="preserve"> and promoting sustainable use of agricultural lands within the biodiversity buffer zones mapped as the key intervention areas for the project. Targeted solutions for International Plant Areas (IPAs) to practice mixed agriculture and regulated wild plant harvesting will be offered. Support to wildfire protection and early response will be ensured</w:t>
      </w:r>
      <w:r w:rsidR="00202509" w:rsidRPr="003B6A69">
        <w:rPr>
          <w:rFonts w:cs="Calibri"/>
          <w:bCs/>
          <w:szCs w:val="20"/>
          <w:lang w:val="en-GB"/>
        </w:rPr>
        <w:t xml:space="preserve"> as one of the key responses to climate-</w:t>
      </w:r>
      <w:proofErr w:type="spellStart"/>
      <w:r w:rsidR="00202509" w:rsidRPr="003B6A69">
        <w:rPr>
          <w:rFonts w:cs="Calibri"/>
          <w:bCs/>
          <w:szCs w:val="20"/>
          <w:lang w:val="en-GB"/>
        </w:rPr>
        <w:t>indiced</w:t>
      </w:r>
      <w:proofErr w:type="spellEnd"/>
      <w:r w:rsidR="00202509" w:rsidRPr="003B6A69">
        <w:rPr>
          <w:rFonts w:cs="Calibri"/>
          <w:bCs/>
          <w:szCs w:val="20"/>
          <w:lang w:val="en-GB"/>
        </w:rPr>
        <w:t xml:space="preserve"> threats</w:t>
      </w:r>
      <w:r w:rsidRPr="003B6A69">
        <w:rPr>
          <w:rFonts w:cs="Calibri"/>
          <w:bCs/>
          <w:szCs w:val="20"/>
          <w:lang w:val="en-GB"/>
        </w:rPr>
        <w:t>. The project will also provide for targeted training and capacity building.</w:t>
      </w:r>
    </w:p>
    <w:p w14:paraId="565F0461" w14:textId="787991AA" w:rsidR="008749C8" w:rsidRPr="003B6A69" w:rsidRDefault="008749C8" w:rsidP="003C6B7B">
      <w:pPr>
        <w:numPr>
          <w:ilvl w:val="0"/>
          <w:numId w:val="41"/>
        </w:numPr>
        <w:tabs>
          <w:tab w:val="left" w:pos="426"/>
        </w:tabs>
        <w:spacing w:after="120"/>
        <w:ind w:left="0" w:firstLine="0"/>
        <w:rPr>
          <w:rFonts w:cs="Calibri"/>
          <w:bCs/>
          <w:szCs w:val="20"/>
          <w:lang w:val="en-GB"/>
        </w:rPr>
      </w:pPr>
      <w:r w:rsidRPr="003B6A69">
        <w:rPr>
          <w:rFonts w:cs="Calibri"/>
          <w:bCs/>
          <w:szCs w:val="20"/>
          <w:lang w:val="en-GB"/>
        </w:rPr>
        <w:t xml:space="preserve">Various criteria were used to identify the sites and demonstration projects, as follows: </w:t>
      </w:r>
      <w:r w:rsidR="00A75B9B" w:rsidRPr="003B6A69">
        <w:rPr>
          <w:rFonts w:cs="Calibri"/>
          <w:bCs/>
          <w:szCs w:val="20"/>
          <w:lang w:val="en-GB"/>
        </w:rPr>
        <w:t xml:space="preserve">the </w:t>
      </w:r>
      <w:r w:rsidRPr="003B6A69">
        <w:rPr>
          <w:rFonts w:cs="Calibri"/>
          <w:bCs/>
          <w:szCs w:val="20"/>
          <w:lang w:val="en-GB"/>
        </w:rPr>
        <w:t>willingness of landowners and/or users to be partners and provide co-financing; alignment with eligibility criteria set for the “green” environmental incentives within Output 5.1; and accessibility of pilot sit</w:t>
      </w:r>
      <w:r w:rsidR="00A75B9B" w:rsidRPr="003B6A69">
        <w:rPr>
          <w:rFonts w:cs="Calibri"/>
          <w:bCs/>
          <w:szCs w:val="20"/>
          <w:lang w:val="en-GB"/>
        </w:rPr>
        <w:t xml:space="preserve">es for monitoring, evaluation, </w:t>
      </w:r>
      <w:r w:rsidRPr="003B6A69">
        <w:rPr>
          <w:rFonts w:cs="Calibri"/>
          <w:bCs/>
          <w:szCs w:val="20"/>
          <w:lang w:val="en-GB"/>
        </w:rPr>
        <w:t>exchange</w:t>
      </w:r>
      <w:r w:rsidR="00A75B9B" w:rsidRPr="003B6A69">
        <w:rPr>
          <w:rFonts w:cs="Calibri"/>
          <w:bCs/>
          <w:szCs w:val="20"/>
          <w:lang w:val="en-GB"/>
        </w:rPr>
        <w:t>,</w:t>
      </w:r>
      <w:r w:rsidRPr="003B6A69">
        <w:rPr>
          <w:rFonts w:cs="Calibri"/>
          <w:bCs/>
          <w:szCs w:val="20"/>
          <w:lang w:val="en-GB"/>
        </w:rPr>
        <w:t xml:space="preserve"> and dissemination of experience.</w:t>
      </w:r>
    </w:p>
    <w:p w14:paraId="1E78BE87" w14:textId="4424C5F5" w:rsidR="008749C8" w:rsidRPr="003B6A69" w:rsidRDefault="008749C8" w:rsidP="003C6B7B">
      <w:pPr>
        <w:numPr>
          <w:ilvl w:val="0"/>
          <w:numId w:val="41"/>
        </w:numPr>
        <w:tabs>
          <w:tab w:val="left" w:pos="426"/>
        </w:tabs>
        <w:spacing w:after="120"/>
        <w:ind w:left="0" w:firstLine="0"/>
        <w:rPr>
          <w:rFonts w:cs="Calibri"/>
          <w:bCs/>
          <w:szCs w:val="20"/>
          <w:lang w:val="en-GB"/>
        </w:rPr>
      </w:pPr>
      <w:r w:rsidRPr="003B6A69">
        <w:rPr>
          <w:rFonts w:cs="Calibri"/>
          <w:bCs/>
          <w:szCs w:val="20"/>
          <w:lang w:val="en-GB"/>
        </w:rPr>
        <w:t xml:space="preserve">The first results of the </w:t>
      </w:r>
      <w:proofErr w:type="spellStart"/>
      <w:r w:rsidRPr="003B6A69">
        <w:rPr>
          <w:rFonts w:cs="Calibri"/>
          <w:bCs/>
          <w:szCs w:val="20"/>
          <w:lang w:val="en-GB"/>
        </w:rPr>
        <w:t>agro</w:t>
      </w:r>
      <w:proofErr w:type="spellEnd"/>
      <w:r w:rsidRPr="003B6A69">
        <w:rPr>
          <w:rFonts w:cs="Calibri"/>
          <w:bCs/>
          <w:szCs w:val="20"/>
          <w:lang w:val="en-GB"/>
        </w:rPr>
        <w:t xml:space="preserve">-environment pilots will be </w:t>
      </w:r>
      <w:proofErr w:type="spellStart"/>
      <w:r w:rsidRPr="003B6A69">
        <w:rPr>
          <w:rFonts w:cs="Calibri"/>
          <w:bCs/>
          <w:szCs w:val="20"/>
          <w:lang w:val="en-GB"/>
        </w:rPr>
        <w:t>analy</w:t>
      </w:r>
      <w:r w:rsidR="00A75B9B" w:rsidRPr="003B6A69">
        <w:rPr>
          <w:rFonts w:cs="Calibri"/>
          <w:bCs/>
          <w:szCs w:val="20"/>
          <w:lang w:val="en-GB"/>
        </w:rPr>
        <w:t>z</w:t>
      </w:r>
      <w:r w:rsidRPr="003B6A69">
        <w:rPr>
          <w:rFonts w:cs="Calibri"/>
          <w:bCs/>
          <w:szCs w:val="20"/>
          <w:lang w:val="en-GB"/>
        </w:rPr>
        <w:t>ed</w:t>
      </w:r>
      <w:proofErr w:type="spellEnd"/>
      <w:r w:rsidRPr="003B6A69">
        <w:rPr>
          <w:rFonts w:cs="Calibri"/>
          <w:bCs/>
          <w:szCs w:val="20"/>
          <w:lang w:val="en-GB"/>
        </w:rPr>
        <w:t xml:space="preserve"> and distributed to raise awareness of the opportunities and benefits. Based on the results of project interventions within Outputs 5.1 and 5.2 the project experts will suggest an analysis of effectiveness and efficiency, and specifically consider the level of payments as one of the key drivers for farmers to adopt AES, which will provide the associated environmental effectiveness and biodiversity benefits.</w:t>
      </w:r>
    </w:p>
    <w:p w14:paraId="04A6AA3F" w14:textId="1861C7DD" w:rsidR="00580FAC" w:rsidRPr="003B6A69" w:rsidRDefault="00580FAC" w:rsidP="00580FAC">
      <w:pPr>
        <w:pStyle w:val="Heading3"/>
      </w:pPr>
      <w:bookmarkStart w:id="38" w:name="_Toc82018256"/>
      <w:r w:rsidRPr="003B6A69">
        <w:lastRenderedPageBreak/>
        <w:t>Component 3: Knowledge management</w:t>
      </w:r>
      <w:bookmarkEnd w:id="38"/>
    </w:p>
    <w:p w14:paraId="1C477FE6" w14:textId="33CF3C64" w:rsidR="001F65EB" w:rsidRPr="003B6A69" w:rsidRDefault="001F65EB" w:rsidP="002B5F7E">
      <w:pPr>
        <w:pStyle w:val="Heading3"/>
        <w:rPr>
          <w:color w:val="0070C0"/>
        </w:rPr>
      </w:pPr>
      <w:bookmarkStart w:id="39" w:name="_Toc82018257"/>
      <w:r w:rsidRPr="003B6A69">
        <w:t xml:space="preserve">Outcome 6: Knowledge management </w:t>
      </w:r>
      <w:r w:rsidR="00B404E3" w:rsidRPr="003B6A69">
        <w:t>ensured through project implementation</w:t>
      </w:r>
      <w:bookmarkEnd w:id="39"/>
    </w:p>
    <w:p w14:paraId="3C23863B" w14:textId="304C9CA0" w:rsidR="001F65EB" w:rsidRPr="003B6A69" w:rsidRDefault="001F65EB" w:rsidP="003C6B7B">
      <w:pPr>
        <w:numPr>
          <w:ilvl w:val="0"/>
          <w:numId w:val="41"/>
        </w:numPr>
        <w:tabs>
          <w:tab w:val="left" w:pos="426"/>
        </w:tabs>
        <w:spacing w:after="120"/>
        <w:ind w:left="0" w:firstLine="0"/>
        <w:rPr>
          <w:rFonts w:cs="Calibri"/>
          <w:bCs/>
          <w:szCs w:val="20"/>
          <w:lang w:val="en-GB"/>
        </w:rPr>
      </w:pPr>
      <w:r w:rsidRPr="003B6A69">
        <w:rPr>
          <w:rFonts w:cs="Calibri"/>
          <w:bCs/>
          <w:szCs w:val="20"/>
          <w:lang w:val="en-GB"/>
        </w:rPr>
        <w:t>The project Outcome 6:  Knowledge management will make sure that the knowledge products related to BD conservation considerations mainstreaming into sectoral policies and practices developed and disseminated within and beyond the project intervention zone through existing regional information</w:t>
      </w:r>
      <w:r w:rsidR="00A75B9B" w:rsidRPr="003B6A69">
        <w:rPr>
          <w:rFonts w:cs="Calibri"/>
          <w:bCs/>
          <w:szCs w:val="20"/>
          <w:lang w:val="en-GB"/>
        </w:rPr>
        <w:t>-</w:t>
      </w:r>
      <w:r w:rsidRPr="003B6A69">
        <w:rPr>
          <w:rFonts w:cs="Calibri"/>
          <w:bCs/>
          <w:szCs w:val="20"/>
          <w:lang w:val="en-GB"/>
        </w:rPr>
        <w:t>sharing networks and forums. The project will identify and participate, as relevant and appropriate, in scientific, policy-based and/or any other networks, which may be of benefit to project implementation th</w:t>
      </w:r>
      <w:r w:rsidR="00A75B9B" w:rsidRPr="003B6A69">
        <w:rPr>
          <w:rFonts w:cs="Calibri"/>
          <w:bCs/>
          <w:szCs w:val="20"/>
          <w:lang w:val="en-GB"/>
        </w:rPr>
        <w:t>r</w:t>
      </w:r>
      <w:r w:rsidRPr="003B6A69">
        <w:rPr>
          <w:rFonts w:cs="Calibri"/>
          <w:bCs/>
          <w:szCs w:val="20"/>
          <w:lang w:val="en-GB"/>
        </w:rPr>
        <w:t xml:space="preserve">ough lessons learned. The project will identify, </w:t>
      </w:r>
      <w:proofErr w:type="spellStart"/>
      <w:r w:rsidRPr="003B6A69">
        <w:rPr>
          <w:rFonts w:cs="Calibri"/>
          <w:bCs/>
          <w:szCs w:val="20"/>
          <w:lang w:val="en-GB"/>
        </w:rPr>
        <w:t>analyze</w:t>
      </w:r>
      <w:proofErr w:type="spellEnd"/>
      <w:r w:rsidRPr="003B6A69">
        <w:rPr>
          <w:rFonts w:cs="Calibri"/>
          <w:bCs/>
          <w:szCs w:val="20"/>
          <w:lang w:val="en-GB"/>
        </w:rPr>
        <w:t>, and share lessons learned that might be beneficial in the design and implementation of similar future projects.</w:t>
      </w:r>
    </w:p>
    <w:p w14:paraId="667B8212" w14:textId="576E5F59" w:rsidR="00124AF2" w:rsidRPr="003B6A69" w:rsidRDefault="00124AF2" w:rsidP="003C6B7B">
      <w:pPr>
        <w:numPr>
          <w:ilvl w:val="0"/>
          <w:numId w:val="41"/>
        </w:numPr>
        <w:tabs>
          <w:tab w:val="left" w:pos="426"/>
        </w:tabs>
        <w:spacing w:after="120"/>
        <w:ind w:left="0" w:firstLine="0"/>
        <w:rPr>
          <w:rFonts w:cs="Calibri"/>
          <w:bCs/>
          <w:szCs w:val="20"/>
          <w:lang w:val="en-GB"/>
        </w:rPr>
      </w:pPr>
      <w:r w:rsidRPr="003B6A69">
        <w:rPr>
          <w:rFonts w:cs="Calibri"/>
          <w:bCs/>
          <w:szCs w:val="20"/>
          <w:lang w:val="en-GB"/>
        </w:rPr>
        <w:t xml:space="preserve">The following specific knowledge management aspects and products will be developed under project outcomes 1-5. </w:t>
      </w:r>
      <w:r w:rsidRPr="003B6A69">
        <w:rPr>
          <w:rFonts w:cs="Calibri"/>
          <w:bCs/>
          <w:szCs w:val="20"/>
        </w:rPr>
        <w:t xml:space="preserve">By piloting a model Protection Study for </w:t>
      </w:r>
      <w:proofErr w:type="spellStart"/>
      <w:r w:rsidRPr="003B6A69">
        <w:rPr>
          <w:rFonts w:cs="Calibri"/>
          <w:bCs/>
          <w:szCs w:val="20"/>
        </w:rPr>
        <w:t>Dragisnica-Komarnica</w:t>
      </w:r>
      <w:proofErr w:type="spellEnd"/>
      <w:r w:rsidRPr="003B6A69">
        <w:rPr>
          <w:rFonts w:cs="Calibri"/>
          <w:bCs/>
          <w:szCs w:val="20"/>
        </w:rPr>
        <w:t xml:space="preserve"> Park of Nature (under Outcome 1), the project hopes to improve the national capacities for the preparation of the protection studies, especially </w:t>
      </w:r>
      <w:proofErr w:type="gramStart"/>
      <w:r w:rsidRPr="003B6A69">
        <w:rPr>
          <w:rFonts w:cs="Calibri"/>
          <w:bCs/>
          <w:szCs w:val="20"/>
        </w:rPr>
        <w:t>in regard to</w:t>
      </w:r>
      <w:proofErr w:type="gramEnd"/>
      <w:r w:rsidRPr="003B6A69">
        <w:rPr>
          <w:rFonts w:cs="Calibri"/>
          <w:bCs/>
          <w:szCs w:val="20"/>
        </w:rPr>
        <w:t xml:space="preserve"> the zonation of PAs in line with IUCN guidelines and conservation measures. Project-born justifications for BD-specific and KBA-oriented content for the Spatial Plan and other spatial planning instruments will build capacities of the relevant institutions, MESPU and NEPA, for biodiversity mainstreaming into the regulatory framework of the country. The project will also make sure that within the project timeframe the best expertise available is offered to implement the plans for better protection of KBAs in accordance with the national spatial development framework.</w:t>
      </w:r>
      <w:r w:rsidR="00B404E3" w:rsidRPr="003B6A69">
        <w:rPr>
          <w:rFonts w:cs="Calibri"/>
          <w:bCs/>
          <w:szCs w:val="20"/>
        </w:rPr>
        <w:t xml:space="preserve"> </w:t>
      </w:r>
      <w:r w:rsidRPr="003B6A69">
        <w:rPr>
          <w:rFonts w:cs="Calibri"/>
          <w:bCs/>
          <w:szCs w:val="20"/>
        </w:rPr>
        <w:t xml:space="preserve">Piloting sustainable private forest management under project Outcome 4 will help improving awareness and understanding of the concept of sustainable forestry; the project will connect and facilitate experience exchange between the private forest owners. Under Outcome 5, </w:t>
      </w:r>
      <w:r w:rsidRPr="003B6A69">
        <w:rPr>
          <w:rFonts w:cs="Calibri"/>
          <w:bCs/>
          <w:szCs w:val="20"/>
          <w:lang w:val="en-GB"/>
        </w:rPr>
        <w:t xml:space="preserve">the project will raise awareness and contribute to the landscape-scale promotion of the </w:t>
      </w:r>
      <w:proofErr w:type="spellStart"/>
      <w:r w:rsidRPr="003B6A69">
        <w:rPr>
          <w:rFonts w:cs="Calibri"/>
          <w:bCs/>
          <w:szCs w:val="20"/>
          <w:lang w:val="en-GB"/>
        </w:rPr>
        <w:t>agro</w:t>
      </w:r>
      <w:proofErr w:type="spellEnd"/>
      <w:r w:rsidRPr="003B6A69">
        <w:rPr>
          <w:rFonts w:cs="Calibri"/>
          <w:bCs/>
          <w:szCs w:val="20"/>
          <w:lang w:val="en-GB"/>
        </w:rPr>
        <w:t xml:space="preserve">-environmental schemes and </w:t>
      </w:r>
      <w:proofErr w:type="gramStart"/>
      <w:r w:rsidRPr="003B6A69">
        <w:rPr>
          <w:rFonts w:cs="Calibri"/>
          <w:bCs/>
          <w:szCs w:val="20"/>
          <w:lang w:val="en-GB"/>
        </w:rPr>
        <w:t>practices, and</w:t>
      </w:r>
      <w:proofErr w:type="gramEnd"/>
      <w:r w:rsidRPr="003B6A69">
        <w:rPr>
          <w:rFonts w:cs="Calibri"/>
          <w:bCs/>
          <w:szCs w:val="20"/>
          <w:lang w:val="en-GB"/>
        </w:rPr>
        <w:t xml:space="preserve"> introduce the knowledge exchange mechanisms that will showcase the links between efficient agricultural management and the delivery of ecosystem services. The project will provide opportunities for the key stakeholder groups to receive appropriate training about the </w:t>
      </w:r>
      <w:proofErr w:type="spellStart"/>
      <w:r w:rsidRPr="003B6A69">
        <w:rPr>
          <w:rFonts w:cs="Calibri"/>
          <w:bCs/>
          <w:szCs w:val="20"/>
          <w:lang w:val="en-GB"/>
        </w:rPr>
        <w:t>agro</w:t>
      </w:r>
      <w:proofErr w:type="spellEnd"/>
      <w:r w:rsidRPr="003B6A69">
        <w:rPr>
          <w:rFonts w:cs="Calibri"/>
          <w:bCs/>
          <w:szCs w:val="20"/>
          <w:lang w:val="en-GB"/>
        </w:rPr>
        <w:t xml:space="preserve">-environmental policies, existing </w:t>
      </w:r>
      <w:proofErr w:type="spellStart"/>
      <w:r w:rsidRPr="003B6A69">
        <w:rPr>
          <w:rFonts w:cs="Calibri"/>
          <w:bCs/>
          <w:szCs w:val="20"/>
          <w:lang w:val="en-GB"/>
        </w:rPr>
        <w:t>agro</w:t>
      </w:r>
      <w:proofErr w:type="spellEnd"/>
      <w:r w:rsidRPr="003B6A69">
        <w:rPr>
          <w:rFonts w:cs="Calibri"/>
          <w:bCs/>
          <w:szCs w:val="20"/>
          <w:lang w:val="en-GB"/>
        </w:rPr>
        <w:t xml:space="preserve">-environmental </w:t>
      </w:r>
      <w:proofErr w:type="gramStart"/>
      <w:r w:rsidRPr="003B6A69">
        <w:rPr>
          <w:rFonts w:cs="Calibri"/>
          <w:bCs/>
          <w:szCs w:val="20"/>
          <w:lang w:val="en-GB"/>
        </w:rPr>
        <w:t>incentives</w:t>
      </w:r>
      <w:proofErr w:type="gramEnd"/>
      <w:r w:rsidRPr="003B6A69">
        <w:rPr>
          <w:rFonts w:cs="Calibri"/>
          <w:bCs/>
          <w:szCs w:val="20"/>
          <w:lang w:val="en-GB"/>
        </w:rPr>
        <w:t xml:space="preserve"> and their benefits.</w:t>
      </w:r>
    </w:p>
    <w:p w14:paraId="4A7403BA" w14:textId="28118610" w:rsidR="00B404E3" w:rsidRPr="003B6A69" w:rsidRDefault="00B404E3" w:rsidP="00B404E3">
      <w:pPr>
        <w:pStyle w:val="Heading3"/>
      </w:pPr>
      <w:bookmarkStart w:id="40" w:name="_Toc82018258"/>
      <w:r w:rsidRPr="003B6A69">
        <w:rPr>
          <w:bCs/>
        </w:rPr>
        <w:t>Component</w:t>
      </w:r>
      <w:r w:rsidRPr="003B6A69">
        <w:t xml:space="preserve"> 4: Monitoring and Evaluation</w:t>
      </w:r>
      <w:bookmarkEnd w:id="40"/>
    </w:p>
    <w:p w14:paraId="5C85BF7F" w14:textId="0D6DDAA8" w:rsidR="00B404E3" w:rsidRPr="003B6A69" w:rsidRDefault="00B404E3" w:rsidP="00B404E3">
      <w:pPr>
        <w:pStyle w:val="Heading3"/>
      </w:pPr>
      <w:bookmarkStart w:id="41" w:name="_Toc82018259"/>
      <w:r w:rsidRPr="003B6A69">
        <w:t>Outcome 7: Project results properly monitored and evaluated</w:t>
      </w:r>
      <w:bookmarkEnd w:id="41"/>
    </w:p>
    <w:p w14:paraId="062166DE" w14:textId="68883CE3" w:rsidR="00B404E3" w:rsidRPr="00FE7028" w:rsidRDefault="00B404E3" w:rsidP="003C6B7B">
      <w:pPr>
        <w:numPr>
          <w:ilvl w:val="0"/>
          <w:numId w:val="41"/>
        </w:numPr>
        <w:tabs>
          <w:tab w:val="left" w:pos="426"/>
        </w:tabs>
        <w:spacing w:after="120"/>
        <w:ind w:left="0" w:hanging="14"/>
        <w:rPr>
          <w:rFonts w:cs="Calibri"/>
          <w:bCs/>
          <w:szCs w:val="20"/>
          <w:lang w:val="en-GB"/>
        </w:rPr>
      </w:pPr>
      <w:r w:rsidRPr="003B6A69">
        <w:rPr>
          <w:rFonts w:cs="Calibri"/>
          <w:bCs/>
          <w:lang w:val="en-GB"/>
        </w:rPr>
        <w:t>The project monitoring and evaluation arrangements are described below in Section V.</w:t>
      </w:r>
    </w:p>
    <w:p w14:paraId="7901D745" w14:textId="2550BB47" w:rsidR="00FE7028" w:rsidRPr="00FE7028" w:rsidRDefault="00FE7028" w:rsidP="00FE7028">
      <w:pPr>
        <w:tabs>
          <w:tab w:val="left" w:pos="426"/>
        </w:tabs>
        <w:spacing w:after="120"/>
        <w:rPr>
          <w:rFonts w:cs="Calibri"/>
          <w:b/>
          <w:bCs/>
          <w:szCs w:val="20"/>
          <w:lang w:val="en-GB"/>
        </w:rPr>
      </w:pPr>
      <w:r w:rsidRPr="00FE7028">
        <w:rPr>
          <w:rFonts w:cs="Calibri"/>
          <w:b/>
          <w:bCs/>
          <w:szCs w:val="20"/>
        </w:rPr>
        <w:t>Project’s incrementality, Global Environmental and Adaptation Benefits</w:t>
      </w:r>
    </w:p>
    <w:p w14:paraId="03EECD7C" w14:textId="6DA6D6B2" w:rsidR="00792600" w:rsidRPr="00792600" w:rsidRDefault="001523F8" w:rsidP="00792600">
      <w:pPr>
        <w:numPr>
          <w:ilvl w:val="0"/>
          <w:numId w:val="41"/>
        </w:numPr>
        <w:tabs>
          <w:tab w:val="left" w:pos="426"/>
        </w:tabs>
        <w:spacing w:after="120"/>
        <w:ind w:left="0" w:firstLine="0"/>
        <w:rPr>
          <w:rFonts w:cs="Calibri"/>
          <w:bCs/>
          <w:szCs w:val="20"/>
          <w:highlight w:val="cyan"/>
        </w:rPr>
      </w:pPr>
      <w:r>
        <w:rPr>
          <w:rFonts w:cs="Calibri"/>
          <w:bCs/>
          <w:szCs w:val="20"/>
          <w:highlight w:val="cyan"/>
        </w:rPr>
        <w:t>Th</w:t>
      </w:r>
      <w:r w:rsidR="007B37E5">
        <w:rPr>
          <w:rFonts w:cs="Calibri"/>
          <w:bCs/>
          <w:szCs w:val="20"/>
          <w:highlight w:val="cyan"/>
        </w:rPr>
        <w:t xml:space="preserve">rough its four components, </w:t>
      </w:r>
      <w:r w:rsidR="00432814">
        <w:rPr>
          <w:rFonts w:cs="Calibri"/>
          <w:bCs/>
          <w:szCs w:val="20"/>
          <w:highlight w:val="cyan"/>
        </w:rPr>
        <w:t xml:space="preserve">the project strives to </w:t>
      </w:r>
      <w:r w:rsidR="00D16C99">
        <w:rPr>
          <w:rFonts w:cs="Calibri"/>
          <w:bCs/>
          <w:szCs w:val="20"/>
          <w:highlight w:val="cyan"/>
        </w:rPr>
        <w:t xml:space="preserve">address various threats to valuable biodiversity hosted by KBAs, both within and outside the protected area estate. </w:t>
      </w:r>
      <w:r w:rsidR="00792600" w:rsidRPr="00792600">
        <w:rPr>
          <w:rFonts w:cs="Calibri"/>
          <w:bCs/>
          <w:szCs w:val="20"/>
          <w:highlight w:val="cyan"/>
        </w:rPr>
        <w:t xml:space="preserve">Via its Outcome 1, the project offers an incremental effort in strengthening </w:t>
      </w:r>
      <w:r>
        <w:rPr>
          <w:rFonts w:cs="Calibri"/>
          <w:bCs/>
          <w:szCs w:val="20"/>
          <w:highlight w:val="cyan"/>
        </w:rPr>
        <w:t xml:space="preserve">the PA estate capacities </w:t>
      </w:r>
      <w:r w:rsidR="00792600" w:rsidRPr="00792600">
        <w:rPr>
          <w:rFonts w:cs="Calibri"/>
          <w:bCs/>
          <w:szCs w:val="20"/>
          <w:highlight w:val="cyan"/>
        </w:rPr>
        <w:t>as the GEF’s traditionally most successful management response to conserve and sustainably use globally significant biodiversity</w:t>
      </w:r>
      <w:r w:rsidR="00792600">
        <w:rPr>
          <w:rFonts w:cs="Calibri"/>
          <w:bCs/>
          <w:szCs w:val="20"/>
          <w:highlight w:val="cyan"/>
        </w:rPr>
        <w:t xml:space="preserve">. </w:t>
      </w:r>
      <w:r w:rsidR="00792600" w:rsidRPr="00792600">
        <w:rPr>
          <w:rFonts w:cs="Calibri"/>
          <w:bCs/>
          <w:szCs w:val="20"/>
          <w:highlight w:val="cyan"/>
        </w:rPr>
        <w:t xml:space="preserve">The project interventions under Outcomes 2-5 are spatially targeted at the “biodiversity buffer zones” in and around KBAs, and designed to reduce threats, to conserve or to sustainably use globally significant BD values of Montenegro. </w:t>
      </w:r>
      <w:r w:rsidR="0023730F" w:rsidRPr="0023730F">
        <w:rPr>
          <w:rFonts w:cs="Calibri"/>
          <w:bCs/>
          <w:szCs w:val="20"/>
          <w:highlight w:val="cyan"/>
        </w:rPr>
        <w:t xml:space="preserve">Many of the KBAs are safeguarded by the national protected area system. </w:t>
      </w:r>
      <w:r w:rsidR="00792600" w:rsidRPr="00792600">
        <w:rPr>
          <w:rFonts w:cs="Calibri"/>
          <w:bCs/>
          <w:szCs w:val="20"/>
          <w:highlight w:val="cyan"/>
        </w:rPr>
        <w:t xml:space="preserve">The threats to KBAs are mostly associated with the key economic sectors: tourism, </w:t>
      </w:r>
      <w:proofErr w:type="gramStart"/>
      <w:r w:rsidR="00792600" w:rsidRPr="00792600">
        <w:rPr>
          <w:rFonts w:cs="Calibri"/>
          <w:bCs/>
          <w:szCs w:val="20"/>
          <w:highlight w:val="cyan"/>
        </w:rPr>
        <w:t>forestry</w:t>
      </w:r>
      <w:proofErr w:type="gramEnd"/>
      <w:r w:rsidR="00792600" w:rsidRPr="00792600">
        <w:rPr>
          <w:rFonts w:cs="Calibri"/>
          <w:bCs/>
          <w:szCs w:val="20"/>
          <w:highlight w:val="cyan"/>
        </w:rPr>
        <w:t xml:space="preserve"> and agriculture. Thus, moving outside the PAs, the project focuses on the following key directions for embedding BD conservation and sustainable use objectives in the land use and management outside the PAs:</w:t>
      </w:r>
    </w:p>
    <w:p w14:paraId="7B4DC5F1" w14:textId="0A02BE19" w:rsidR="00792600" w:rsidRPr="00792600" w:rsidRDefault="00792600" w:rsidP="00792600">
      <w:pPr>
        <w:numPr>
          <w:ilvl w:val="0"/>
          <w:numId w:val="18"/>
        </w:numPr>
        <w:tabs>
          <w:tab w:val="left" w:pos="426"/>
        </w:tabs>
        <w:spacing w:after="120"/>
        <w:rPr>
          <w:rFonts w:cs="Calibri"/>
          <w:bCs/>
          <w:szCs w:val="20"/>
          <w:highlight w:val="cyan"/>
        </w:rPr>
      </w:pPr>
      <w:r w:rsidRPr="00792600">
        <w:rPr>
          <w:rFonts w:cs="Calibri"/>
          <w:bCs/>
          <w:szCs w:val="20"/>
          <w:highlight w:val="cyan"/>
        </w:rPr>
        <w:t xml:space="preserve">Policy and regulatory </w:t>
      </w:r>
      <w:proofErr w:type="gramStart"/>
      <w:r w:rsidRPr="00792600">
        <w:rPr>
          <w:rFonts w:cs="Calibri"/>
          <w:bCs/>
          <w:szCs w:val="20"/>
          <w:highlight w:val="cyan"/>
        </w:rPr>
        <w:t>framework;</w:t>
      </w:r>
      <w:proofErr w:type="gramEnd"/>
    </w:p>
    <w:p w14:paraId="71AF9BB8" w14:textId="041BE725" w:rsidR="00792600" w:rsidRPr="00792600" w:rsidRDefault="00792600" w:rsidP="00792600">
      <w:pPr>
        <w:numPr>
          <w:ilvl w:val="0"/>
          <w:numId w:val="18"/>
        </w:numPr>
        <w:tabs>
          <w:tab w:val="left" w:pos="426"/>
        </w:tabs>
        <w:spacing w:after="120"/>
        <w:rPr>
          <w:rFonts w:cs="Calibri"/>
          <w:bCs/>
          <w:szCs w:val="20"/>
          <w:highlight w:val="cyan"/>
        </w:rPr>
      </w:pPr>
      <w:r w:rsidRPr="00792600">
        <w:rPr>
          <w:rFonts w:cs="Calibri"/>
          <w:bCs/>
          <w:szCs w:val="20"/>
          <w:highlight w:val="cyan"/>
        </w:rPr>
        <w:t xml:space="preserve">Spatial and land-use </w:t>
      </w:r>
      <w:proofErr w:type="gramStart"/>
      <w:r w:rsidRPr="00792600">
        <w:rPr>
          <w:rFonts w:cs="Calibri"/>
          <w:bCs/>
          <w:szCs w:val="20"/>
          <w:highlight w:val="cyan"/>
        </w:rPr>
        <w:t>planning;</w:t>
      </w:r>
      <w:proofErr w:type="gramEnd"/>
    </w:p>
    <w:p w14:paraId="345CBF35" w14:textId="51C5B60F" w:rsidR="00792600" w:rsidRDefault="00792600" w:rsidP="00792600">
      <w:pPr>
        <w:numPr>
          <w:ilvl w:val="0"/>
          <w:numId w:val="18"/>
        </w:numPr>
        <w:tabs>
          <w:tab w:val="left" w:pos="426"/>
        </w:tabs>
        <w:spacing w:after="120"/>
        <w:rPr>
          <w:rFonts w:cs="Calibri"/>
          <w:bCs/>
          <w:szCs w:val="20"/>
          <w:highlight w:val="cyan"/>
          <w:lang w:val="en-GB"/>
        </w:rPr>
      </w:pPr>
      <w:r w:rsidRPr="00792600">
        <w:rPr>
          <w:rFonts w:cs="Calibri"/>
          <w:bCs/>
          <w:szCs w:val="20"/>
          <w:highlight w:val="cyan"/>
        </w:rPr>
        <w:t>Improving and changing sectoral practices (tourism, agriculture, forestry).</w:t>
      </w:r>
    </w:p>
    <w:p w14:paraId="705EA35C" w14:textId="51225EDC" w:rsidR="00792600" w:rsidRDefault="00D16C99" w:rsidP="00792600">
      <w:pPr>
        <w:numPr>
          <w:ilvl w:val="0"/>
          <w:numId w:val="41"/>
        </w:numPr>
        <w:tabs>
          <w:tab w:val="left" w:pos="426"/>
        </w:tabs>
        <w:spacing w:after="120"/>
        <w:ind w:left="0" w:firstLine="0"/>
        <w:rPr>
          <w:rFonts w:cs="Calibri"/>
          <w:bCs/>
          <w:szCs w:val="20"/>
          <w:highlight w:val="cyan"/>
          <w:lang w:val="en-GB"/>
        </w:rPr>
      </w:pPr>
      <w:r>
        <w:rPr>
          <w:rFonts w:cs="Calibri"/>
          <w:bCs/>
          <w:szCs w:val="20"/>
          <w:highlight w:val="cyan"/>
        </w:rPr>
        <w:t xml:space="preserve">There has been </w:t>
      </w:r>
      <w:proofErr w:type="gramStart"/>
      <w:r>
        <w:rPr>
          <w:rFonts w:cs="Calibri"/>
          <w:bCs/>
          <w:szCs w:val="20"/>
          <w:highlight w:val="cyan"/>
        </w:rPr>
        <w:t>a number of</w:t>
      </w:r>
      <w:proofErr w:type="gramEnd"/>
      <w:r>
        <w:rPr>
          <w:rFonts w:cs="Calibri"/>
          <w:bCs/>
          <w:szCs w:val="20"/>
          <w:highlight w:val="cyan"/>
        </w:rPr>
        <w:t xml:space="preserve"> projects aimed to expand the PA estate and provide institutional support and financial sustainability to its management</w:t>
      </w:r>
      <w:r w:rsidR="00ED646B">
        <w:rPr>
          <w:rFonts w:cs="Calibri"/>
          <w:bCs/>
          <w:szCs w:val="20"/>
          <w:highlight w:val="cyan"/>
        </w:rPr>
        <w:t xml:space="preserve"> in Montenegro</w:t>
      </w:r>
      <w:r>
        <w:rPr>
          <w:rFonts w:cs="Calibri"/>
          <w:bCs/>
          <w:szCs w:val="20"/>
          <w:highlight w:val="cyan"/>
        </w:rPr>
        <w:t>. The focus o</w:t>
      </w:r>
      <w:r w:rsidR="00ED646B">
        <w:rPr>
          <w:rFonts w:cs="Calibri"/>
          <w:bCs/>
          <w:szCs w:val="20"/>
          <w:highlight w:val="cyan"/>
        </w:rPr>
        <w:t xml:space="preserve">f the current project retains </w:t>
      </w:r>
      <w:r w:rsidR="001523F8">
        <w:rPr>
          <w:rFonts w:cs="Calibri"/>
          <w:bCs/>
          <w:szCs w:val="20"/>
          <w:highlight w:val="cyan"/>
        </w:rPr>
        <w:t>on</w:t>
      </w:r>
      <w:r w:rsidR="00ED646B">
        <w:rPr>
          <w:rFonts w:cs="Calibri"/>
          <w:bCs/>
          <w:szCs w:val="20"/>
          <w:highlight w:val="cyan"/>
        </w:rPr>
        <w:t xml:space="preserve"> PAs that are yet to become model</w:t>
      </w:r>
      <w:r w:rsidR="001523F8">
        <w:rPr>
          <w:rFonts w:cs="Calibri"/>
          <w:bCs/>
          <w:szCs w:val="20"/>
          <w:highlight w:val="cyan"/>
        </w:rPr>
        <w:t>s</w:t>
      </w:r>
      <w:r w:rsidR="00ED646B">
        <w:rPr>
          <w:rFonts w:cs="Calibri"/>
          <w:bCs/>
          <w:szCs w:val="20"/>
          <w:highlight w:val="cyan"/>
        </w:rPr>
        <w:t xml:space="preserve"> in fulfilling their conservation and management objectives and expands to include valuable biodiversity outside the PAs.</w:t>
      </w:r>
      <w:r w:rsidR="0023730F">
        <w:rPr>
          <w:rFonts w:cs="Calibri"/>
          <w:bCs/>
          <w:szCs w:val="20"/>
          <w:highlight w:val="cyan"/>
        </w:rPr>
        <w:t xml:space="preserve"> This full</w:t>
      </w:r>
      <w:r w:rsidR="001523F8">
        <w:rPr>
          <w:rFonts w:cs="Calibri"/>
          <w:bCs/>
          <w:szCs w:val="20"/>
          <w:highlight w:val="cyan"/>
        </w:rPr>
        <w:t>y</w:t>
      </w:r>
      <w:r w:rsidR="0023730F">
        <w:rPr>
          <w:rFonts w:cs="Calibri"/>
          <w:bCs/>
          <w:szCs w:val="20"/>
          <w:highlight w:val="cyan"/>
        </w:rPr>
        <w:t xml:space="preserve"> reflects the evolution in GEF priority windows and programming directions: t</w:t>
      </w:r>
      <w:r w:rsidR="00792600" w:rsidRPr="00792600">
        <w:rPr>
          <w:rFonts w:cs="Calibri"/>
          <w:bCs/>
          <w:szCs w:val="20"/>
          <w:highlight w:val="cyan"/>
        </w:rPr>
        <w:t xml:space="preserve">he GEF 3-6 cycles’ experience shows that “spatial and land-use planning projects that demonstrated high progress to impact blended work on protected areas and surrounding production landscapes (predominantly agriculture and forest production) represented one of the GEF’s most successful biodiversity mainstreaming investments in this cohort. In these instances, spatial and land-use plans sought to regulate activities in the production landscapes so that they did not detract from the biodiversity objectives of the </w:t>
      </w:r>
      <w:r w:rsidR="00792600" w:rsidRPr="00792600">
        <w:rPr>
          <w:rFonts w:cs="Calibri"/>
          <w:bCs/>
          <w:szCs w:val="20"/>
          <w:highlight w:val="cyan"/>
        </w:rPr>
        <w:lastRenderedPageBreak/>
        <w:t>protected area sites. Linking the objective of sustaining protected areas and their conservation objectives with targeted investments in spatial and land-use planning in the surrounding geographies should continue to be a GEF investment strategy as the cohort demonstrated numerous successes with this approach at various scales in a variety of implementation environments. This kind of investment is appropriate in all countries as the focus can be quite targeted in nature.”</w:t>
      </w:r>
      <w:r w:rsidR="00792600" w:rsidRPr="00792600">
        <w:rPr>
          <w:rFonts w:cs="Calibri"/>
          <w:bCs/>
          <w:szCs w:val="20"/>
          <w:highlight w:val="cyan"/>
          <w:vertAlign w:val="superscript"/>
        </w:rPr>
        <w:footnoteReference w:id="9"/>
      </w:r>
    </w:p>
    <w:p w14:paraId="64C444B6" w14:textId="77777777" w:rsidR="00583ABE" w:rsidRPr="00583ABE" w:rsidRDefault="00792600" w:rsidP="00583ABE">
      <w:pPr>
        <w:numPr>
          <w:ilvl w:val="0"/>
          <w:numId w:val="41"/>
        </w:numPr>
        <w:tabs>
          <w:tab w:val="left" w:pos="426"/>
        </w:tabs>
        <w:spacing w:after="120"/>
        <w:ind w:left="0" w:firstLine="0"/>
        <w:rPr>
          <w:rFonts w:cs="Calibri"/>
          <w:bCs/>
          <w:szCs w:val="20"/>
          <w:highlight w:val="cyan"/>
        </w:rPr>
      </w:pPr>
      <w:r w:rsidRPr="00792600">
        <w:rPr>
          <w:rFonts w:cs="Calibri"/>
          <w:bCs/>
          <w:szCs w:val="20"/>
          <w:highlight w:val="cyan"/>
          <w:lang w:val="en-GB"/>
        </w:rPr>
        <w:t xml:space="preserve">The project will deliver </w:t>
      </w:r>
      <w:proofErr w:type="gramStart"/>
      <w:r w:rsidRPr="00792600">
        <w:rPr>
          <w:rFonts w:cs="Calibri"/>
          <w:bCs/>
          <w:szCs w:val="20"/>
          <w:highlight w:val="cyan"/>
          <w:lang w:val="en-GB"/>
        </w:rPr>
        <w:t>a number of</w:t>
      </w:r>
      <w:proofErr w:type="gramEnd"/>
      <w:r w:rsidRPr="00792600">
        <w:rPr>
          <w:rFonts w:cs="Calibri"/>
          <w:bCs/>
          <w:szCs w:val="20"/>
          <w:highlight w:val="cyan"/>
          <w:lang w:val="en-GB"/>
        </w:rPr>
        <w:t xml:space="preserve"> environmental and socio-economic benefits, which are detailed in the Results Framework (Section VI) and GEF Core Indicator</w:t>
      </w:r>
      <w:r w:rsidR="001523F8">
        <w:rPr>
          <w:rFonts w:cs="Calibri"/>
          <w:bCs/>
          <w:szCs w:val="20"/>
          <w:highlight w:val="cyan"/>
          <w:lang w:val="en-GB"/>
        </w:rPr>
        <w:t xml:space="preserve"> Worksheet. </w:t>
      </w:r>
      <w:r w:rsidR="001523F8" w:rsidRPr="001523F8">
        <w:rPr>
          <w:rFonts w:cs="Calibri"/>
          <w:bCs/>
          <w:szCs w:val="20"/>
          <w:highlight w:val="cyan"/>
        </w:rPr>
        <w:t>The GEF investment will significantly contribute to strengthening the management effectiveness of the national PA system measured by the Management Effectiveness Tracking Tool (at least 15% increase over baseline is estimated). The project will help improve the conservation status of the Key Biodiversity Areas, wetlands of international importance, UNESCO World Heritage sites, important ecological corridors, priority habitat types, and flora and faunal species</w:t>
      </w:r>
      <w:r w:rsidRPr="00792600">
        <w:rPr>
          <w:rFonts w:cs="Calibri"/>
          <w:bCs/>
          <w:szCs w:val="20"/>
          <w:highlight w:val="cyan"/>
          <w:lang w:val="en-GB"/>
        </w:rPr>
        <w:t>.</w:t>
      </w:r>
      <w:r w:rsidR="001523F8">
        <w:rPr>
          <w:rFonts w:cs="Calibri"/>
          <w:bCs/>
          <w:szCs w:val="20"/>
          <w:highlight w:val="cyan"/>
          <w:lang w:val="en-GB"/>
        </w:rPr>
        <w:t xml:space="preserve"> </w:t>
      </w:r>
      <w:r w:rsidR="001523F8" w:rsidRPr="001523F8">
        <w:rPr>
          <w:rFonts w:cs="Calibri"/>
          <w:bCs/>
          <w:szCs w:val="20"/>
          <w:highlight w:val="cyan"/>
        </w:rPr>
        <w:t xml:space="preserve">The project will strengthen 145,767 ha of protected areas which cover the most important KBAs of the country area with its incremental intervention. The project will further improve the status of 10,000 ha of KBAs in the productive landscape but outside the PA estate. </w:t>
      </w:r>
      <w:r w:rsidR="00FE7028">
        <w:rPr>
          <w:rFonts w:cs="Calibri"/>
          <w:bCs/>
          <w:szCs w:val="20"/>
          <w:highlight w:val="cyan"/>
        </w:rPr>
        <w:t xml:space="preserve">The project will work to integrate biodiversity conservation </w:t>
      </w:r>
      <w:proofErr w:type="spellStart"/>
      <w:r w:rsidR="00FE7028">
        <w:rPr>
          <w:rFonts w:cs="Calibri"/>
          <w:bCs/>
          <w:szCs w:val="20"/>
          <w:highlight w:val="cyan"/>
        </w:rPr>
        <w:t>conservation</w:t>
      </w:r>
      <w:proofErr w:type="spellEnd"/>
      <w:r w:rsidR="00FE7028">
        <w:rPr>
          <w:rFonts w:cs="Calibri"/>
          <w:bCs/>
          <w:szCs w:val="20"/>
          <w:highlight w:val="cyan"/>
        </w:rPr>
        <w:t xml:space="preserve">, with the direct impact on </w:t>
      </w:r>
      <w:r w:rsidR="00FE7028" w:rsidRPr="00FE7028">
        <w:rPr>
          <w:rFonts w:cs="Calibri"/>
          <w:bCs/>
          <w:szCs w:val="20"/>
          <w:highlight w:val="cyan"/>
        </w:rPr>
        <w:t>50,000 ha of forests and 20,000 of agricultural land</w:t>
      </w:r>
      <w:r w:rsidR="00FE7028">
        <w:rPr>
          <w:rFonts w:cs="Calibri"/>
          <w:bCs/>
          <w:szCs w:val="20"/>
          <w:highlight w:val="cyan"/>
        </w:rPr>
        <w:t xml:space="preserve"> in the vicinity of KBAs</w:t>
      </w:r>
      <w:r w:rsidR="00FE7028" w:rsidRPr="00FE7028">
        <w:rPr>
          <w:rFonts w:cs="Calibri"/>
          <w:bCs/>
          <w:szCs w:val="20"/>
          <w:highlight w:val="cyan"/>
        </w:rPr>
        <w:t>.</w:t>
      </w:r>
      <w:r w:rsidR="001523F8">
        <w:rPr>
          <w:rFonts w:cs="Calibri"/>
          <w:bCs/>
          <w:szCs w:val="20"/>
          <w:highlight w:val="cyan"/>
        </w:rPr>
        <w:t xml:space="preserve"> </w:t>
      </w:r>
      <w:r w:rsidR="001523F8" w:rsidRPr="001523F8">
        <w:rPr>
          <w:rFonts w:cs="Calibri"/>
          <w:bCs/>
          <w:szCs w:val="20"/>
          <w:highlight w:val="cyan"/>
        </w:rPr>
        <w:t>The project will contribute to the national effort toward meeting the Aichi targets with its incremental effort at strengthening management capacity, resilience and financial sustainability of pro</w:t>
      </w:r>
      <w:r w:rsidR="001523F8">
        <w:rPr>
          <w:rFonts w:cs="Calibri"/>
          <w:bCs/>
          <w:szCs w:val="20"/>
          <w:highlight w:val="cyan"/>
        </w:rPr>
        <w:t>t</w:t>
      </w:r>
      <w:r w:rsidR="001523F8" w:rsidRPr="001523F8">
        <w:rPr>
          <w:rFonts w:cs="Calibri"/>
          <w:bCs/>
          <w:szCs w:val="20"/>
          <w:highlight w:val="cyan"/>
        </w:rPr>
        <w:t xml:space="preserve">ected areas, restoration and building resilience of key ecosystems and habitats, and PA </w:t>
      </w:r>
      <w:proofErr w:type="spellStart"/>
      <w:r w:rsidR="001523F8" w:rsidRPr="001523F8">
        <w:rPr>
          <w:rFonts w:cs="Calibri"/>
          <w:bCs/>
          <w:szCs w:val="20"/>
          <w:highlight w:val="cyan"/>
        </w:rPr>
        <w:t>valorisation</w:t>
      </w:r>
      <w:proofErr w:type="spellEnd"/>
      <w:r w:rsidR="001523F8" w:rsidRPr="001523F8">
        <w:rPr>
          <w:rFonts w:cs="Calibri"/>
          <w:bCs/>
          <w:szCs w:val="20"/>
          <w:highlight w:val="cyan"/>
        </w:rPr>
        <w:t>.</w:t>
      </w:r>
      <w:r w:rsidR="00583ABE">
        <w:rPr>
          <w:rFonts w:cs="Calibri"/>
          <w:bCs/>
          <w:szCs w:val="20"/>
          <w:highlight w:val="cyan"/>
        </w:rPr>
        <w:t xml:space="preserve"> Climate change adaptation benefits will be delivered through the </w:t>
      </w:r>
      <w:r w:rsidR="00583ABE" w:rsidRPr="00583ABE">
        <w:rPr>
          <w:rFonts w:cs="Calibri"/>
          <w:bCs/>
          <w:szCs w:val="20"/>
          <w:highlight w:val="cyan"/>
        </w:rPr>
        <w:t>following project activities:</w:t>
      </w:r>
    </w:p>
    <w:p w14:paraId="588CE257" w14:textId="77777777" w:rsidR="00583ABE" w:rsidRPr="00583ABE" w:rsidRDefault="00583ABE" w:rsidP="00583ABE">
      <w:pPr>
        <w:numPr>
          <w:ilvl w:val="0"/>
          <w:numId w:val="68"/>
        </w:numPr>
        <w:tabs>
          <w:tab w:val="left" w:pos="426"/>
        </w:tabs>
        <w:spacing w:after="120"/>
        <w:rPr>
          <w:rFonts w:cs="Calibri"/>
          <w:bCs/>
          <w:szCs w:val="20"/>
          <w:highlight w:val="cyan"/>
        </w:rPr>
      </w:pPr>
      <w:r w:rsidRPr="00583ABE">
        <w:rPr>
          <w:rFonts w:cs="Calibri"/>
          <w:bCs/>
          <w:szCs w:val="20"/>
          <w:highlight w:val="cyan"/>
        </w:rPr>
        <w:t xml:space="preserve">-climate-resilient management planning for the PA </w:t>
      </w:r>
      <w:proofErr w:type="gramStart"/>
      <w:r w:rsidRPr="00583ABE">
        <w:rPr>
          <w:rFonts w:cs="Calibri"/>
          <w:bCs/>
          <w:szCs w:val="20"/>
          <w:highlight w:val="cyan"/>
        </w:rPr>
        <w:t>estate;</w:t>
      </w:r>
      <w:proofErr w:type="gramEnd"/>
    </w:p>
    <w:p w14:paraId="2FD416D9" w14:textId="77777777" w:rsidR="00583ABE" w:rsidRPr="00583ABE" w:rsidRDefault="00583ABE" w:rsidP="00583ABE">
      <w:pPr>
        <w:numPr>
          <w:ilvl w:val="0"/>
          <w:numId w:val="68"/>
        </w:numPr>
        <w:tabs>
          <w:tab w:val="left" w:pos="426"/>
        </w:tabs>
        <w:spacing w:after="120"/>
        <w:rPr>
          <w:rFonts w:cs="Calibri"/>
          <w:bCs/>
          <w:szCs w:val="20"/>
          <w:highlight w:val="cyan"/>
        </w:rPr>
      </w:pPr>
      <w:r w:rsidRPr="00583ABE">
        <w:rPr>
          <w:rFonts w:cs="Calibri"/>
          <w:bCs/>
          <w:szCs w:val="20"/>
          <w:highlight w:val="cyan"/>
        </w:rPr>
        <w:t xml:space="preserve">-spatial planning framework development with due account of climate threats and </w:t>
      </w:r>
      <w:proofErr w:type="gramStart"/>
      <w:r w:rsidRPr="00583ABE">
        <w:rPr>
          <w:rFonts w:cs="Calibri"/>
          <w:bCs/>
          <w:szCs w:val="20"/>
          <w:highlight w:val="cyan"/>
        </w:rPr>
        <w:t>sensitivities;</w:t>
      </w:r>
      <w:proofErr w:type="gramEnd"/>
    </w:p>
    <w:p w14:paraId="767D443E" w14:textId="77777777" w:rsidR="00583ABE" w:rsidRPr="00583ABE" w:rsidRDefault="00583ABE" w:rsidP="00583ABE">
      <w:pPr>
        <w:numPr>
          <w:ilvl w:val="0"/>
          <w:numId w:val="68"/>
        </w:numPr>
        <w:tabs>
          <w:tab w:val="left" w:pos="426"/>
        </w:tabs>
        <w:spacing w:after="120"/>
        <w:rPr>
          <w:rFonts w:cs="Calibri"/>
          <w:bCs/>
          <w:szCs w:val="20"/>
          <w:highlight w:val="cyan"/>
        </w:rPr>
      </w:pPr>
      <w:r w:rsidRPr="00583ABE">
        <w:rPr>
          <w:rFonts w:cs="Calibri"/>
          <w:bCs/>
          <w:szCs w:val="20"/>
          <w:highlight w:val="cyan"/>
        </w:rPr>
        <w:t xml:space="preserve">-forest fire threat reduction for HCVF within and outside </w:t>
      </w:r>
      <w:proofErr w:type="gramStart"/>
      <w:r w:rsidRPr="00583ABE">
        <w:rPr>
          <w:rFonts w:cs="Calibri"/>
          <w:bCs/>
          <w:szCs w:val="20"/>
          <w:highlight w:val="cyan"/>
        </w:rPr>
        <w:t>PAs;</w:t>
      </w:r>
      <w:proofErr w:type="gramEnd"/>
    </w:p>
    <w:p w14:paraId="7EE19A92" w14:textId="147446FE" w:rsidR="00792600" w:rsidRPr="00792600" w:rsidRDefault="00583ABE" w:rsidP="00583ABE">
      <w:pPr>
        <w:numPr>
          <w:ilvl w:val="0"/>
          <w:numId w:val="68"/>
        </w:numPr>
        <w:tabs>
          <w:tab w:val="left" w:pos="426"/>
        </w:tabs>
        <w:spacing w:after="120"/>
        <w:rPr>
          <w:rFonts w:cs="Calibri"/>
          <w:bCs/>
          <w:szCs w:val="20"/>
          <w:highlight w:val="cyan"/>
          <w:lang w:val="en-GB"/>
        </w:rPr>
      </w:pPr>
      <w:r w:rsidRPr="00583ABE">
        <w:rPr>
          <w:rFonts w:cs="Calibri"/>
          <w:bCs/>
          <w:szCs w:val="20"/>
          <w:highlight w:val="cyan"/>
        </w:rPr>
        <w:t xml:space="preserve">-sustainable climate-smart </w:t>
      </w:r>
      <w:proofErr w:type="spellStart"/>
      <w:r w:rsidRPr="00583ABE">
        <w:rPr>
          <w:rFonts w:cs="Calibri"/>
          <w:bCs/>
          <w:szCs w:val="20"/>
          <w:highlight w:val="cyan"/>
        </w:rPr>
        <w:t>agro</w:t>
      </w:r>
      <w:proofErr w:type="spellEnd"/>
      <w:r w:rsidRPr="00583ABE">
        <w:rPr>
          <w:rFonts w:cs="Calibri"/>
          <w:bCs/>
          <w:szCs w:val="20"/>
          <w:highlight w:val="cyan"/>
        </w:rPr>
        <w:t>-environmental practices</w:t>
      </w:r>
      <w:r>
        <w:rPr>
          <w:rFonts w:cs="Calibri"/>
          <w:bCs/>
          <w:szCs w:val="20"/>
          <w:highlight w:val="cyan"/>
        </w:rPr>
        <w:t>.</w:t>
      </w:r>
    </w:p>
    <w:p w14:paraId="00F1EE13" w14:textId="5CAACBBB" w:rsidR="00BC6C34" w:rsidRPr="003B6A69" w:rsidRDefault="00BC6C34" w:rsidP="003C6B7B">
      <w:pPr>
        <w:pStyle w:val="Heading2"/>
        <w:numPr>
          <w:ilvl w:val="1"/>
          <w:numId w:val="42"/>
        </w:numPr>
        <w:rPr>
          <w:lang w:val="en-GB"/>
        </w:rPr>
      </w:pPr>
      <w:bookmarkStart w:id="42" w:name="_Toc82018260"/>
      <w:r w:rsidRPr="003B6A69">
        <w:rPr>
          <w:lang w:val="en-GB"/>
        </w:rPr>
        <w:t xml:space="preserve">Stakeholder engagement, </w:t>
      </w:r>
      <w:proofErr w:type="gramStart"/>
      <w:r w:rsidRPr="003B6A69">
        <w:rPr>
          <w:lang w:val="en-GB"/>
        </w:rPr>
        <w:t>partnerships</w:t>
      </w:r>
      <w:proofErr w:type="gramEnd"/>
      <w:r w:rsidRPr="003B6A69">
        <w:rPr>
          <w:lang w:val="en-GB"/>
        </w:rPr>
        <w:t xml:space="preserve"> and coordination</w:t>
      </w:r>
      <w:bookmarkEnd w:id="42"/>
    </w:p>
    <w:p w14:paraId="3C5677FB" w14:textId="0030E9BA" w:rsidR="009D40F9" w:rsidRPr="003B6A69" w:rsidRDefault="00BC6C34" w:rsidP="003C6B7B">
      <w:pPr>
        <w:numPr>
          <w:ilvl w:val="0"/>
          <w:numId w:val="41"/>
        </w:numPr>
        <w:tabs>
          <w:tab w:val="left" w:pos="426"/>
        </w:tabs>
        <w:spacing w:after="120"/>
        <w:ind w:left="0" w:firstLine="0"/>
      </w:pPr>
      <w:bookmarkStart w:id="43" w:name="_Hlk5017826"/>
      <w:r w:rsidRPr="003B6A69">
        <w:rPr>
          <w:u w:val="single"/>
        </w:rPr>
        <w:t>Partnerships:</w:t>
      </w:r>
      <w:r w:rsidRPr="003B6A69">
        <w:t xml:space="preserve"> </w:t>
      </w:r>
      <w:r w:rsidRPr="003B6A69">
        <w:rPr>
          <w:szCs w:val="20"/>
        </w:rPr>
        <w:t xml:space="preserve">The overall project partnership approach is based on an understanding of close linkages between </w:t>
      </w:r>
      <w:r w:rsidR="009D40F9" w:rsidRPr="003B6A69">
        <w:rPr>
          <w:szCs w:val="20"/>
        </w:rPr>
        <w:t xml:space="preserve">KBAs and sectors the impact valuable biodiversity and ecosystem, in a context of a small country like Montenegro, with a diverse landscape mosaic and multiple interests and benefits associated with every single parcel on the landscape map. Sustainable use for multiple benefits </w:t>
      </w:r>
      <w:r w:rsidRPr="003B6A69">
        <w:rPr>
          <w:szCs w:val="20"/>
        </w:rPr>
        <w:t>can only be achieved through extensive cooperation and partnership, including involvement by the private sector.</w:t>
      </w:r>
      <w:r w:rsidRPr="003B6A69">
        <w:rPr>
          <w:szCs w:val="20"/>
          <w:lang w:val="en-GB"/>
        </w:rPr>
        <w:t xml:space="preserve"> </w:t>
      </w:r>
    </w:p>
    <w:p w14:paraId="12C1309E" w14:textId="22A33F87" w:rsidR="00BC6C34" w:rsidRPr="003B6A69" w:rsidRDefault="00BC6C34" w:rsidP="003C6B7B">
      <w:pPr>
        <w:numPr>
          <w:ilvl w:val="0"/>
          <w:numId w:val="41"/>
        </w:numPr>
        <w:tabs>
          <w:tab w:val="left" w:pos="426"/>
        </w:tabs>
        <w:spacing w:after="120"/>
        <w:ind w:left="0" w:firstLine="0"/>
      </w:pPr>
      <w:r w:rsidRPr="003B6A69">
        <w:rPr>
          <w:szCs w:val="20"/>
        </w:rPr>
        <w:t>Highlights of the project’s stakeholder partnerships,</w:t>
      </w:r>
      <w:r w:rsidRPr="003B6A69">
        <w:rPr>
          <w:szCs w:val="20"/>
          <w:lang w:val="en-GB"/>
        </w:rPr>
        <w:t xml:space="preserve"> current and expected roles of identified stakeholders as well as relevant engagement mechanisms, are summarized in Table 1 below </w:t>
      </w:r>
      <w:r w:rsidRPr="003B6A69">
        <w:rPr>
          <w:szCs w:val="20"/>
        </w:rPr>
        <w:t xml:space="preserve">and in </w:t>
      </w:r>
      <w:hyperlink w:anchor="_Annex_11:_Comprehensive" w:history="1">
        <w:r w:rsidRPr="003B6A69">
          <w:rPr>
            <w:rStyle w:val="Hyperlink"/>
            <w:szCs w:val="20"/>
          </w:rPr>
          <w:t xml:space="preserve">Annex </w:t>
        </w:r>
        <w:r w:rsidR="006C1C66" w:rsidRPr="003B6A69">
          <w:rPr>
            <w:rStyle w:val="Hyperlink"/>
            <w:szCs w:val="20"/>
          </w:rPr>
          <w:t>1</w:t>
        </w:r>
        <w:r w:rsidRPr="003B6A69">
          <w:rPr>
            <w:rStyle w:val="Hyperlink"/>
            <w:szCs w:val="20"/>
          </w:rPr>
          <w:t>1</w:t>
        </w:r>
      </w:hyperlink>
      <w:r w:rsidRPr="003B6A69">
        <w:rPr>
          <w:szCs w:val="20"/>
        </w:rPr>
        <w:t xml:space="preserve"> of this </w:t>
      </w:r>
      <w:proofErr w:type="spellStart"/>
      <w:r w:rsidRPr="003B6A69">
        <w:rPr>
          <w:szCs w:val="20"/>
        </w:rPr>
        <w:t>Prodoc</w:t>
      </w:r>
      <w:proofErr w:type="spellEnd"/>
      <w:r w:rsidRPr="003B6A69">
        <w:rPr>
          <w:szCs w:val="20"/>
        </w:rPr>
        <w:t>, within the Comprehensive Stakeholder Engagement Plan</w:t>
      </w:r>
      <w:r w:rsidRPr="003B6A69">
        <w:t xml:space="preserve">. </w:t>
      </w:r>
      <w:r w:rsidR="00A75B9B" w:rsidRPr="003B6A69">
        <w:rPr>
          <w:szCs w:val="20"/>
        </w:rPr>
        <w:t>T</w:t>
      </w:r>
      <w:r w:rsidR="009D40F9" w:rsidRPr="003B6A69">
        <w:rPr>
          <w:szCs w:val="20"/>
        </w:rPr>
        <w:t xml:space="preserve">he project undertook stakeholder mapping </w:t>
      </w:r>
      <w:r w:rsidR="00A75B9B" w:rsidRPr="003B6A69">
        <w:rPr>
          <w:szCs w:val="20"/>
        </w:rPr>
        <w:t xml:space="preserve">and organized consultations </w:t>
      </w:r>
      <w:r w:rsidR="009D40F9" w:rsidRPr="003B6A69">
        <w:rPr>
          <w:szCs w:val="20"/>
        </w:rPr>
        <w:t>with key partners</w:t>
      </w:r>
      <w:r w:rsidR="00A75B9B" w:rsidRPr="003B6A69">
        <w:rPr>
          <w:szCs w:val="20"/>
        </w:rPr>
        <w:t xml:space="preserve"> to discuss the elements of the proposed project strategy, synergies with the parallel initiatives and </w:t>
      </w:r>
      <w:proofErr w:type="spellStart"/>
      <w:r w:rsidR="00A75B9B" w:rsidRPr="003B6A69">
        <w:rPr>
          <w:szCs w:val="20"/>
        </w:rPr>
        <w:t>programmes</w:t>
      </w:r>
      <w:proofErr w:type="spellEnd"/>
      <w:r w:rsidR="00A75B9B" w:rsidRPr="003B6A69">
        <w:rPr>
          <w:szCs w:val="20"/>
        </w:rPr>
        <w:t xml:space="preserve">, and confirm the co-financing commitments. </w:t>
      </w:r>
      <w:r w:rsidR="009D40F9" w:rsidRPr="003B6A69">
        <w:rPr>
          <w:szCs w:val="20"/>
        </w:rPr>
        <w:t>While cultivating initial partnerships and formalizing them is an important first step, the project team will actively manage partnerships throughout the project lifetime.</w:t>
      </w:r>
      <w:r w:rsidR="009D40F9" w:rsidRPr="003B6A69">
        <w:t xml:space="preserve"> This includes maintaining frequent communication with them and formally or informally checking in with one another to evaluate whether all parties are satisfied with the partnership. Corrective measures will be taken as needed.</w:t>
      </w:r>
    </w:p>
    <w:p w14:paraId="71B8E456" w14:textId="168FD9A6" w:rsidR="009D40F9" w:rsidRPr="003B6A69" w:rsidRDefault="00BC6C34" w:rsidP="003C6B7B">
      <w:pPr>
        <w:numPr>
          <w:ilvl w:val="0"/>
          <w:numId w:val="41"/>
        </w:numPr>
        <w:tabs>
          <w:tab w:val="left" w:pos="426"/>
        </w:tabs>
        <w:spacing w:after="120"/>
        <w:ind w:left="0" w:hanging="14"/>
      </w:pPr>
      <w:r w:rsidRPr="003B6A69">
        <w:rPr>
          <w:u w:val="single"/>
        </w:rPr>
        <w:t>Stakeholder Engagement:</w:t>
      </w:r>
      <w:r w:rsidRPr="003B6A69">
        <w:t xml:space="preserve"> </w:t>
      </w:r>
      <w:r w:rsidR="009D40F9" w:rsidRPr="003B6A69">
        <w:t xml:space="preserve">To implement a project means to carry out activities proposed in the Project Document with the aim to achieve project objectives and deliver results and outputs. Its success depends on many internal and external factors. Some of the most important ones are a very well-organized project team and effective monitoring of project progress and related expenditures. Maintaining effective stakeholder engagement is important to ensure that a project stays on track. The success or failure of a conservation project is often not related to its complexity or the strengths and weaknesses of its participants. </w:t>
      </w:r>
      <w:r w:rsidR="00A75B9B" w:rsidRPr="003B6A69">
        <w:t>S</w:t>
      </w:r>
      <w:r w:rsidR="009D40F9" w:rsidRPr="003B6A69">
        <w:t>uccess or failure is more often determined by how stakeholders handle project challenges and opportunities. The project PPG phase identified most of its stakeholders in the early define and design phase, the PPG phase, and will continue evolving these partnerships and developing new ones.</w:t>
      </w:r>
    </w:p>
    <w:p w14:paraId="0BACC27C" w14:textId="0C6846AA" w:rsidR="00BC6C34" w:rsidRPr="003B6A69" w:rsidRDefault="00BC6C34" w:rsidP="003C6B7B">
      <w:pPr>
        <w:numPr>
          <w:ilvl w:val="0"/>
          <w:numId w:val="41"/>
        </w:numPr>
        <w:tabs>
          <w:tab w:val="left" w:pos="426"/>
        </w:tabs>
        <w:spacing w:after="120"/>
        <w:ind w:left="0" w:hanging="14"/>
      </w:pPr>
      <w:r w:rsidRPr="003B6A69">
        <w:rPr>
          <w:szCs w:val="20"/>
        </w:rPr>
        <w:t xml:space="preserve">The project is applying multiple strategies and mechanisms to ensure stakeholder engagement. First and foremost is the Project Steering Committee (as discussed further in the </w:t>
      </w:r>
      <w:hyperlink w:anchor="_Governance_and_Management" w:history="1">
        <w:r w:rsidRPr="003B6A69">
          <w:rPr>
            <w:color w:val="0000FF"/>
            <w:szCs w:val="20"/>
            <w:u w:val="single"/>
          </w:rPr>
          <w:t xml:space="preserve">Section </w:t>
        </w:r>
      </w:hyperlink>
      <w:r w:rsidRPr="003B6A69">
        <w:rPr>
          <w:szCs w:val="20"/>
        </w:rPr>
        <w:t xml:space="preserve">on Governance and Management Arrangements), involving the </w:t>
      </w:r>
      <w:r w:rsidR="009D40F9" w:rsidRPr="003B6A69">
        <w:rPr>
          <w:rFonts w:cs="Calibri"/>
          <w:bCs/>
          <w:szCs w:val="20"/>
          <w:lang w:val="en-GB"/>
        </w:rPr>
        <w:t>Ministry of Ecology, Spatial Planning and Urbanism</w:t>
      </w:r>
      <w:r w:rsidR="0071691E" w:rsidRPr="003B6A69">
        <w:rPr>
          <w:rFonts w:cs="Calibri"/>
          <w:bCs/>
          <w:szCs w:val="20"/>
          <w:lang w:val="en-GB"/>
        </w:rPr>
        <w:t xml:space="preserve"> (MESPU)</w:t>
      </w:r>
      <w:r w:rsidR="009D40F9" w:rsidRPr="003B6A69">
        <w:rPr>
          <w:rFonts w:cs="Calibri"/>
          <w:bCs/>
          <w:szCs w:val="20"/>
          <w:lang w:val="en-GB"/>
        </w:rPr>
        <w:t xml:space="preserve">, the </w:t>
      </w:r>
      <w:r w:rsidR="009D40F9" w:rsidRPr="003B6A69">
        <w:rPr>
          <w:szCs w:val="20"/>
        </w:rPr>
        <w:t xml:space="preserve">Ministry of Economic Development </w:t>
      </w:r>
      <w:r w:rsidR="0071691E" w:rsidRPr="003B6A69">
        <w:rPr>
          <w:szCs w:val="20"/>
        </w:rPr>
        <w:t>(MED)</w:t>
      </w:r>
      <w:r w:rsidR="00A75B9B" w:rsidRPr="003B6A69">
        <w:rPr>
          <w:szCs w:val="20"/>
        </w:rPr>
        <w:t>,</w:t>
      </w:r>
      <w:r w:rsidR="0071691E" w:rsidRPr="003B6A69">
        <w:rPr>
          <w:szCs w:val="20"/>
        </w:rPr>
        <w:t xml:space="preserve"> </w:t>
      </w:r>
      <w:r w:rsidR="009D40F9" w:rsidRPr="003B6A69">
        <w:rPr>
          <w:szCs w:val="20"/>
        </w:rPr>
        <w:t xml:space="preserve">and the Ministry of </w:t>
      </w:r>
      <w:r w:rsidR="009D40F9" w:rsidRPr="003B6A69">
        <w:rPr>
          <w:szCs w:val="20"/>
          <w:lang w:val="en-GB"/>
        </w:rPr>
        <w:t xml:space="preserve">Agriculture, Forestry and Water Management </w:t>
      </w:r>
      <w:r w:rsidR="0071691E" w:rsidRPr="003B6A69">
        <w:rPr>
          <w:szCs w:val="20"/>
          <w:lang w:val="en-GB"/>
        </w:rPr>
        <w:t xml:space="preserve">(MAFWM) </w:t>
      </w:r>
      <w:r w:rsidRPr="003B6A69">
        <w:rPr>
          <w:szCs w:val="20"/>
        </w:rPr>
        <w:t xml:space="preserve">as the </w:t>
      </w:r>
      <w:r w:rsidR="009D40F9" w:rsidRPr="003B6A69">
        <w:rPr>
          <w:szCs w:val="20"/>
        </w:rPr>
        <w:t>development partners</w:t>
      </w:r>
      <w:r w:rsidRPr="003B6A69">
        <w:rPr>
          <w:szCs w:val="20"/>
        </w:rPr>
        <w:t>, and UNDP as the supplier. UNDP has a long history of collaboration and successful project completion, including multiple previous GEF-</w:t>
      </w:r>
      <w:r w:rsidRPr="003B6A69">
        <w:rPr>
          <w:szCs w:val="20"/>
        </w:rPr>
        <w:lastRenderedPageBreak/>
        <w:t>funded projects with</w:t>
      </w:r>
      <w:r w:rsidR="0071691E" w:rsidRPr="003B6A69">
        <w:rPr>
          <w:szCs w:val="20"/>
        </w:rPr>
        <w:t xml:space="preserve"> the Ministry of Sustainable Development and Tourism (now MESPU) and </w:t>
      </w:r>
      <w:r w:rsidR="00A75B9B" w:rsidRPr="003B6A69">
        <w:rPr>
          <w:szCs w:val="20"/>
        </w:rPr>
        <w:t xml:space="preserve">the </w:t>
      </w:r>
      <w:r w:rsidR="0071691E" w:rsidRPr="003B6A69">
        <w:rPr>
          <w:szCs w:val="20"/>
        </w:rPr>
        <w:t xml:space="preserve">Ministry of Agriculture and Rural Development (now MAFWM) as key partners. </w:t>
      </w:r>
    </w:p>
    <w:p w14:paraId="7DADB615" w14:textId="3FBCD771" w:rsidR="00BC6C34" w:rsidRPr="003B6A69" w:rsidRDefault="00BC6C34" w:rsidP="003C6B7B">
      <w:pPr>
        <w:numPr>
          <w:ilvl w:val="0"/>
          <w:numId w:val="41"/>
        </w:numPr>
        <w:tabs>
          <w:tab w:val="left" w:pos="426"/>
        </w:tabs>
        <w:spacing w:after="120"/>
        <w:ind w:left="0" w:firstLine="0"/>
      </w:pPr>
      <w:r w:rsidRPr="003B6A69">
        <w:rPr>
          <w:szCs w:val="20"/>
        </w:rPr>
        <w:t xml:space="preserve">Second, </w:t>
      </w:r>
      <w:r w:rsidR="009D40F9" w:rsidRPr="003B6A69">
        <w:rPr>
          <w:szCs w:val="20"/>
        </w:rPr>
        <w:t xml:space="preserve">the project will establish the Partnership </w:t>
      </w:r>
      <w:r w:rsidR="00C55992" w:rsidRPr="003B6A69">
        <w:rPr>
          <w:szCs w:val="20"/>
        </w:rPr>
        <w:t>C</w:t>
      </w:r>
      <w:r w:rsidR="009D40F9" w:rsidRPr="003B6A69">
        <w:rPr>
          <w:szCs w:val="20"/>
        </w:rPr>
        <w:t xml:space="preserve">ommittee. The members of the Partnership Committee provide support, perform an advisory role, and assist in decision-making to the project team and the </w:t>
      </w:r>
      <w:r w:rsidR="00A75B9B" w:rsidRPr="003B6A69">
        <w:rPr>
          <w:szCs w:val="20"/>
        </w:rPr>
        <w:t>P</w:t>
      </w:r>
      <w:r w:rsidR="009D40F9" w:rsidRPr="003B6A69">
        <w:rPr>
          <w:szCs w:val="20"/>
        </w:rPr>
        <w:t>roject Steering Committee. The Partnership Committee</w:t>
      </w:r>
      <w:r w:rsidR="0071691E" w:rsidRPr="003B6A69">
        <w:rPr>
          <w:szCs w:val="20"/>
        </w:rPr>
        <w:t xml:space="preserve"> will make sure that the interests of individual project beneficiaries, as well as the parallel initiatives and elements for building synergies with the UNDP-GEF project</w:t>
      </w:r>
      <w:r w:rsidR="00A75B9B" w:rsidRPr="003B6A69">
        <w:rPr>
          <w:szCs w:val="20"/>
        </w:rPr>
        <w:t>,</w:t>
      </w:r>
      <w:r w:rsidR="0071691E" w:rsidRPr="003B6A69">
        <w:rPr>
          <w:szCs w:val="20"/>
        </w:rPr>
        <w:t xml:space="preserve"> are heard and delivered to the project development partners and the project team to inform the decision-making by the</w:t>
      </w:r>
      <w:r w:rsidR="009D40F9" w:rsidRPr="003B6A69">
        <w:rPr>
          <w:szCs w:val="20"/>
        </w:rPr>
        <w:t xml:space="preserve"> project Steering Committee</w:t>
      </w:r>
      <w:r w:rsidRPr="003B6A69">
        <w:t xml:space="preserve">. </w:t>
      </w:r>
    </w:p>
    <w:p w14:paraId="0C2F35D3" w14:textId="179CDF0F" w:rsidR="00BC6C34" w:rsidRPr="003B6A69" w:rsidRDefault="009D40F9" w:rsidP="003C6B7B">
      <w:pPr>
        <w:numPr>
          <w:ilvl w:val="0"/>
          <w:numId w:val="41"/>
        </w:numPr>
        <w:tabs>
          <w:tab w:val="left" w:pos="426"/>
        </w:tabs>
        <w:spacing w:after="120"/>
        <w:ind w:left="0" w:firstLine="0"/>
      </w:pPr>
      <w:r w:rsidRPr="003B6A69">
        <w:rPr>
          <w:iCs/>
          <w:szCs w:val="20"/>
        </w:rPr>
        <w:t>As</w:t>
      </w:r>
      <w:r w:rsidR="00BC6C34" w:rsidRPr="003B6A69">
        <w:rPr>
          <w:iCs/>
          <w:szCs w:val="20"/>
        </w:rPr>
        <w:t xml:space="preserve"> </w:t>
      </w:r>
      <w:r w:rsidRPr="003B6A69">
        <w:rPr>
          <w:szCs w:val="20"/>
        </w:rPr>
        <w:t xml:space="preserve">this is a multi-partner project, above mentioned represents structured systems to effectively manage the engagement of different partners to implement strategies and will include </w:t>
      </w:r>
      <w:proofErr w:type="gramStart"/>
      <w:r w:rsidR="00A75B9B" w:rsidRPr="003B6A69">
        <w:rPr>
          <w:szCs w:val="20"/>
        </w:rPr>
        <w:t xml:space="preserve">a </w:t>
      </w:r>
      <w:r w:rsidRPr="003B6A69">
        <w:rPr>
          <w:szCs w:val="20"/>
        </w:rPr>
        <w:t>number of</w:t>
      </w:r>
      <w:proofErr w:type="gramEnd"/>
      <w:r w:rsidRPr="003B6A69">
        <w:rPr>
          <w:szCs w:val="20"/>
        </w:rPr>
        <w:t xml:space="preserve"> relevant partners, as listed in the </w:t>
      </w:r>
      <w:hyperlink w:anchor="_Governance_and_Management" w:history="1">
        <w:r w:rsidRPr="003B6A69">
          <w:rPr>
            <w:color w:val="0000FF"/>
            <w:szCs w:val="20"/>
            <w:u w:val="single"/>
          </w:rPr>
          <w:t xml:space="preserve">Section </w:t>
        </w:r>
      </w:hyperlink>
      <w:r w:rsidRPr="003B6A69">
        <w:rPr>
          <w:szCs w:val="20"/>
        </w:rPr>
        <w:t xml:space="preserve">on Governance and management arrangements part of the document.  </w:t>
      </w:r>
    </w:p>
    <w:p w14:paraId="0A308C3D" w14:textId="33F66048" w:rsidR="00BC6C34" w:rsidRPr="003B6A69" w:rsidRDefault="0071691E" w:rsidP="003C6B7B">
      <w:pPr>
        <w:numPr>
          <w:ilvl w:val="0"/>
          <w:numId w:val="41"/>
        </w:numPr>
        <w:tabs>
          <w:tab w:val="left" w:pos="426"/>
        </w:tabs>
        <w:spacing w:after="120"/>
        <w:ind w:left="0" w:firstLine="0"/>
      </w:pPr>
      <w:r w:rsidRPr="003B6A69">
        <w:rPr>
          <w:szCs w:val="20"/>
        </w:rPr>
        <w:t>In the context of Montenegro, one important method that has proven itself on many occasions more productive than the formal means and mechanisms is informal stakeholder engagement. There is an established practice, of informal exchanges, direct liaisons and expert links to different level stakeholders, informal means of sharing work and communication</w:t>
      </w:r>
      <w:r w:rsidR="006D4080" w:rsidRPr="003B6A69">
        <w:rPr>
          <w:szCs w:val="20"/>
        </w:rPr>
        <w:t>, options for a broader</w:t>
      </w:r>
      <w:r w:rsidRPr="003B6A69">
        <w:rPr>
          <w:szCs w:val="20"/>
        </w:rPr>
        <w:t xml:space="preserve"> outreach toward groups or individuals initially not included in the project implementation. The </w:t>
      </w:r>
      <w:r w:rsidR="006D4080" w:rsidRPr="003B6A69">
        <w:rPr>
          <w:szCs w:val="20"/>
        </w:rPr>
        <w:t xml:space="preserve">project </w:t>
      </w:r>
      <w:r w:rsidRPr="003B6A69">
        <w:rPr>
          <w:szCs w:val="20"/>
        </w:rPr>
        <w:t>team will make all efforts to formalize these processes for the benefit of transparency and efficiency</w:t>
      </w:r>
      <w:r w:rsidR="00BC6C34" w:rsidRPr="003B6A69">
        <w:rPr>
          <w:szCs w:val="20"/>
        </w:rPr>
        <w:t>.</w:t>
      </w:r>
    </w:p>
    <w:p w14:paraId="0380B690" w14:textId="71A224CC" w:rsidR="00BC6C34" w:rsidRPr="003B6A69" w:rsidRDefault="00BC6C34" w:rsidP="003C6B7B">
      <w:pPr>
        <w:numPr>
          <w:ilvl w:val="0"/>
          <w:numId w:val="41"/>
        </w:numPr>
        <w:tabs>
          <w:tab w:val="left" w:pos="426"/>
        </w:tabs>
        <w:spacing w:after="120"/>
        <w:ind w:left="0" w:firstLine="0"/>
      </w:pPr>
      <w:r w:rsidRPr="003B6A69">
        <w:rPr>
          <w:szCs w:val="20"/>
        </w:rPr>
        <w:t>Formal and informal partnerships will be developed and established with gender balance and gender mainstreaming approaches in mind. The project team will ensure that gender-mainstreaming aspects are addressed and integrated throughout all aspects of the project’s stakeholder engagement activities.</w:t>
      </w:r>
    </w:p>
    <w:p w14:paraId="2FB924A0" w14:textId="77777777" w:rsidR="006D4080" w:rsidRPr="003B6A69" w:rsidRDefault="00BC6C34" w:rsidP="003C6B7B">
      <w:pPr>
        <w:numPr>
          <w:ilvl w:val="0"/>
          <w:numId w:val="41"/>
        </w:numPr>
        <w:tabs>
          <w:tab w:val="left" w:pos="426"/>
        </w:tabs>
        <w:spacing w:after="120"/>
        <w:ind w:left="0" w:firstLine="0"/>
        <w:rPr>
          <w:bCs/>
          <w:szCs w:val="20"/>
        </w:rPr>
      </w:pPr>
      <w:r w:rsidRPr="003B6A69">
        <w:rPr>
          <w:szCs w:val="20"/>
        </w:rPr>
        <w:t xml:space="preserve">The project will highlight, at various times, the </w:t>
      </w:r>
      <w:proofErr w:type="gramStart"/>
      <w:r w:rsidRPr="003B6A69">
        <w:rPr>
          <w:szCs w:val="20"/>
        </w:rPr>
        <w:t>mechanisms</w:t>
      </w:r>
      <w:proofErr w:type="gramEnd"/>
      <w:r w:rsidRPr="003B6A69">
        <w:rPr>
          <w:szCs w:val="20"/>
        </w:rPr>
        <w:t xml:space="preserve"> and channels of communication that stakeholders may employ if they have any grievances related to the social and environmental impacts of the project. For example, this point will be identified during the project inception workshop, and throughout the project education and awareness activities. </w:t>
      </w:r>
    </w:p>
    <w:p w14:paraId="1CD81098" w14:textId="6CBEE62A" w:rsidR="00BC6C34" w:rsidRPr="003B6A69" w:rsidRDefault="00BC6C34" w:rsidP="006D4080">
      <w:pPr>
        <w:tabs>
          <w:tab w:val="left" w:pos="426"/>
        </w:tabs>
        <w:spacing w:after="120"/>
        <w:rPr>
          <w:b/>
          <w:bCs/>
          <w:szCs w:val="20"/>
        </w:rPr>
      </w:pPr>
      <w:r w:rsidRPr="003B6A69">
        <w:rPr>
          <w:b/>
          <w:bCs/>
          <w:szCs w:val="20"/>
        </w:rPr>
        <w:t>Table 1. Summary of Stakeholder Engagement</w:t>
      </w:r>
    </w:p>
    <w:tbl>
      <w:tblPr>
        <w:tblW w:w="99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8"/>
        <w:gridCol w:w="2332"/>
        <w:gridCol w:w="5580"/>
      </w:tblGrid>
      <w:tr w:rsidR="00667466" w:rsidRPr="003B6A69" w14:paraId="7F378D22" w14:textId="77777777" w:rsidTr="00361190">
        <w:tc>
          <w:tcPr>
            <w:tcW w:w="2078" w:type="dxa"/>
            <w:shd w:val="clear" w:color="auto" w:fill="auto"/>
          </w:tcPr>
          <w:p w14:paraId="611C035A" w14:textId="77777777" w:rsidR="00667466" w:rsidRPr="003B6A69" w:rsidRDefault="00667466" w:rsidP="00667466">
            <w:pPr>
              <w:tabs>
                <w:tab w:val="left" w:pos="426"/>
              </w:tabs>
              <w:spacing w:after="120"/>
              <w:rPr>
                <w:rFonts w:cs="Calibri"/>
                <w:b/>
                <w:bCs/>
                <w:szCs w:val="20"/>
              </w:rPr>
            </w:pPr>
            <w:bookmarkStart w:id="44" w:name="Government_Stakeholders"/>
            <w:r w:rsidRPr="003B6A69">
              <w:rPr>
                <w:rFonts w:cs="Calibri"/>
                <w:b/>
                <w:bCs/>
                <w:szCs w:val="20"/>
              </w:rPr>
              <w:t>Government Stakeholders</w:t>
            </w:r>
            <w:bookmarkEnd w:id="44"/>
          </w:p>
        </w:tc>
        <w:tc>
          <w:tcPr>
            <w:tcW w:w="2332" w:type="dxa"/>
            <w:shd w:val="clear" w:color="auto" w:fill="auto"/>
          </w:tcPr>
          <w:p w14:paraId="0AB9819E" w14:textId="77777777" w:rsidR="00667466" w:rsidRPr="003B6A69" w:rsidRDefault="00667466" w:rsidP="00667466">
            <w:pPr>
              <w:tabs>
                <w:tab w:val="left" w:pos="426"/>
              </w:tabs>
              <w:spacing w:after="120"/>
              <w:rPr>
                <w:rFonts w:cs="Calibri"/>
                <w:b/>
                <w:bCs/>
                <w:szCs w:val="20"/>
              </w:rPr>
            </w:pPr>
            <w:r w:rsidRPr="003B6A69">
              <w:rPr>
                <w:rFonts w:cs="Calibri"/>
                <w:b/>
                <w:bCs/>
                <w:szCs w:val="20"/>
              </w:rPr>
              <w:t>Mandate and functions relevant to the project</w:t>
            </w:r>
          </w:p>
        </w:tc>
        <w:tc>
          <w:tcPr>
            <w:tcW w:w="5580" w:type="dxa"/>
            <w:shd w:val="clear" w:color="auto" w:fill="auto"/>
          </w:tcPr>
          <w:p w14:paraId="09AE4FC9" w14:textId="77777777" w:rsidR="00667466" w:rsidRPr="003B6A69" w:rsidRDefault="00667466" w:rsidP="00667466">
            <w:pPr>
              <w:tabs>
                <w:tab w:val="left" w:pos="426"/>
              </w:tabs>
              <w:spacing w:after="120"/>
              <w:rPr>
                <w:rFonts w:cs="Calibri"/>
                <w:b/>
                <w:bCs/>
                <w:szCs w:val="20"/>
              </w:rPr>
            </w:pPr>
            <w:r w:rsidRPr="003B6A69">
              <w:rPr>
                <w:rFonts w:cs="Calibri"/>
                <w:b/>
                <w:bCs/>
                <w:szCs w:val="20"/>
              </w:rPr>
              <w:t>Role for the project</w:t>
            </w:r>
          </w:p>
        </w:tc>
      </w:tr>
      <w:tr w:rsidR="00667466" w:rsidRPr="003B6A69" w14:paraId="04E65FED" w14:textId="77777777" w:rsidTr="00361190">
        <w:tc>
          <w:tcPr>
            <w:tcW w:w="2078" w:type="dxa"/>
            <w:shd w:val="clear" w:color="auto" w:fill="auto"/>
          </w:tcPr>
          <w:p w14:paraId="112E5D9F" w14:textId="77777777" w:rsidR="00667466" w:rsidRPr="003B6A69" w:rsidRDefault="00667466" w:rsidP="00667466">
            <w:pPr>
              <w:tabs>
                <w:tab w:val="left" w:pos="426"/>
              </w:tabs>
              <w:spacing w:after="120"/>
              <w:rPr>
                <w:rFonts w:cs="Calibri"/>
                <w:bCs/>
                <w:szCs w:val="20"/>
              </w:rPr>
            </w:pPr>
            <w:r w:rsidRPr="003B6A69">
              <w:rPr>
                <w:rFonts w:cs="Calibri"/>
                <w:bCs/>
                <w:szCs w:val="20"/>
                <w:lang w:val="en-GB"/>
              </w:rPr>
              <w:t>Ministry of Ecology, Spatial Planning and Urbanism - MESPU (previously Ministry of Sustainable Development and Tourism</w:t>
            </w:r>
            <w:r w:rsidRPr="003B6A69">
              <w:rPr>
                <w:rFonts w:cs="Calibri"/>
                <w:bCs/>
                <w:szCs w:val="20"/>
              </w:rPr>
              <w:t>)</w:t>
            </w:r>
          </w:p>
        </w:tc>
        <w:tc>
          <w:tcPr>
            <w:tcW w:w="2332" w:type="dxa"/>
            <w:shd w:val="clear" w:color="auto" w:fill="auto"/>
          </w:tcPr>
          <w:p w14:paraId="3ACA5170" w14:textId="77777777" w:rsidR="00667466" w:rsidRPr="003B6A69" w:rsidRDefault="00667466" w:rsidP="00667466">
            <w:pPr>
              <w:tabs>
                <w:tab w:val="left" w:pos="426"/>
              </w:tabs>
              <w:spacing w:after="120"/>
              <w:rPr>
                <w:rFonts w:cs="Calibri"/>
                <w:bCs/>
                <w:szCs w:val="20"/>
              </w:rPr>
            </w:pPr>
            <w:r w:rsidRPr="003B6A69">
              <w:rPr>
                <w:rFonts w:cs="Calibri"/>
                <w:bCs/>
                <w:szCs w:val="20"/>
              </w:rPr>
              <w:t xml:space="preserve">The Ministry develops policy, legislative and strategic framework, and environmental standards. The Ministry has overall responsibility for environmental protection and specifically for the CBD implementation in the country and is host to the CBD NFP, UNFCCC NFP as well as GEF NFP. </w:t>
            </w:r>
          </w:p>
          <w:p w14:paraId="7EA303C2" w14:textId="77777777" w:rsidR="00667466" w:rsidRPr="003B6A69" w:rsidRDefault="00667466" w:rsidP="00667466">
            <w:pPr>
              <w:tabs>
                <w:tab w:val="left" w:pos="426"/>
              </w:tabs>
              <w:spacing w:after="120"/>
              <w:rPr>
                <w:rFonts w:cs="Calibri"/>
                <w:bCs/>
                <w:szCs w:val="20"/>
              </w:rPr>
            </w:pPr>
            <w:r w:rsidRPr="003B6A69">
              <w:rPr>
                <w:rFonts w:cs="Calibri"/>
                <w:bCs/>
                <w:szCs w:val="20"/>
              </w:rPr>
              <w:t xml:space="preserve">The Ministry’s portfolio covers the areas of: </w:t>
            </w:r>
          </w:p>
          <w:p w14:paraId="4ED43405" w14:textId="77777777" w:rsidR="00667466" w:rsidRPr="003B6A69" w:rsidRDefault="00667466" w:rsidP="003C6B7B">
            <w:pPr>
              <w:numPr>
                <w:ilvl w:val="0"/>
                <w:numId w:val="15"/>
              </w:numPr>
              <w:tabs>
                <w:tab w:val="left" w:pos="426"/>
              </w:tabs>
              <w:spacing w:after="120" w:line="259" w:lineRule="auto"/>
              <w:jc w:val="left"/>
              <w:rPr>
                <w:rFonts w:cs="Calibri"/>
                <w:bCs/>
                <w:szCs w:val="20"/>
              </w:rPr>
            </w:pPr>
            <w:r w:rsidRPr="003B6A69">
              <w:rPr>
                <w:rFonts w:cs="Calibri"/>
                <w:bCs/>
                <w:szCs w:val="20"/>
              </w:rPr>
              <w:t>Environmental protection</w:t>
            </w:r>
          </w:p>
          <w:p w14:paraId="3DDC781C" w14:textId="77777777" w:rsidR="00667466" w:rsidRPr="003B6A69" w:rsidRDefault="00667466" w:rsidP="003C6B7B">
            <w:pPr>
              <w:numPr>
                <w:ilvl w:val="0"/>
                <w:numId w:val="15"/>
              </w:numPr>
              <w:tabs>
                <w:tab w:val="left" w:pos="426"/>
              </w:tabs>
              <w:spacing w:after="120" w:line="259" w:lineRule="auto"/>
              <w:jc w:val="left"/>
              <w:rPr>
                <w:rFonts w:cs="Calibri"/>
                <w:bCs/>
                <w:szCs w:val="20"/>
              </w:rPr>
            </w:pPr>
            <w:r w:rsidRPr="003B6A69">
              <w:rPr>
                <w:rFonts w:cs="Calibri"/>
                <w:bCs/>
                <w:szCs w:val="20"/>
              </w:rPr>
              <w:t>Spatial planning and construction regulations</w:t>
            </w:r>
          </w:p>
          <w:p w14:paraId="4DF8B146" w14:textId="77777777" w:rsidR="00667466" w:rsidRPr="003B6A69" w:rsidRDefault="00667466" w:rsidP="003C6B7B">
            <w:pPr>
              <w:numPr>
                <w:ilvl w:val="0"/>
                <w:numId w:val="15"/>
              </w:numPr>
              <w:tabs>
                <w:tab w:val="left" w:pos="426"/>
              </w:tabs>
              <w:spacing w:after="120" w:line="259" w:lineRule="auto"/>
              <w:jc w:val="left"/>
              <w:rPr>
                <w:rFonts w:cs="Calibri"/>
                <w:bCs/>
                <w:szCs w:val="20"/>
              </w:rPr>
            </w:pPr>
            <w:r w:rsidRPr="003B6A69">
              <w:rPr>
                <w:rFonts w:cs="Calibri"/>
                <w:bCs/>
                <w:szCs w:val="20"/>
              </w:rPr>
              <w:t>Climate change</w:t>
            </w:r>
          </w:p>
          <w:p w14:paraId="58B5A1DF" w14:textId="77777777" w:rsidR="00667466" w:rsidRPr="003B6A69" w:rsidRDefault="00667466" w:rsidP="003C6B7B">
            <w:pPr>
              <w:numPr>
                <w:ilvl w:val="0"/>
                <w:numId w:val="15"/>
              </w:numPr>
              <w:tabs>
                <w:tab w:val="left" w:pos="426"/>
              </w:tabs>
              <w:spacing w:after="120" w:line="259" w:lineRule="auto"/>
              <w:jc w:val="left"/>
              <w:rPr>
                <w:rFonts w:cs="Calibri"/>
                <w:bCs/>
                <w:szCs w:val="20"/>
              </w:rPr>
            </w:pPr>
            <w:r w:rsidRPr="003B6A69">
              <w:rPr>
                <w:rFonts w:cs="Calibri"/>
                <w:bCs/>
                <w:szCs w:val="20"/>
              </w:rPr>
              <w:t xml:space="preserve">Donor coordination </w:t>
            </w:r>
          </w:p>
          <w:p w14:paraId="4B0FC0E0" w14:textId="77777777" w:rsidR="00667466" w:rsidRPr="003B6A69" w:rsidRDefault="00667466" w:rsidP="00667466">
            <w:pPr>
              <w:tabs>
                <w:tab w:val="left" w:pos="426"/>
              </w:tabs>
              <w:spacing w:after="120"/>
              <w:rPr>
                <w:rFonts w:cs="Calibri"/>
                <w:bCs/>
                <w:szCs w:val="20"/>
              </w:rPr>
            </w:pPr>
          </w:p>
        </w:tc>
        <w:tc>
          <w:tcPr>
            <w:tcW w:w="5580" w:type="dxa"/>
            <w:shd w:val="clear" w:color="auto" w:fill="auto"/>
          </w:tcPr>
          <w:p w14:paraId="36673B8D" w14:textId="77777777" w:rsidR="00667466" w:rsidRPr="003B6A69" w:rsidRDefault="00667466" w:rsidP="00667466">
            <w:pPr>
              <w:tabs>
                <w:tab w:val="left" w:pos="426"/>
              </w:tabs>
              <w:spacing w:after="120"/>
              <w:rPr>
                <w:rFonts w:asciiTheme="minorHAnsi" w:eastAsiaTheme="minorHAnsi" w:hAnsiTheme="minorHAnsi" w:cstheme="minorBidi"/>
                <w:szCs w:val="20"/>
              </w:rPr>
            </w:pPr>
            <w:r w:rsidRPr="003B6A69">
              <w:rPr>
                <w:rFonts w:cs="Calibri"/>
                <w:bCs/>
                <w:szCs w:val="20"/>
              </w:rPr>
              <w:lastRenderedPageBreak/>
              <w:t xml:space="preserve">The Ministry is the Project Implementing Partner. </w:t>
            </w:r>
            <w:r w:rsidRPr="003B6A69">
              <w:rPr>
                <w:rFonts w:asciiTheme="minorHAnsi" w:eastAsiaTheme="minorHAnsi" w:hAnsiTheme="minorHAnsi" w:cstheme="minorBidi"/>
                <w:szCs w:val="20"/>
              </w:rPr>
              <w:t>MESPU Directorate for international cooperation and EU integration hosts the GEF OFP Office.</w:t>
            </w:r>
          </w:p>
          <w:p w14:paraId="31645276" w14:textId="77777777" w:rsidR="00667466" w:rsidRPr="003B6A69" w:rsidRDefault="00667466" w:rsidP="00667466">
            <w:pPr>
              <w:tabs>
                <w:tab w:val="left" w:pos="426"/>
              </w:tabs>
              <w:spacing w:after="120"/>
              <w:rPr>
                <w:rFonts w:cs="Calibri"/>
                <w:bCs/>
                <w:i/>
                <w:iCs/>
                <w:szCs w:val="20"/>
                <w:lang w:val="en-GB"/>
              </w:rPr>
            </w:pPr>
            <w:r w:rsidRPr="003B6A69">
              <w:rPr>
                <w:rFonts w:asciiTheme="minorHAnsi" w:eastAsiaTheme="minorHAnsi" w:hAnsiTheme="minorHAnsi" w:cstheme="minorBidi"/>
                <w:szCs w:val="20"/>
              </w:rPr>
              <w:t xml:space="preserve">The State Secretary for Environment supports MESPU with developing policies in the field of environment protection, nature conservation, climate change. It is expected that the State Secretary will </w:t>
            </w:r>
            <w:r w:rsidRPr="003B6A69">
              <w:rPr>
                <w:szCs w:val="20"/>
              </w:rPr>
              <w:t xml:space="preserve">perform the project executive function (Project National Director) and represent </w:t>
            </w:r>
            <w:r w:rsidRPr="003B6A69">
              <w:rPr>
                <w:rFonts w:asciiTheme="minorHAnsi" w:eastAsiaTheme="minorHAnsi" w:hAnsiTheme="minorHAnsi" w:cstheme="minorBidi"/>
                <w:szCs w:val="20"/>
              </w:rPr>
              <w:t>MESPU as the Implementing Partner for the Project in the work of the Project Steering Committee.</w:t>
            </w:r>
          </w:p>
          <w:p w14:paraId="70BC4238" w14:textId="77777777" w:rsidR="00667466" w:rsidRPr="003B6A69" w:rsidRDefault="00667466" w:rsidP="00667466">
            <w:pPr>
              <w:tabs>
                <w:tab w:val="left" w:pos="426"/>
              </w:tabs>
              <w:spacing w:after="120"/>
              <w:rPr>
                <w:rFonts w:cs="Calibri"/>
                <w:bCs/>
                <w:szCs w:val="20"/>
              </w:rPr>
            </w:pPr>
            <w:r w:rsidRPr="003B6A69">
              <w:rPr>
                <w:rFonts w:cs="Calibri"/>
                <w:bCs/>
                <w:szCs w:val="20"/>
              </w:rPr>
              <w:t xml:space="preserve">The Ministry will provide political and institutional supervision for the overall project activities on behalf of the Government of Montenegro. The Ministry will chair the Project Steering Committee, will coordinate project activities, assist the project with cross-sectoral communication, provide technical expertise through its personnel and networks, facilitate access to sites and locations, address logistical issues, </w:t>
            </w:r>
            <w:proofErr w:type="gramStart"/>
            <w:r w:rsidRPr="003B6A69">
              <w:rPr>
                <w:rFonts w:cs="Calibri"/>
                <w:bCs/>
                <w:szCs w:val="20"/>
              </w:rPr>
              <w:t>e.g.</w:t>
            </w:r>
            <w:proofErr w:type="gramEnd"/>
            <w:r w:rsidRPr="003B6A69">
              <w:rPr>
                <w:rFonts w:cs="Calibri"/>
                <w:bCs/>
                <w:szCs w:val="20"/>
              </w:rPr>
              <w:t xml:space="preserve"> through organization of meetings and provision of relevant facilities, and support project management and regular project reporting. </w:t>
            </w:r>
          </w:p>
          <w:p w14:paraId="014557E2" w14:textId="77777777" w:rsidR="00667466" w:rsidRPr="003B6A69" w:rsidRDefault="00667466" w:rsidP="00667466">
            <w:pPr>
              <w:tabs>
                <w:tab w:val="left" w:pos="426"/>
              </w:tabs>
              <w:spacing w:after="120"/>
              <w:rPr>
                <w:rFonts w:cs="Calibri"/>
                <w:bCs/>
                <w:szCs w:val="20"/>
              </w:rPr>
            </w:pPr>
            <w:r w:rsidRPr="003B6A69">
              <w:rPr>
                <w:rFonts w:cs="Calibri"/>
                <w:bCs/>
                <w:szCs w:val="20"/>
              </w:rPr>
              <w:t>The Ministry shall assist the project execution by managing/providing fulfillment of the international level obligations and collaborations since it has the competence for the implementation of multilateral and bilateral international treaties and conventions on environmental protection.</w:t>
            </w:r>
          </w:p>
          <w:p w14:paraId="5C491E31" w14:textId="77777777" w:rsidR="00667466" w:rsidRPr="003B6A69" w:rsidRDefault="00667466" w:rsidP="00667466">
            <w:pPr>
              <w:tabs>
                <w:tab w:val="left" w:pos="426"/>
              </w:tabs>
              <w:spacing w:after="120"/>
              <w:rPr>
                <w:rFonts w:cs="Calibri"/>
                <w:bCs/>
                <w:szCs w:val="20"/>
              </w:rPr>
            </w:pPr>
            <w:r w:rsidRPr="003B6A69">
              <w:rPr>
                <w:rFonts w:cs="Calibri"/>
                <w:bCs/>
                <w:szCs w:val="20"/>
              </w:rPr>
              <w:lastRenderedPageBreak/>
              <w:t xml:space="preserve">MESPU will secure synergies and coordination between the Project and initiatives within its competence. </w:t>
            </w:r>
          </w:p>
          <w:p w14:paraId="7C181444" w14:textId="77777777" w:rsidR="00667466" w:rsidRPr="003B6A69" w:rsidRDefault="00667466" w:rsidP="00667466">
            <w:pPr>
              <w:tabs>
                <w:tab w:val="left" w:pos="426"/>
              </w:tabs>
              <w:spacing w:after="120"/>
              <w:rPr>
                <w:rFonts w:cs="Calibri"/>
                <w:bCs/>
                <w:szCs w:val="20"/>
              </w:rPr>
            </w:pPr>
            <w:r w:rsidRPr="003B6A69">
              <w:rPr>
                <w:rFonts w:cs="Calibri"/>
                <w:bCs/>
                <w:szCs w:val="20"/>
              </w:rPr>
              <w:t>The Ministry will design/enforce policy measures in support of project endeavors and ensure parallel co-financing aimed at nature conservation and PA system expansion and management.</w:t>
            </w:r>
          </w:p>
          <w:p w14:paraId="42CE7189" w14:textId="77777777" w:rsidR="00667466" w:rsidRPr="003B6A69" w:rsidRDefault="00667466" w:rsidP="00667466">
            <w:pPr>
              <w:tabs>
                <w:tab w:val="left" w:pos="426"/>
              </w:tabs>
              <w:spacing w:after="120"/>
              <w:rPr>
                <w:rFonts w:cs="Calibri"/>
                <w:bCs/>
                <w:szCs w:val="20"/>
              </w:rPr>
            </w:pPr>
          </w:p>
        </w:tc>
      </w:tr>
      <w:tr w:rsidR="00667466" w:rsidRPr="003B6A69" w14:paraId="6B5B7734" w14:textId="77777777" w:rsidTr="00361190">
        <w:tc>
          <w:tcPr>
            <w:tcW w:w="2078" w:type="dxa"/>
            <w:shd w:val="clear" w:color="auto" w:fill="auto"/>
          </w:tcPr>
          <w:p w14:paraId="14FAC1B2" w14:textId="77777777" w:rsidR="00667466" w:rsidRPr="003B6A69" w:rsidRDefault="00667466" w:rsidP="00667466">
            <w:pPr>
              <w:tabs>
                <w:tab w:val="left" w:pos="426"/>
              </w:tabs>
              <w:spacing w:after="120"/>
              <w:rPr>
                <w:rFonts w:cs="Calibri"/>
                <w:bCs/>
                <w:szCs w:val="20"/>
              </w:rPr>
            </w:pPr>
            <w:r w:rsidRPr="003B6A69">
              <w:rPr>
                <w:szCs w:val="20"/>
              </w:rPr>
              <w:lastRenderedPageBreak/>
              <w:t>MESPU Directorate for Environment</w:t>
            </w:r>
          </w:p>
        </w:tc>
        <w:tc>
          <w:tcPr>
            <w:tcW w:w="2332" w:type="dxa"/>
            <w:shd w:val="clear" w:color="auto" w:fill="auto"/>
          </w:tcPr>
          <w:p w14:paraId="72E57EC9" w14:textId="77777777" w:rsidR="00667466" w:rsidRPr="003B6A69" w:rsidRDefault="00667466" w:rsidP="00667466">
            <w:pPr>
              <w:tabs>
                <w:tab w:val="left" w:pos="426"/>
              </w:tabs>
              <w:spacing w:after="120"/>
              <w:rPr>
                <w:rFonts w:cs="Calibri"/>
                <w:bCs/>
                <w:szCs w:val="20"/>
              </w:rPr>
            </w:pPr>
            <w:r w:rsidRPr="003B6A69">
              <w:rPr>
                <w:szCs w:val="20"/>
              </w:rPr>
              <w:t>The Directorate for Environment is responsible for biodiversity conservation planning, PA management, international conservation nominations and internationally protected and transboundary PAs, environmental monitoring, enforcement of the law that governs and ensures protection and sustainable use of biodiversity; species conservation, inter-ministerial and inter-governmental cooperation in the field of relevance, cooperation with academia and professional associations and civil society organizations.</w:t>
            </w:r>
          </w:p>
        </w:tc>
        <w:tc>
          <w:tcPr>
            <w:tcW w:w="5580" w:type="dxa"/>
            <w:shd w:val="clear" w:color="auto" w:fill="auto"/>
          </w:tcPr>
          <w:p w14:paraId="693DDCE7" w14:textId="77777777" w:rsidR="00667466" w:rsidRPr="003B6A69" w:rsidRDefault="00667466" w:rsidP="00667466">
            <w:pPr>
              <w:tabs>
                <w:tab w:val="left" w:pos="426"/>
              </w:tabs>
              <w:spacing w:after="120"/>
              <w:rPr>
                <w:bCs/>
                <w:szCs w:val="20"/>
                <w:lang w:val="en-GB"/>
              </w:rPr>
            </w:pPr>
            <w:r w:rsidRPr="003B6A69">
              <w:rPr>
                <w:szCs w:val="20"/>
              </w:rPr>
              <w:t xml:space="preserve">The project will cooperate with the MESPU Directorate for Environment under the project Outcome 1. With the GEF project support, the Ministry will ensure </w:t>
            </w:r>
            <w:r w:rsidRPr="003B6A69">
              <w:rPr>
                <w:bCs/>
                <w:szCs w:val="20"/>
                <w:lang w:val="en-GB"/>
              </w:rPr>
              <w:t xml:space="preserve">integration of the KBA protection objectives into PA management. The Directorate for Environment will make sure that the project work aimed to enhance the national capacities for enhanced protection of valuable biodiversity is sustained after project completion. At the PPG stage, the Directorate has prioritised the pilot protected areas/international nominations for the project interventions within the protected area estate under project Outcome 1. The Ministry will make sure that the focus of the project on the national PA with international recognition as global biodiversity hot-spots on (National Park </w:t>
            </w:r>
            <w:proofErr w:type="spellStart"/>
            <w:r w:rsidRPr="003B6A69">
              <w:rPr>
                <w:bCs/>
                <w:szCs w:val="20"/>
                <w:lang w:val="en-GB"/>
              </w:rPr>
              <w:t>Durmitor</w:t>
            </w:r>
            <w:proofErr w:type="spellEnd"/>
            <w:r w:rsidRPr="003B6A69">
              <w:rPr>
                <w:bCs/>
                <w:szCs w:val="20"/>
                <w:lang w:val="en-GB"/>
              </w:rPr>
              <w:t xml:space="preserve"> and Nature Park </w:t>
            </w:r>
            <w:proofErr w:type="spellStart"/>
            <w:r w:rsidRPr="003B6A69">
              <w:rPr>
                <w:bCs/>
                <w:szCs w:val="20"/>
                <w:lang w:val="en-GB"/>
              </w:rPr>
              <w:t>Dragisnica</w:t>
            </w:r>
            <w:proofErr w:type="spellEnd"/>
            <w:r w:rsidRPr="003B6A69">
              <w:rPr>
                <w:bCs/>
                <w:szCs w:val="20"/>
                <w:lang w:val="en-GB"/>
              </w:rPr>
              <w:t xml:space="preserve"> and </w:t>
            </w:r>
            <w:proofErr w:type="spellStart"/>
            <w:r w:rsidRPr="003B6A69">
              <w:rPr>
                <w:bCs/>
                <w:szCs w:val="20"/>
                <w:lang w:val="en-GB"/>
              </w:rPr>
              <w:t>Komarnica</w:t>
            </w:r>
            <w:proofErr w:type="spellEnd"/>
            <w:r w:rsidRPr="003B6A69">
              <w:rPr>
                <w:bCs/>
                <w:szCs w:val="20"/>
                <w:lang w:val="en-GB"/>
              </w:rPr>
              <w:t xml:space="preserve"> in relation to UNESCO World Heritage status; National Park </w:t>
            </w:r>
            <w:proofErr w:type="spellStart"/>
            <w:r w:rsidRPr="003B6A69">
              <w:rPr>
                <w:bCs/>
                <w:szCs w:val="20"/>
                <w:lang w:val="en-GB"/>
              </w:rPr>
              <w:t>Biogradska</w:t>
            </w:r>
            <w:proofErr w:type="spellEnd"/>
            <w:r w:rsidRPr="003B6A69">
              <w:rPr>
                <w:bCs/>
                <w:szCs w:val="20"/>
                <w:lang w:val="en-GB"/>
              </w:rPr>
              <w:t xml:space="preserve"> Gora, Nature parks </w:t>
            </w:r>
            <w:proofErr w:type="spellStart"/>
            <w:r w:rsidRPr="003B6A69">
              <w:rPr>
                <w:bCs/>
                <w:szCs w:val="20"/>
                <w:lang w:val="en-GB"/>
              </w:rPr>
              <w:t>Piva</w:t>
            </w:r>
            <w:proofErr w:type="spellEnd"/>
            <w:r w:rsidRPr="003B6A69">
              <w:rPr>
                <w:bCs/>
                <w:szCs w:val="20"/>
                <w:lang w:val="en-GB"/>
              </w:rPr>
              <w:t xml:space="preserve"> and </w:t>
            </w:r>
            <w:proofErr w:type="spellStart"/>
            <w:r w:rsidRPr="003B6A69">
              <w:rPr>
                <w:bCs/>
                <w:szCs w:val="20"/>
                <w:lang w:val="en-GB"/>
              </w:rPr>
              <w:t>Komovi</w:t>
            </w:r>
            <w:proofErr w:type="spellEnd"/>
            <w:r w:rsidRPr="003B6A69">
              <w:rPr>
                <w:bCs/>
                <w:szCs w:val="20"/>
                <w:lang w:val="en-GB"/>
              </w:rPr>
              <w:t xml:space="preserve"> in relation to Tara River Watershed UNESCO Man and Biosphere Reserve; National Park </w:t>
            </w:r>
            <w:proofErr w:type="spellStart"/>
            <w:r w:rsidRPr="003B6A69">
              <w:rPr>
                <w:bCs/>
                <w:szCs w:val="20"/>
                <w:lang w:val="en-GB"/>
              </w:rPr>
              <w:t>Skadar</w:t>
            </w:r>
            <w:proofErr w:type="spellEnd"/>
            <w:r w:rsidRPr="003B6A69">
              <w:rPr>
                <w:bCs/>
                <w:szCs w:val="20"/>
                <w:lang w:val="en-GB"/>
              </w:rPr>
              <w:t xml:space="preserve"> Lake and </w:t>
            </w:r>
            <w:proofErr w:type="spellStart"/>
            <w:r w:rsidRPr="003B6A69">
              <w:rPr>
                <w:bCs/>
                <w:szCs w:val="20"/>
                <w:lang w:val="en-GB"/>
              </w:rPr>
              <w:t>Ulcinjska</w:t>
            </w:r>
            <w:proofErr w:type="spellEnd"/>
            <w:r w:rsidRPr="003B6A69">
              <w:rPr>
                <w:bCs/>
                <w:szCs w:val="20"/>
                <w:lang w:val="en-GB"/>
              </w:rPr>
              <w:t xml:space="preserve"> Solana Nature Park in relation to Ramsar) is reflected in the priority actions of the Ministry related to international obligations in the field of environmental protection.  </w:t>
            </w:r>
          </w:p>
          <w:p w14:paraId="05507BBD" w14:textId="0DD866A0" w:rsidR="00667466" w:rsidRPr="003B6A69" w:rsidRDefault="00667466" w:rsidP="00667466">
            <w:pPr>
              <w:tabs>
                <w:tab w:val="left" w:pos="426"/>
              </w:tabs>
              <w:spacing w:after="120"/>
              <w:rPr>
                <w:rFonts w:cs="Calibri"/>
                <w:bCs/>
                <w:szCs w:val="20"/>
                <w:lang w:val="en-GB"/>
              </w:rPr>
            </w:pPr>
            <w:proofErr w:type="gramStart"/>
            <w:r w:rsidRPr="003B6A69">
              <w:rPr>
                <w:rFonts w:cs="Calibri"/>
                <w:bCs/>
                <w:szCs w:val="20"/>
                <w:lang w:val="en-GB"/>
              </w:rPr>
              <w:t>Specifically</w:t>
            </w:r>
            <w:proofErr w:type="gramEnd"/>
            <w:r w:rsidRPr="003B6A69">
              <w:rPr>
                <w:rFonts w:cs="Calibri"/>
                <w:bCs/>
                <w:szCs w:val="20"/>
                <w:lang w:val="en-GB"/>
              </w:rPr>
              <w:t xml:space="preserve"> for </w:t>
            </w:r>
            <w:proofErr w:type="spellStart"/>
            <w:r w:rsidRPr="003B6A69">
              <w:rPr>
                <w:rFonts w:cs="Calibri"/>
                <w:bCs/>
                <w:szCs w:val="20"/>
                <w:lang w:val="en-GB"/>
              </w:rPr>
              <w:t>Durmitor</w:t>
            </w:r>
            <w:proofErr w:type="spellEnd"/>
            <w:r w:rsidRPr="003B6A69">
              <w:rPr>
                <w:rFonts w:cs="Calibri"/>
                <w:bCs/>
                <w:szCs w:val="20"/>
                <w:lang w:val="en-GB"/>
              </w:rPr>
              <w:t xml:space="preserve"> UNESCO WH site, the Department will communicate to UNESCO and IUCN the action plan for addressing the concerns regarding the management arrangements, boundary modification and increasing threats to the World Heritage property, and ensure synergies between the ministerial agenda and the GEF increment. The Ministry will appraise the project-driven expert proposals on modifications of boundaries, reassessment of the zonation system, the new management arrangements for National Park </w:t>
            </w:r>
            <w:proofErr w:type="spellStart"/>
            <w:r w:rsidRPr="003B6A69">
              <w:rPr>
                <w:rFonts w:cs="Calibri"/>
                <w:bCs/>
                <w:szCs w:val="20"/>
                <w:lang w:val="en-GB"/>
              </w:rPr>
              <w:t>Durmitor</w:t>
            </w:r>
            <w:proofErr w:type="spellEnd"/>
            <w:r w:rsidRPr="003B6A69">
              <w:rPr>
                <w:rFonts w:cs="Calibri"/>
                <w:bCs/>
                <w:szCs w:val="20"/>
                <w:lang w:val="en-GB"/>
              </w:rPr>
              <w:t xml:space="preserve"> and </w:t>
            </w:r>
            <w:proofErr w:type="spellStart"/>
            <w:r w:rsidRPr="003B6A69">
              <w:rPr>
                <w:rFonts w:cs="Calibri"/>
                <w:bCs/>
                <w:szCs w:val="20"/>
                <w:lang w:val="en-GB"/>
              </w:rPr>
              <w:t>Dragisnica-Komarnica</w:t>
            </w:r>
            <w:proofErr w:type="spellEnd"/>
            <w:r w:rsidRPr="003B6A69">
              <w:rPr>
                <w:rFonts w:cs="Calibri"/>
                <w:bCs/>
                <w:szCs w:val="20"/>
                <w:lang w:val="en-GB"/>
              </w:rPr>
              <w:t xml:space="preserve">, with UNESCO/IUCN recommendations regarding the enhanced protection measures and the designation of the buffer zone for the UNESCO property. For </w:t>
            </w:r>
            <w:proofErr w:type="spellStart"/>
            <w:r w:rsidRPr="003B6A69">
              <w:rPr>
                <w:rFonts w:cs="Calibri"/>
                <w:bCs/>
                <w:szCs w:val="20"/>
                <w:lang w:val="en-GB"/>
              </w:rPr>
              <w:t>Dragisnica-Komarnica</w:t>
            </w:r>
            <w:proofErr w:type="spellEnd"/>
            <w:r w:rsidRPr="003B6A69">
              <w:rPr>
                <w:rFonts w:cs="Calibri"/>
                <w:bCs/>
                <w:szCs w:val="20"/>
                <w:lang w:val="en-GB"/>
              </w:rPr>
              <w:t xml:space="preserve">, the Ministry will lead on the stakeholder consultations with the municipality and the local communities to be affected by the changes in the PA management/status and will ensure compliance of the management scenario for </w:t>
            </w:r>
            <w:proofErr w:type="spellStart"/>
            <w:r w:rsidRPr="003B6A69">
              <w:rPr>
                <w:rFonts w:cs="Calibri"/>
                <w:bCs/>
                <w:szCs w:val="20"/>
                <w:lang w:val="en-GB"/>
              </w:rPr>
              <w:t>Dragisnica-Komarnica</w:t>
            </w:r>
            <w:proofErr w:type="spellEnd"/>
            <w:r w:rsidRPr="003B6A69">
              <w:rPr>
                <w:rFonts w:cs="Calibri"/>
                <w:bCs/>
                <w:szCs w:val="20"/>
                <w:lang w:val="en-GB"/>
              </w:rPr>
              <w:t xml:space="preserve"> with the UNESCO requirements to include specific solutions for WH values and threats into the management planning for both </w:t>
            </w:r>
            <w:proofErr w:type="spellStart"/>
            <w:r w:rsidRPr="003B6A69">
              <w:rPr>
                <w:rFonts w:cs="Calibri"/>
                <w:bCs/>
                <w:szCs w:val="20"/>
                <w:lang w:val="en-GB"/>
              </w:rPr>
              <w:t>Durmitor</w:t>
            </w:r>
            <w:proofErr w:type="spellEnd"/>
            <w:r w:rsidRPr="003B6A69">
              <w:rPr>
                <w:rFonts w:cs="Calibri"/>
                <w:bCs/>
                <w:szCs w:val="20"/>
                <w:lang w:val="en-GB"/>
              </w:rPr>
              <w:t xml:space="preserve"> and </w:t>
            </w:r>
            <w:proofErr w:type="spellStart"/>
            <w:r w:rsidRPr="003B6A69">
              <w:rPr>
                <w:rFonts w:cs="Calibri"/>
                <w:bCs/>
                <w:szCs w:val="20"/>
                <w:lang w:val="en-GB"/>
              </w:rPr>
              <w:t>Dragisnica-Komarnica</w:t>
            </w:r>
            <w:proofErr w:type="spellEnd"/>
            <w:r w:rsidRPr="003B6A69">
              <w:rPr>
                <w:rFonts w:cs="Calibri"/>
                <w:bCs/>
                <w:szCs w:val="20"/>
                <w:lang w:val="en-GB"/>
              </w:rPr>
              <w:t xml:space="preserve">. </w:t>
            </w:r>
          </w:p>
          <w:p w14:paraId="7BA7B1C3" w14:textId="77777777" w:rsidR="00667466" w:rsidRPr="003B6A69" w:rsidRDefault="00667466" w:rsidP="00667466">
            <w:pPr>
              <w:tabs>
                <w:tab w:val="left" w:pos="426"/>
              </w:tabs>
              <w:spacing w:after="120"/>
              <w:rPr>
                <w:rFonts w:cs="Calibri"/>
                <w:bCs/>
                <w:szCs w:val="20"/>
              </w:rPr>
            </w:pPr>
            <w:r w:rsidRPr="003B6A69">
              <w:rPr>
                <w:bCs/>
                <w:szCs w:val="20"/>
                <w:lang w:val="en-GB"/>
              </w:rPr>
              <w:t>The Directorate will represent MESPU in the work of the Project Partnership Committee.</w:t>
            </w:r>
          </w:p>
        </w:tc>
      </w:tr>
      <w:tr w:rsidR="00667466" w:rsidRPr="003B6A69" w14:paraId="08D10A74" w14:textId="77777777" w:rsidTr="00361190">
        <w:tc>
          <w:tcPr>
            <w:tcW w:w="2078" w:type="dxa"/>
            <w:shd w:val="clear" w:color="auto" w:fill="auto"/>
          </w:tcPr>
          <w:p w14:paraId="2EF8FF5A" w14:textId="77777777" w:rsidR="00667466" w:rsidRPr="003B6A69" w:rsidRDefault="00667466" w:rsidP="00667466">
            <w:pPr>
              <w:tabs>
                <w:tab w:val="left" w:pos="426"/>
              </w:tabs>
              <w:spacing w:after="120"/>
              <w:rPr>
                <w:rFonts w:cs="Calibri"/>
                <w:bCs/>
                <w:szCs w:val="20"/>
              </w:rPr>
            </w:pPr>
            <w:r w:rsidRPr="003B6A69">
              <w:rPr>
                <w:szCs w:val="20"/>
              </w:rPr>
              <w:t xml:space="preserve">MESPU </w:t>
            </w:r>
            <w:r w:rsidRPr="003B6A69">
              <w:rPr>
                <w:rFonts w:cs="Calibri"/>
                <w:bCs/>
                <w:szCs w:val="20"/>
              </w:rPr>
              <w:t xml:space="preserve">Directorate for Spatial Planning </w:t>
            </w:r>
          </w:p>
        </w:tc>
        <w:tc>
          <w:tcPr>
            <w:tcW w:w="2332" w:type="dxa"/>
            <w:shd w:val="clear" w:color="auto" w:fill="auto"/>
          </w:tcPr>
          <w:p w14:paraId="2168E41B" w14:textId="77777777" w:rsidR="00667466" w:rsidRPr="003B6A69" w:rsidRDefault="00667466" w:rsidP="00667466">
            <w:pPr>
              <w:tabs>
                <w:tab w:val="left" w:pos="426"/>
              </w:tabs>
              <w:spacing w:after="120"/>
              <w:rPr>
                <w:rFonts w:cs="Calibri"/>
                <w:bCs/>
                <w:szCs w:val="20"/>
              </w:rPr>
            </w:pPr>
            <w:r w:rsidRPr="003B6A69">
              <w:rPr>
                <w:rFonts w:asciiTheme="minorHAnsi" w:eastAsiaTheme="minorHAnsi" w:hAnsiTheme="minorHAnsi" w:cstheme="minorHAnsi"/>
                <w:szCs w:val="20"/>
                <w:lang w:val="en-GB" w:bidi="en-US"/>
              </w:rPr>
              <w:t>Development of Spatial Plan of Montenegro and General Regulation Plan. S</w:t>
            </w:r>
            <w:proofErr w:type="spellStart"/>
            <w:r w:rsidRPr="003B6A69">
              <w:rPr>
                <w:szCs w:val="20"/>
              </w:rPr>
              <w:t>trategic</w:t>
            </w:r>
            <w:proofErr w:type="spellEnd"/>
            <w:r w:rsidRPr="003B6A69">
              <w:rPr>
                <w:szCs w:val="20"/>
              </w:rPr>
              <w:t xml:space="preserve"> spatial planning, development of documentation related to </w:t>
            </w:r>
            <w:r w:rsidRPr="003B6A69">
              <w:rPr>
                <w:szCs w:val="20"/>
              </w:rPr>
              <w:lastRenderedPageBreak/>
              <w:t>the use and development of space, issuing opinions and approvals for local spatial plans</w:t>
            </w:r>
          </w:p>
        </w:tc>
        <w:tc>
          <w:tcPr>
            <w:tcW w:w="5580" w:type="dxa"/>
            <w:shd w:val="clear" w:color="auto" w:fill="auto"/>
          </w:tcPr>
          <w:p w14:paraId="5003B36E" w14:textId="77777777" w:rsidR="00667466" w:rsidRPr="003B6A69" w:rsidRDefault="00667466" w:rsidP="00667466">
            <w:pPr>
              <w:tabs>
                <w:tab w:val="left" w:pos="426"/>
              </w:tabs>
              <w:spacing w:after="120"/>
              <w:rPr>
                <w:rFonts w:cs="Calibri"/>
                <w:bCs/>
                <w:szCs w:val="20"/>
                <w:lang w:val="en-GB"/>
              </w:rPr>
            </w:pPr>
            <w:r w:rsidRPr="003B6A69">
              <w:rPr>
                <w:rFonts w:cs="Calibri"/>
                <w:bCs/>
                <w:szCs w:val="20"/>
              </w:rPr>
              <w:lastRenderedPageBreak/>
              <w:t xml:space="preserve">The project experts will work together with the </w:t>
            </w:r>
            <w:r w:rsidRPr="003B6A69">
              <w:rPr>
                <w:rFonts w:cs="Calibri"/>
                <w:bCs/>
                <w:szCs w:val="20"/>
                <w:lang w:val="en-GB"/>
              </w:rPr>
              <w:t xml:space="preserve">MESPU Spatial Planning Directorate core team responsible for the elaboration and synthesis of the new Spatial Plan of Montenegro, specifically for the section related to spatial planning for the protection of nature and cultural heritage in the </w:t>
            </w:r>
            <w:proofErr w:type="gramStart"/>
            <w:r w:rsidRPr="003B6A69">
              <w:rPr>
                <w:rFonts w:cs="Calibri"/>
                <w:bCs/>
                <w:szCs w:val="20"/>
                <w:lang w:val="en-GB"/>
              </w:rPr>
              <w:t>future Plan</w:t>
            </w:r>
            <w:proofErr w:type="gramEnd"/>
            <w:r w:rsidRPr="003B6A69">
              <w:rPr>
                <w:rFonts w:cs="Calibri"/>
                <w:bCs/>
                <w:szCs w:val="20"/>
                <w:lang w:val="en-GB"/>
              </w:rPr>
              <w:t xml:space="preserve">. The joint objective would be to emphasize the necessity for assigning the national </w:t>
            </w:r>
            <w:r w:rsidRPr="003B6A69">
              <w:rPr>
                <w:rFonts w:cs="Calibri"/>
                <w:bCs/>
                <w:szCs w:val="20"/>
                <w:lang w:val="en-GB"/>
              </w:rPr>
              <w:lastRenderedPageBreak/>
              <w:t xml:space="preserve">protection status of the internationally recognized KBAs is adequately reflected in the main strategic framework document related to spatial planning and land use in Montenegro. </w:t>
            </w:r>
          </w:p>
          <w:p w14:paraId="390751B6" w14:textId="77777777" w:rsidR="00667466" w:rsidRPr="003B6A69" w:rsidRDefault="00667466" w:rsidP="00667466">
            <w:pPr>
              <w:tabs>
                <w:tab w:val="left" w:pos="426"/>
              </w:tabs>
              <w:spacing w:after="120"/>
              <w:rPr>
                <w:rFonts w:cs="Calibri"/>
                <w:bCs/>
                <w:szCs w:val="20"/>
                <w:lang w:val="en-GB"/>
              </w:rPr>
            </w:pPr>
            <w:r w:rsidRPr="003B6A69">
              <w:rPr>
                <w:rFonts w:cs="Calibri"/>
                <w:bCs/>
                <w:szCs w:val="20"/>
                <w:lang w:val="en-GB"/>
              </w:rPr>
              <w:t xml:space="preserve">The Directorate will be consulted to make sure that the draft Spatial Plan for 2021-2031 should further develop the concept of corridors important for biodiversity conservation. </w:t>
            </w:r>
          </w:p>
          <w:p w14:paraId="68D68948" w14:textId="2C084600" w:rsidR="00667466" w:rsidRPr="003B6A69" w:rsidRDefault="00667466" w:rsidP="00667466">
            <w:pPr>
              <w:tabs>
                <w:tab w:val="left" w:pos="426"/>
              </w:tabs>
              <w:spacing w:after="120"/>
              <w:rPr>
                <w:rFonts w:cs="Calibri"/>
                <w:bCs/>
                <w:szCs w:val="20"/>
                <w:lang w:val="en-GB"/>
              </w:rPr>
            </w:pPr>
            <w:r w:rsidRPr="003B6A69">
              <w:rPr>
                <w:rFonts w:cs="Calibri"/>
                <w:bCs/>
                <w:szCs w:val="20"/>
                <w:lang w:val="en-GB"/>
              </w:rPr>
              <w:t>The project will be guided by the Directorate in its effort to provide a BD mainstreaming dimension and content to the new General Regulation Plan</w:t>
            </w:r>
            <w:r w:rsidR="00511523" w:rsidRPr="003B6A69">
              <w:rPr>
                <w:rFonts w:cs="Calibri"/>
                <w:bCs/>
                <w:szCs w:val="20"/>
                <w:lang w:val="en-GB"/>
              </w:rPr>
              <w:t>.</w:t>
            </w:r>
          </w:p>
          <w:p w14:paraId="095D8B04" w14:textId="77777777" w:rsidR="00667466" w:rsidRPr="003B6A69" w:rsidRDefault="00667466" w:rsidP="00667466">
            <w:pPr>
              <w:tabs>
                <w:tab w:val="left" w:pos="426"/>
              </w:tabs>
              <w:spacing w:after="120"/>
              <w:rPr>
                <w:rFonts w:cs="Calibri"/>
                <w:bCs/>
                <w:iCs/>
                <w:szCs w:val="20"/>
                <w:lang w:val="sr-Latn-ME"/>
              </w:rPr>
            </w:pPr>
            <w:r w:rsidRPr="003B6A69">
              <w:rPr>
                <w:rFonts w:cs="Calibri"/>
                <w:bCs/>
                <w:iCs/>
                <w:szCs w:val="20"/>
                <w:lang w:val="sr-Latn-ME"/>
              </w:rPr>
              <w:t xml:space="preserve">The Directorate will also be the focal point for the project effort on particular local spatial plans/territorial plans of Municipalities to include unprotected KBAs.  </w:t>
            </w:r>
          </w:p>
          <w:p w14:paraId="64AAD598" w14:textId="77777777" w:rsidR="00667466" w:rsidRPr="003B6A69" w:rsidRDefault="00667466" w:rsidP="00667466">
            <w:pPr>
              <w:tabs>
                <w:tab w:val="left" w:pos="426"/>
              </w:tabs>
              <w:spacing w:after="120"/>
              <w:rPr>
                <w:rFonts w:cs="Calibri"/>
                <w:bCs/>
                <w:szCs w:val="20"/>
                <w:lang w:val="en-GB"/>
              </w:rPr>
            </w:pPr>
            <w:r w:rsidRPr="003B6A69">
              <w:rPr>
                <w:bCs/>
                <w:szCs w:val="20"/>
                <w:lang w:val="en-GB"/>
              </w:rPr>
              <w:t>The Directorate will represent MESPU in the work of the Project Partnership Committee.</w:t>
            </w:r>
          </w:p>
        </w:tc>
      </w:tr>
      <w:tr w:rsidR="00667466" w:rsidRPr="003B6A69" w14:paraId="38C77D03" w14:textId="77777777" w:rsidTr="00361190">
        <w:tc>
          <w:tcPr>
            <w:tcW w:w="2078" w:type="dxa"/>
            <w:shd w:val="clear" w:color="auto" w:fill="auto"/>
          </w:tcPr>
          <w:p w14:paraId="568ABCA3" w14:textId="77777777" w:rsidR="00667466" w:rsidRPr="003B6A69" w:rsidRDefault="00667466" w:rsidP="00667466">
            <w:pPr>
              <w:tabs>
                <w:tab w:val="left" w:pos="426"/>
              </w:tabs>
              <w:spacing w:after="120"/>
              <w:rPr>
                <w:rFonts w:cs="Calibri"/>
                <w:bCs/>
                <w:szCs w:val="20"/>
              </w:rPr>
            </w:pPr>
            <w:r w:rsidRPr="003B6A69">
              <w:rPr>
                <w:szCs w:val="20"/>
              </w:rPr>
              <w:lastRenderedPageBreak/>
              <w:t>Directorate for Tourism, Ministry of Economic Development - MED (previously Directorate for Development of Tourist Destination and Tourism Infrastructure in the Ministry of Sustainable Development and Tourism)</w:t>
            </w:r>
          </w:p>
        </w:tc>
        <w:tc>
          <w:tcPr>
            <w:tcW w:w="2332" w:type="dxa"/>
            <w:shd w:val="clear" w:color="auto" w:fill="auto"/>
          </w:tcPr>
          <w:p w14:paraId="23739168" w14:textId="77777777" w:rsidR="00667466" w:rsidRPr="003B6A69" w:rsidRDefault="00667466" w:rsidP="00667466">
            <w:pPr>
              <w:tabs>
                <w:tab w:val="left" w:pos="426"/>
              </w:tabs>
              <w:spacing w:after="120"/>
              <w:rPr>
                <w:rFonts w:cs="Calibri"/>
                <w:bCs/>
                <w:szCs w:val="20"/>
              </w:rPr>
            </w:pPr>
            <w:r w:rsidRPr="003B6A69">
              <w:rPr>
                <w:rFonts w:asciiTheme="minorHAnsi" w:eastAsiaTheme="minorHAnsi" w:hAnsiTheme="minorHAnsi" w:cstheme="minorHAnsi"/>
                <w:szCs w:val="20"/>
                <w:lang w:val="en-GB" w:bidi="en-US"/>
              </w:rPr>
              <w:t xml:space="preserve">Development of regulatory and strategic framework in the field of tourism, development of tourism destinations and tourism infrastructure. </w:t>
            </w:r>
            <w:r w:rsidRPr="003B6A69">
              <w:rPr>
                <w:szCs w:val="20"/>
              </w:rPr>
              <w:t xml:space="preserve"> Nature-based tourism development</w:t>
            </w:r>
          </w:p>
        </w:tc>
        <w:tc>
          <w:tcPr>
            <w:tcW w:w="5580" w:type="dxa"/>
            <w:shd w:val="clear" w:color="auto" w:fill="auto"/>
          </w:tcPr>
          <w:p w14:paraId="239E149B" w14:textId="28B64DF3" w:rsidR="00667466" w:rsidRPr="003B6A69" w:rsidRDefault="00667466" w:rsidP="00667466">
            <w:pPr>
              <w:tabs>
                <w:tab w:val="left" w:pos="426"/>
              </w:tabs>
              <w:spacing w:after="120"/>
              <w:rPr>
                <w:rFonts w:cs="Calibri"/>
                <w:bCs/>
                <w:szCs w:val="20"/>
                <w:lang w:val="en-GB"/>
              </w:rPr>
            </w:pPr>
            <w:r w:rsidRPr="003B6A69">
              <w:rPr>
                <w:rFonts w:cs="Calibri"/>
                <w:bCs/>
                <w:szCs w:val="20"/>
                <w:lang w:val="en-GB"/>
              </w:rPr>
              <w:t xml:space="preserve">MED will cooperate with the project to promote BD mainstreaming into sectoral policy and regulatory framework used to plan, </w:t>
            </w:r>
            <w:proofErr w:type="gramStart"/>
            <w:r w:rsidRPr="003B6A69">
              <w:rPr>
                <w:rFonts w:cs="Calibri"/>
                <w:bCs/>
                <w:szCs w:val="20"/>
                <w:lang w:val="en-GB"/>
              </w:rPr>
              <w:t>license</w:t>
            </w:r>
            <w:proofErr w:type="gramEnd"/>
            <w:r w:rsidRPr="003B6A69">
              <w:rPr>
                <w:rFonts w:cs="Calibri"/>
                <w:bCs/>
                <w:szCs w:val="20"/>
                <w:lang w:val="en-GB"/>
              </w:rPr>
              <w:t xml:space="preserve"> and oversee tourism and related real estate development. The project will work directly with the MED </w:t>
            </w:r>
            <w:proofErr w:type="spellStart"/>
            <w:r w:rsidRPr="003B6A69">
              <w:rPr>
                <w:rFonts w:cs="Calibri"/>
                <w:bCs/>
                <w:szCs w:val="20"/>
                <w:lang w:val="en-GB"/>
              </w:rPr>
              <w:t>Direcrtorate</w:t>
            </w:r>
            <w:proofErr w:type="spellEnd"/>
            <w:r w:rsidRPr="003B6A69">
              <w:rPr>
                <w:rFonts w:cs="Calibri"/>
                <w:bCs/>
                <w:szCs w:val="20"/>
                <w:lang w:val="en-GB"/>
              </w:rPr>
              <w:t xml:space="preserve"> for Tourism in the development of best-practice standards for sustainable tourism and nature-based BD</w:t>
            </w:r>
            <w:r w:rsidR="00A75B9B" w:rsidRPr="003B6A69">
              <w:rPr>
                <w:rFonts w:cs="Calibri"/>
                <w:bCs/>
                <w:szCs w:val="20"/>
                <w:lang w:val="en-GB"/>
              </w:rPr>
              <w:t>-</w:t>
            </w:r>
            <w:r w:rsidRPr="003B6A69">
              <w:rPr>
                <w:rFonts w:cs="Calibri"/>
                <w:bCs/>
                <w:szCs w:val="20"/>
                <w:lang w:val="en-GB"/>
              </w:rPr>
              <w:t xml:space="preserve">friendly tourism. The project experts will outreach the MED specialists and </w:t>
            </w:r>
            <w:proofErr w:type="spellStart"/>
            <w:r w:rsidRPr="003B6A69">
              <w:rPr>
                <w:rFonts w:cs="Calibri"/>
                <w:bCs/>
                <w:szCs w:val="20"/>
                <w:lang w:val="en-GB"/>
              </w:rPr>
              <w:t>associataed</w:t>
            </w:r>
            <w:proofErr w:type="spellEnd"/>
            <w:r w:rsidRPr="003B6A69">
              <w:rPr>
                <w:rFonts w:cs="Calibri"/>
                <w:bCs/>
                <w:szCs w:val="20"/>
                <w:lang w:val="en-GB"/>
              </w:rPr>
              <w:t xml:space="preserve"> experts to make sure that the project increment for an introduction of a biodiversity-sensitive dimension to the existing mechanisms within the national voluntary certification system and verification mechanisms for hotels and tourism operators is responsive to the priorities set by the Government. </w:t>
            </w:r>
          </w:p>
          <w:p w14:paraId="02893F47" w14:textId="4978F8D4" w:rsidR="00667466" w:rsidRPr="003B6A69" w:rsidRDefault="00667466" w:rsidP="00667466">
            <w:pPr>
              <w:tabs>
                <w:tab w:val="left" w:pos="426"/>
              </w:tabs>
              <w:spacing w:after="120"/>
              <w:rPr>
                <w:rFonts w:cs="Calibri"/>
                <w:bCs/>
                <w:szCs w:val="20"/>
              </w:rPr>
            </w:pPr>
            <w:r w:rsidRPr="003B6A69">
              <w:rPr>
                <w:rFonts w:cs="Calibri"/>
                <w:bCs/>
                <w:szCs w:val="20"/>
                <w:lang w:val="en-GB"/>
              </w:rPr>
              <w:t xml:space="preserve">At the request of the MED and MESPU, the project will support the Government with an </w:t>
            </w:r>
            <w:r w:rsidRPr="003B6A69">
              <w:rPr>
                <w:rFonts w:cs="Calibri"/>
                <w:bCs/>
                <w:szCs w:val="20"/>
              </w:rPr>
              <w:t xml:space="preserve">assessment and evaluation of how the COVID-19 crisis has affected the tourism sector so far. The MESPU and MED will share the economic recovery and development plans and make sure that the project-born expertise is of use for </w:t>
            </w:r>
            <w:r w:rsidR="00A75B9B" w:rsidRPr="003B6A69">
              <w:rPr>
                <w:rFonts w:cs="Calibri"/>
                <w:bCs/>
                <w:szCs w:val="20"/>
              </w:rPr>
              <w:t xml:space="preserve">the </w:t>
            </w:r>
            <w:r w:rsidRPr="003B6A69">
              <w:rPr>
                <w:rFonts w:cs="Calibri"/>
                <w:bCs/>
                <w:szCs w:val="20"/>
              </w:rPr>
              <w:t>preparation and implementation of such plans with due account of increased environmental pressure and possible biodiversity loss associated with the speedy recovery measures. The MESPU, MED</w:t>
            </w:r>
            <w:r w:rsidR="00A75B9B" w:rsidRPr="003B6A69">
              <w:rPr>
                <w:rFonts w:cs="Calibri"/>
                <w:bCs/>
                <w:szCs w:val="20"/>
              </w:rPr>
              <w:t>,</w:t>
            </w:r>
            <w:r w:rsidRPr="003B6A69">
              <w:rPr>
                <w:rFonts w:cs="Calibri"/>
                <w:bCs/>
                <w:szCs w:val="20"/>
              </w:rPr>
              <w:t xml:space="preserve"> and the project will work together to make sure that the economic incentives and on-the-ground support measures are environmentally sensitive and do not impose additional risks of biodiversity loss.</w:t>
            </w:r>
          </w:p>
          <w:p w14:paraId="664D2669" w14:textId="40EEBF79" w:rsidR="00667466" w:rsidRPr="003B6A69" w:rsidRDefault="00667466" w:rsidP="00667466">
            <w:pPr>
              <w:tabs>
                <w:tab w:val="left" w:pos="426"/>
              </w:tabs>
              <w:spacing w:after="120"/>
              <w:rPr>
                <w:rFonts w:cs="Calibri"/>
                <w:bCs/>
                <w:szCs w:val="20"/>
                <w:lang w:val="en-GB"/>
              </w:rPr>
            </w:pPr>
            <w:r w:rsidRPr="003B6A69">
              <w:rPr>
                <w:bCs/>
                <w:szCs w:val="20"/>
                <w:lang w:val="en-GB"/>
              </w:rPr>
              <w:t xml:space="preserve">The MED representative </w:t>
            </w:r>
            <w:r w:rsidR="00A75B9B" w:rsidRPr="003B6A69">
              <w:rPr>
                <w:bCs/>
                <w:szCs w:val="20"/>
                <w:lang w:val="en-GB"/>
              </w:rPr>
              <w:t xml:space="preserve">will </w:t>
            </w:r>
            <w:r w:rsidRPr="003B6A69">
              <w:rPr>
                <w:bCs/>
                <w:szCs w:val="20"/>
                <w:lang w:val="en-GB"/>
              </w:rPr>
              <w:t xml:space="preserve">participate in the work of the Project Steering Committee. </w:t>
            </w:r>
          </w:p>
        </w:tc>
      </w:tr>
      <w:tr w:rsidR="00667466" w:rsidRPr="003B6A69" w14:paraId="62297BCB" w14:textId="77777777" w:rsidTr="00361190">
        <w:tc>
          <w:tcPr>
            <w:tcW w:w="2078" w:type="dxa"/>
            <w:tcBorders>
              <w:top w:val="single" w:sz="4" w:space="0" w:color="auto"/>
              <w:left w:val="single" w:sz="4" w:space="0" w:color="auto"/>
              <w:bottom w:val="single" w:sz="4" w:space="0" w:color="auto"/>
              <w:right w:val="single" w:sz="4" w:space="0" w:color="auto"/>
            </w:tcBorders>
            <w:shd w:val="clear" w:color="auto" w:fill="auto"/>
          </w:tcPr>
          <w:p w14:paraId="5813B807" w14:textId="77777777" w:rsidR="00667466" w:rsidRPr="003B6A69" w:rsidRDefault="00667466" w:rsidP="00667466">
            <w:pPr>
              <w:tabs>
                <w:tab w:val="left" w:pos="426"/>
              </w:tabs>
              <w:spacing w:after="120"/>
              <w:rPr>
                <w:szCs w:val="20"/>
                <w:lang w:val="en-GB"/>
              </w:rPr>
            </w:pPr>
            <w:r w:rsidRPr="003B6A69">
              <w:rPr>
                <w:szCs w:val="20"/>
              </w:rPr>
              <w:t xml:space="preserve">Ministry of </w:t>
            </w:r>
            <w:r w:rsidRPr="003B6A69">
              <w:rPr>
                <w:szCs w:val="20"/>
                <w:lang w:val="en-GB"/>
              </w:rPr>
              <w:t xml:space="preserve">Agriculture, Forestry and Water </w:t>
            </w:r>
            <w:proofErr w:type="gramStart"/>
            <w:r w:rsidRPr="003B6A69">
              <w:rPr>
                <w:szCs w:val="20"/>
                <w:lang w:val="en-GB"/>
              </w:rPr>
              <w:t>Management  -</w:t>
            </w:r>
            <w:proofErr w:type="gramEnd"/>
            <w:r w:rsidRPr="003B6A69">
              <w:rPr>
                <w:szCs w:val="20"/>
                <w:lang w:val="en-GB"/>
              </w:rPr>
              <w:t xml:space="preserve"> MAFWM, previously Ministry</w:t>
            </w:r>
            <w:r w:rsidRPr="003B6A69">
              <w:rPr>
                <w:szCs w:val="20"/>
              </w:rPr>
              <w:t xml:space="preserve"> of Agriculture and Rural Development</w:t>
            </w:r>
          </w:p>
        </w:tc>
        <w:tc>
          <w:tcPr>
            <w:tcW w:w="2332" w:type="dxa"/>
            <w:tcBorders>
              <w:top w:val="single" w:sz="4" w:space="0" w:color="auto"/>
              <w:left w:val="single" w:sz="4" w:space="0" w:color="auto"/>
              <w:bottom w:val="single" w:sz="4" w:space="0" w:color="auto"/>
              <w:right w:val="single" w:sz="4" w:space="0" w:color="auto"/>
            </w:tcBorders>
            <w:shd w:val="clear" w:color="auto" w:fill="auto"/>
          </w:tcPr>
          <w:p w14:paraId="0787B984" w14:textId="77777777" w:rsidR="00667466" w:rsidRPr="003B6A69" w:rsidRDefault="00667466" w:rsidP="00667466">
            <w:pPr>
              <w:tabs>
                <w:tab w:val="left" w:pos="426"/>
              </w:tabs>
              <w:spacing w:after="120"/>
              <w:rPr>
                <w:szCs w:val="20"/>
              </w:rPr>
            </w:pPr>
            <w:r w:rsidRPr="003B6A69">
              <w:rPr>
                <w:szCs w:val="20"/>
              </w:rPr>
              <w:t xml:space="preserve">The Ministry is responsible for agrarian and rural development policies; proposing and constituting systemic solutions in agriculture and taking measures for their implementation; protection, utilization and promotion of agricultural land; plant production; </w:t>
            </w:r>
            <w:r w:rsidRPr="003B6A69">
              <w:rPr>
                <w:szCs w:val="20"/>
              </w:rPr>
              <w:lastRenderedPageBreak/>
              <w:t>animal husbandry; organic production; freshwater fisheries and aquaculture; forestry development policy; systematic solutions for forest and forest land management and protection; conservation, economic use and enhancement of forests; monitoring of forest management planning; licensing of professional forestry jobs.</w:t>
            </w:r>
          </w:p>
        </w:tc>
        <w:tc>
          <w:tcPr>
            <w:tcW w:w="5580" w:type="dxa"/>
            <w:tcBorders>
              <w:top w:val="single" w:sz="4" w:space="0" w:color="auto"/>
              <w:left w:val="single" w:sz="4" w:space="0" w:color="auto"/>
              <w:bottom w:val="single" w:sz="4" w:space="0" w:color="auto"/>
              <w:right w:val="single" w:sz="4" w:space="0" w:color="auto"/>
            </w:tcBorders>
            <w:shd w:val="clear" w:color="auto" w:fill="auto"/>
          </w:tcPr>
          <w:p w14:paraId="7CE4AFAD" w14:textId="77777777" w:rsidR="00667466" w:rsidRPr="003B6A69" w:rsidRDefault="00667466" w:rsidP="00667466">
            <w:pPr>
              <w:tabs>
                <w:tab w:val="left" w:pos="426"/>
              </w:tabs>
              <w:spacing w:after="120"/>
              <w:rPr>
                <w:rFonts w:cs="Calibri"/>
                <w:bCs/>
                <w:szCs w:val="20"/>
              </w:rPr>
            </w:pPr>
            <w:r w:rsidRPr="003B6A69">
              <w:rPr>
                <w:rFonts w:cs="Calibri"/>
                <w:bCs/>
                <w:szCs w:val="20"/>
              </w:rPr>
              <w:lastRenderedPageBreak/>
              <w:t xml:space="preserve">The </w:t>
            </w:r>
            <w:r w:rsidRPr="003B6A69">
              <w:rPr>
                <w:szCs w:val="20"/>
              </w:rPr>
              <w:t xml:space="preserve">Ministry of </w:t>
            </w:r>
            <w:r w:rsidRPr="003B6A69">
              <w:rPr>
                <w:szCs w:val="20"/>
                <w:lang w:val="en-GB"/>
              </w:rPr>
              <w:t>Agriculture, Forestry and Water Management</w:t>
            </w:r>
            <w:r w:rsidRPr="003B6A69">
              <w:rPr>
                <w:rFonts w:cs="Calibri"/>
                <w:bCs/>
                <w:szCs w:val="20"/>
              </w:rPr>
              <w:t xml:space="preserve"> is a key development partner for the project. The project Outcomes 4 and 5 on BD mainstreaming into forestry and agriculture will be planned in implemented in coordination with the relevant initiatives of the Ministry. MAFWM will secure synergies and coordination between the project and initiatives within the Ministry. The Ministry will design/enforce policy measures in support of project </w:t>
            </w:r>
            <w:proofErr w:type="spellStart"/>
            <w:r w:rsidRPr="003B6A69">
              <w:rPr>
                <w:rFonts w:cs="Calibri"/>
                <w:bCs/>
                <w:szCs w:val="20"/>
              </w:rPr>
              <w:t>endeavours</w:t>
            </w:r>
            <w:proofErr w:type="spellEnd"/>
            <w:r w:rsidRPr="003B6A69">
              <w:rPr>
                <w:rFonts w:cs="Calibri"/>
                <w:bCs/>
                <w:szCs w:val="20"/>
              </w:rPr>
              <w:t xml:space="preserve"> and ensure parallel co-financing for </w:t>
            </w:r>
            <w:proofErr w:type="spellStart"/>
            <w:r w:rsidRPr="003B6A69">
              <w:rPr>
                <w:rFonts w:cs="Calibri"/>
                <w:bCs/>
                <w:szCs w:val="20"/>
              </w:rPr>
              <w:t>agro</w:t>
            </w:r>
            <w:proofErr w:type="spellEnd"/>
            <w:r w:rsidRPr="003B6A69">
              <w:rPr>
                <w:rFonts w:cs="Calibri"/>
                <w:bCs/>
                <w:szCs w:val="20"/>
              </w:rPr>
              <w:t xml:space="preserve">-environmental subsidies and BD-sensitive </w:t>
            </w:r>
            <w:proofErr w:type="spellStart"/>
            <w:r w:rsidRPr="003B6A69">
              <w:rPr>
                <w:rFonts w:cs="Calibri"/>
                <w:bCs/>
                <w:szCs w:val="20"/>
              </w:rPr>
              <w:t>agro</w:t>
            </w:r>
            <w:proofErr w:type="spellEnd"/>
            <w:r w:rsidRPr="003B6A69">
              <w:rPr>
                <w:rFonts w:cs="Calibri"/>
                <w:bCs/>
                <w:szCs w:val="20"/>
              </w:rPr>
              <w:t xml:space="preserve">-environmental practices, and implementation of the National </w:t>
            </w:r>
            <w:r w:rsidRPr="003B6A69">
              <w:rPr>
                <w:rFonts w:cs="Calibri"/>
                <w:bCs/>
                <w:szCs w:val="20"/>
              </w:rPr>
              <w:lastRenderedPageBreak/>
              <w:t>Forest Management Policy where it concerns ecosystem services of the protection forests.</w:t>
            </w:r>
          </w:p>
          <w:p w14:paraId="6C347EEC" w14:textId="2234525C" w:rsidR="00667466" w:rsidRPr="003B6A69" w:rsidRDefault="00667466" w:rsidP="00667466">
            <w:pPr>
              <w:tabs>
                <w:tab w:val="left" w:pos="426"/>
              </w:tabs>
              <w:spacing w:after="120"/>
              <w:rPr>
                <w:rFonts w:cs="Calibri"/>
                <w:bCs/>
                <w:szCs w:val="20"/>
              </w:rPr>
            </w:pPr>
            <w:r w:rsidRPr="003B6A69">
              <w:rPr>
                <w:szCs w:val="20"/>
              </w:rPr>
              <w:t xml:space="preserve">The Ministry will be represented in the Project Steering Committee, will coordinate project activities in the agriculture and forestry sectors, assist the project with cross-sectoral communication, provide technical expertise through its personnel and networks, facilitate access to sites and locations, address logistical issues, </w:t>
            </w:r>
            <w:proofErr w:type="gramStart"/>
            <w:r w:rsidRPr="003B6A69">
              <w:rPr>
                <w:szCs w:val="20"/>
              </w:rPr>
              <w:t>e.g.</w:t>
            </w:r>
            <w:proofErr w:type="gramEnd"/>
            <w:r w:rsidRPr="003B6A69">
              <w:rPr>
                <w:szCs w:val="20"/>
              </w:rPr>
              <w:t xml:space="preserve"> through </w:t>
            </w:r>
            <w:r w:rsidR="00A75B9B" w:rsidRPr="003B6A69">
              <w:rPr>
                <w:szCs w:val="20"/>
              </w:rPr>
              <w:t xml:space="preserve">the </w:t>
            </w:r>
            <w:r w:rsidRPr="003B6A69">
              <w:rPr>
                <w:szCs w:val="20"/>
              </w:rPr>
              <w:t>organization of meetings and provision of relevant facilities, and support project management and regular project reporting.</w:t>
            </w:r>
          </w:p>
          <w:p w14:paraId="34F62656" w14:textId="77777777" w:rsidR="00667466" w:rsidRPr="003B6A69" w:rsidRDefault="00667466" w:rsidP="00667466">
            <w:pPr>
              <w:tabs>
                <w:tab w:val="left" w:pos="426"/>
              </w:tabs>
              <w:spacing w:after="120"/>
              <w:rPr>
                <w:rFonts w:cs="Calibri"/>
                <w:bCs/>
                <w:szCs w:val="20"/>
              </w:rPr>
            </w:pPr>
          </w:p>
        </w:tc>
      </w:tr>
      <w:tr w:rsidR="00667466" w:rsidRPr="003B6A69" w14:paraId="56E71C2F" w14:textId="77777777" w:rsidTr="00361190">
        <w:tc>
          <w:tcPr>
            <w:tcW w:w="2078" w:type="dxa"/>
            <w:tcBorders>
              <w:top w:val="single" w:sz="4" w:space="0" w:color="auto"/>
              <w:left w:val="single" w:sz="4" w:space="0" w:color="auto"/>
              <w:bottom w:val="single" w:sz="4" w:space="0" w:color="auto"/>
              <w:right w:val="single" w:sz="4" w:space="0" w:color="auto"/>
            </w:tcBorders>
            <w:shd w:val="clear" w:color="auto" w:fill="auto"/>
          </w:tcPr>
          <w:p w14:paraId="6C7F10AE" w14:textId="77777777" w:rsidR="00667466" w:rsidRPr="003B6A69" w:rsidRDefault="00667466" w:rsidP="00667466">
            <w:pPr>
              <w:tabs>
                <w:tab w:val="left" w:pos="426"/>
              </w:tabs>
              <w:spacing w:after="120"/>
              <w:rPr>
                <w:szCs w:val="20"/>
              </w:rPr>
            </w:pPr>
            <w:r w:rsidRPr="003B6A69">
              <w:rPr>
                <w:szCs w:val="20"/>
                <w:lang w:val="en-GB"/>
              </w:rPr>
              <w:lastRenderedPageBreak/>
              <w:t>MAFWM Directorate for Agriculture</w:t>
            </w:r>
          </w:p>
        </w:tc>
        <w:tc>
          <w:tcPr>
            <w:tcW w:w="2332" w:type="dxa"/>
            <w:tcBorders>
              <w:top w:val="single" w:sz="4" w:space="0" w:color="auto"/>
              <w:left w:val="single" w:sz="4" w:space="0" w:color="auto"/>
              <w:bottom w:val="single" w:sz="4" w:space="0" w:color="auto"/>
              <w:right w:val="single" w:sz="4" w:space="0" w:color="auto"/>
            </w:tcBorders>
            <w:shd w:val="clear" w:color="auto" w:fill="auto"/>
          </w:tcPr>
          <w:p w14:paraId="61AFDFAA" w14:textId="77777777" w:rsidR="00667466" w:rsidRPr="003B6A69" w:rsidRDefault="00667466" w:rsidP="00667466">
            <w:pPr>
              <w:tabs>
                <w:tab w:val="left" w:pos="426"/>
              </w:tabs>
              <w:spacing w:after="120"/>
              <w:rPr>
                <w:szCs w:val="20"/>
              </w:rPr>
            </w:pPr>
            <w:r w:rsidRPr="003B6A69">
              <w:rPr>
                <w:szCs w:val="20"/>
              </w:rPr>
              <w:t xml:space="preserve">The Directorate carries out activities in support to strengthening the competitiveness of food producers; sustainable management of agricultural resources; improving the quality of life and expanding economic activity in rural areas; application of modern technology in agriculture, proposing measures and analyzing their impact on the economic position and economic conditions of entities in the field of agriculture and </w:t>
            </w:r>
            <w:proofErr w:type="spellStart"/>
            <w:r w:rsidRPr="003B6A69">
              <w:rPr>
                <w:szCs w:val="20"/>
              </w:rPr>
              <w:t>agro</w:t>
            </w:r>
            <w:proofErr w:type="spellEnd"/>
            <w:r w:rsidRPr="003B6A69">
              <w:rPr>
                <w:szCs w:val="20"/>
              </w:rPr>
              <w:t>-industry.</w:t>
            </w:r>
          </w:p>
        </w:tc>
        <w:tc>
          <w:tcPr>
            <w:tcW w:w="5580" w:type="dxa"/>
            <w:tcBorders>
              <w:top w:val="single" w:sz="4" w:space="0" w:color="auto"/>
              <w:left w:val="single" w:sz="4" w:space="0" w:color="auto"/>
              <w:bottom w:val="single" w:sz="4" w:space="0" w:color="auto"/>
              <w:right w:val="single" w:sz="4" w:space="0" w:color="auto"/>
            </w:tcBorders>
            <w:shd w:val="clear" w:color="auto" w:fill="auto"/>
          </w:tcPr>
          <w:p w14:paraId="332471B9" w14:textId="77777777" w:rsidR="00667466" w:rsidRPr="003B6A69" w:rsidRDefault="00667466" w:rsidP="00667466">
            <w:pPr>
              <w:tabs>
                <w:tab w:val="left" w:pos="426"/>
              </w:tabs>
              <w:spacing w:after="120"/>
              <w:rPr>
                <w:bCs/>
                <w:szCs w:val="20"/>
                <w:lang w:val="en-GB"/>
              </w:rPr>
            </w:pPr>
            <w:proofErr w:type="gramStart"/>
            <w:r w:rsidRPr="003B6A69">
              <w:rPr>
                <w:bCs/>
                <w:szCs w:val="20"/>
                <w:lang w:val="en-GB"/>
              </w:rPr>
              <w:t>Specifically</w:t>
            </w:r>
            <w:proofErr w:type="gramEnd"/>
            <w:r w:rsidRPr="003B6A69">
              <w:rPr>
                <w:bCs/>
                <w:szCs w:val="20"/>
                <w:lang w:val="en-GB"/>
              </w:rPr>
              <w:t xml:space="preserve"> for Outcome 5, the project will work with the Directorate for Agriculture and Department for the Register of Agricultural Holdings. </w:t>
            </w:r>
          </w:p>
          <w:p w14:paraId="182B8E71" w14:textId="4C485F40" w:rsidR="00667466" w:rsidRPr="003B6A69" w:rsidRDefault="00667466" w:rsidP="00667466">
            <w:pPr>
              <w:tabs>
                <w:tab w:val="left" w:pos="426"/>
              </w:tabs>
              <w:spacing w:after="120"/>
              <w:rPr>
                <w:bCs/>
                <w:szCs w:val="20"/>
                <w:lang w:val="en-GB"/>
              </w:rPr>
            </w:pPr>
            <w:r w:rsidRPr="003B6A69">
              <w:rPr>
                <w:bCs/>
                <w:szCs w:val="20"/>
                <w:lang w:val="en-GB"/>
              </w:rPr>
              <w:t>MAFWM will be partnering with the project for the development of a finance scheme for the top-up “green” payments to farmers.</w:t>
            </w:r>
            <w:r w:rsidRPr="003B6A69">
              <w:rPr>
                <w:rFonts w:asciiTheme="minorHAnsi" w:eastAsiaTheme="minorHAnsi" w:hAnsiTheme="minorHAnsi" w:cstheme="minorBidi"/>
                <w:szCs w:val="20"/>
              </w:rPr>
              <w:t xml:space="preserve"> MAFWM and MESPU will be responsible for choosing a transparent, efficient</w:t>
            </w:r>
            <w:r w:rsidR="00A75B9B" w:rsidRPr="003B6A69">
              <w:rPr>
                <w:rFonts w:asciiTheme="minorHAnsi" w:eastAsiaTheme="minorHAnsi" w:hAnsiTheme="minorHAnsi" w:cstheme="minorBidi"/>
                <w:szCs w:val="20"/>
              </w:rPr>
              <w:t>,</w:t>
            </w:r>
            <w:r w:rsidRPr="003B6A69">
              <w:rPr>
                <w:rFonts w:asciiTheme="minorHAnsi" w:eastAsiaTheme="minorHAnsi" w:hAnsiTheme="minorHAnsi" w:cstheme="minorBidi"/>
                <w:szCs w:val="20"/>
              </w:rPr>
              <w:t xml:space="preserve"> and effective mechanism for incremental </w:t>
            </w:r>
            <w:proofErr w:type="spellStart"/>
            <w:r w:rsidRPr="003B6A69">
              <w:rPr>
                <w:rFonts w:asciiTheme="minorHAnsi" w:eastAsiaTheme="minorHAnsi" w:hAnsiTheme="minorHAnsi" w:cstheme="minorBidi"/>
                <w:szCs w:val="20"/>
              </w:rPr>
              <w:t>agro</w:t>
            </w:r>
            <w:proofErr w:type="spellEnd"/>
            <w:r w:rsidRPr="003B6A69">
              <w:rPr>
                <w:rFonts w:asciiTheme="minorHAnsi" w:eastAsiaTheme="minorHAnsi" w:hAnsiTheme="minorHAnsi" w:cstheme="minorBidi"/>
                <w:szCs w:val="20"/>
              </w:rPr>
              <w:t xml:space="preserve">-environmental subsidies to be supported by the project. </w:t>
            </w:r>
            <w:r w:rsidRPr="003B6A69">
              <w:rPr>
                <w:bCs/>
                <w:szCs w:val="20"/>
              </w:rPr>
              <w:t xml:space="preserve">The </w:t>
            </w:r>
            <w:r w:rsidRPr="003B6A69">
              <w:rPr>
                <w:bCs/>
                <w:szCs w:val="20"/>
                <w:lang w:val="en-GB"/>
              </w:rPr>
              <w:t xml:space="preserve">Directorate for Agriculture and Department for the Register of Agricultural Holdings will help the project identify the partners and detail content for piloting the </w:t>
            </w:r>
            <w:proofErr w:type="spellStart"/>
            <w:r w:rsidRPr="003B6A69">
              <w:rPr>
                <w:bCs/>
                <w:szCs w:val="20"/>
                <w:lang w:val="en-GB"/>
              </w:rPr>
              <w:t>agro</w:t>
            </w:r>
            <w:proofErr w:type="spellEnd"/>
            <w:r w:rsidRPr="003B6A69">
              <w:rPr>
                <w:bCs/>
                <w:szCs w:val="20"/>
                <w:lang w:val="en-GB"/>
              </w:rPr>
              <w:t>-environmental measures.</w:t>
            </w:r>
          </w:p>
          <w:p w14:paraId="5A043C6C" w14:textId="77777777" w:rsidR="00667466" w:rsidRPr="003B6A69" w:rsidRDefault="00667466" w:rsidP="00667466">
            <w:pPr>
              <w:tabs>
                <w:tab w:val="left" w:pos="426"/>
              </w:tabs>
              <w:spacing w:after="120"/>
              <w:rPr>
                <w:rFonts w:cs="Calibri"/>
                <w:bCs/>
                <w:szCs w:val="20"/>
                <w:lang w:val="en-GB"/>
              </w:rPr>
            </w:pPr>
            <w:r w:rsidRPr="003B6A69">
              <w:rPr>
                <w:bCs/>
                <w:szCs w:val="20"/>
                <w:lang w:val="en-GB"/>
              </w:rPr>
              <w:t xml:space="preserve">The Directorate will represent </w:t>
            </w:r>
            <w:r w:rsidRPr="003B6A69">
              <w:rPr>
                <w:rFonts w:asciiTheme="minorHAnsi" w:eastAsiaTheme="minorHAnsi" w:hAnsiTheme="minorHAnsi" w:cstheme="minorBidi"/>
                <w:szCs w:val="20"/>
              </w:rPr>
              <w:t>MAFWM</w:t>
            </w:r>
            <w:r w:rsidRPr="003B6A69">
              <w:rPr>
                <w:bCs/>
                <w:szCs w:val="20"/>
                <w:lang w:val="en-GB"/>
              </w:rPr>
              <w:t xml:space="preserve"> in the work of the Project Partnership Committee.</w:t>
            </w:r>
          </w:p>
          <w:p w14:paraId="6F8EDDFD" w14:textId="77777777" w:rsidR="00667466" w:rsidRPr="003B6A69" w:rsidRDefault="00667466" w:rsidP="00667466">
            <w:pPr>
              <w:tabs>
                <w:tab w:val="left" w:pos="426"/>
              </w:tabs>
              <w:spacing w:after="120"/>
              <w:rPr>
                <w:rFonts w:cs="Calibri"/>
                <w:bCs/>
                <w:szCs w:val="20"/>
              </w:rPr>
            </w:pPr>
          </w:p>
        </w:tc>
      </w:tr>
      <w:tr w:rsidR="00667466" w:rsidRPr="003B6A69" w14:paraId="559829B8" w14:textId="77777777" w:rsidTr="00361190">
        <w:tc>
          <w:tcPr>
            <w:tcW w:w="2078" w:type="dxa"/>
            <w:tcBorders>
              <w:top w:val="single" w:sz="4" w:space="0" w:color="auto"/>
              <w:left w:val="single" w:sz="4" w:space="0" w:color="auto"/>
              <w:bottom w:val="single" w:sz="4" w:space="0" w:color="auto"/>
              <w:right w:val="single" w:sz="4" w:space="0" w:color="auto"/>
            </w:tcBorders>
            <w:shd w:val="clear" w:color="auto" w:fill="auto"/>
          </w:tcPr>
          <w:p w14:paraId="7B3118DA" w14:textId="77777777" w:rsidR="00667466" w:rsidRPr="003B6A69" w:rsidRDefault="00667466" w:rsidP="00667466">
            <w:pPr>
              <w:tabs>
                <w:tab w:val="left" w:pos="426"/>
              </w:tabs>
              <w:spacing w:after="120"/>
              <w:rPr>
                <w:szCs w:val="20"/>
                <w:lang w:val="en-GB"/>
              </w:rPr>
            </w:pPr>
            <w:r w:rsidRPr="003B6A69">
              <w:rPr>
                <w:szCs w:val="20"/>
                <w:lang w:val="en-GB"/>
              </w:rPr>
              <w:t>MAFWM Directorate for Payments</w:t>
            </w:r>
          </w:p>
        </w:tc>
        <w:tc>
          <w:tcPr>
            <w:tcW w:w="2332" w:type="dxa"/>
            <w:tcBorders>
              <w:top w:val="single" w:sz="4" w:space="0" w:color="auto"/>
              <w:left w:val="single" w:sz="4" w:space="0" w:color="auto"/>
              <w:bottom w:val="single" w:sz="4" w:space="0" w:color="auto"/>
              <w:right w:val="single" w:sz="4" w:space="0" w:color="auto"/>
            </w:tcBorders>
            <w:shd w:val="clear" w:color="auto" w:fill="auto"/>
          </w:tcPr>
          <w:p w14:paraId="259364F9" w14:textId="77777777" w:rsidR="00667466" w:rsidRPr="003B6A69" w:rsidRDefault="00667466" w:rsidP="00667466">
            <w:pPr>
              <w:tabs>
                <w:tab w:val="left" w:pos="426"/>
              </w:tabs>
              <w:spacing w:after="120"/>
              <w:rPr>
                <w:szCs w:val="20"/>
              </w:rPr>
            </w:pPr>
            <w:r w:rsidRPr="003B6A69">
              <w:rPr>
                <w:szCs w:val="20"/>
              </w:rPr>
              <w:t>Directorate for Payments, or the Paying Agency is responsible for the management of funds channeled from the European Agricultural Fund (EAGF) and the European Agricultural Fund for Rural Development (EAFRD). Currently, the Payments Directorate is responsible for the implementation of rural development support measures.</w:t>
            </w:r>
          </w:p>
        </w:tc>
        <w:tc>
          <w:tcPr>
            <w:tcW w:w="5580" w:type="dxa"/>
            <w:tcBorders>
              <w:top w:val="single" w:sz="4" w:space="0" w:color="auto"/>
              <w:left w:val="single" w:sz="4" w:space="0" w:color="auto"/>
              <w:bottom w:val="single" w:sz="4" w:space="0" w:color="auto"/>
              <w:right w:val="single" w:sz="4" w:space="0" w:color="auto"/>
            </w:tcBorders>
            <w:shd w:val="clear" w:color="auto" w:fill="auto"/>
          </w:tcPr>
          <w:p w14:paraId="22956F03" w14:textId="77777777" w:rsidR="00667466" w:rsidRPr="003B6A69" w:rsidRDefault="00667466" w:rsidP="00667466">
            <w:pPr>
              <w:tabs>
                <w:tab w:val="left" w:pos="426"/>
              </w:tabs>
              <w:spacing w:after="120"/>
              <w:rPr>
                <w:bCs/>
                <w:szCs w:val="20"/>
                <w:lang w:val="en-GB"/>
              </w:rPr>
            </w:pPr>
            <w:r w:rsidRPr="003B6A69">
              <w:rPr>
                <w:bCs/>
                <w:szCs w:val="20"/>
                <w:lang w:val="en-GB"/>
              </w:rPr>
              <w:t>The project will partner with the Directorate for the implementation of the project Outcome 5 and will rely of the Directorate’s capacities and resources to secure coordination, information and experience exchange between the agricultural producers applying green business practices, and agricultural or rural tourism businesses eligible for “greening” funding</w:t>
            </w:r>
          </w:p>
          <w:p w14:paraId="59D095AA" w14:textId="77777777" w:rsidR="00667466" w:rsidRPr="003B6A69" w:rsidRDefault="00667466" w:rsidP="00667466">
            <w:pPr>
              <w:tabs>
                <w:tab w:val="left" w:pos="426"/>
              </w:tabs>
              <w:spacing w:after="120"/>
              <w:rPr>
                <w:bCs/>
                <w:szCs w:val="20"/>
                <w:lang w:val="en-GB"/>
              </w:rPr>
            </w:pPr>
            <w:r w:rsidRPr="003B6A69">
              <w:rPr>
                <w:bCs/>
                <w:szCs w:val="20"/>
                <w:lang w:val="en-GB"/>
              </w:rPr>
              <w:t xml:space="preserve">The Directorate valuable data sets regarding past support programs, good </w:t>
            </w:r>
            <w:proofErr w:type="gramStart"/>
            <w:r w:rsidRPr="003B6A69">
              <w:rPr>
                <w:bCs/>
                <w:szCs w:val="20"/>
                <w:lang w:val="en-GB"/>
              </w:rPr>
              <w:t>practices</w:t>
            </w:r>
            <w:proofErr w:type="gramEnd"/>
            <w:r w:rsidRPr="003B6A69">
              <w:rPr>
                <w:bCs/>
                <w:szCs w:val="20"/>
                <w:lang w:val="en-GB"/>
              </w:rPr>
              <w:t xml:space="preserve"> and contacts database, combined with information provided by IDF and ECO fund will secure precise mapping of users’ profiles, spatial distribution, investment priorities for precise and effective project support program design.</w:t>
            </w:r>
          </w:p>
          <w:p w14:paraId="320A70DA" w14:textId="77777777" w:rsidR="00667466" w:rsidRPr="003B6A69" w:rsidRDefault="00667466" w:rsidP="00667466">
            <w:pPr>
              <w:tabs>
                <w:tab w:val="left" w:pos="426"/>
              </w:tabs>
              <w:spacing w:after="120"/>
              <w:rPr>
                <w:bCs/>
                <w:szCs w:val="20"/>
                <w:lang w:val="en-GB"/>
              </w:rPr>
            </w:pPr>
            <w:r w:rsidRPr="003B6A69">
              <w:rPr>
                <w:bCs/>
                <w:szCs w:val="20"/>
                <w:lang w:val="en-GB"/>
              </w:rPr>
              <w:t>The Directorate will take part in the work of the Partnership Committee.</w:t>
            </w:r>
          </w:p>
        </w:tc>
      </w:tr>
      <w:tr w:rsidR="00667466" w:rsidRPr="003B6A69" w14:paraId="57D9429D" w14:textId="77777777" w:rsidTr="00361190">
        <w:tc>
          <w:tcPr>
            <w:tcW w:w="2078" w:type="dxa"/>
            <w:tcBorders>
              <w:top w:val="single" w:sz="4" w:space="0" w:color="auto"/>
              <w:left w:val="single" w:sz="4" w:space="0" w:color="auto"/>
              <w:bottom w:val="single" w:sz="4" w:space="0" w:color="auto"/>
              <w:right w:val="single" w:sz="4" w:space="0" w:color="auto"/>
            </w:tcBorders>
            <w:shd w:val="clear" w:color="auto" w:fill="auto"/>
          </w:tcPr>
          <w:p w14:paraId="49855F78" w14:textId="77777777" w:rsidR="00667466" w:rsidRPr="003B6A69" w:rsidRDefault="00667466" w:rsidP="00667466">
            <w:pPr>
              <w:tabs>
                <w:tab w:val="left" w:pos="426"/>
              </w:tabs>
              <w:spacing w:after="120"/>
              <w:rPr>
                <w:szCs w:val="20"/>
                <w:lang w:val="en-GB"/>
              </w:rPr>
            </w:pPr>
            <w:r w:rsidRPr="003B6A69">
              <w:rPr>
                <w:szCs w:val="20"/>
                <w:lang w:val="en-GB"/>
              </w:rPr>
              <w:t>MAFWM Directorate for Forestry</w:t>
            </w:r>
          </w:p>
          <w:p w14:paraId="1CAC6074" w14:textId="77777777" w:rsidR="00667466" w:rsidRPr="003B6A69" w:rsidRDefault="00667466" w:rsidP="00667466">
            <w:pPr>
              <w:tabs>
                <w:tab w:val="left" w:pos="426"/>
              </w:tabs>
              <w:spacing w:after="120"/>
              <w:rPr>
                <w:szCs w:val="20"/>
              </w:rPr>
            </w:pPr>
          </w:p>
        </w:tc>
        <w:tc>
          <w:tcPr>
            <w:tcW w:w="2332" w:type="dxa"/>
            <w:tcBorders>
              <w:top w:val="single" w:sz="4" w:space="0" w:color="auto"/>
              <w:left w:val="single" w:sz="4" w:space="0" w:color="auto"/>
              <w:bottom w:val="single" w:sz="4" w:space="0" w:color="auto"/>
              <w:right w:val="single" w:sz="4" w:space="0" w:color="auto"/>
            </w:tcBorders>
            <w:shd w:val="clear" w:color="auto" w:fill="auto"/>
          </w:tcPr>
          <w:p w14:paraId="1BFCFE29" w14:textId="77777777" w:rsidR="00667466" w:rsidRPr="003B6A69" w:rsidRDefault="00667466" w:rsidP="00667466">
            <w:pPr>
              <w:tabs>
                <w:tab w:val="left" w:pos="426"/>
              </w:tabs>
              <w:spacing w:after="120"/>
              <w:rPr>
                <w:szCs w:val="20"/>
              </w:rPr>
            </w:pPr>
            <w:r w:rsidRPr="003B6A69">
              <w:rPr>
                <w:szCs w:val="20"/>
              </w:rPr>
              <w:lastRenderedPageBreak/>
              <w:t xml:space="preserve">The Directorate is responsible for the forestry policy; forest </w:t>
            </w:r>
            <w:r w:rsidRPr="003B6A69">
              <w:rPr>
                <w:szCs w:val="20"/>
              </w:rPr>
              <w:lastRenderedPageBreak/>
              <w:t>conservation; improvement and use of forests and wildlife; implementation of forest and wildlife protection measures; control of seeds and planting material in forestry; inspection supervision in the field of forestry and hunting.</w:t>
            </w:r>
          </w:p>
          <w:p w14:paraId="53AF3154" w14:textId="77777777" w:rsidR="00667466" w:rsidRPr="003B6A69" w:rsidRDefault="00667466" w:rsidP="00667466">
            <w:pPr>
              <w:tabs>
                <w:tab w:val="left" w:pos="426"/>
              </w:tabs>
              <w:spacing w:after="120"/>
              <w:rPr>
                <w:szCs w:val="20"/>
              </w:rPr>
            </w:pPr>
          </w:p>
        </w:tc>
        <w:tc>
          <w:tcPr>
            <w:tcW w:w="5580" w:type="dxa"/>
            <w:tcBorders>
              <w:top w:val="single" w:sz="4" w:space="0" w:color="auto"/>
              <w:left w:val="single" w:sz="4" w:space="0" w:color="auto"/>
              <w:bottom w:val="single" w:sz="4" w:space="0" w:color="auto"/>
              <w:right w:val="single" w:sz="4" w:space="0" w:color="auto"/>
            </w:tcBorders>
            <w:shd w:val="clear" w:color="auto" w:fill="auto"/>
          </w:tcPr>
          <w:p w14:paraId="03043378" w14:textId="6B39B1A8" w:rsidR="00667466" w:rsidRPr="003B6A69" w:rsidRDefault="00667466" w:rsidP="00667466">
            <w:pPr>
              <w:tabs>
                <w:tab w:val="left" w:pos="426"/>
              </w:tabs>
              <w:spacing w:after="120"/>
              <w:rPr>
                <w:rFonts w:cs="Calibri"/>
                <w:bCs/>
                <w:szCs w:val="20"/>
                <w:lang w:val="en-GB"/>
              </w:rPr>
            </w:pPr>
            <w:r w:rsidRPr="003B6A69">
              <w:rPr>
                <w:rFonts w:cs="Calibri"/>
                <w:bCs/>
                <w:szCs w:val="20"/>
              </w:rPr>
              <w:lastRenderedPageBreak/>
              <w:t xml:space="preserve">The project will work with the MAFWM Directorate for Forestry within the project Outcome 4. The Directorate will provide sustainability and upscale to the project work on the development </w:t>
            </w:r>
            <w:r w:rsidRPr="003B6A69">
              <w:rPr>
                <w:rFonts w:cs="Calibri"/>
                <w:bCs/>
                <w:szCs w:val="20"/>
              </w:rPr>
              <w:lastRenderedPageBreak/>
              <w:t xml:space="preserve">of best-practice standards for mainstreaming biodiversity-friendly forestry practices. The Directorate will ensure synergies and the administrative resource for the project work at the development and promotion of mechanisms to ensure that the production of non-timber forest products is increased, and NTFP benefits are tailored to generate local economic and community benefits. The Department will lead the effort to establish associations of harvesters of non-timber products and foresters. The Department will engage with the project experts for the </w:t>
            </w:r>
            <w:r w:rsidRPr="003B6A69">
              <w:rPr>
                <w:rFonts w:cs="Calibri"/>
                <w:bCs/>
                <w:szCs w:val="20"/>
                <w:lang w:val="en-GB"/>
              </w:rPr>
              <w:t>development of practical implementation and enforcement measures to support the NTFP regulations, develop amendments to the existing regulations, and make sure that the applied practice is not contradictory to other sectoral regulations. The project will support the D</w:t>
            </w:r>
            <w:r w:rsidR="00D0729D" w:rsidRPr="003B6A69">
              <w:rPr>
                <w:rFonts w:cs="Calibri"/>
                <w:bCs/>
                <w:szCs w:val="20"/>
                <w:lang w:val="en-GB"/>
              </w:rPr>
              <w:t>irectorate</w:t>
            </w:r>
            <w:r w:rsidRPr="003B6A69">
              <w:rPr>
                <w:rFonts w:cs="Calibri"/>
                <w:bCs/>
                <w:szCs w:val="20"/>
                <w:lang w:val="en-GB"/>
              </w:rPr>
              <w:t xml:space="preserve"> in their work with the private forest owners and testing of the private incentive models. </w:t>
            </w:r>
          </w:p>
          <w:p w14:paraId="53372ECD" w14:textId="0F7AED33" w:rsidR="00667466" w:rsidRPr="003B6A69" w:rsidRDefault="00667466" w:rsidP="00667466">
            <w:pPr>
              <w:tabs>
                <w:tab w:val="left" w:pos="426"/>
              </w:tabs>
              <w:spacing w:after="120"/>
              <w:rPr>
                <w:bCs/>
                <w:szCs w:val="20"/>
                <w:lang w:val="en-GB"/>
              </w:rPr>
            </w:pPr>
            <w:r w:rsidRPr="003B6A69">
              <w:rPr>
                <w:bCs/>
                <w:szCs w:val="20"/>
                <w:lang w:val="en-GB"/>
              </w:rPr>
              <w:t xml:space="preserve">The Directorate will provide guidance, validate project deliverables, </w:t>
            </w:r>
            <w:proofErr w:type="gramStart"/>
            <w:r w:rsidRPr="003B6A69">
              <w:rPr>
                <w:bCs/>
                <w:szCs w:val="20"/>
                <w:lang w:val="en-GB"/>
              </w:rPr>
              <w:t>enable</w:t>
            </w:r>
            <w:proofErr w:type="gramEnd"/>
            <w:r w:rsidRPr="003B6A69">
              <w:rPr>
                <w:bCs/>
                <w:szCs w:val="20"/>
                <w:lang w:val="en-GB"/>
              </w:rPr>
              <w:t xml:space="preserve"> and coordinate project activities, assist the project with cross-sectoral communication, provide technical expertise, facilitate access to forest owners, promote project results, address logistical issues</w:t>
            </w:r>
            <w:r w:rsidR="00A75B9B" w:rsidRPr="003B6A69">
              <w:rPr>
                <w:bCs/>
                <w:szCs w:val="20"/>
                <w:lang w:val="en-GB"/>
              </w:rPr>
              <w:t>,</w:t>
            </w:r>
            <w:r w:rsidRPr="003B6A69">
              <w:rPr>
                <w:bCs/>
                <w:szCs w:val="20"/>
                <w:lang w:val="en-GB"/>
              </w:rPr>
              <w:t xml:space="preserve"> and support overall project management within the Outcome 4.</w:t>
            </w:r>
          </w:p>
          <w:p w14:paraId="070B4EC3" w14:textId="77777777" w:rsidR="00667466" w:rsidRPr="003B6A69" w:rsidRDefault="00667466" w:rsidP="00667466">
            <w:pPr>
              <w:tabs>
                <w:tab w:val="left" w:pos="426"/>
              </w:tabs>
              <w:spacing w:after="120"/>
              <w:rPr>
                <w:rFonts w:cs="Calibri"/>
                <w:bCs/>
                <w:szCs w:val="20"/>
                <w:lang w:val="en-GB"/>
              </w:rPr>
            </w:pPr>
            <w:r w:rsidRPr="003B6A69">
              <w:rPr>
                <w:bCs/>
                <w:szCs w:val="20"/>
                <w:lang w:val="en-GB"/>
              </w:rPr>
              <w:t xml:space="preserve">The Directorate will represent </w:t>
            </w:r>
            <w:r w:rsidRPr="003B6A69">
              <w:rPr>
                <w:rFonts w:asciiTheme="minorHAnsi" w:eastAsiaTheme="minorHAnsi" w:hAnsiTheme="minorHAnsi" w:cstheme="minorBidi"/>
                <w:szCs w:val="20"/>
              </w:rPr>
              <w:t>MAFWM</w:t>
            </w:r>
            <w:r w:rsidRPr="003B6A69">
              <w:rPr>
                <w:bCs/>
                <w:szCs w:val="20"/>
                <w:lang w:val="en-GB"/>
              </w:rPr>
              <w:t xml:space="preserve"> in the work of the Project Partnership Committee.</w:t>
            </w:r>
          </w:p>
        </w:tc>
      </w:tr>
      <w:tr w:rsidR="00667466" w:rsidRPr="003B6A69" w14:paraId="67F850BE" w14:textId="77777777" w:rsidTr="00361190">
        <w:tc>
          <w:tcPr>
            <w:tcW w:w="2078" w:type="dxa"/>
            <w:tcBorders>
              <w:top w:val="single" w:sz="4" w:space="0" w:color="auto"/>
              <w:left w:val="single" w:sz="4" w:space="0" w:color="auto"/>
              <w:bottom w:val="single" w:sz="4" w:space="0" w:color="auto"/>
              <w:right w:val="single" w:sz="4" w:space="0" w:color="auto"/>
            </w:tcBorders>
            <w:shd w:val="clear" w:color="auto" w:fill="auto"/>
          </w:tcPr>
          <w:p w14:paraId="44DD6E95" w14:textId="77777777" w:rsidR="00667466" w:rsidRPr="003B6A69" w:rsidRDefault="00667466" w:rsidP="00667466">
            <w:pPr>
              <w:tabs>
                <w:tab w:val="left" w:pos="426"/>
              </w:tabs>
              <w:spacing w:after="120"/>
              <w:rPr>
                <w:szCs w:val="20"/>
                <w:lang w:val="en-GB"/>
              </w:rPr>
            </w:pPr>
            <w:r w:rsidRPr="003B6A69">
              <w:rPr>
                <w:szCs w:val="20"/>
                <w:lang w:val="en-GB"/>
              </w:rPr>
              <w:lastRenderedPageBreak/>
              <w:t>Forestry Administration</w:t>
            </w:r>
          </w:p>
        </w:tc>
        <w:tc>
          <w:tcPr>
            <w:tcW w:w="2332" w:type="dxa"/>
            <w:tcBorders>
              <w:top w:val="single" w:sz="4" w:space="0" w:color="auto"/>
              <w:left w:val="single" w:sz="4" w:space="0" w:color="auto"/>
              <w:bottom w:val="single" w:sz="4" w:space="0" w:color="auto"/>
              <w:right w:val="single" w:sz="4" w:space="0" w:color="auto"/>
            </w:tcBorders>
            <w:shd w:val="clear" w:color="auto" w:fill="auto"/>
          </w:tcPr>
          <w:p w14:paraId="7DE81308" w14:textId="10805067" w:rsidR="00667466" w:rsidRPr="003B6A69" w:rsidRDefault="00667466" w:rsidP="00A75B9B">
            <w:pPr>
              <w:tabs>
                <w:tab w:val="left" w:pos="426"/>
              </w:tabs>
              <w:spacing w:after="120"/>
              <w:rPr>
                <w:color w:val="FF0000"/>
                <w:szCs w:val="20"/>
              </w:rPr>
            </w:pPr>
            <w:r w:rsidRPr="003B6A69">
              <w:rPr>
                <w:szCs w:val="20"/>
              </w:rPr>
              <w:t xml:space="preserve">The Forestry Administration is the Governmental body responsible for forest management and protection, preparation of management plans and </w:t>
            </w:r>
            <w:proofErr w:type="spellStart"/>
            <w:r w:rsidRPr="003B6A69">
              <w:rPr>
                <w:szCs w:val="20"/>
              </w:rPr>
              <w:t>programmes</w:t>
            </w:r>
            <w:proofErr w:type="spellEnd"/>
            <w:r w:rsidRPr="003B6A69">
              <w:rPr>
                <w:szCs w:val="20"/>
              </w:rPr>
              <w:t xml:space="preserve"> for private and state forests, development and implementation of sustainable forestry policies and practices</w:t>
            </w:r>
          </w:p>
        </w:tc>
        <w:tc>
          <w:tcPr>
            <w:tcW w:w="5580" w:type="dxa"/>
            <w:tcBorders>
              <w:top w:val="single" w:sz="4" w:space="0" w:color="auto"/>
              <w:left w:val="single" w:sz="4" w:space="0" w:color="auto"/>
              <w:bottom w:val="single" w:sz="4" w:space="0" w:color="auto"/>
              <w:right w:val="single" w:sz="4" w:space="0" w:color="auto"/>
            </w:tcBorders>
            <w:shd w:val="clear" w:color="auto" w:fill="auto"/>
          </w:tcPr>
          <w:p w14:paraId="4B2F0FFE" w14:textId="77777777" w:rsidR="00667466" w:rsidRPr="003B6A69" w:rsidRDefault="00667466" w:rsidP="00667466">
            <w:pPr>
              <w:tabs>
                <w:tab w:val="left" w:pos="426"/>
              </w:tabs>
              <w:spacing w:after="120"/>
              <w:rPr>
                <w:rFonts w:cs="Calibri"/>
                <w:bCs/>
                <w:szCs w:val="20"/>
              </w:rPr>
            </w:pPr>
            <w:r w:rsidRPr="003B6A69">
              <w:rPr>
                <w:rFonts w:cs="Calibri"/>
                <w:bCs/>
                <w:szCs w:val="20"/>
              </w:rPr>
              <w:t xml:space="preserve">The project will work with the </w:t>
            </w:r>
            <w:r w:rsidRPr="003B6A69">
              <w:rPr>
                <w:szCs w:val="20"/>
              </w:rPr>
              <w:t xml:space="preserve">Forestry Administration </w:t>
            </w:r>
            <w:r w:rsidRPr="003B6A69">
              <w:rPr>
                <w:rFonts w:cs="Calibri"/>
                <w:bCs/>
                <w:szCs w:val="20"/>
              </w:rPr>
              <w:t xml:space="preserve">within the project Outcome 4. </w:t>
            </w:r>
          </w:p>
          <w:p w14:paraId="6785674D" w14:textId="45CE2578" w:rsidR="00667466" w:rsidRPr="003B6A69" w:rsidRDefault="00667466" w:rsidP="00667466">
            <w:pPr>
              <w:tabs>
                <w:tab w:val="left" w:pos="426"/>
              </w:tabs>
              <w:spacing w:after="120"/>
              <w:rPr>
                <w:rFonts w:cs="Calibri"/>
                <w:bCs/>
                <w:szCs w:val="20"/>
              </w:rPr>
            </w:pPr>
            <w:r w:rsidRPr="003B6A69">
              <w:rPr>
                <w:rFonts w:cs="Calibri"/>
                <w:bCs/>
                <w:szCs w:val="20"/>
              </w:rPr>
              <w:t>The Administration will participate in the development of Forest Management Plans for privately-owned forests. The Administration will help outreach the private forest owners and establish partnerships. The Administration will provide guidance, advice</w:t>
            </w:r>
            <w:r w:rsidR="00A75B9B" w:rsidRPr="003B6A69">
              <w:rPr>
                <w:rFonts w:cs="Calibri"/>
                <w:bCs/>
                <w:szCs w:val="20"/>
              </w:rPr>
              <w:t>,</w:t>
            </w:r>
            <w:r w:rsidRPr="003B6A69">
              <w:rPr>
                <w:rFonts w:cs="Calibri"/>
                <w:bCs/>
                <w:szCs w:val="20"/>
              </w:rPr>
              <w:t xml:space="preserve"> and resource for the joint effort to establish associations of harvesters of non-timber products and foresters. </w:t>
            </w:r>
          </w:p>
          <w:p w14:paraId="03D8E19F" w14:textId="259930CC" w:rsidR="00667466" w:rsidRPr="003B6A69" w:rsidRDefault="00667466" w:rsidP="00667466">
            <w:pPr>
              <w:tabs>
                <w:tab w:val="left" w:pos="426"/>
              </w:tabs>
              <w:spacing w:after="120"/>
              <w:rPr>
                <w:rFonts w:cs="Calibri"/>
                <w:bCs/>
                <w:szCs w:val="20"/>
              </w:rPr>
            </w:pPr>
            <w:r w:rsidRPr="003B6A69">
              <w:rPr>
                <w:rFonts w:cs="Calibri"/>
                <w:bCs/>
                <w:szCs w:val="20"/>
                <w:lang w:val="en-GB"/>
              </w:rPr>
              <w:t xml:space="preserve">FA will provide guidance, validate project deliverables, </w:t>
            </w:r>
            <w:proofErr w:type="gramStart"/>
            <w:r w:rsidRPr="003B6A69">
              <w:rPr>
                <w:rFonts w:cs="Calibri"/>
                <w:bCs/>
                <w:szCs w:val="20"/>
                <w:lang w:val="en-GB"/>
              </w:rPr>
              <w:t>enable</w:t>
            </w:r>
            <w:proofErr w:type="gramEnd"/>
            <w:r w:rsidRPr="003B6A69">
              <w:rPr>
                <w:rFonts w:cs="Calibri"/>
                <w:bCs/>
                <w:szCs w:val="20"/>
                <w:lang w:val="en-GB"/>
              </w:rPr>
              <w:t xml:space="preserve"> and coordinate project activities, assist the project with cross-sectoral communication, provide technical expertise, facilitate access to forest owners, promote project results, address logistical issues</w:t>
            </w:r>
            <w:r w:rsidR="00A75B9B" w:rsidRPr="003B6A69">
              <w:rPr>
                <w:rFonts w:cs="Calibri"/>
                <w:bCs/>
                <w:szCs w:val="20"/>
                <w:lang w:val="en-GB"/>
              </w:rPr>
              <w:t>,</w:t>
            </w:r>
            <w:r w:rsidRPr="003B6A69">
              <w:rPr>
                <w:rFonts w:cs="Calibri"/>
                <w:bCs/>
                <w:szCs w:val="20"/>
                <w:lang w:val="en-GB"/>
              </w:rPr>
              <w:t xml:space="preserve"> and support overall project management within Output 4.</w:t>
            </w:r>
          </w:p>
          <w:p w14:paraId="325452C6" w14:textId="77777777" w:rsidR="00667466" w:rsidRPr="003B6A69" w:rsidRDefault="00667466" w:rsidP="00667466">
            <w:pPr>
              <w:tabs>
                <w:tab w:val="left" w:pos="426"/>
              </w:tabs>
              <w:spacing w:after="120"/>
              <w:rPr>
                <w:rFonts w:cs="Calibri"/>
                <w:bCs/>
                <w:szCs w:val="20"/>
              </w:rPr>
            </w:pPr>
            <w:r w:rsidRPr="003B6A69">
              <w:rPr>
                <w:rFonts w:cs="Calibri"/>
                <w:bCs/>
                <w:szCs w:val="20"/>
              </w:rPr>
              <w:t xml:space="preserve">The Administration will participate </w:t>
            </w:r>
            <w:r w:rsidRPr="003B6A69">
              <w:rPr>
                <w:bCs/>
                <w:szCs w:val="20"/>
                <w:lang w:val="en-GB"/>
              </w:rPr>
              <w:t>in the work of the Project Partnership Committee.</w:t>
            </w:r>
          </w:p>
        </w:tc>
      </w:tr>
      <w:tr w:rsidR="00667466" w:rsidRPr="003B6A69" w14:paraId="55A9CCFF" w14:textId="77777777" w:rsidTr="00361190">
        <w:tc>
          <w:tcPr>
            <w:tcW w:w="2078" w:type="dxa"/>
            <w:tcBorders>
              <w:top w:val="single" w:sz="4" w:space="0" w:color="auto"/>
              <w:left w:val="single" w:sz="4" w:space="0" w:color="auto"/>
              <w:bottom w:val="single" w:sz="4" w:space="0" w:color="auto"/>
              <w:right w:val="single" w:sz="4" w:space="0" w:color="auto"/>
            </w:tcBorders>
            <w:shd w:val="clear" w:color="auto" w:fill="auto"/>
          </w:tcPr>
          <w:p w14:paraId="3C3E688F" w14:textId="77777777" w:rsidR="00667466" w:rsidRPr="003B6A69" w:rsidRDefault="00667466" w:rsidP="00667466">
            <w:pPr>
              <w:tabs>
                <w:tab w:val="left" w:pos="426"/>
              </w:tabs>
              <w:spacing w:after="120"/>
              <w:rPr>
                <w:szCs w:val="20"/>
              </w:rPr>
            </w:pPr>
            <w:r w:rsidRPr="003B6A69">
              <w:rPr>
                <w:szCs w:val="20"/>
              </w:rPr>
              <w:t>Nature and Environment Protection Agency (NEPA)</w:t>
            </w:r>
          </w:p>
        </w:tc>
        <w:tc>
          <w:tcPr>
            <w:tcW w:w="2332" w:type="dxa"/>
            <w:tcBorders>
              <w:top w:val="single" w:sz="4" w:space="0" w:color="auto"/>
              <w:left w:val="single" w:sz="4" w:space="0" w:color="auto"/>
              <w:bottom w:val="single" w:sz="4" w:space="0" w:color="auto"/>
              <w:right w:val="single" w:sz="4" w:space="0" w:color="auto"/>
            </w:tcBorders>
            <w:shd w:val="clear" w:color="auto" w:fill="auto"/>
          </w:tcPr>
          <w:p w14:paraId="413E0021" w14:textId="77777777" w:rsidR="00667466" w:rsidRPr="003B6A69" w:rsidRDefault="00667466" w:rsidP="00667466">
            <w:pPr>
              <w:tabs>
                <w:tab w:val="left" w:pos="426"/>
              </w:tabs>
              <w:spacing w:after="120"/>
              <w:rPr>
                <w:szCs w:val="20"/>
              </w:rPr>
            </w:pPr>
            <w:r w:rsidRPr="003B6A69">
              <w:rPr>
                <w:szCs w:val="20"/>
              </w:rPr>
              <w:t xml:space="preserve">Nature and Environment Protection Agency has numerous competencies related to nature protection, such as monitoring of the state of habitats and species, preparation and maintenance of the database on the environment (including biodiversity); review and issuance of consents for </w:t>
            </w:r>
            <w:r w:rsidRPr="003B6A69">
              <w:rPr>
                <w:szCs w:val="20"/>
              </w:rPr>
              <w:lastRenderedPageBreak/>
              <w:t>Strategic Environmental Assessment (SEA) and the Environmental Impact Assessment (EIA) studies; approvals for the collection, use, breeding, keeping and trafficking of wild animal species; use of protected wild herbs and fungi; approvals for scientific and educational research; defining measures of protection of protected species of plants, animals and fungi, and measures to protect their habitats; education activities.</w:t>
            </w:r>
          </w:p>
          <w:p w14:paraId="0297C516" w14:textId="77777777" w:rsidR="00667466" w:rsidRPr="003B6A69" w:rsidRDefault="00667466" w:rsidP="00667466">
            <w:pPr>
              <w:tabs>
                <w:tab w:val="left" w:pos="426"/>
              </w:tabs>
              <w:spacing w:after="120"/>
              <w:rPr>
                <w:szCs w:val="20"/>
              </w:rPr>
            </w:pPr>
            <w:r w:rsidRPr="003B6A69">
              <w:rPr>
                <w:szCs w:val="20"/>
                <w:lang w:val="en-GB"/>
              </w:rPr>
              <w:t xml:space="preserve">NEPA is responsible for the justification of new PA establishment, leads the preparation of PA Protection Studies, and is a focal point for Natura 2000 network as well as biodiversity monitoring. </w:t>
            </w:r>
          </w:p>
          <w:p w14:paraId="1370A154" w14:textId="77777777" w:rsidR="00667466" w:rsidRPr="003B6A69" w:rsidRDefault="00667466" w:rsidP="00667466">
            <w:pPr>
              <w:tabs>
                <w:tab w:val="left" w:pos="426"/>
              </w:tabs>
              <w:spacing w:after="120"/>
              <w:rPr>
                <w:szCs w:val="20"/>
              </w:rPr>
            </w:pPr>
          </w:p>
        </w:tc>
        <w:tc>
          <w:tcPr>
            <w:tcW w:w="5580" w:type="dxa"/>
            <w:tcBorders>
              <w:top w:val="single" w:sz="4" w:space="0" w:color="auto"/>
              <w:left w:val="single" w:sz="4" w:space="0" w:color="auto"/>
              <w:bottom w:val="single" w:sz="4" w:space="0" w:color="auto"/>
              <w:right w:val="single" w:sz="4" w:space="0" w:color="auto"/>
            </w:tcBorders>
            <w:shd w:val="clear" w:color="auto" w:fill="auto"/>
          </w:tcPr>
          <w:p w14:paraId="62E9E02B" w14:textId="77777777" w:rsidR="00667466" w:rsidRPr="003B6A69" w:rsidRDefault="00667466" w:rsidP="00667466">
            <w:pPr>
              <w:tabs>
                <w:tab w:val="left" w:pos="426"/>
              </w:tabs>
              <w:spacing w:after="120"/>
              <w:rPr>
                <w:rFonts w:cs="Calibri"/>
                <w:bCs/>
                <w:szCs w:val="20"/>
              </w:rPr>
            </w:pPr>
            <w:r w:rsidRPr="003B6A69">
              <w:rPr>
                <w:rFonts w:cs="Calibri"/>
                <w:bCs/>
                <w:szCs w:val="20"/>
              </w:rPr>
              <w:lastRenderedPageBreak/>
              <w:t xml:space="preserve">Nature and Environment Protection Agency will be engaged in project implementation where it concerns research, fieldwork, censuses, surveys and assessments, protection studies for PAs. </w:t>
            </w:r>
          </w:p>
          <w:p w14:paraId="4149BB7F" w14:textId="00F1D07D" w:rsidR="00667466" w:rsidRPr="003B6A69" w:rsidRDefault="00667466" w:rsidP="00667466">
            <w:pPr>
              <w:tabs>
                <w:tab w:val="left" w:pos="426"/>
              </w:tabs>
              <w:spacing w:after="120"/>
              <w:rPr>
                <w:rFonts w:cs="Calibri"/>
                <w:bCs/>
                <w:szCs w:val="20"/>
              </w:rPr>
            </w:pPr>
            <w:r w:rsidRPr="003B6A69">
              <w:rPr>
                <w:rFonts w:cs="Calibri"/>
                <w:bCs/>
                <w:szCs w:val="20"/>
              </w:rPr>
              <w:t xml:space="preserve">NEPA will cooperate with the project for the model Protection Study possibly associated with an upgrade of the </w:t>
            </w:r>
            <w:proofErr w:type="spellStart"/>
            <w:r w:rsidRPr="003B6A69">
              <w:rPr>
                <w:rFonts w:cs="Calibri"/>
                <w:bCs/>
                <w:szCs w:val="20"/>
              </w:rPr>
              <w:t>Dragisnica-Komarnica</w:t>
            </w:r>
            <w:proofErr w:type="spellEnd"/>
            <w:r w:rsidRPr="003B6A69">
              <w:rPr>
                <w:rFonts w:cs="Calibri"/>
                <w:bCs/>
                <w:szCs w:val="20"/>
              </w:rPr>
              <w:t xml:space="preserve"> Nature Park to a higher protection status) that would offer reliable baseline data, assessment of BD values</w:t>
            </w:r>
            <w:r w:rsidR="00A75B9B" w:rsidRPr="003B6A69">
              <w:rPr>
                <w:rFonts w:cs="Calibri"/>
                <w:bCs/>
                <w:szCs w:val="20"/>
              </w:rPr>
              <w:t>,</w:t>
            </w:r>
            <w:r w:rsidRPr="003B6A69">
              <w:rPr>
                <w:rFonts w:cs="Calibri"/>
                <w:bCs/>
                <w:szCs w:val="20"/>
              </w:rPr>
              <w:t xml:space="preserve"> and ecosystem services, threats, impacts, and justified conservation objectives and priorities. NEPA will make sure that the best practice and lessons learned from piloting a model Protection Study is replicated for similar works planned in accordance with the spatial planning framework. </w:t>
            </w:r>
          </w:p>
          <w:p w14:paraId="44AAC3DD" w14:textId="77777777" w:rsidR="00667466" w:rsidRPr="003B6A69" w:rsidRDefault="00667466" w:rsidP="00667466">
            <w:pPr>
              <w:tabs>
                <w:tab w:val="left" w:pos="426"/>
              </w:tabs>
              <w:spacing w:after="120"/>
              <w:rPr>
                <w:rFonts w:cs="Calibri"/>
                <w:bCs/>
                <w:szCs w:val="20"/>
              </w:rPr>
            </w:pPr>
            <w:r w:rsidRPr="003B6A69">
              <w:rPr>
                <w:rFonts w:cs="Calibri"/>
                <w:bCs/>
                <w:szCs w:val="20"/>
                <w:lang w:val="en-GB"/>
              </w:rPr>
              <w:lastRenderedPageBreak/>
              <w:t xml:space="preserve">NEPA will be the key project partner for Outcome 2 and specifically for Output 2.1. for research and data collection for identification and justification of </w:t>
            </w:r>
            <w:proofErr w:type="gramStart"/>
            <w:r w:rsidRPr="003B6A69">
              <w:rPr>
                <w:rFonts w:cs="Calibri"/>
                <w:bCs/>
                <w:szCs w:val="20"/>
                <w:lang w:val="en-GB"/>
              </w:rPr>
              <w:t>hot-spots</w:t>
            </w:r>
            <w:proofErr w:type="gramEnd"/>
            <w:r w:rsidRPr="003B6A69">
              <w:rPr>
                <w:rFonts w:cs="Calibri"/>
                <w:bCs/>
                <w:szCs w:val="20"/>
                <w:lang w:val="en-GB"/>
              </w:rPr>
              <w:t xml:space="preserve"> for protection. NEPA has baseline funding for biodiversity research and justification of protection of BD and ecosystems by the national PA system. </w:t>
            </w:r>
            <w:r w:rsidRPr="003B6A69">
              <w:rPr>
                <w:rFonts w:cs="Calibri"/>
                <w:bCs/>
                <w:szCs w:val="20"/>
              </w:rPr>
              <w:t xml:space="preserve"> </w:t>
            </w:r>
          </w:p>
          <w:p w14:paraId="6628CF1F" w14:textId="77777777" w:rsidR="00667466" w:rsidRPr="003B6A69" w:rsidRDefault="00667466" w:rsidP="00667466">
            <w:pPr>
              <w:tabs>
                <w:tab w:val="left" w:pos="426"/>
              </w:tabs>
              <w:spacing w:after="120"/>
              <w:rPr>
                <w:rFonts w:cs="Calibri"/>
                <w:bCs/>
                <w:szCs w:val="20"/>
              </w:rPr>
            </w:pPr>
            <w:r w:rsidRPr="003B6A69">
              <w:rPr>
                <w:rFonts w:cs="Calibri"/>
                <w:bCs/>
                <w:szCs w:val="20"/>
              </w:rPr>
              <w:t>NEPA will ensure parallel co-financing to the project and will have a key beneficiary role for the research and BD studies required for enhanced protection of BD values through spatial planning instruments.  NEPA will partner with the project for the key activities under Outcome 2 and provide access to baseline data and input regarding the existing and planned PAs.</w:t>
            </w:r>
          </w:p>
          <w:p w14:paraId="469ED04C" w14:textId="77777777" w:rsidR="00667466" w:rsidRPr="003B6A69" w:rsidRDefault="00667466" w:rsidP="00667466">
            <w:pPr>
              <w:tabs>
                <w:tab w:val="left" w:pos="426"/>
              </w:tabs>
              <w:spacing w:after="120"/>
              <w:rPr>
                <w:rFonts w:cs="Calibri"/>
                <w:bCs/>
                <w:szCs w:val="20"/>
              </w:rPr>
            </w:pPr>
            <w:r w:rsidRPr="003B6A69">
              <w:rPr>
                <w:rFonts w:cs="Calibri"/>
                <w:bCs/>
                <w:szCs w:val="20"/>
              </w:rPr>
              <w:t>NEPA will take part in the work of the Partnership Committee.</w:t>
            </w:r>
          </w:p>
        </w:tc>
      </w:tr>
      <w:tr w:rsidR="00667466" w:rsidRPr="003B6A69" w14:paraId="6A7428A9" w14:textId="77777777" w:rsidTr="00361190">
        <w:tc>
          <w:tcPr>
            <w:tcW w:w="2078" w:type="dxa"/>
            <w:tcBorders>
              <w:top w:val="single" w:sz="4" w:space="0" w:color="auto"/>
              <w:left w:val="single" w:sz="4" w:space="0" w:color="auto"/>
              <w:bottom w:val="single" w:sz="4" w:space="0" w:color="auto"/>
              <w:right w:val="single" w:sz="4" w:space="0" w:color="auto"/>
            </w:tcBorders>
            <w:shd w:val="clear" w:color="auto" w:fill="auto"/>
          </w:tcPr>
          <w:p w14:paraId="6E2A4739" w14:textId="77777777" w:rsidR="00667466" w:rsidRPr="003B6A69" w:rsidRDefault="00667466" w:rsidP="00667466">
            <w:pPr>
              <w:tabs>
                <w:tab w:val="left" w:pos="426"/>
              </w:tabs>
              <w:spacing w:after="120"/>
              <w:rPr>
                <w:szCs w:val="20"/>
              </w:rPr>
            </w:pPr>
            <w:r w:rsidRPr="003B6A69">
              <w:rPr>
                <w:szCs w:val="20"/>
              </w:rPr>
              <w:lastRenderedPageBreak/>
              <w:t>Public Enterprise National Parks of Montenegro (PENP)</w:t>
            </w:r>
          </w:p>
          <w:p w14:paraId="66FB47D2" w14:textId="77777777" w:rsidR="00667466" w:rsidRPr="003B6A69" w:rsidRDefault="00667466" w:rsidP="00667466">
            <w:pPr>
              <w:tabs>
                <w:tab w:val="left" w:pos="426"/>
              </w:tabs>
              <w:spacing w:after="120"/>
              <w:rPr>
                <w:szCs w:val="20"/>
              </w:rPr>
            </w:pPr>
          </w:p>
        </w:tc>
        <w:tc>
          <w:tcPr>
            <w:tcW w:w="2332" w:type="dxa"/>
            <w:tcBorders>
              <w:top w:val="single" w:sz="4" w:space="0" w:color="auto"/>
              <w:left w:val="single" w:sz="4" w:space="0" w:color="auto"/>
              <w:bottom w:val="single" w:sz="4" w:space="0" w:color="auto"/>
              <w:right w:val="single" w:sz="4" w:space="0" w:color="auto"/>
            </w:tcBorders>
            <w:shd w:val="clear" w:color="auto" w:fill="auto"/>
          </w:tcPr>
          <w:p w14:paraId="50FF35B4" w14:textId="77777777" w:rsidR="00667466" w:rsidRPr="003B6A69" w:rsidRDefault="00667466" w:rsidP="00667466">
            <w:pPr>
              <w:tabs>
                <w:tab w:val="left" w:pos="426"/>
              </w:tabs>
              <w:spacing w:after="120"/>
              <w:rPr>
                <w:szCs w:val="20"/>
              </w:rPr>
            </w:pPr>
            <w:r w:rsidRPr="003B6A69">
              <w:rPr>
                <w:szCs w:val="20"/>
              </w:rPr>
              <w:t xml:space="preserve">Public Enterprise National Parks of Montenegro is responsible for managing five National Parks in Montenegro and temporarily manages the Nature Park </w:t>
            </w:r>
            <w:proofErr w:type="spellStart"/>
            <w:r w:rsidRPr="003B6A69">
              <w:rPr>
                <w:szCs w:val="20"/>
              </w:rPr>
              <w:t>Ulcinjska</w:t>
            </w:r>
            <w:proofErr w:type="spellEnd"/>
            <w:r w:rsidRPr="003B6A69">
              <w:rPr>
                <w:szCs w:val="20"/>
              </w:rPr>
              <w:t xml:space="preserve"> Salina. The agency coordinates the preparation of PA management plans that are adopted every four years, and the annual work programs. These plans and </w:t>
            </w:r>
            <w:proofErr w:type="spellStart"/>
            <w:r w:rsidRPr="003B6A69">
              <w:rPr>
                <w:szCs w:val="20"/>
              </w:rPr>
              <w:t>programmes</w:t>
            </w:r>
            <w:proofErr w:type="spellEnd"/>
            <w:r w:rsidRPr="003B6A69">
              <w:rPr>
                <w:szCs w:val="20"/>
              </w:rPr>
              <w:t xml:space="preserve"> are approved by the Government.</w:t>
            </w:r>
          </w:p>
          <w:p w14:paraId="69BC223D" w14:textId="77777777" w:rsidR="00667466" w:rsidRPr="003B6A69" w:rsidRDefault="00667466" w:rsidP="00667466">
            <w:pPr>
              <w:tabs>
                <w:tab w:val="left" w:pos="426"/>
              </w:tabs>
              <w:spacing w:after="120"/>
              <w:rPr>
                <w:szCs w:val="20"/>
              </w:rPr>
            </w:pPr>
            <w:r w:rsidRPr="003B6A69">
              <w:rPr>
                <w:szCs w:val="20"/>
              </w:rPr>
              <w:t xml:space="preserve">PENP is responsible for enforcing legislation related to nature protection, </w:t>
            </w:r>
            <w:proofErr w:type="gramStart"/>
            <w:r w:rsidRPr="003B6A69">
              <w:rPr>
                <w:szCs w:val="20"/>
              </w:rPr>
              <w:t>forestry</w:t>
            </w:r>
            <w:proofErr w:type="gramEnd"/>
            <w:r w:rsidRPr="003B6A69">
              <w:rPr>
                <w:szCs w:val="20"/>
              </w:rPr>
              <w:t xml:space="preserve"> and fishery within parks' territories. PENP has a central headquarters responsible for all five parks, as well as </w:t>
            </w:r>
            <w:r w:rsidRPr="003B6A69">
              <w:rPr>
                <w:szCs w:val="20"/>
              </w:rPr>
              <w:lastRenderedPageBreak/>
              <w:t xml:space="preserve">operational units for each of the parks individually. </w:t>
            </w:r>
          </w:p>
          <w:p w14:paraId="717A74EB" w14:textId="77777777" w:rsidR="00667466" w:rsidRPr="003B6A69" w:rsidRDefault="00667466" w:rsidP="00667466">
            <w:pPr>
              <w:tabs>
                <w:tab w:val="left" w:pos="426"/>
              </w:tabs>
              <w:spacing w:after="120"/>
              <w:rPr>
                <w:szCs w:val="20"/>
              </w:rPr>
            </w:pPr>
            <w:r w:rsidRPr="003B6A69">
              <w:rPr>
                <w:szCs w:val="20"/>
              </w:rPr>
              <w:t xml:space="preserve">PENP operates under the auspices of the </w:t>
            </w:r>
            <w:r w:rsidRPr="003B6A69">
              <w:rPr>
                <w:rFonts w:cs="Calibri"/>
                <w:bCs/>
                <w:szCs w:val="20"/>
                <w:lang w:val="en-GB"/>
              </w:rPr>
              <w:t>Ministry of Ecology, Spatial Planning and Urbanism.</w:t>
            </w:r>
          </w:p>
          <w:p w14:paraId="01E457C2" w14:textId="77777777" w:rsidR="00667466" w:rsidRPr="003B6A69" w:rsidRDefault="00667466" w:rsidP="00667466">
            <w:pPr>
              <w:tabs>
                <w:tab w:val="left" w:pos="426"/>
              </w:tabs>
              <w:spacing w:after="120"/>
              <w:rPr>
                <w:szCs w:val="20"/>
              </w:rPr>
            </w:pPr>
          </w:p>
        </w:tc>
        <w:tc>
          <w:tcPr>
            <w:tcW w:w="5580" w:type="dxa"/>
            <w:tcBorders>
              <w:top w:val="single" w:sz="4" w:space="0" w:color="auto"/>
              <w:left w:val="single" w:sz="4" w:space="0" w:color="auto"/>
              <w:bottom w:val="single" w:sz="4" w:space="0" w:color="auto"/>
              <w:right w:val="single" w:sz="4" w:space="0" w:color="auto"/>
            </w:tcBorders>
            <w:shd w:val="clear" w:color="auto" w:fill="auto"/>
          </w:tcPr>
          <w:p w14:paraId="30074EAC" w14:textId="77777777" w:rsidR="00667466" w:rsidRPr="003B6A69" w:rsidRDefault="00667466" w:rsidP="00667466">
            <w:pPr>
              <w:tabs>
                <w:tab w:val="left" w:pos="426"/>
              </w:tabs>
              <w:spacing w:after="120"/>
              <w:rPr>
                <w:rFonts w:cs="Calibri"/>
                <w:bCs/>
                <w:szCs w:val="20"/>
                <w:lang w:val="en-GB"/>
              </w:rPr>
            </w:pPr>
            <w:r w:rsidRPr="003B6A69">
              <w:rPr>
                <w:rFonts w:cs="Calibri"/>
                <w:bCs/>
                <w:szCs w:val="20"/>
              </w:rPr>
              <w:lastRenderedPageBreak/>
              <w:t>PENP</w:t>
            </w:r>
            <w:r w:rsidRPr="003B6A69">
              <w:rPr>
                <w:rFonts w:cs="Calibri"/>
                <w:bCs/>
                <w:szCs w:val="20"/>
                <w:lang w:val="en-GB"/>
              </w:rPr>
              <w:t xml:space="preserve"> will integrate the advanced PA management tools into the management practices of the three national parks, </w:t>
            </w:r>
            <w:proofErr w:type="spellStart"/>
            <w:r w:rsidRPr="003B6A69">
              <w:rPr>
                <w:rFonts w:cs="Calibri"/>
                <w:bCs/>
                <w:szCs w:val="20"/>
                <w:lang w:val="en-GB"/>
              </w:rPr>
              <w:t>Durmitor</w:t>
            </w:r>
            <w:proofErr w:type="spellEnd"/>
            <w:r w:rsidRPr="003B6A69">
              <w:rPr>
                <w:rFonts w:cs="Calibri"/>
                <w:bCs/>
                <w:szCs w:val="20"/>
                <w:lang w:val="en-GB"/>
              </w:rPr>
              <w:t xml:space="preserve">, </w:t>
            </w:r>
            <w:proofErr w:type="spellStart"/>
            <w:r w:rsidRPr="003B6A69">
              <w:rPr>
                <w:rFonts w:cs="Calibri"/>
                <w:bCs/>
                <w:szCs w:val="20"/>
                <w:lang w:val="en-GB"/>
              </w:rPr>
              <w:t>Biogradska</w:t>
            </w:r>
            <w:proofErr w:type="spellEnd"/>
            <w:r w:rsidRPr="003B6A69">
              <w:rPr>
                <w:rFonts w:cs="Calibri"/>
                <w:bCs/>
                <w:szCs w:val="20"/>
                <w:lang w:val="en-GB"/>
              </w:rPr>
              <w:t xml:space="preserve"> Gora and </w:t>
            </w:r>
            <w:proofErr w:type="spellStart"/>
            <w:r w:rsidRPr="003B6A69">
              <w:rPr>
                <w:rFonts w:cs="Calibri"/>
                <w:bCs/>
                <w:szCs w:val="20"/>
                <w:lang w:val="en-GB"/>
              </w:rPr>
              <w:t>Skadar</w:t>
            </w:r>
            <w:proofErr w:type="spellEnd"/>
            <w:r w:rsidRPr="003B6A69">
              <w:rPr>
                <w:rFonts w:cs="Calibri"/>
                <w:bCs/>
                <w:szCs w:val="20"/>
                <w:lang w:val="en-GB"/>
              </w:rPr>
              <w:t xml:space="preserve"> Lake, and will work with the Management of the national parks building capacities for the application of the instruments, tools, and mechanisms developed within the GEF project specifically for the three pilot national parks.  </w:t>
            </w:r>
          </w:p>
          <w:p w14:paraId="2361E1DF" w14:textId="57D7FEBC" w:rsidR="00667466" w:rsidRPr="003B6A69" w:rsidRDefault="00667466" w:rsidP="00667466">
            <w:pPr>
              <w:tabs>
                <w:tab w:val="left" w:pos="426"/>
              </w:tabs>
              <w:spacing w:after="120"/>
              <w:rPr>
                <w:rFonts w:cs="Calibri"/>
                <w:bCs/>
                <w:szCs w:val="20"/>
                <w:lang w:val="en-GB"/>
              </w:rPr>
            </w:pPr>
            <w:r w:rsidRPr="003B6A69">
              <w:rPr>
                <w:rFonts w:cs="Calibri"/>
                <w:bCs/>
                <w:szCs w:val="20"/>
              </w:rPr>
              <w:t xml:space="preserve">PENP will lead the project work on </w:t>
            </w:r>
            <w:r w:rsidRPr="003B6A69">
              <w:rPr>
                <w:rFonts w:cs="Calibri"/>
                <w:bCs/>
                <w:szCs w:val="20"/>
                <w:lang w:val="en-GB"/>
              </w:rPr>
              <w:t xml:space="preserve">the modifications of boundaries, reassessment of the zonation system and the management arrangements in National Park </w:t>
            </w:r>
            <w:proofErr w:type="spellStart"/>
            <w:r w:rsidRPr="003B6A69">
              <w:rPr>
                <w:rFonts w:cs="Calibri"/>
                <w:bCs/>
                <w:szCs w:val="20"/>
                <w:lang w:val="en-GB"/>
              </w:rPr>
              <w:t>Durmitor</w:t>
            </w:r>
            <w:proofErr w:type="spellEnd"/>
            <w:r w:rsidRPr="003B6A69">
              <w:rPr>
                <w:rFonts w:cs="Calibri"/>
                <w:bCs/>
                <w:szCs w:val="20"/>
                <w:lang w:val="en-GB"/>
              </w:rPr>
              <w:t xml:space="preserve">, as well as with the efforts towards </w:t>
            </w:r>
            <w:r w:rsidR="00A75B9B" w:rsidRPr="003B6A69">
              <w:rPr>
                <w:rFonts w:cs="Calibri"/>
                <w:bCs/>
                <w:szCs w:val="20"/>
                <w:lang w:val="en-GB"/>
              </w:rPr>
              <w:t xml:space="preserve">the </w:t>
            </w:r>
            <w:r w:rsidRPr="003B6A69">
              <w:rPr>
                <w:rFonts w:cs="Calibri"/>
                <w:bCs/>
                <w:szCs w:val="20"/>
                <w:lang w:val="en-GB"/>
              </w:rPr>
              <w:t xml:space="preserve">designation of the buffer zone for the UNESCO property. The project studies of acceptable ecological change and tourism carrying capacity and the threat/value assessment for </w:t>
            </w:r>
            <w:proofErr w:type="spellStart"/>
            <w:r w:rsidRPr="003B6A69">
              <w:rPr>
                <w:rFonts w:cs="Calibri"/>
                <w:bCs/>
                <w:szCs w:val="20"/>
                <w:lang w:val="en-GB"/>
              </w:rPr>
              <w:t>Durmitor</w:t>
            </w:r>
            <w:proofErr w:type="spellEnd"/>
            <w:r w:rsidRPr="003B6A69">
              <w:rPr>
                <w:rFonts w:cs="Calibri"/>
                <w:bCs/>
                <w:szCs w:val="20"/>
                <w:lang w:val="en-GB"/>
              </w:rPr>
              <w:t xml:space="preserve"> NP will be appraised by PENP and support future decision-making for the area. </w:t>
            </w:r>
          </w:p>
          <w:p w14:paraId="7D22FA21" w14:textId="77777777" w:rsidR="00667466" w:rsidRPr="003B6A69" w:rsidRDefault="00667466" w:rsidP="00667466">
            <w:pPr>
              <w:tabs>
                <w:tab w:val="left" w:pos="426"/>
              </w:tabs>
              <w:spacing w:after="120"/>
              <w:rPr>
                <w:rFonts w:cs="Calibri"/>
                <w:bCs/>
                <w:szCs w:val="20"/>
                <w:lang w:val="en-GB"/>
              </w:rPr>
            </w:pPr>
            <w:r w:rsidRPr="003B6A69">
              <w:rPr>
                <w:rFonts w:cs="Calibri"/>
                <w:bCs/>
                <w:szCs w:val="20"/>
                <w:lang w:val="en-GB"/>
              </w:rPr>
              <w:t xml:space="preserve">The project will work with PENP and the Management of the National park </w:t>
            </w:r>
            <w:proofErr w:type="spellStart"/>
            <w:r w:rsidRPr="003B6A69">
              <w:rPr>
                <w:rFonts w:cs="Calibri"/>
                <w:bCs/>
                <w:szCs w:val="20"/>
                <w:lang w:val="en-GB"/>
              </w:rPr>
              <w:t>Biogradska</w:t>
            </w:r>
            <w:proofErr w:type="spellEnd"/>
            <w:r w:rsidRPr="003B6A69">
              <w:rPr>
                <w:rFonts w:cs="Calibri"/>
                <w:bCs/>
                <w:szCs w:val="20"/>
                <w:lang w:val="en-GB"/>
              </w:rPr>
              <w:t xml:space="preserve"> Gora to include provisions for the MAB in the management </w:t>
            </w:r>
            <w:proofErr w:type="gramStart"/>
            <w:r w:rsidRPr="003B6A69">
              <w:rPr>
                <w:rFonts w:cs="Calibri"/>
                <w:bCs/>
                <w:szCs w:val="20"/>
                <w:lang w:val="en-GB"/>
              </w:rPr>
              <w:t>planning, and</w:t>
            </w:r>
            <w:proofErr w:type="gramEnd"/>
            <w:r w:rsidRPr="003B6A69">
              <w:rPr>
                <w:rFonts w:cs="Calibri"/>
                <w:bCs/>
                <w:szCs w:val="20"/>
                <w:lang w:val="en-GB"/>
              </w:rPr>
              <w:t xml:space="preserve"> establish buffer zones. PENP will lead on the process for </w:t>
            </w:r>
            <w:proofErr w:type="spellStart"/>
            <w:r w:rsidRPr="003B6A69">
              <w:rPr>
                <w:rFonts w:cs="Calibri"/>
                <w:bCs/>
                <w:szCs w:val="20"/>
                <w:lang w:val="en-GB"/>
              </w:rPr>
              <w:t>Biogradska</w:t>
            </w:r>
            <w:proofErr w:type="spellEnd"/>
            <w:r w:rsidRPr="003B6A69">
              <w:rPr>
                <w:rFonts w:cs="Calibri"/>
                <w:bCs/>
                <w:szCs w:val="20"/>
                <w:lang w:val="en-GB"/>
              </w:rPr>
              <w:t xml:space="preserve"> Gora National Park inclusion in the future UNESCO nomination associated with an extension of the existing World Heritage Property “Ancient and Primeval Beech Forests of the Carpathians and Other Regions of Europe”.</w:t>
            </w:r>
          </w:p>
          <w:p w14:paraId="41E2C730" w14:textId="77777777" w:rsidR="00667466" w:rsidRPr="003B6A69" w:rsidRDefault="00667466" w:rsidP="00667466">
            <w:pPr>
              <w:tabs>
                <w:tab w:val="left" w:pos="426"/>
              </w:tabs>
              <w:spacing w:after="120"/>
              <w:rPr>
                <w:rFonts w:cs="Calibri"/>
                <w:bCs/>
                <w:szCs w:val="20"/>
              </w:rPr>
            </w:pPr>
            <w:r w:rsidRPr="003B6A69">
              <w:rPr>
                <w:rFonts w:cs="Calibri"/>
                <w:bCs/>
                <w:szCs w:val="20"/>
                <w:lang w:val="en-GB"/>
              </w:rPr>
              <w:t xml:space="preserve">PENP will work with the project and the </w:t>
            </w:r>
            <w:proofErr w:type="spellStart"/>
            <w:r w:rsidRPr="003B6A69">
              <w:rPr>
                <w:rFonts w:cs="Calibri"/>
                <w:bCs/>
                <w:szCs w:val="20"/>
                <w:lang w:val="en-GB"/>
              </w:rPr>
              <w:t>Skadar</w:t>
            </w:r>
            <w:proofErr w:type="spellEnd"/>
            <w:r w:rsidRPr="003B6A69">
              <w:rPr>
                <w:rFonts w:cs="Calibri"/>
                <w:bCs/>
                <w:szCs w:val="20"/>
                <w:lang w:val="en-GB"/>
              </w:rPr>
              <w:t xml:space="preserve"> Lake National Park Management to mainstream international requirements and best </w:t>
            </w:r>
            <w:r w:rsidRPr="003B6A69">
              <w:rPr>
                <w:rFonts w:cs="Calibri"/>
                <w:bCs/>
                <w:szCs w:val="20"/>
                <w:lang w:val="en-GB"/>
              </w:rPr>
              <w:lastRenderedPageBreak/>
              <w:t>practices for Ramsar wetlands into the management plan of the National Park.</w:t>
            </w:r>
          </w:p>
          <w:p w14:paraId="34005860" w14:textId="77777777" w:rsidR="00667466" w:rsidRPr="003B6A69" w:rsidRDefault="00667466" w:rsidP="00667466">
            <w:pPr>
              <w:tabs>
                <w:tab w:val="left" w:pos="426"/>
              </w:tabs>
              <w:spacing w:after="120"/>
              <w:rPr>
                <w:rFonts w:cs="Calibri"/>
                <w:bCs/>
                <w:szCs w:val="20"/>
              </w:rPr>
            </w:pPr>
            <w:r w:rsidRPr="003B6A69">
              <w:rPr>
                <w:rFonts w:cs="Calibri"/>
                <w:bCs/>
                <w:szCs w:val="20"/>
              </w:rPr>
              <w:t xml:space="preserve">PENP’s experience in nature parks management and specifically with land-use stakeholder collaboration will be translated to the lower category pilot PAs for the project.  </w:t>
            </w:r>
          </w:p>
          <w:p w14:paraId="0C4B2FD9" w14:textId="03697BCB" w:rsidR="00667466" w:rsidRPr="003B6A69" w:rsidRDefault="00667466" w:rsidP="00667466">
            <w:pPr>
              <w:tabs>
                <w:tab w:val="left" w:pos="426"/>
              </w:tabs>
              <w:spacing w:after="120"/>
              <w:rPr>
                <w:rFonts w:cs="Calibri"/>
                <w:bCs/>
                <w:szCs w:val="20"/>
              </w:rPr>
            </w:pPr>
            <w:r w:rsidRPr="003B6A69">
              <w:rPr>
                <w:rFonts w:cs="Calibri"/>
                <w:bCs/>
                <w:szCs w:val="20"/>
              </w:rPr>
              <w:t>PENP will ensure parallel co-financing to the project and will have a key beneficiary role for the revised PA management planning and capacity</w:t>
            </w:r>
            <w:r w:rsidR="00A75B9B" w:rsidRPr="003B6A69">
              <w:rPr>
                <w:rFonts w:cs="Calibri"/>
                <w:bCs/>
                <w:szCs w:val="20"/>
              </w:rPr>
              <w:t>-</w:t>
            </w:r>
            <w:r w:rsidRPr="003B6A69">
              <w:rPr>
                <w:rFonts w:cs="Calibri"/>
                <w:bCs/>
                <w:szCs w:val="20"/>
              </w:rPr>
              <w:t>building activities related to the national parks. PENP will partner with the project for research, monitoring, management related to the national parks.</w:t>
            </w:r>
          </w:p>
          <w:p w14:paraId="3B774A8F" w14:textId="77777777" w:rsidR="00667466" w:rsidRPr="003B6A69" w:rsidRDefault="00667466" w:rsidP="00667466">
            <w:pPr>
              <w:tabs>
                <w:tab w:val="left" w:pos="426"/>
              </w:tabs>
              <w:spacing w:after="120"/>
              <w:rPr>
                <w:rFonts w:cs="Calibri"/>
                <w:bCs/>
                <w:szCs w:val="20"/>
              </w:rPr>
            </w:pPr>
            <w:r w:rsidRPr="003B6A69">
              <w:rPr>
                <w:rFonts w:cs="Calibri"/>
                <w:bCs/>
                <w:szCs w:val="20"/>
              </w:rPr>
              <w:t>PENP will take part in the work of the Partnership Committee.</w:t>
            </w:r>
          </w:p>
        </w:tc>
      </w:tr>
      <w:tr w:rsidR="00667466" w:rsidRPr="003B6A69" w14:paraId="626A6F89" w14:textId="77777777" w:rsidTr="00361190">
        <w:tc>
          <w:tcPr>
            <w:tcW w:w="2078" w:type="dxa"/>
            <w:tcBorders>
              <w:top w:val="single" w:sz="4" w:space="0" w:color="auto"/>
              <w:left w:val="single" w:sz="4" w:space="0" w:color="auto"/>
              <w:bottom w:val="single" w:sz="4" w:space="0" w:color="auto"/>
              <w:right w:val="single" w:sz="4" w:space="0" w:color="auto"/>
            </w:tcBorders>
            <w:shd w:val="clear" w:color="auto" w:fill="auto"/>
          </w:tcPr>
          <w:p w14:paraId="0548DE00" w14:textId="77777777" w:rsidR="00667466" w:rsidRPr="003B6A69" w:rsidRDefault="00667466" w:rsidP="00667466">
            <w:pPr>
              <w:tabs>
                <w:tab w:val="left" w:pos="426"/>
              </w:tabs>
              <w:spacing w:after="120"/>
              <w:rPr>
                <w:szCs w:val="20"/>
              </w:rPr>
            </w:pPr>
            <w:r w:rsidRPr="003B6A69">
              <w:rPr>
                <w:szCs w:val="20"/>
              </w:rPr>
              <w:lastRenderedPageBreak/>
              <w:t xml:space="preserve">Public Enterprise for Coastal Zone Public Management of Montenegro - </w:t>
            </w:r>
            <w:proofErr w:type="spellStart"/>
            <w:r w:rsidRPr="003B6A69">
              <w:rPr>
                <w:szCs w:val="20"/>
              </w:rPr>
              <w:t>Morsko</w:t>
            </w:r>
            <w:proofErr w:type="spellEnd"/>
            <w:r w:rsidRPr="003B6A69">
              <w:rPr>
                <w:szCs w:val="20"/>
              </w:rPr>
              <w:t xml:space="preserve"> Dobro (CZPM)</w:t>
            </w:r>
          </w:p>
        </w:tc>
        <w:tc>
          <w:tcPr>
            <w:tcW w:w="2332" w:type="dxa"/>
            <w:tcBorders>
              <w:top w:val="single" w:sz="4" w:space="0" w:color="auto"/>
              <w:left w:val="single" w:sz="4" w:space="0" w:color="auto"/>
              <w:bottom w:val="single" w:sz="4" w:space="0" w:color="auto"/>
              <w:right w:val="single" w:sz="4" w:space="0" w:color="auto"/>
            </w:tcBorders>
            <w:shd w:val="clear" w:color="auto" w:fill="auto"/>
          </w:tcPr>
          <w:p w14:paraId="57794A1D" w14:textId="00BEB9D8" w:rsidR="00667466" w:rsidRPr="003B6A69" w:rsidRDefault="00667466" w:rsidP="00667466">
            <w:pPr>
              <w:tabs>
                <w:tab w:val="left" w:pos="426"/>
              </w:tabs>
              <w:spacing w:after="120"/>
              <w:rPr>
                <w:szCs w:val="20"/>
              </w:rPr>
            </w:pPr>
            <w:r w:rsidRPr="003B6A69">
              <w:rPr>
                <w:szCs w:val="20"/>
              </w:rPr>
              <w:t>This enterprise manages the coastal zone, is responsible for the protection fo</w:t>
            </w:r>
            <w:r w:rsidR="00A75B9B" w:rsidRPr="003B6A69">
              <w:rPr>
                <w:szCs w:val="20"/>
              </w:rPr>
              <w:t>r</w:t>
            </w:r>
            <w:r w:rsidRPr="003B6A69">
              <w:rPr>
                <w:szCs w:val="20"/>
              </w:rPr>
              <w:t xml:space="preserve"> the coastal areas, and concludes agreements on its use. The entity is responsible for the coastal zone management planning, and the management of the coastal protected areas. </w:t>
            </w:r>
          </w:p>
          <w:p w14:paraId="631D2981" w14:textId="2FEC558F" w:rsidR="00667466" w:rsidRPr="003B6A69" w:rsidRDefault="00667466" w:rsidP="00667466">
            <w:pPr>
              <w:tabs>
                <w:tab w:val="left" w:pos="426"/>
              </w:tabs>
              <w:spacing w:after="120"/>
              <w:rPr>
                <w:szCs w:val="20"/>
              </w:rPr>
            </w:pPr>
            <w:r w:rsidRPr="003B6A69">
              <w:rPr>
                <w:szCs w:val="20"/>
              </w:rPr>
              <w:t xml:space="preserve">CZPM </w:t>
            </w:r>
            <w:proofErr w:type="gramStart"/>
            <w:r w:rsidRPr="003B6A69">
              <w:rPr>
                <w:szCs w:val="20"/>
              </w:rPr>
              <w:t>is in charge of</w:t>
            </w:r>
            <w:proofErr w:type="gramEnd"/>
            <w:r w:rsidRPr="003B6A69">
              <w:rPr>
                <w:szCs w:val="20"/>
              </w:rPr>
              <w:t xml:space="preserve"> renting-leasing of beaches and locations for temporary tourist and service facilities during the summer season, construction and maintenance of coastal infrastructures such as walls, harbors, docks and other public areas, management of local ports, monitoring water quality at beaches, participation and cooperation with local municipalities and national agencies in </w:t>
            </w:r>
            <w:r w:rsidR="00A75B9B" w:rsidRPr="003B6A69">
              <w:rPr>
                <w:szCs w:val="20"/>
              </w:rPr>
              <w:t xml:space="preserve">the </w:t>
            </w:r>
            <w:r w:rsidRPr="003B6A69">
              <w:rPr>
                <w:szCs w:val="20"/>
              </w:rPr>
              <w:t xml:space="preserve">management of PA and other environmental issues. </w:t>
            </w:r>
          </w:p>
        </w:tc>
        <w:tc>
          <w:tcPr>
            <w:tcW w:w="5580" w:type="dxa"/>
            <w:tcBorders>
              <w:top w:val="single" w:sz="4" w:space="0" w:color="auto"/>
              <w:left w:val="single" w:sz="4" w:space="0" w:color="auto"/>
              <w:bottom w:val="single" w:sz="4" w:space="0" w:color="auto"/>
              <w:right w:val="single" w:sz="4" w:space="0" w:color="auto"/>
            </w:tcBorders>
            <w:shd w:val="clear" w:color="auto" w:fill="auto"/>
          </w:tcPr>
          <w:p w14:paraId="70CE1413" w14:textId="77777777" w:rsidR="00667466" w:rsidRPr="003B6A69" w:rsidRDefault="00667466" w:rsidP="00667466">
            <w:pPr>
              <w:tabs>
                <w:tab w:val="left" w:pos="426"/>
              </w:tabs>
              <w:spacing w:after="120"/>
              <w:rPr>
                <w:rFonts w:cs="Calibri"/>
                <w:bCs/>
                <w:szCs w:val="20"/>
              </w:rPr>
            </w:pPr>
            <w:r w:rsidRPr="003B6A69">
              <w:rPr>
                <w:rFonts w:cs="Calibri"/>
                <w:bCs/>
                <w:szCs w:val="20"/>
              </w:rPr>
              <w:t xml:space="preserve">Participation in PA management strengthening interventions where they are related to the coastal protected areas. </w:t>
            </w:r>
          </w:p>
          <w:p w14:paraId="2CE5116B" w14:textId="77777777" w:rsidR="00667466" w:rsidRPr="003B6A69" w:rsidRDefault="00667466" w:rsidP="00667466">
            <w:pPr>
              <w:tabs>
                <w:tab w:val="left" w:pos="426"/>
              </w:tabs>
              <w:spacing w:after="120"/>
              <w:rPr>
                <w:rFonts w:cs="Calibri"/>
                <w:bCs/>
                <w:szCs w:val="20"/>
              </w:rPr>
            </w:pPr>
            <w:r w:rsidRPr="003B6A69">
              <w:rPr>
                <w:rFonts w:cs="Calibri"/>
                <w:bCs/>
                <w:szCs w:val="20"/>
              </w:rPr>
              <w:t xml:space="preserve">PECZPM will participate in all activities related to the coastal PA management strengthening, defining optimal management </w:t>
            </w:r>
            <w:proofErr w:type="gramStart"/>
            <w:r w:rsidRPr="003B6A69">
              <w:rPr>
                <w:rFonts w:cs="Calibri"/>
                <w:bCs/>
                <w:szCs w:val="20"/>
              </w:rPr>
              <w:t>structure</w:t>
            </w:r>
            <w:proofErr w:type="gramEnd"/>
            <w:r w:rsidRPr="003B6A69">
              <w:rPr>
                <w:rFonts w:cs="Calibri"/>
                <w:bCs/>
                <w:szCs w:val="20"/>
              </w:rPr>
              <w:t xml:space="preserve"> and establishing management structures for new marine and coastal PAs. </w:t>
            </w:r>
          </w:p>
          <w:p w14:paraId="6AD9FABA" w14:textId="77777777" w:rsidR="00667466" w:rsidRPr="003B6A69" w:rsidRDefault="00667466" w:rsidP="00667466">
            <w:pPr>
              <w:tabs>
                <w:tab w:val="left" w:pos="426"/>
              </w:tabs>
              <w:spacing w:after="120"/>
              <w:rPr>
                <w:rFonts w:cs="Calibri"/>
                <w:bCs/>
                <w:szCs w:val="20"/>
              </w:rPr>
            </w:pPr>
            <w:r w:rsidRPr="003B6A69">
              <w:rPr>
                <w:rFonts w:cs="Calibri"/>
                <w:bCs/>
                <w:szCs w:val="20"/>
              </w:rPr>
              <w:t>CZPM will take part in the work of the Partnership Committee.</w:t>
            </w:r>
          </w:p>
          <w:p w14:paraId="4774AF00" w14:textId="77777777" w:rsidR="00667466" w:rsidRPr="003B6A69" w:rsidRDefault="00667466" w:rsidP="00667466">
            <w:pPr>
              <w:tabs>
                <w:tab w:val="left" w:pos="426"/>
              </w:tabs>
              <w:spacing w:after="120"/>
              <w:rPr>
                <w:rFonts w:cs="Calibri"/>
                <w:bCs/>
                <w:szCs w:val="20"/>
              </w:rPr>
            </w:pPr>
          </w:p>
        </w:tc>
      </w:tr>
      <w:tr w:rsidR="00667466" w:rsidRPr="003B6A69" w14:paraId="2CF5C547" w14:textId="77777777" w:rsidTr="00361190">
        <w:tc>
          <w:tcPr>
            <w:tcW w:w="2078" w:type="dxa"/>
            <w:tcBorders>
              <w:top w:val="single" w:sz="4" w:space="0" w:color="auto"/>
              <w:left w:val="single" w:sz="4" w:space="0" w:color="auto"/>
              <w:bottom w:val="single" w:sz="4" w:space="0" w:color="auto"/>
              <w:right w:val="single" w:sz="4" w:space="0" w:color="auto"/>
            </w:tcBorders>
            <w:shd w:val="clear" w:color="auto" w:fill="auto"/>
          </w:tcPr>
          <w:p w14:paraId="2845C120" w14:textId="77777777" w:rsidR="00667466" w:rsidRPr="003B6A69" w:rsidRDefault="00667466" w:rsidP="00667466">
            <w:pPr>
              <w:tabs>
                <w:tab w:val="left" w:pos="426"/>
              </w:tabs>
              <w:spacing w:after="120"/>
              <w:rPr>
                <w:szCs w:val="20"/>
              </w:rPr>
            </w:pPr>
            <w:r w:rsidRPr="003B6A69">
              <w:rPr>
                <w:szCs w:val="20"/>
              </w:rPr>
              <w:t xml:space="preserve">Regional/nature parks management units </w:t>
            </w:r>
          </w:p>
        </w:tc>
        <w:tc>
          <w:tcPr>
            <w:tcW w:w="2332" w:type="dxa"/>
            <w:tcBorders>
              <w:top w:val="single" w:sz="4" w:space="0" w:color="auto"/>
              <w:left w:val="single" w:sz="4" w:space="0" w:color="auto"/>
              <w:bottom w:val="single" w:sz="4" w:space="0" w:color="auto"/>
              <w:right w:val="single" w:sz="4" w:space="0" w:color="auto"/>
            </w:tcBorders>
            <w:shd w:val="clear" w:color="auto" w:fill="auto"/>
          </w:tcPr>
          <w:p w14:paraId="27399B1A" w14:textId="0378835E" w:rsidR="00667466" w:rsidRPr="003B6A69" w:rsidRDefault="00667466" w:rsidP="00A75B9B">
            <w:pPr>
              <w:tabs>
                <w:tab w:val="left" w:pos="426"/>
              </w:tabs>
              <w:spacing w:after="120"/>
              <w:rPr>
                <w:szCs w:val="20"/>
              </w:rPr>
            </w:pPr>
            <w:r w:rsidRPr="003B6A69">
              <w:rPr>
                <w:szCs w:val="20"/>
              </w:rPr>
              <w:t xml:space="preserve">Regional PA management units/managers are responsible for </w:t>
            </w:r>
            <w:r w:rsidR="00A75B9B" w:rsidRPr="003B6A69">
              <w:rPr>
                <w:szCs w:val="20"/>
              </w:rPr>
              <w:t xml:space="preserve">the </w:t>
            </w:r>
            <w:r w:rsidRPr="003B6A69">
              <w:rPr>
                <w:szCs w:val="20"/>
              </w:rPr>
              <w:t xml:space="preserve">preparation and implementation </w:t>
            </w:r>
            <w:r w:rsidR="00A75B9B" w:rsidRPr="003B6A69">
              <w:rPr>
                <w:szCs w:val="20"/>
              </w:rPr>
              <w:t xml:space="preserve">of </w:t>
            </w:r>
            <w:r w:rsidRPr="003B6A69">
              <w:rPr>
                <w:szCs w:val="20"/>
              </w:rPr>
              <w:t>management plans, annual activity plans</w:t>
            </w:r>
            <w:r w:rsidR="00A75B9B" w:rsidRPr="003B6A69">
              <w:rPr>
                <w:szCs w:val="20"/>
              </w:rPr>
              <w:t>,</w:t>
            </w:r>
            <w:r w:rsidRPr="003B6A69">
              <w:rPr>
                <w:szCs w:val="20"/>
              </w:rPr>
              <w:t xml:space="preserve"> and </w:t>
            </w:r>
            <w:r w:rsidRPr="003B6A69">
              <w:rPr>
                <w:szCs w:val="20"/>
              </w:rPr>
              <w:lastRenderedPageBreak/>
              <w:t>overall administration of the protected areas</w:t>
            </w:r>
            <w:r w:rsidR="00A75B9B" w:rsidRPr="003B6A69">
              <w:rPr>
                <w:szCs w:val="20"/>
              </w:rPr>
              <w:t>.</w:t>
            </w:r>
          </w:p>
        </w:tc>
        <w:tc>
          <w:tcPr>
            <w:tcW w:w="5580" w:type="dxa"/>
            <w:tcBorders>
              <w:top w:val="single" w:sz="4" w:space="0" w:color="auto"/>
              <w:left w:val="single" w:sz="4" w:space="0" w:color="auto"/>
              <w:bottom w:val="single" w:sz="4" w:space="0" w:color="auto"/>
              <w:right w:val="single" w:sz="4" w:space="0" w:color="auto"/>
            </w:tcBorders>
            <w:shd w:val="clear" w:color="auto" w:fill="auto"/>
          </w:tcPr>
          <w:p w14:paraId="67FFF482" w14:textId="77777777" w:rsidR="00667466" w:rsidRPr="003B6A69" w:rsidRDefault="00667466" w:rsidP="00667466">
            <w:pPr>
              <w:tabs>
                <w:tab w:val="left" w:pos="426"/>
              </w:tabs>
              <w:spacing w:after="120"/>
              <w:rPr>
                <w:rFonts w:cs="Calibri"/>
                <w:bCs/>
                <w:szCs w:val="20"/>
              </w:rPr>
            </w:pPr>
            <w:r w:rsidRPr="003B6A69">
              <w:rPr>
                <w:rFonts w:cs="Calibri"/>
                <w:bCs/>
                <w:szCs w:val="20"/>
              </w:rPr>
              <w:lastRenderedPageBreak/>
              <w:t>Managers of regional parks and parks of nature are the key beneficiaries and partners for lower category PA management strengthening, defining optimal management structure, and establishing management structures for new PAs (Project Outcome 1).</w:t>
            </w:r>
          </w:p>
          <w:p w14:paraId="6F445ECD" w14:textId="03C22371" w:rsidR="00667466" w:rsidRPr="003B6A69" w:rsidRDefault="00667466" w:rsidP="00A75B9B">
            <w:pPr>
              <w:tabs>
                <w:tab w:val="left" w:pos="426"/>
              </w:tabs>
              <w:spacing w:after="120"/>
              <w:rPr>
                <w:rFonts w:cs="Calibri"/>
                <w:bCs/>
                <w:szCs w:val="20"/>
              </w:rPr>
            </w:pPr>
            <w:r w:rsidRPr="003B6A69">
              <w:rPr>
                <w:rFonts w:cs="Calibri"/>
                <w:bCs/>
                <w:szCs w:val="20"/>
              </w:rPr>
              <w:t>The PA managers will take part in the work of the Partnership Committee.</w:t>
            </w:r>
          </w:p>
        </w:tc>
      </w:tr>
      <w:tr w:rsidR="00667466" w:rsidRPr="003B6A69" w14:paraId="6AC1832F" w14:textId="77777777" w:rsidTr="00361190">
        <w:tc>
          <w:tcPr>
            <w:tcW w:w="2078" w:type="dxa"/>
            <w:tcBorders>
              <w:top w:val="single" w:sz="4" w:space="0" w:color="auto"/>
              <w:left w:val="single" w:sz="4" w:space="0" w:color="auto"/>
              <w:bottom w:val="single" w:sz="4" w:space="0" w:color="auto"/>
              <w:right w:val="single" w:sz="4" w:space="0" w:color="auto"/>
            </w:tcBorders>
            <w:shd w:val="clear" w:color="auto" w:fill="auto"/>
          </w:tcPr>
          <w:p w14:paraId="6B9DF05C" w14:textId="77777777" w:rsidR="00667466" w:rsidRPr="003B6A69" w:rsidRDefault="00667466" w:rsidP="00667466">
            <w:pPr>
              <w:tabs>
                <w:tab w:val="left" w:pos="426"/>
              </w:tabs>
              <w:spacing w:after="120"/>
              <w:rPr>
                <w:szCs w:val="20"/>
              </w:rPr>
            </w:pPr>
            <w:r w:rsidRPr="003B6A69">
              <w:rPr>
                <w:szCs w:val="20"/>
              </w:rPr>
              <w:t>Investment and Development Fund of Montenegro (IDF)</w:t>
            </w:r>
          </w:p>
        </w:tc>
        <w:tc>
          <w:tcPr>
            <w:tcW w:w="2332" w:type="dxa"/>
            <w:tcBorders>
              <w:top w:val="single" w:sz="4" w:space="0" w:color="auto"/>
              <w:left w:val="single" w:sz="4" w:space="0" w:color="auto"/>
              <w:bottom w:val="single" w:sz="4" w:space="0" w:color="auto"/>
              <w:right w:val="single" w:sz="4" w:space="0" w:color="auto"/>
            </w:tcBorders>
            <w:shd w:val="clear" w:color="auto" w:fill="auto"/>
          </w:tcPr>
          <w:p w14:paraId="251AE2C6" w14:textId="77777777" w:rsidR="00667466" w:rsidRPr="003B6A69" w:rsidRDefault="00667466" w:rsidP="00667466">
            <w:pPr>
              <w:tabs>
                <w:tab w:val="left" w:pos="426"/>
              </w:tabs>
              <w:spacing w:after="120"/>
              <w:rPr>
                <w:szCs w:val="20"/>
              </w:rPr>
            </w:pPr>
            <w:r w:rsidRPr="003B6A69">
              <w:rPr>
                <w:szCs w:val="20"/>
              </w:rPr>
              <w:t>The Fund was established by the Government of Montenegro for supporting economic development. The Fund’s core businesses include granting loans and extending guarantees, financing of development projects; supporting export and employment including the areas of agriculture, environment, and tourism.</w:t>
            </w:r>
          </w:p>
        </w:tc>
        <w:tc>
          <w:tcPr>
            <w:tcW w:w="5580" w:type="dxa"/>
            <w:tcBorders>
              <w:top w:val="single" w:sz="4" w:space="0" w:color="auto"/>
              <w:left w:val="single" w:sz="4" w:space="0" w:color="auto"/>
              <w:bottom w:val="single" w:sz="4" w:space="0" w:color="auto"/>
              <w:right w:val="single" w:sz="4" w:space="0" w:color="auto"/>
            </w:tcBorders>
            <w:shd w:val="clear" w:color="auto" w:fill="auto"/>
          </w:tcPr>
          <w:p w14:paraId="137A8865" w14:textId="77777777" w:rsidR="00667466" w:rsidRPr="003B6A69" w:rsidRDefault="00667466" w:rsidP="00667466">
            <w:pPr>
              <w:tabs>
                <w:tab w:val="left" w:pos="426"/>
              </w:tabs>
              <w:spacing w:after="120"/>
              <w:rPr>
                <w:rFonts w:cs="Calibri"/>
                <w:bCs/>
                <w:szCs w:val="20"/>
              </w:rPr>
            </w:pPr>
            <w:r w:rsidRPr="003B6A69">
              <w:rPr>
                <w:rFonts w:cs="Calibri"/>
                <w:bCs/>
                <w:szCs w:val="20"/>
              </w:rPr>
              <w:t xml:space="preserve">The project will partner with the IDF under Outcome 3 and develop a joint mechanism for outreach to the small-scale tourism business with enhanced investment opportunities. Together with </w:t>
            </w:r>
            <w:r w:rsidRPr="003B6A69">
              <w:rPr>
                <w:rFonts w:cs="Calibri"/>
                <w:bCs/>
                <w:szCs w:val="20"/>
                <w:lang w:val="en-GB"/>
              </w:rPr>
              <w:t>MESPU and MAFWM, the project will offer an incremental mechanism for a</w:t>
            </w:r>
            <w:proofErr w:type="spellStart"/>
            <w:r w:rsidRPr="003B6A69">
              <w:rPr>
                <w:rFonts w:cs="Calibri"/>
                <w:bCs/>
                <w:szCs w:val="20"/>
              </w:rPr>
              <w:t>gro</w:t>
            </w:r>
            <w:proofErr w:type="spellEnd"/>
            <w:r w:rsidRPr="003B6A69">
              <w:rPr>
                <w:rFonts w:cs="Calibri"/>
                <w:bCs/>
                <w:szCs w:val="20"/>
              </w:rPr>
              <w:t xml:space="preserve">-environmental subsidies (Outcome 5). Project mechanisms for targeted support to private businesses in tourism, forestry, and agriculture to provide additionality to and ensure synergy with the investment. The GEF resources will be targeted to the businesses that would be willing and capable of applying “green” principles and practices; the GEF resources will provide a “green” increment to the investment windows (mostly loans) available with the IDF, subsidizing the loans and thus incentivizing the green business opportunities. </w:t>
            </w:r>
          </w:p>
          <w:p w14:paraId="503A61A9" w14:textId="415464F8" w:rsidR="00667466" w:rsidRPr="003B6A69" w:rsidRDefault="00667466" w:rsidP="00A75B9B">
            <w:pPr>
              <w:tabs>
                <w:tab w:val="left" w:pos="426"/>
              </w:tabs>
              <w:spacing w:after="120"/>
              <w:rPr>
                <w:rFonts w:cs="Calibri"/>
                <w:bCs/>
                <w:szCs w:val="20"/>
              </w:rPr>
            </w:pPr>
            <w:r w:rsidRPr="003B6A69">
              <w:rPr>
                <w:rFonts w:cs="Calibri"/>
                <w:bCs/>
                <w:szCs w:val="20"/>
              </w:rPr>
              <w:t>The IDF will take part in the work of the Partnership Committee.</w:t>
            </w:r>
          </w:p>
        </w:tc>
      </w:tr>
      <w:tr w:rsidR="00667466" w:rsidRPr="003B6A69" w14:paraId="5A311B8A" w14:textId="77777777" w:rsidTr="00361190">
        <w:tc>
          <w:tcPr>
            <w:tcW w:w="2078" w:type="dxa"/>
            <w:tcBorders>
              <w:top w:val="single" w:sz="4" w:space="0" w:color="auto"/>
              <w:left w:val="single" w:sz="4" w:space="0" w:color="auto"/>
              <w:bottom w:val="single" w:sz="4" w:space="0" w:color="auto"/>
              <w:right w:val="single" w:sz="4" w:space="0" w:color="auto"/>
            </w:tcBorders>
            <w:shd w:val="clear" w:color="auto" w:fill="auto"/>
          </w:tcPr>
          <w:p w14:paraId="1CD28668" w14:textId="77777777" w:rsidR="00667466" w:rsidRPr="003B6A69" w:rsidRDefault="00667466" w:rsidP="00667466">
            <w:pPr>
              <w:tabs>
                <w:tab w:val="left" w:pos="426"/>
              </w:tabs>
              <w:spacing w:after="120"/>
              <w:rPr>
                <w:szCs w:val="20"/>
              </w:rPr>
            </w:pPr>
            <w:r w:rsidRPr="003B6A69">
              <w:rPr>
                <w:szCs w:val="20"/>
                <w:lang w:val="en-GB"/>
              </w:rPr>
              <w:t>Environmental Protection Fund - Eco Fund</w:t>
            </w:r>
          </w:p>
        </w:tc>
        <w:tc>
          <w:tcPr>
            <w:tcW w:w="2332" w:type="dxa"/>
            <w:tcBorders>
              <w:top w:val="single" w:sz="4" w:space="0" w:color="auto"/>
              <w:left w:val="single" w:sz="4" w:space="0" w:color="auto"/>
              <w:bottom w:val="single" w:sz="4" w:space="0" w:color="auto"/>
              <w:right w:val="single" w:sz="4" w:space="0" w:color="auto"/>
            </w:tcBorders>
            <w:shd w:val="clear" w:color="auto" w:fill="auto"/>
          </w:tcPr>
          <w:p w14:paraId="537AFF93" w14:textId="77777777" w:rsidR="00667466" w:rsidRPr="003B6A69" w:rsidRDefault="00667466" w:rsidP="00667466">
            <w:pPr>
              <w:tabs>
                <w:tab w:val="left" w:pos="426"/>
              </w:tabs>
              <w:spacing w:after="120"/>
              <w:rPr>
                <w:rFonts w:cs="Calibri"/>
                <w:bCs/>
                <w:szCs w:val="20"/>
              </w:rPr>
            </w:pPr>
            <w:r w:rsidRPr="003B6A69">
              <w:rPr>
                <w:szCs w:val="20"/>
                <w:lang w:val="en-GB"/>
              </w:rPr>
              <w:t xml:space="preserve">The Fund is a limited liability company established to secure funding for the implementation of projects for environment protection and sustainable nature resource use. </w:t>
            </w:r>
            <w:r w:rsidRPr="003B6A69">
              <w:rPr>
                <w:rFonts w:cs="Calibri"/>
                <w:bCs/>
                <w:szCs w:val="20"/>
              </w:rPr>
              <w:t xml:space="preserve">Eco Fund started working in the first half of 2020. </w:t>
            </w:r>
          </w:p>
          <w:p w14:paraId="30AB824B" w14:textId="6B7A4A7C" w:rsidR="00667466" w:rsidRPr="003B6A69" w:rsidRDefault="00667466" w:rsidP="00667466">
            <w:pPr>
              <w:tabs>
                <w:tab w:val="left" w:pos="426"/>
              </w:tabs>
              <w:spacing w:after="120"/>
              <w:rPr>
                <w:szCs w:val="20"/>
              </w:rPr>
            </w:pPr>
            <w:r w:rsidRPr="003B6A69">
              <w:rPr>
                <w:rFonts w:cs="Calibri"/>
                <w:bCs/>
                <w:szCs w:val="20"/>
              </w:rPr>
              <w:t>The activity of the Eco Fund is financing the preparation, implementation</w:t>
            </w:r>
            <w:r w:rsidR="00A75B9B" w:rsidRPr="003B6A69">
              <w:rPr>
                <w:rFonts w:cs="Calibri"/>
                <w:bCs/>
                <w:szCs w:val="20"/>
              </w:rPr>
              <w:t>,</w:t>
            </w:r>
            <w:r w:rsidRPr="003B6A69">
              <w:rPr>
                <w:rFonts w:cs="Calibri"/>
                <w:bCs/>
                <w:szCs w:val="20"/>
              </w:rPr>
              <w:t xml:space="preserve"> and development of programs, projects</w:t>
            </w:r>
            <w:r w:rsidR="00A75B9B" w:rsidRPr="003B6A69">
              <w:rPr>
                <w:rFonts w:cs="Calibri"/>
                <w:bCs/>
                <w:szCs w:val="20"/>
              </w:rPr>
              <w:t>,</w:t>
            </w:r>
            <w:r w:rsidRPr="003B6A69">
              <w:rPr>
                <w:rFonts w:cs="Calibri"/>
                <w:bCs/>
                <w:szCs w:val="20"/>
              </w:rPr>
              <w:t xml:space="preserve"> and similar activities in the field of nature conservation, sustainable use of resources, energy efficiency</w:t>
            </w:r>
            <w:r w:rsidR="00A75B9B" w:rsidRPr="003B6A69">
              <w:rPr>
                <w:rFonts w:cs="Calibri"/>
                <w:bCs/>
                <w:szCs w:val="20"/>
              </w:rPr>
              <w:t>,</w:t>
            </w:r>
            <w:r w:rsidRPr="003B6A69">
              <w:rPr>
                <w:rFonts w:cs="Calibri"/>
                <w:bCs/>
                <w:szCs w:val="20"/>
              </w:rPr>
              <w:t xml:space="preserve"> and use of renewable sources and energy at the state and local level.</w:t>
            </w:r>
            <w:r w:rsidRPr="003B6A69">
              <w:rPr>
                <w:rFonts w:asciiTheme="minorHAnsi" w:eastAsiaTheme="minorHAnsi" w:hAnsiTheme="minorHAnsi" w:cstheme="minorBidi"/>
                <w:sz w:val="22"/>
                <w:szCs w:val="22"/>
              </w:rPr>
              <w:t xml:space="preserve"> </w:t>
            </w:r>
          </w:p>
        </w:tc>
        <w:tc>
          <w:tcPr>
            <w:tcW w:w="5580" w:type="dxa"/>
            <w:tcBorders>
              <w:top w:val="single" w:sz="4" w:space="0" w:color="auto"/>
              <w:left w:val="single" w:sz="4" w:space="0" w:color="auto"/>
              <w:bottom w:val="single" w:sz="4" w:space="0" w:color="auto"/>
              <w:right w:val="single" w:sz="4" w:space="0" w:color="auto"/>
            </w:tcBorders>
            <w:shd w:val="clear" w:color="auto" w:fill="auto"/>
          </w:tcPr>
          <w:p w14:paraId="3EB2538F" w14:textId="77777777" w:rsidR="00667466" w:rsidRPr="003B6A69" w:rsidRDefault="00667466" w:rsidP="00667466">
            <w:pPr>
              <w:tabs>
                <w:tab w:val="left" w:pos="426"/>
              </w:tabs>
              <w:spacing w:after="120"/>
              <w:rPr>
                <w:rFonts w:cs="Calibri"/>
                <w:bCs/>
                <w:szCs w:val="20"/>
              </w:rPr>
            </w:pPr>
            <w:r w:rsidRPr="003B6A69">
              <w:rPr>
                <w:rFonts w:cs="Calibri"/>
                <w:bCs/>
                <w:szCs w:val="20"/>
              </w:rPr>
              <w:t xml:space="preserve">The project investment components will be designed to provide additionality to and ensure synergy with the investment support (grants) that the Fund provides for the protected areas and “green” businesses. </w:t>
            </w:r>
          </w:p>
          <w:p w14:paraId="5A3C6665" w14:textId="77777777" w:rsidR="00667466" w:rsidRPr="003B6A69" w:rsidRDefault="00667466" w:rsidP="00667466">
            <w:pPr>
              <w:tabs>
                <w:tab w:val="left" w:pos="426"/>
              </w:tabs>
              <w:spacing w:after="120"/>
              <w:rPr>
                <w:rFonts w:cs="Calibri"/>
                <w:bCs/>
                <w:szCs w:val="20"/>
              </w:rPr>
            </w:pPr>
            <w:r w:rsidRPr="003B6A69">
              <w:rPr>
                <w:rFonts w:cs="Calibri"/>
                <w:bCs/>
                <w:szCs w:val="20"/>
              </w:rPr>
              <w:t xml:space="preserve">The Eco Fund will take part in the work of the </w:t>
            </w:r>
            <w:proofErr w:type="gramStart"/>
            <w:r w:rsidRPr="003B6A69">
              <w:rPr>
                <w:rFonts w:cs="Calibri"/>
                <w:bCs/>
                <w:szCs w:val="20"/>
              </w:rPr>
              <w:t>project  Partnership</w:t>
            </w:r>
            <w:proofErr w:type="gramEnd"/>
            <w:r w:rsidRPr="003B6A69">
              <w:rPr>
                <w:rFonts w:cs="Calibri"/>
                <w:bCs/>
                <w:szCs w:val="20"/>
              </w:rPr>
              <w:t xml:space="preserve"> Committee.</w:t>
            </w:r>
          </w:p>
        </w:tc>
      </w:tr>
      <w:tr w:rsidR="00667466" w:rsidRPr="003B6A69" w14:paraId="436CE810" w14:textId="77777777" w:rsidTr="00361190">
        <w:tc>
          <w:tcPr>
            <w:tcW w:w="2078" w:type="dxa"/>
            <w:tcBorders>
              <w:top w:val="single" w:sz="4" w:space="0" w:color="auto"/>
              <w:left w:val="single" w:sz="4" w:space="0" w:color="auto"/>
              <w:bottom w:val="single" w:sz="4" w:space="0" w:color="auto"/>
              <w:right w:val="single" w:sz="4" w:space="0" w:color="auto"/>
            </w:tcBorders>
            <w:shd w:val="clear" w:color="auto" w:fill="auto"/>
          </w:tcPr>
          <w:p w14:paraId="28FA57B9" w14:textId="77777777" w:rsidR="00667466" w:rsidRPr="003B6A69" w:rsidRDefault="00667466" w:rsidP="00667466">
            <w:pPr>
              <w:tabs>
                <w:tab w:val="left" w:pos="426"/>
              </w:tabs>
              <w:spacing w:after="120"/>
              <w:rPr>
                <w:szCs w:val="20"/>
              </w:rPr>
            </w:pPr>
            <w:r w:rsidRPr="003B6A69">
              <w:rPr>
                <w:szCs w:val="20"/>
              </w:rPr>
              <w:t>Municipal governments (municipalities)</w:t>
            </w:r>
          </w:p>
        </w:tc>
        <w:tc>
          <w:tcPr>
            <w:tcW w:w="2332" w:type="dxa"/>
            <w:tcBorders>
              <w:top w:val="single" w:sz="4" w:space="0" w:color="auto"/>
              <w:left w:val="single" w:sz="4" w:space="0" w:color="auto"/>
              <w:bottom w:val="single" w:sz="4" w:space="0" w:color="auto"/>
              <w:right w:val="single" w:sz="4" w:space="0" w:color="auto"/>
            </w:tcBorders>
            <w:shd w:val="clear" w:color="auto" w:fill="auto"/>
          </w:tcPr>
          <w:p w14:paraId="27041ED6" w14:textId="359AE987" w:rsidR="00667466" w:rsidRPr="003B6A69" w:rsidRDefault="00667466" w:rsidP="00667466">
            <w:pPr>
              <w:tabs>
                <w:tab w:val="left" w:pos="426"/>
              </w:tabs>
              <w:spacing w:after="120"/>
              <w:rPr>
                <w:szCs w:val="20"/>
              </w:rPr>
            </w:pPr>
            <w:r w:rsidRPr="003B6A69">
              <w:rPr>
                <w:szCs w:val="20"/>
              </w:rPr>
              <w:t xml:space="preserve">The competencies of municipal governments cover several areas, among which, for the implementation of this project the most important </w:t>
            </w:r>
            <w:proofErr w:type="gramStart"/>
            <w:r w:rsidRPr="003B6A69">
              <w:rPr>
                <w:szCs w:val="20"/>
              </w:rPr>
              <w:t>are:</w:t>
            </w:r>
            <w:proofErr w:type="gramEnd"/>
            <w:r w:rsidRPr="003B6A69">
              <w:rPr>
                <w:szCs w:val="20"/>
              </w:rPr>
              <w:t xml:space="preserve"> in the field of environmental protection, local economic development and entrepreneurship </w:t>
            </w:r>
            <w:r w:rsidRPr="003B6A69">
              <w:rPr>
                <w:szCs w:val="20"/>
              </w:rPr>
              <w:lastRenderedPageBreak/>
              <w:t>development with emphasis on tourism, agriculture, forestry, protection and rescue</w:t>
            </w:r>
            <w:r w:rsidR="00A75B9B" w:rsidRPr="003B6A69">
              <w:rPr>
                <w:szCs w:val="20"/>
              </w:rPr>
              <w:t>,</w:t>
            </w:r>
            <w:r w:rsidRPr="003B6A69">
              <w:rPr>
                <w:szCs w:val="20"/>
              </w:rPr>
              <w:t xml:space="preserve"> and spatial planning and construction. </w:t>
            </w:r>
          </w:p>
          <w:p w14:paraId="641FCE48" w14:textId="1F8111F7" w:rsidR="00667466" w:rsidRPr="003B6A69" w:rsidRDefault="00667466" w:rsidP="00667466">
            <w:pPr>
              <w:tabs>
                <w:tab w:val="left" w:pos="426"/>
              </w:tabs>
              <w:spacing w:after="120"/>
              <w:rPr>
                <w:szCs w:val="20"/>
              </w:rPr>
            </w:pPr>
            <w:r w:rsidRPr="003B6A69">
              <w:rPr>
                <w:szCs w:val="20"/>
              </w:rPr>
              <w:t xml:space="preserve">Within their competencies, local self-government units </w:t>
            </w:r>
            <w:proofErr w:type="gramStart"/>
            <w:r w:rsidRPr="003B6A69">
              <w:rPr>
                <w:szCs w:val="20"/>
              </w:rPr>
              <w:t>are in charge of</w:t>
            </w:r>
            <w:proofErr w:type="gramEnd"/>
            <w:r w:rsidRPr="003B6A69">
              <w:rPr>
                <w:szCs w:val="20"/>
              </w:rPr>
              <w:t xml:space="preserve"> declaring, financing</w:t>
            </w:r>
            <w:r w:rsidR="00A75B9B" w:rsidRPr="003B6A69">
              <w:rPr>
                <w:szCs w:val="20"/>
              </w:rPr>
              <w:t>,</w:t>
            </w:r>
            <w:r w:rsidRPr="003B6A69">
              <w:rPr>
                <w:szCs w:val="20"/>
              </w:rPr>
              <w:t xml:space="preserve"> and managing protected areas, providing support to entrepreneurs through technical support programs or direct financial support (grant programs), developing spatial plans in accordance with legal and strategic guidelines and ensuring the introduction of improved environmental protection standards in the field of its operation.</w:t>
            </w:r>
          </w:p>
          <w:p w14:paraId="3339987E" w14:textId="77777777" w:rsidR="00667466" w:rsidRPr="003B6A69" w:rsidRDefault="00667466" w:rsidP="00667466">
            <w:pPr>
              <w:shd w:val="clear" w:color="auto" w:fill="FFFFFF"/>
              <w:spacing w:after="0"/>
              <w:ind w:left="720"/>
              <w:textAlignment w:val="baseline"/>
              <w:rPr>
                <w:szCs w:val="20"/>
              </w:rPr>
            </w:pPr>
          </w:p>
        </w:tc>
        <w:tc>
          <w:tcPr>
            <w:tcW w:w="5580" w:type="dxa"/>
            <w:tcBorders>
              <w:top w:val="single" w:sz="4" w:space="0" w:color="auto"/>
              <w:left w:val="single" w:sz="4" w:space="0" w:color="auto"/>
              <w:bottom w:val="single" w:sz="4" w:space="0" w:color="auto"/>
              <w:right w:val="single" w:sz="4" w:space="0" w:color="auto"/>
            </w:tcBorders>
            <w:shd w:val="clear" w:color="auto" w:fill="auto"/>
          </w:tcPr>
          <w:p w14:paraId="439BE8AC" w14:textId="3168E0B3" w:rsidR="00667466" w:rsidRPr="003B6A69" w:rsidRDefault="00667466" w:rsidP="00667466">
            <w:pPr>
              <w:tabs>
                <w:tab w:val="left" w:pos="426"/>
              </w:tabs>
              <w:spacing w:after="120"/>
              <w:rPr>
                <w:rFonts w:cs="Calibri"/>
                <w:bCs/>
                <w:szCs w:val="20"/>
              </w:rPr>
            </w:pPr>
            <w:r w:rsidRPr="003B6A69">
              <w:rPr>
                <w:rFonts w:cs="Calibri"/>
                <w:bCs/>
                <w:szCs w:val="20"/>
              </w:rPr>
              <w:lastRenderedPageBreak/>
              <w:t xml:space="preserve">Municipal governments will play a key role </w:t>
            </w:r>
            <w:r w:rsidR="00A75B9B" w:rsidRPr="003B6A69">
              <w:rPr>
                <w:rFonts w:cs="Calibri"/>
                <w:bCs/>
                <w:szCs w:val="20"/>
              </w:rPr>
              <w:t>in</w:t>
            </w:r>
            <w:r w:rsidRPr="003B6A69">
              <w:rPr>
                <w:rFonts w:cs="Calibri"/>
                <w:bCs/>
                <w:szCs w:val="20"/>
              </w:rPr>
              <w:t xml:space="preserve"> the project activities dedicated to a) community engagement and b) collaboration with the private sector. The project will secure the participation of the Union of Municipalities (UoM), and its department for environment and climate change. The UoM is a national association of local communities which local self-government units voluntarily join. The mission of the UoM is to promote the development and improvement of local self-government and to </w:t>
            </w:r>
            <w:proofErr w:type="gramStart"/>
            <w:r w:rsidRPr="003B6A69">
              <w:rPr>
                <w:rFonts w:cs="Calibri"/>
                <w:bCs/>
                <w:szCs w:val="20"/>
              </w:rPr>
              <w:t>more effectively exercise their competencies</w:t>
            </w:r>
            <w:proofErr w:type="gramEnd"/>
            <w:r w:rsidRPr="003B6A69">
              <w:rPr>
                <w:rFonts w:cs="Calibri"/>
                <w:bCs/>
                <w:szCs w:val="20"/>
              </w:rPr>
              <w:t xml:space="preserve"> in the interests of the local people and to protect and pursue the common interests of the member communities. The project will partner with the UoM </w:t>
            </w:r>
            <w:r w:rsidRPr="003B6A69">
              <w:rPr>
                <w:rFonts w:cs="Calibri"/>
                <w:bCs/>
                <w:szCs w:val="20"/>
              </w:rPr>
              <w:lastRenderedPageBreak/>
              <w:t xml:space="preserve">in order to secure appropriate information dissemination to all municipalities regarding project implementation and </w:t>
            </w:r>
            <w:proofErr w:type="gramStart"/>
            <w:r w:rsidRPr="003B6A69">
              <w:rPr>
                <w:rFonts w:cs="Calibri"/>
                <w:bCs/>
                <w:szCs w:val="20"/>
              </w:rPr>
              <w:t>results, and</w:t>
            </w:r>
            <w:proofErr w:type="gramEnd"/>
            <w:r w:rsidRPr="003B6A69">
              <w:rPr>
                <w:rFonts w:cs="Calibri"/>
                <w:bCs/>
                <w:szCs w:val="20"/>
              </w:rPr>
              <w:t xml:space="preserve"> ensure community engagement in project activities and </w:t>
            </w:r>
            <w:proofErr w:type="spellStart"/>
            <w:r w:rsidRPr="003B6A69">
              <w:rPr>
                <w:rFonts w:cs="Calibri"/>
                <w:bCs/>
                <w:szCs w:val="20"/>
              </w:rPr>
              <w:t>endeavours</w:t>
            </w:r>
            <w:proofErr w:type="spellEnd"/>
            <w:r w:rsidRPr="003B6A69">
              <w:rPr>
                <w:rFonts w:cs="Calibri"/>
                <w:bCs/>
                <w:szCs w:val="20"/>
              </w:rPr>
              <w:t xml:space="preserve">. </w:t>
            </w:r>
          </w:p>
          <w:p w14:paraId="4F39F297" w14:textId="77777777" w:rsidR="00667466" w:rsidRPr="003B6A69" w:rsidRDefault="00667466" w:rsidP="00667466">
            <w:pPr>
              <w:tabs>
                <w:tab w:val="left" w:pos="426"/>
              </w:tabs>
              <w:spacing w:after="120"/>
              <w:rPr>
                <w:rFonts w:cs="Calibri"/>
                <w:bCs/>
                <w:szCs w:val="20"/>
              </w:rPr>
            </w:pPr>
            <w:r w:rsidRPr="003B6A69">
              <w:rPr>
                <w:rFonts w:cs="Calibri"/>
                <w:bCs/>
                <w:szCs w:val="20"/>
              </w:rPr>
              <w:t xml:space="preserve">The project will work directly with the municipalities in the Tara Man and biosphere program territory: </w:t>
            </w:r>
            <w:proofErr w:type="spellStart"/>
            <w:r w:rsidRPr="003B6A69">
              <w:rPr>
                <w:rFonts w:cs="Calibri"/>
                <w:bCs/>
                <w:szCs w:val="20"/>
              </w:rPr>
              <w:t>Pluzine</w:t>
            </w:r>
            <w:proofErr w:type="spellEnd"/>
            <w:r w:rsidRPr="003B6A69">
              <w:rPr>
                <w:rFonts w:cs="Calibri"/>
                <w:bCs/>
                <w:szCs w:val="20"/>
              </w:rPr>
              <w:t xml:space="preserve">, </w:t>
            </w:r>
            <w:proofErr w:type="spellStart"/>
            <w:r w:rsidRPr="003B6A69">
              <w:rPr>
                <w:rFonts w:cs="Calibri"/>
                <w:bCs/>
                <w:szCs w:val="20"/>
              </w:rPr>
              <w:t>Zabljak</w:t>
            </w:r>
            <w:proofErr w:type="spellEnd"/>
            <w:r w:rsidRPr="003B6A69">
              <w:rPr>
                <w:rFonts w:cs="Calibri"/>
                <w:bCs/>
                <w:szCs w:val="20"/>
              </w:rPr>
              <w:t xml:space="preserve">, </w:t>
            </w:r>
            <w:proofErr w:type="spellStart"/>
            <w:r w:rsidRPr="003B6A69">
              <w:rPr>
                <w:rFonts w:cs="Calibri"/>
                <w:bCs/>
                <w:szCs w:val="20"/>
              </w:rPr>
              <w:t>Mojkovac</w:t>
            </w:r>
            <w:proofErr w:type="spellEnd"/>
            <w:r w:rsidRPr="003B6A69">
              <w:rPr>
                <w:rFonts w:cs="Calibri"/>
                <w:bCs/>
                <w:szCs w:val="20"/>
              </w:rPr>
              <w:t xml:space="preserve">, </w:t>
            </w:r>
            <w:proofErr w:type="spellStart"/>
            <w:r w:rsidRPr="003B6A69">
              <w:rPr>
                <w:rFonts w:cs="Calibri"/>
                <w:bCs/>
                <w:szCs w:val="20"/>
              </w:rPr>
              <w:t>Pljevlja</w:t>
            </w:r>
            <w:proofErr w:type="spellEnd"/>
            <w:r w:rsidRPr="003B6A69">
              <w:rPr>
                <w:rFonts w:cs="Calibri"/>
                <w:bCs/>
                <w:szCs w:val="20"/>
              </w:rPr>
              <w:t xml:space="preserve">, </w:t>
            </w:r>
            <w:proofErr w:type="spellStart"/>
            <w:r w:rsidRPr="003B6A69">
              <w:rPr>
                <w:rFonts w:cs="Calibri"/>
                <w:bCs/>
                <w:szCs w:val="20"/>
              </w:rPr>
              <w:t>Kolasin</w:t>
            </w:r>
            <w:proofErr w:type="spellEnd"/>
            <w:r w:rsidRPr="003B6A69">
              <w:rPr>
                <w:rFonts w:cs="Calibri"/>
                <w:bCs/>
                <w:szCs w:val="20"/>
              </w:rPr>
              <w:t xml:space="preserve">, </w:t>
            </w:r>
            <w:proofErr w:type="spellStart"/>
            <w:r w:rsidRPr="003B6A69">
              <w:rPr>
                <w:rFonts w:cs="Calibri"/>
                <w:bCs/>
                <w:szCs w:val="20"/>
              </w:rPr>
              <w:t>Andrijevica</w:t>
            </w:r>
            <w:proofErr w:type="spellEnd"/>
            <w:r w:rsidRPr="003B6A69">
              <w:rPr>
                <w:rFonts w:cs="Calibri"/>
                <w:bCs/>
                <w:szCs w:val="20"/>
              </w:rPr>
              <w:t xml:space="preserve">, Podgorica and </w:t>
            </w:r>
            <w:proofErr w:type="spellStart"/>
            <w:r w:rsidRPr="003B6A69">
              <w:rPr>
                <w:rFonts w:cs="Calibri"/>
                <w:bCs/>
                <w:szCs w:val="20"/>
              </w:rPr>
              <w:t>Savnik</w:t>
            </w:r>
            <w:proofErr w:type="spellEnd"/>
            <w:r w:rsidRPr="003B6A69">
              <w:rPr>
                <w:rFonts w:cs="Calibri"/>
                <w:bCs/>
                <w:szCs w:val="20"/>
              </w:rPr>
              <w:t xml:space="preserve">; and municipalities in coastal areas of Montenegro, specifically Ulcinj (Ulcinj Solana Nature Park), Kotor, and </w:t>
            </w:r>
            <w:proofErr w:type="spellStart"/>
            <w:r w:rsidRPr="003B6A69">
              <w:rPr>
                <w:rFonts w:cs="Calibri"/>
                <w:bCs/>
                <w:szCs w:val="20"/>
              </w:rPr>
              <w:t>Herceg</w:t>
            </w:r>
            <w:proofErr w:type="spellEnd"/>
            <w:r w:rsidRPr="003B6A69">
              <w:rPr>
                <w:rFonts w:cs="Calibri"/>
                <w:bCs/>
                <w:szCs w:val="20"/>
              </w:rPr>
              <w:t xml:space="preserve"> Novi (</w:t>
            </w:r>
            <w:proofErr w:type="spellStart"/>
            <w:r w:rsidRPr="003B6A69">
              <w:rPr>
                <w:rFonts w:cs="Calibri"/>
                <w:bCs/>
                <w:szCs w:val="20"/>
              </w:rPr>
              <w:t>Orjen</w:t>
            </w:r>
            <w:proofErr w:type="spellEnd"/>
            <w:r w:rsidRPr="003B6A69">
              <w:rPr>
                <w:rFonts w:cs="Calibri"/>
                <w:bCs/>
                <w:szCs w:val="20"/>
              </w:rPr>
              <w:t xml:space="preserve"> Nature Park).</w:t>
            </w:r>
          </w:p>
          <w:p w14:paraId="7D1C581A" w14:textId="77777777" w:rsidR="00667466" w:rsidRPr="003B6A69" w:rsidRDefault="00667466" w:rsidP="00667466">
            <w:pPr>
              <w:tabs>
                <w:tab w:val="left" w:pos="426"/>
              </w:tabs>
              <w:spacing w:after="120"/>
              <w:rPr>
                <w:rFonts w:cs="Calibri"/>
                <w:bCs/>
                <w:szCs w:val="20"/>
              </w:rPr>
            </w:pPr>
            <w:r w:rsidRPr="003B6A69">
              <w:rPr>
                <w:rFonts w:cs="Calibri"/>
                <w:bCs/>
                <w:szCs w:val="20"/>
              </w:rPr>
              <w:t>The targeted municipalities will take part in the work of the project Partnership Committee.</w:t>
            </w:r>
          </w:p>
        </w:tc>
      </w:tr>
      <w:tr w:rsidR="00667466" w:rsidRPr="003B6A69" w14:paraId="21BDBDD6" w14:textId="77777777" w:rsidTr="00361190">
        <w:tc>
          <w:tcPr>
            <w:tcW w:w="2078" w:type="dxa"/>
            <w:tcBorders>
              <w:top w:val="single" w:sz="4" w:space="0" w:color="auto"/>
              <w:left w:val="single" w:sz="4" w:space="0" w:color="auto"/>
              <w:bottom w:val="single" w:sz="4" w:space="0" w:color="auto"/>
              <w:right w:val="single" w:sz="4" w:space="0" w:color="auto"/>
            </w:tcBorders>
            <w:shd w:val="clear" w:color="auto" w:fill="auto"/>
          </w:tcPr>
          <w:p w14:paraId="440F8926" w14:textId="78648F51" w:rsidR="00667466" w:rsidRPr="003B6A69" w:rsidRDefault="00667466" w:rsidP="00A75B9B">
            <w:pPr>
              <w:tabs>
                <w:tab w:val="left" w:pos="426"/>
              </w:tabs>
              <w:spacing w:after="120"/>
              <w:rPr>
                <w:rFonts w:cs="Calibri"/>
                <w:bCs/>
                <w:szCs w:val="20"/>
              </w:rPr>
            </w:pPr>
            <w:r w:rsidRPr="003B6A69">
              <w:rPr>
                <w:rFonts w:cs="Calibri"/>
                <w:bCs/>
                <w:szCs w:val="20"/>
              </w:rPr>
              <w:lastRenderedPageBreak/>
              <w:t>Local tourist organi</w:t>
            </w:r>
            <w:r w:rsidR="00A75B9B" w:rsidRPr="003B6A69">
              <w:rPr>
                <w:rFonts w:cs="Calibri"/>
                <w:bCs/>
                <w:szCs w:val="20"/>
              </w:rPr>
              <w:t>z</w:t>
            </w:r>
            <w:r w:rsidRPr="003B6A69">
              <w:rPr>
                <w:rFonts w:cs="Calibri"/>
                <w:bCs/>
                <w:szCs w:val="20"/>
              </w:rPr>
              <w:t>ations (LTOs)</w:t>
            </w:r>
          </w:p>
        </w:tc>
        <w:tc>
          <w:tcPr>
            <w:tcW w:w="2332" w:type="dxa"/>
            <w:tcBorders>
              <w:top w:val="single" w:sz="4" w:space="0" w:color="auto"/>
              <w:left w:val="single" w:sz="4" w:space="0" w:color="auto"/>
              <w:bottom w:val="single" w:sz="4" w:space="0" w:color="auto"/>
              <w:right w:val="single" w:sz="4" w:space="0" w:color="auto"/>
            </w:tcBorders>
            <w:shd w:val="clear" w:color="auto" w:fill="auto"/>
          </w:tcPr>
          <w:p w14:paraId="230D60C1" w14:textId="7FDB4CFB" w:rsidR="00667466" w:rsidRPr="003B6A69" w:rsidRDefault="00667466" w:rsidP="00A75B9B">
            <w:pPr>
              <w:shd w:val="clear" w:color="auto" w:fill="FFFFFF"/>
              <w:spacing w:after="0"/>
              <w:textAlignment w:val="baseline"/>
              <w:rPr>
                <w:szCs w:val="20"/>
              </w:rPr>
            </w:pPr>
            <w:r w:rsidRPr="003B6A69">
              <w:rPr>
                <w:rFonts w:asciiTheme="minorHAnsi" w:eastAsiaTheme="minorHAnsi" w:hAnsiTheme="minorHAnsi" w:cstheme="minorHAnsi"/>
                <w:szCs w:val="20"/>
                <w:lang w:val="en-GB"/>
              </w:rPr>
              <w:t>Local tourist organi</w:t>
            </w:r>
            <w:r w:rsidR="00A75B9B" w:rsidRPr="003B6A69">
              <w:rPr>
                <w:rFonts w:asciiTheme="minorHAnsi" w:eastAsiaTheme="minorHAnsi" w:hAnsiTheme="minorHAnsi" w:cstheme="minorHAnsi"/>
                <w:szCs w:val="20"/>
                <w:lang w:val="en-GB"/>
              </w:rPr>
              <w:t>z</w:t>
            </w:r>
            <w:r w:rsidRPr="003B6A69">
              <w:rPr>
                <w:rFonts w:asciiTheme="minorHAnsi" w:eastAsiaTheme="minorHAnsi" w:hAnsiTheme="minorHAnsi" w:cstheme="minorHAnsi"/>
                <w:szCs w:val="20"/>
                <w:lang w:val="en-GB"/>
              </w:rPr>
              <w:t xml:space="preserve">ations </w:t>
            </w:r>
            <w:proofErr w:type="gramStart"/>
            <w:r w:rsidRPr="003B6A69">
              <w:rPr>
                <w:rFonts w:asciiTheme="minorHAnsi" w:eastAsiaTheme="minorHAnsi" w:hAnsiTheme="minorHAnsi" w:cstheme="minorHAnsi"/>
                <w:szCs w:val="20"/>
                <w:lang w:val="en-GB"/>
              </w:rPr>
              <w:t xml:space="preserve">are in charge </w:t>
            </w:r>
            <w:r w:rsidR="00A75B9B" w:rsidRPr="003B6A69">
              <w:rPr>
                <w:rFonts w:asciiTheme="minorHAnsi" w:eastAsiaTheme="minorHAnsi" w:hAnsiTheme="minorHAnsi" w:cstheme="minorHAnsi"/>
                <w:szCs w:val="20"/>
                <w:lang w:val="en-GB"/>
              </w:rPr>
              <w:t>of</w:t>
            </w:r>
            <w:proofErr w:type="gramEnd"/>
            <w:r w:rsidRPr="003B6A69">
              <w:rPr>
                <w:rFonts w:asciiTheme="minorHAnsi" w:eastAsiaTheme="minorHAnsi" w:hAnsiTheme="minorHAnsi" w:cstheme="minorHAnsi"/>
                <w:szCs w:val="20"/>
                <w:lang w:val="en-GB"/>
              </w:rPr>
              <w:t xml:space="preserve"> </w:t>
            </w:r>
            <w:r w:rsidR="00A75B9B" w:rsidRPr="003B6A69">
              <w:rPr>
                <w:rFonts w:asciiTheme="minorHAnsi" w:eastAsiaTheme="minorHAnsi" w:hAnsiTheme="minorHAnsi" w:cstheme="minorHAnsi"/>
                <w:szCs w:val="20"/>
                <w:lang w:val="en-GB"/>
              </w:rPr>
              <w:t xml:space="preserve">the </w:t>
            </w:r>
            <w:r w:rsidRPr="003B6A69">
              <w:rPr>
                <w:rFonts w:asciiTheme="minorHAnsi" w:eastAsiaTheme="minorHAnsi" w:hAnsiTheme="minorHAnsi" w:cstheme="minorHAnsi"/>
                <w:szCs w:val="20"/>
                <w:lang w:val="en-GB"/>
              </w:rPr>
              <w:t xml:space="preserve">development and promotion of the tourist offer at the municipal level.  </w:t>
            </w:r>
          </w:p>
        </w:tc>
        <w:tc>
          <w:tcPr>
            <w:tcW w:w="5580" w:type="dxa"/>
            <w:tcBorders>
              <w:top w:val="single" w:sz="4" w:space="0" w:color="auto"/>
              <w:left w:val="single" w:sz="4" w:space="0" w:color="auto"/>
              <w:bottom w:val="single" w:sz="4" w:space="0" w:color="auto"/>
              <w:right w:val="single" w:sz="4" w:space="0" w:color="auto"/>
            </w:tcBorders>
            <w:shd w:val="clear" w:color="auto" w:fill="auto"/>
          </w:tcPr>
          <w:p w14:paraId="53459FCF" w14:textId="62BAB46D" w:rsidR="00667466" w:rsidRPr="003B6A69" w:rsidRDefault="00667466" w:rsidP="00667466">
            <w:pPr>
              <w:tabs>
                <w:tab w:val="left" w:pos="426"/>
              </w:tabs>
              <w:spacing w:after="0"/>
              <w:rPr>
                <w:rFonts w:asciiTheme="minorHAnsi" w:eastAsiaTheme="minorHAnsi" w:hAnsiTheme="minorHAnsi" w:cstheme="minorHAnsi"/>
                <w:szCs w:val="20"/>
                <w:lang w:val="en-GB"/>
              </w:rPr>
            </w:pPr>
            <w:r w:rsidRPr="003B6A69">
              <w:rPr>
                <w:rFonts w:asciiTheme="minorHAnsi" w:eastAsiaTheme="minorHAnsi" w:hAnsiTheme="minorHAnsi" w:cstheme="minorHAnsi"/>
                <w:szCs w:val="20"/>
                <w:lang w:val="en-GB"/>
              </w:rPr>
              <w:t>The local tourist organi</w:t>
            </w:r>
            <w:r w:rsidR="00A75B9B" w:rsidRPr="003B6A69">
              <w:rPr>
                <w:rFonts w:asciiTheme="minorHAnsi" w:eastAsiaTheme="minorHAnsi" w:hAnsiTheme="minorHAnsi" w:cstheme="minorHAnsi"/>
                <w:szCs w:val="20"/>
                <w:lang w:val="en-GB"/>
              </w:rPr>
              <w:t>z</w:t>
            </w:r>
            <w:r w:rsidRPr="003B6A69">
              <w:rPr>
                <w:rFonts w:asciiTheme="minorHAnsi" w:eastAsiaTheme="minorHAnsi" w:hAnsiTheme="minorHAnsi" w:cstheme="minorHAnsi"/>
                <w:szCs w:val="20"/>
                <w:lang w:val="en-GB"/>
              </w:rPr>
              <w:t xml:space="preserve">ations will ensure </w:t>
            </w:r>
            <w:r w:rsidR="00A75B9B" w:rsidRPr="003B6A69">
              <w:rPr>
                <w:rFonts w:asciiTheme="minorHAnsi" w:eastAsiaTheme="minorHAnsi" w:hAnsiTheme="minorHAnsi" w:cstheme="minorHAnsi"/>
                <w:szCs w:val="20"/>
                <w:lang w:val="en-GB"/>
              </w:rPr>
              <w:t xml:space="preserve">the </w:t>
            </w:r>
            <w:r w:rsidRPr="003B6A69">
              <w:rPr>
                <w:rFonts w:asciiTheme="minorHAnsi" w:eastAsiaTheme="minorHAnsi" w:hAnsiTheme="minorHAnsi" w:cstheme="minorHAnsi"/>
                <w:szCs w:val="20"/>
                <w:lang w:val="en-GB"/>
              </w:rPr>
              <w:t>promotion of PAs, BD values, and sustainable tourism businesses through local tourist offices. Local tourist organi</w:t>
            </w:r>
            <w:r w:rsidR="00A75B9B" w:rsidRPr="003B6A69">
              <w:rPr>
                <w:rFonts w:asciiTheme="minorHAnsi" w:eastAsiaTheme="minorHAnsi" w:hAnsiTheme="minorHAnsi" w:cstheme="minorHAnsi"/>
                <w:szCs w:val="20"/>
                <w:lang w:val="en-GB"/>
              </w:rPr>
              <w:t>z</w:t>
            </w:r>
            <w:r w:rsidRPr="003B6A69">
              <w:rPr>
                <w:rFonts w:asciiTheme="minorHAnsi" w:eastAsiaTheme="minorHAnsi" w:hAnsiTheme="minorHAnsi" w:cstheme="minorHAnsi"/>
                <w:szCs w:val="20"/>
                <w:lang w:val="en-GB"/>
              </w:rPr>
              <w:t>ations will facilitate the project communication with local tourism businesses.</w:t>
            </w:r>
          </w:p>
          <w:p w14:paraId="31109DEB" w14:textId="74EA364A" w:rsidR="00667466" w:rsidRPr="003B6A69" w:rsidRDefault="00667466" w:rsidP="00667466">
            <w:pPr>
              <w:tabs>
                <w:tab w:val="left" w:pos="426"/>
              </w:tabs>
              <w:spacing w:after="0"/>
              <w:rPr>
                <w:rFonts w:asciiTheme="minorHAnsi" w:eastAsiaTheme="minorHAnsi" w:hAnsiTheme="minorHAnsi" w:cstheme="minorHAnsi"/>
                <w:szCs w:val="20"/>
                <w:lang w:val="en-GB"/>
              </w:rPr>
            </w:pPr>
            <w:r w:rsidRPr="003B6A69">
              <w:rPr>
                <w:rFonts w:asciiTheme="minorHAnsi" w:eastAsiaTheme="minorHAnsi" w:hAnsiTheme="minorHAnsi" w:cstheme="minorHAnsi"/>
                <w:szCs w:val="20"/>
                <w:lang w:val="en-GB"/>
              </w:rPr>
              <w:t>The project will communicate with the local tourist offices and organi</w:t>
            </w:r>
            <w:r w:rsidR="00A75B9B" w:rsidRPr="003B6A69">
              <w:rPr>
                <w:rFonts w:asciiTheme="minorHAnsi" w:eastAsiaTheme="minorHAnsi" w:hAnsiTheme="minorHAnsi" w:cstheme="minorHAnsi"/>
                <w:szCs w:val="20"/>
                <w:lang w:val="en-GB"/>
              </w:rPr>
              <w:t>z</w:t>
            </w:r>
            <w:r w:rsidRPr="003B6A69">
              <w:rPr>
                <w:rFonts w:asciiTheme="minorHAnsi" w:eastAsiaTheme="minorHAnsi" w:hAnsiTheme="minorHAnsi" w:cstheme="minorHAnsi"/>
                <w:szCs w:val="20"/>
                <w:lang w:val="en-GB"/>
              </w:rPr>
              <w:t xml:space="preserve">ations to inform, </w:t>
            </w:r>
            <w:proofErr w:type="gramStart"/>
            <w:r w:rsidRPr="003B6A69">
              <w:rPr>
                <w:rFonts w:asciiTheme="minorHAnsi" w:eastAsiaTheme="minorHAnsi" w:hAnsiTheme="minorHAnsi" w:cstheme="minorHAnsi"/>
                <w:szCs w:val="20"/>
                <w:lang w:val="en-GB"/>
              </w:rPr>
              <w:t>facilitate</w:t>
            </w:r>
            <w:proofErr w:type="gramEnd"/>
            <w:r w:rsidRPr="003B6A69">
              <w:rPr>
                <w:rFonts w:asciiTheme="minorHAnsi" w:eastAsiaTheme="minorHAnsi" w:hAnsiTheme="minorHAnsi" w:cstheme="minorHAnsi"/>
                <w:szCs w:val="20"/>
                <w:lang w:val="en-GB"/>
              </w:rPr>
              <w:t xml:space="preserve"> and support the following aspects of mutual interest:</w:t>
            </w:r>
          </w:p>
          <w:p w14:paraId="6587126A" w14:textId="77777777" w:rsidR="00667466" w:rsidRPr="003B6A69" w:rsidRDefault="00667466" w:rsidP="00667466">
            <w:pPr>
              <w:tabs>
                <w:tab w:val="left" w:pos="426"/>
              </w:tabs>
              <w:spacing w:after="0"/>
              <w:rPr>
                <w:rFonts w:asciiTheme="minorHAnsi" w:eastAsiaTheme="minorHAnsi" w:hAnsiTheme="minorHAnsi" w:cstheme="minorHAnsi"/>
                <w:szCs w:val="20"/>
                <w:lang w:val="en-GB"/>
              </w:rPr>
            </w:pPr>
            <w:r w:rsidRPr="003B6A69">
              <w:rPr>
                <w:rFonts w:asciiTheme="minorHAnsi" w:eastAsiaTheme="minorHAnsi" w:hAnsiTheme="minorHAnsi" w:cstheme="minorHAnsi"/>
                <w:szCs w:val="20"/>
                <w:lang w:val="en-GB"/>
              </w:rPr>
              <w:t>-</w:t>
            </w:r>
            <w:r w:rsidRPr="003B6A69">
              <w:rPr>
                <w:rFonts w:asciiTheme="minorHAnsi" w:eastAsiaTheme="minorHAnsi" w:hAnsiTheme="minorHAnsi" w:cstheme="minorHAnsi"/>
                <w:szCs w:val="20"/>
                <w:lang w:val="en-GB"/>
              </w:rPr>
              <w:tab/>
              <w:t>relationships between tourism and protected areas</w:t>
            </w:r>
          </w:p>
          <w:p w14:paraId="09DA68BE" w14:textId="77777777" w:rsidR="00667466" w:rsidRPr="003B6A69" w:rsidRDefault="00667466" w:rsidP="00667466">
            <w:pPr>
              <w:tabs>
                <w:tab w:val="left" w:pos="426"/>
              </w:tabs>
              <w:spacing w:after="0"/>
              <w:rPr>
                <w:rFonts w:asciiTheme="minorHAnsi" w:eastAsiaTheme="minorHAnsi" w:hAnsiTheme="minorHAnsi" w:cstheme="minorHAnsi"/>
                <w:szCs w:val="20"/>
                <w:lang w:val="en-GB"/>
              </w:rPr>
            </w:pPr>
            <w:r w:rsidRPr="003B6A69">
              <w:rPr>
                <w:rFonts w:asciiTheme="minorHAnsi" w:eastAsiaTheme="minorHAnsi" w:hAnsiTheme="minorHAnsi" w:cstheme="minorHAnsi"/>
                <w:szCs w:val="20"/>
                <w:lang w:val="en-GB"/>
              </w:rPr>
              <w:t>-</w:t>
            </w:r>
            <w:r w:rsidRPr="003B6A69">
              <w:rPr>
                <w:rFonts w:asciiTheme="minorHAnsi" w:eastAsiaTheme="minorHAnsi" w:hAnsiTheme="minorHAnsi" w:cstheme="minorHAnsi"/>
                <w:szCs w:val="20"/>
                <w:lang w:val="en-GB"/>
              </w:rPr>
              <w:tab/>
              <w:t>volume and content of protected area tourism</w:t>
            </w:r>
          </w:p>
          <w:p w14:paraId="1AF0FAA5" w14:textId="77777777" w:rsidR="00667466" w:rsidRPr="003B6A69" w:rsidRDefault="00667466" w:rsidP="00667466">
            <w:pPr>
              <w:tabs>
                <w:tab w:val="left" w:pos="426"/>
              </w:tabs>
              <w:spacing w:after="0"/>
              <w:rPr>
                <w:rFonts w:asciiTheme="minorHAnsi" w:eastAsiaTheme="minorHAnsi" w:hAnsiTheme="minorHAnsi" w:cstheme="minorHAnsi"/>
                <w:szCs w:val="20"/>
                <w:lang w:val="en-GB"/>
              </w:rPr>
            </w:pPr>
            <w:r w:rsidRPr="003B6A69">
              <w:rPr>
                <w:rFonts w:asciiTheme="minorHAnsi" w:eastAsiaTheme="minorHAnsi" w:hAnsiTheme="minorHAnsi" w:cstheme="minorHAnsi"/>
                <w:szCs w:val="20"/>
                <w:lang w:val="en-GB"/>
              </w:rPr>
              <w:t>-</w:t>
            </w:r>
            <w:r w:rsidRPr="003B6A69">
              <w:rPr>
                <w:rFonts w:asciiTheme="minorHAnsi" w:eastAsiaTheme="minorHAnsi" w:hAnsiTheme="minorHAnsi" w:cstheme="minorHAnsi"/>
                <w:szCs w:val="20"/>
                <w:lang w:val="en-GB"/>
              </w:rPr>
              <w:tab/>
              <w:t>best practice models for tourism management</w:t>
            </w:r>
          </w:p>
          <w:p w14:paraId="29CC5992" w14:textId="073BF076" w:rsidR="00667466" w:rsidRPr="003B6A69" w:rsidRDefault="00667466" w:rsidP="00667466">
            <w:pPr>
              <w:tabs>
                <w:tab w:val="left" w:pos="426"/>
              </w:tabs>
              <w:spacing w:after="0"/>
              <w:rPr>
                <w:rFonts w:asciiTheme="minorHAnsi" w:eastAsiaTheme="minorHAnsi" w:hAnsiTheme="minorHAnsi" w:cstheme="minorHAnsi"/>
                <w:szCs w:val="20"/>
                <w:lang w:val="en-GB"/>
              </w:rPr>
            </w:pPr>
            <w:r w:rsidRPr="003B6A69">
              <w:rPr>
                <w:rFonts w:asciiTheme="minorHAnsi" w:eastAsiaTheme="minorHAnsi" w:hAnsiTheme="minorHAnsi" w:cstheme="minorHAnsi"/>
                <w:szCs w:val="20"/>
                <w:lang w:val="en-GB"/>
              </w:rPr>
              <w:t>-</w:t>
            </w:r>
            <w:r w:rsidRPr="003B6A69">
              <w:rPr>
                <w:rFonts w:asciiTheme="minorHAnsi" w:eastAsiaTheme="minorHAnsi" w:hAnsiTheme="minorHAnsi" w:cstheme="minorHAnsi"/>
                <w:szCs w:val="20"/>
                <w:lang w:val="en-GB"/>
              </w:rPr>
              <w:tab/>
              <w:t xml:space="preserve">-Provide opportunities for protected areas managers and local tourism service providers for joint work on destination development and possible conflict resolution deriving from tourism development. </w:t>
            </w:r>
          </w:p>
          <w:p w14:paraId="1F94F069" w14:textId="77777777" w:rsidR="00667466" w:rsidRPr="003B6A69" w:rsidRDefault="00667466" w:rsidP="00667466">
            <w:pPr>
              <w:tabs>
                <w:tab w:val="left" w:pos="426"/>
              </w:tabs>
              <w:spacing w:after="0"/>
              <w:rPr>
                <w:rFonts w:cs="Calibri"/>
                <w:bCs/>
                <w:szCs w:val="20"/>
              </w:rPr>
            </w:pPr>
          </w:p>
          <w:p w14:paraId="2FD7B2BA" w14:textId="77777777" w:rsidR="00667466" w:rsidRPr="003B6A69" w:rsidRDefault="00667466" w:rsidP="00667466">
            <w:pPr>
              <w:tabs>
                <w:tab w:val="left" w:pos="426"/>
              </w:tabs>
              <w:spacing w:after="0"/>
              <w:rPr>
                <w:rFonts w:cs="Calibri"/>
                <w:bCs/>
                <w:szCs w:val="20"/>
              </w:rPr>
            </w:pPr>
            <w:r w:rsidRPr="003B6A69">
              <w:rPr>
                <w:rFonts w:cs="Calibri"/>
                <w:bCs/>
                <w:szCs w:val="20"/>
              </w:rPr>
              <w:t>The targeted LTOs will take part in the work of the Partnership Committee.</w:t>
            </w:r>
          </w:p>
          <w:p w14:paraId="00F06776" w14:textId="77777777" w:rsidR="00667466" w:rsidRPr="003B6A69" w:rsidRDefault="00667466" w:rsidP="00667466">
            <w:pPr>
              <w:tabs>
                <w:tab w:val="left" w:pos="426"/>
              </w:tabs>
              <w:spacing w:after="0"/>
              <w:rPr>
                <w:rFonts w:cs="Calibri"/>
                <w:bCs/>
                <w:szCs w:val="20"/>
              </w:rPr>
            </w:pPr>
          </w:p>
        </w:tc>
      </w:tr>
      <w:tr w:rsidR="00667466" w:rsidRPr="003B6A69" w14:paraId="4AB77490" w14:textId="77777777" w:rsidTr="00361190">
        <w:tc>
          <w:tcPr>
            <w:tcW w:w="2078" w:type="dxa"/>
            <w:tcBorders>
              <w:top w:val="single" w:sz="4" w:space="0" w:color="auto"/>
              <w:left w:val="single" w:sz="4" w:space="0" w:color="auto"/>
              <w:bottom w:val="single" w:sz="4" w:space="0" w:color="auto"/>
              <w:right w:val="single" w:sz="4" w:space="0" w:color="auto"/>
            </w:tcBorders>
            <w:shd w:val="clear" w:color="auto" w:fill="auto"/>
          </w:tcPr>
          <w:p w14:paraId="0728756A" w14:textId="77777777" w:rsidR="00667466" w:rsidRPr="003B6A69" w:rsidRDefault="00667466" w:rsidP="00667466">
            <w:pPr>
              <w:tabs>
                <w:tab w:val="left" w:pos="426"/>
              </w:tabs>
              <w:spacing w:after="120"/>
              <w:rPr>
                <w:szCs w:val="20"/>
              </w:rPr>
            </w:pPr>
            <w:r w:rsidRPr="003B6A69">
              <w:rPr>
                <w:rFonts w:cs="Calibri"/>
                <w:bCs/>
                <w:szCs w:val="20"/>
              </w:rPr>
              <w:t xml:space="preserve">Academia institutions: University of Montenegro (Faculty of Natural Sciences and Mathematics – Biology Department, Institute for Marine Biology Kotor) and University of </w:t>
            </w:r>
            <w:proofErr w:type="spellStart"/>
            <w:r w:rsidRPr="003B6A69">
              <w:rPr>
                <w:rFonts w:cs="Calibri"/>
                <w:bCs/>
                <w:szCs w:val="20"/>
              </w:rPr>
              <w:t>Donja</w:t>
            </w:r>
            <w:proofErr w:type="spellEnd"/>
            <w:r w:rsidRPr="003B6A69">
              <w:rPr>
                <w:rFonts w:cs="Calibri"/>
                <w:bCs/>
                <w:szCs w:val="20"/>
              </w:rPr>
              <w:t xml:space="preserve"> </w:t>
            </w:r>
            <w:proofErr w:type="spellStart"/>
            <w:r w:rsidRPr="003B6A69">
              <w:rPr>
                <w:rFonts w:cs="Calibri"/>
                <w:bCs/>
                <w:szCs w:val="20"/>
              </w:rPr>
              <w:lastRenderedPageBreak/>
              <w:t>Gorica</w:t>
            </w:r>
            <w:proofErr w:type="spellEnd"/>
            <w:r w:rsidRPr="003B6A69">
              <w:rPr>
                <w:rFonts w:cs="Calibri"/>
                <w:bCs/>
                <w:szCs w:val="20"/>
              </w:rPr>
              <w:t xml:space="preserve"> (Faculty for Food Technology, Food Safety and Ecology)</w:t>
            </w:r>
          </w:p>
        </w:tc>
        <w:tc>
          <w:tcPr>
            <w:tcW w:w="2332" w:type="dxa"/>
            <w:tcBorders>
              <w:top w:val="single" w:sz="4" w:space="0" w:color="auto"/>
              <w:left w:val="single" w:sz="4" w:space="0" w:color="auto"/>
              <w:bottom w:val="single" w:sz="4" w:space="0" w:color="auto"/>
              <w:right w:val="single" w:sz="4" w:space="0" w:color="auto"/>
            </w:tcBorders>
            <w:shd w:val="clear" w:color="auto" w:fill="auto"/>
          </w:tcPr>
          <w:p w14:paraId="362D2B1A" w14:textId="77777777" w:rsidR="00667466" w:rsidRPr="003B6A69" w:rsidRDefault="00667466" w:rsidP="00667466">
            <w:pPr>
              <w:tabs>
                <w:tab w:val="left" w:pos="426"/>
              </w:tabs>
              <w:spacing w:after="120"/>
              <w:rPr>
                <w:szCs w:val="20"/>
              </w:rPr>
            </w:pPr>
          </w:p>
        </w:tc>
        <w:tc>
          <w:tcPr>
            <w:tcW w:w="5580" w:type="dxa"/>
            <w:tcBorders>
              <w:top w:val="single" w:sz="4" w:space="0" w:color="auto"/>
              <w:left w:val="single" w:sz="4" w:space="0" w:color="auto"/>
              <w:bottom w:val="single" w:sz="4" w:space="0" w:color="auto"/>
              <w:right w:val="single" w:sz="4" w:space="0" w:color="auto"/>
            </w:tcBorders>
            <w:shd w:val="clear" w:color="auto" w:fill="auto"/>
          </w:tcPr>
          <w:p w14:paraId="7DDB607E" w14:textId="77777777" w:rsidR="00667466" w:rsidRPr="003B6A69" w:rsidRDefault="00667466" w:rsidP="00667466">
            <w:pPr>
              <w:tabs>
                <w:tab w:val="left" w:pos="426"/>
              </w:tabs>
              <w:spacing w:after="120"/>
              <w:rPr>
                <w:rFonts w:cs="Calibri"/>
                <w:bCs/>
                <w:szCs w:val="20"/>
              </w:rPr>
            </w:pPr>
            <w:r w:rsidRPr="003B6A69">
              <w:rPr>
                <w:rFonts w:cs="Calibri"/>
                <w:bCs/>
                <w:szCs w:val="20"/>
              </w:rPr>
              <w:t xml:space="preserve">Academia representatives and institutions will provide inputs for baseline data and research, planned fieldwork, </w:t>
            </w:r>
            <w:proofErr w:type="gramStart"/>
            <w:r w:rsidRPr="003B6A69">
              <w:rPr>
                <w:rFonts w:cs="Calibri"/>
                <w:bCs/>
                <w:szCs w:val="20"/>
              </w:rPr>
              <w:t>BD</w:t>
            </w:r>
            <w:proofErr w:type="gramEnd"/>
            <w:r w:rsidRPr="003B6A69">
              <w:rPr>
                <w:rFonts w:cs="Calibri"/>
                <w:bCs/>
                <w:szCs w:val="20"/>
              </w:rPr>
              <w:t xml:space="preserve"> and other relevant assessments.</w:t>
            </w:r>
          </w:p>
          <w:p w14:paraId="6411B469" w14:textId="77777777" w:rsidR="00667466" w:rsidRPr="003B6A69" w:rsidRDefault="00667466" w:rsidP="00667466">
            <w:pPr>
              <w:tabs>
                <w:tab w:val="left" w:pos="426"/>
              </w:tabs>
              <w:spacing w:after="120"/>
              <w:rPr>
                <w:rFonts w:cs="Calibri"/>
                <w:bCs/>
                <w:szCs w:val="20"/>
              </w:rPr>
            </w:pPr>
            <w:r w:rsidRPr="003B6A69">
              <w:rPr>
                <w:rFonts w:cs="Calibri"/>
                <w:bCs/>
                <w:szCs w:val="20"/>
              </w:rPr>
              <w:t xml:space="preserve">As the line ministries and universities have ongoing Memorandum of Understandings and joint projects, the project will tap in the existing communication channels and secure that best available expertise and knowledge is available for the implementation of project activities. This will bring two-fold benefits to the scientific </w:t>
            </w:r>
            <w:r w:rsidRPr="003B6A69">
              <w:rPr>
                <w:rFonts w:cs="Calibri"/>
                <w:bCs/>
                <w:szCs w:val="20"/>
              </w:rPr>
              <w:lastRenderedPageBreak/>
              <w:t>community, providing field and means for the engagement of national specialists and making the best available knowledge from outside Montenegro available to them.</w:t>
            </w:r>
          </w:p>
          <w:p w14:paraId="16431D0E" w14:textId="77777777" w:rsidR="00667466" w:rsidRPr="003B6A69" w:rsidRDefault="00667466" w:rsidP="00667466">
            <w:pPr>
              <w:tabs>
                <w:tab w:val="left" w:pos="426"/>
              </w:tabs>
              <w:spacing w:after="120"/>
              <w:rPr>
                <w:rFonts w:cs="Calibri"/>
                <w:bCs/>
                <w:szCs w:val="20"/>
              </w:rPr>
            </w:pPr>
            <w:r w:rsidRPr="003B6A69">
              <w:rPr>
                <w:rFonts w:cs="Calibri"/>
                <w:bCs/>
                <w:szCs w:val="20"/>
              </w:rPr>
              <w:t xml:space="preserve">Academia will form a key part of the project Partnership Committee. </w:t>
            </w:r>
          </w:p>
          <w:p w14:paraId="27BE4DB2" w14:textId="77777777" w:rsidR="00667466" w:rsidRPr="003B6A69" w:rsidRDefault="00667466" w:rsidP="00667466">
            <w:pPr>
              <w:tabs>
                <w:tab w:val="left" w:pos="426"/>
              </w:tabs>
              <w:spacing w:after="120"/>
              <w:rPr>
                <w:rFonts w:cs="Calibri"/>
                <w:bCs/>
                <w:szCs w:val="20"/>
              </w:rPr>
            </w:pPr>
          </w:p>
        </w:tc>
      </w:tr>
      <w:tr w:rsidR="00B404E3" w:rsidRPr="003B6A69" w14:paraId="70541F80" w14:textId="77777777" w:rsidTr="00361190">
        <w:tc>
          <w:tcPr>
            <w:tcW w:w="2078" w:type="dxa"/>
            <w:tcBorders>
              <w:top w:val="single" w:sz="4" w:space="0" w:color="auto"/>
              <w:left w:val="single" w:sz="4" w:space="0" w:color="auto"/>
              <w:bottom w:val="single" w:sz="4" w:space="0" w:color="auto"/>
              <w:right w:val="single" w:sz="4" w:space="0" w:color="auto"/>
            </w:tcBorders>
            <w:shd w:val="clear" w:color="auto" w:fill="auto"/>
          </w:tcPr>
          <w:p w14:paraId="05E5C980" w14:textId="18746FB0" w:rsidR="00B404E3" w:rsidRPr="003B6A69" w:rsidRDefault="00B404E3" w:rsidP="00667466">
            <w:pPr>
              <w:tabs>
                <w:tab w:val="left" w:pos="426"/>
              </w:tabs>
              <w:spacing w:after="120"/>
              <w:rPr>
                <w:rFonts w:cs="Calibri"/>
                <w:bCs/>
                <w:szCs w:val="20"/>
              </w:rPr>
            </w:pPr>
            <w:r w:rsidRPr="003B6A69">
              <w:rPr>
                <w:rFonts w:cstheme="minorHAnsi"/>
              </w:rPr>
              <w:lastRenderedPageBreak/>
              <w:t>Affected communities/people who may be directly affected by the project</w:t>
            </w:r>
          </w:p>
        </w:tc>
        <w:tc>
          <w:tcPr>
            <w:tcW w:w="2332" w:type="dxa"/>
            <w:tcBorders>
              <w:top w:val="single" w:sz="4" w:space="0" w:color="auto"/>
              <w:left w:val="single" w:sz="4" w:space="0" w:color="auto"/>
              <w:bottom w:val="single" w:sz="4" w:space="0" w:color="auto"/>
              <w:right w:val="single" w:sz="4" w:space="0" w:color="auto"/>
            </w:tcBorders>
            <w:shd w:val="clear" w:color="auto" w:fill="auto"/>
          </w:tcPr>
          <w:p w14:paraId="5B6FF9EE" w14:textId="77777777" w:rsidR="00B404E3" w:rsidRPr="003B6A69" w:rsidRDefault="00B404E3" w:rsidP="00667466">
            <w:pPr>
              <w:tabs>
                <w:tab w:val="left" w:pos="426"/>
              </w:tabs>
              <w:spacing w:after="120"/>
              <w:rPr>
                <w:rFonts w:cs="Calibri"/>
                <w:bCs/>
                <w:szCs w:val="20"/>
              </w:rPr>
            </w:pPr>
          </w:p>
        </w:tc>
        <w:tc>
          <w:tcPr>
            <w:tcW w:w="5580" w:type="dxa"/>
            <w:tcBorders>
              <w:top w:val="single" w:sz="4" w:space="0" w:color="auto"/>
              <w:left w:val="single" w:sz="4" w:space="0" w:color="auto"/>
              <w:bottom w:val="single" w:sz="4" w:space="0" w:color="auto"/>
              <w:right w:val="single" w:sz="4" w:space="0" w:color="auto"/>
            </w:tcBorders>
            <w:shd w:val="clear" w:color="auto" w:fill="auto"/>
          </w:tcPr>
          <w:p w14:paraId="0A8FC347" w14:textId="52A64335" w:rsidR="00B404E3" w:rsidRPr="003B6A69" w:rsidRDefault="00B404E3" w:rsidP="00B404E3">
            <w:pPr>
              <w:spacing w:after="0"/>
              <w:rPr>
                <w:rFonts w:eastAsia="Calibri"/>
                <w:bCs/>
                <w:iCs/>
              </w:rPr>
            </w:pPr>
            <w:r w:rsidRPr="003B6A69">
              <w:rPr>
                <w:rFonts w:eastAsia="Calibri"/>
                <w:bCs/>
                <w:iCs/>
              </w:rPr>
              <w:t xml:space="preserve">Local community representatives and institutions will be informed and asked for inputs where their livelihoods are concerned, as compliance with the international requirements for internationally recognized PAs, change in PA zonation or management, local nature-based tourism development, targeted support to sustainable forestry and local green farming. As part of SES risk mitigation, the project will ensure early disclosure of information and engagement on all activities that may affect local communities. A Grievance Redress Mechanism (see below) will be developed as a mechanism for addressing possible grievances and complaints associated with the direct project impact or co-financing activities. </w:t>
            </w:r>
          </w:p>
          <w:p w14:paraId="71D415C5" w14:textId="77777777" w:rsidR="00B404E3" w:rsidRPr="003B6A69" w:rsidRDefault="00B404E3" w:rsidP="00667466">
            <w:pPr>
              <w:tabs>
                <w:tab w:val="left" w:pos="426"/>
              </w:tabs>
              <w:spacing w:after="120"/>
              <w:rPr>
                <w:rFonts w:cs="Calibri"/>
                <w:bCs/>
                <w:szCs w:val="20"/>
              </w:rPr>
            </w:pPr>
          </w:p>
        </w:tc>
      </w:tr>
      <w:tr w:rsidR="00667466" w:rsidRPr="003B6A69" w14:paraId="6A970C73" w14:textId="77777777" w:rsidTr="00361190">
        <w:tc>
          <w:tcPr>
            <w:tcW w:w="2078" w:type="dxa"/>
            <w:tcBorders>
              <w:top w:val="single" w:sz="4" w:space="0" w:color="auto"/>
              <w:left w:val="single" w:sz="4" w:space="0" w:color="auto"/>
              <w:bottom w:val="single" w:sz="4" w:space="0" w:color="auto"/>
              <w:right w:val="single" w:sz="4" w:space="0" w:color="auto"/>
            </w:tcBorders>
            <w:shd w:val="clear" w:color="auto" w:fill="auto"/>
          </w:tcPr>
          <w:p w14:paraId="7AFF9C6A" w14:textId="77777777" w:rsidR="00667466" w:rsidRPr="003B6A69" w:rsidRDefault="00667466" w:rsidP="00667466">
            <w:pPr>
              <w:tabs>
                <w:tab w:val="left" w:pos="426"/>
              </w:tabs>
              <w:spacing w:after="120"/>
              <w:rPr>
                <w:rFonts w:cs="Calibri"/>
                <w:bCs/>
                <w:szCs w:val="20"/>
              </w:rPr>
            </w:pPr>
            <w:r w:rsidRPr="003B6A69">
              <w:rPr>
                <w:rFonts w:cs="Calibri"/>
                <w:bCs/>
                <w:szCs w:val="20"/>
              </w:rPr>
              <w:t xml:space="preserve">CSOs: </w:t>
            </w:r>
          </w:p>
          <w:p w14:paraId="3B20821F" w14:textId="77777777" w:rsidR="00667466" w:rsidRPr="003B6A69" w:rsidRDefault="00667466" w:rsidP="00667466">
            <w:pPr>
              <w:tabs>
                <w:tab w:val="left" w:pos="426"/>
              </w:tabs>
              <w:spacing w:after="120"/>
              <w:rPr>
                <w:rFonts w:cs="Calibri"/>
                <w:bCs/>
                <w:szCs w:val="20"/>
              </w:rPr>
            </w:pPr>
            <w:r w:rsidRPr="003B6A69">
              <w:rPr>
                <w:rFonts w:cs="Calibri"/>
                <w:bCs/>
                <w:szCs w:val="20"/>
              </w:rPr>
              <w:t xml:space="preserve"> Center for Protection and Research of birds, NGO Green Home, Montenegrin Ecologists Society, NGO </w:t>
            </w:r>
            <w:proofErr w:type="spellStart"/>
            <w:proofErr w:type="gramStart"/>
            <w:r w:rsidRPr="003B6A69">
              <w:rPr>
                <w:rFonts w:cs="Calibri"/>
                <w:bCs/>
                <w:szCs w:val="20"/>
              </w:rPr>
              <w:t>EnvPro</w:t>
            </w:r>
            <w:proofErr w:type="spellEnd"/>
            <w:proofErr w:type="gramEnd"/>
            <w:r w:rsidRPr="003B6A69">
              <w:rPr>
                <w:rFonts w:cs="Calibri"/>
                <w:bCs/>
                <w:szCs w:val="20"/>
              </w:rPr>
              <w:t xml:space="preserve"> and Natura</w:t>
            </w:r>
          </w:p>
          <w:p w14:paraId="692CC397" w14:textId="77777777" w:rsidR="00667466" w:rsidRPr="003B6A69" w:rsidRDefault="00667466" w:rsidP="00667466">
            <w:pPr>
              <w:tabs>
                <w:tab w:val="left" w:pos="426"/>
              </w:tabs>
              <w:spacing w:after="120"/>
              <w:rPr>
                <w:rFonts w:cs="Calibri"/>
                <w:bCs/>
                <w:szCs w:val="20"/>
              </w:rPr>
            </w:pPr>
            <w:r w:rsidRPr="003B6A69">
              <w:rPr>
                <w:rFonts w:cs="Calibri"/>
                <w:bCs/>
                <w:szCs w:val="20"/>
                <w:lang w:val="en-GB"/>
              </w:rPr>
              <w:t>Association of Businesswomen of Montenegro and Montenegrin Employers Federation</w:t>
            </w:r>
          </w:p>
        </w:tc>
        <w:tc>
          <w:tcPr>
            <w:tcW w:w="2332" w:type="dxa"/>
            <w:tcBorders>
              <w:top w:val="single" w:sz="4" w:space="0" w:color="auto"/>
              <w:left w:val="single" w:sz="4" w:space="0" w:color="auto"/>
              <w:bottom w:val="single" w:sz="4" w:space="0" w:color="auto"/>
              <w:right w:val="single" w:sz="4" w:space="0" w:color="auto"/>
            </w:tcBorders>
            <w:shd w:val="clear" w:color="auto" w:fill="auto"/>
          </w:tcPr>
          <w:p w14:paraId="75585A02" w14:textId="77777777" w:rsidR="00667466" w:rsidRPr="003B6A69" w:rsidRDefault="00667466" w:rsidP="00667466">
            <w:pPr>
              <w:tabs>
                <w:tab w:val="left" w:pos="426"/>
              </w:tabs>
              <w:spacing w:after="120"/>
              <w:rPr>
                <w:rFonts w:cs="Calibri"/>
                <w:bCs/>
                <w:szCs w:val="20"/>
              </w:rPr>
            </w:pPr>
            <w:r w:rsidRPr="003B6A69">
              <w:rPr>
                <w:rFonts w:cs="Calibri"/>
                <w:bCs/>
                <w:szCs w:val="20"/>
              </w:rPr>
              <w:t xml:space="preserve">An informal network of non-government organizations in Montenegro, </w:t>
            </w:r>
            <w:proofErr w:type="gramStart"/>
            <w:r w:rsidRPr="003B6A69">
              <w:rPr>
                <w:rFonts w:cs="Calibri"/>
                <w:bCs/>
                <w:szCs w:val="20"/>
              </w:rPr>
              <w:t>the  Coalition</w:t>
            </w:r>
            <w:proofErr w:type="gramEnd"/>
            <w:r w:rsidRPr="003B6A69">
              <w:rPr>
                <w:rFonts w:cs="Calibri"/>
                <w:bCs/>
                <w:szCs w:val="20"/>
              </w:rPr>
              <w:t xml:space="preserve"> 27 was formed in 2016. Today it functions as a platform for joint participation of civil society organizations in the process of adopting standards and values ​​of the European Union in the field of environmental protection.</w:t>
            </w:r>
          </w:p>
          <w:p w14:paraId="5981FCFB" w14:textId="77777777" w:rsidR="00667466" w:rsidRPr="003B6A69" w:rsidRDefault="00667466" w:rsidP="00667466">
            <w:pPr>
              <w:tabs>
                <w:tab w:val="left" w:pos="426"/>
              </w:tabs>
              <w:spacing w:after="120"/>
              <w:rPr>
                <w:rFonts w:cs="Calibri"/>
                <w:bCs/>
                <w:szCs w:val="20"/>
              </w:rPr>
            </w:pPr>
          </w:p>
          <w:p w14:paraId="6AD30591" w14:textId="77777777" w:rsidR="00667466" w:rsidRPr="003B6A69" w:rsidRDefault="00667466" w:rsidP="00667466">
            <w:pPr>
              <w:tabs>
                <w:tab w:val="left" w:pos="426"/>
              </w:tabs>
              <w:spacing w:after="120"/>
              <w:rPr>
                <w:rFonts w:cs="Calibri"/>
                <w:bCs/>
                <w:szCs w:val="20"/>
              </w:rPr>
            </w:pPr>
            <w:r w:rsidRPr="003B6A69">
              <w:rPr>
                <w:rFonts w:cs="Calibri"/>
                <w:bCs/>
                <w:szCs w:val="20"/>
              </w:rPr>
              <w:t>The Coalition members focus on monitoring the process of harmonization and implementation of policies in the accession negotiations of Montenegro with the EU, as well as proposing solutions that will contribute to the protection and improvement of the environment and the quality of life of citizens.</w:t>
            </w:r>
          </w:p>
          <w:p w14:paraId="3C898A74" w14:textId="77777777" w:rsidR="00667466" w:rsidRPr="003B6A69" w:rsidRDefault="00667466" w:rsidP="00667466">
            <w:pPr>
              <w:tabs>
                <w:tab w:val="left" w:pos="426"/>
              </w:tabs>
              <w:spacing w:after="120"/>
              <w:rPr>
                <w:szCs w:val="20"/>
              </w:rPr>
            </w:pPr>
          </w:p>
        </w:tc>
        <w:tc>
          <w:tcPr>
            <w:tcW w:w="5580" w:type="dxa"/>
            <w:tcBorders>
              <w:top w:val="single" w:sz="4" w:space="0" w:color="auto"/>
              <w:left w:val="single" w:sz="4" w:space="0" w:color="auto"/>
              <w:bottom w:val="single" w:sz="4" w:space="0" w:color="auto"/>
              <w:right w:val="single" w:sz="4" w:space="0" w:color="auto"/>
            </w:tcBorders>
            <w:shd w:val="clear" w:color="auto" w:fill="auto"/>
          </w:tcPr>
          <w:p w14:paraId="03916ADF" w14:textId="77777777" w:rsidR="00667466" w:rsidRPr="003B6A69" w:rsidRDefault="00667466" w:rsidP="00667466">
            <w:pPr>
              <w:tabs>
                <w:tab w:val="left" w:pos="426"/>
              </w:tabs>
              <w:spacing w:after="120"/>
              <w:rPr>
                <w:rFonts w:cs="Calibri"/>
                <w:bCs/>
                <w:szCs w:val="20"/>
                <w:lang w:val="en-GB"/>
              </w:rPr>
            </w:pPr>
            <w:r w:rsidRPr="003B6A69">
              <w:rPr>
                <w:rFonts w:cs="Calibri"/>
                <w:bCs/>
                <w:szCs w:val="20"/>
                <w:lang w:val="en-GB"/>
              </w:rPr>
              <w:t>Participation of CSOs and NGOs will ensure adequate representation of public opinion and local stakeholder interests in the project activities and endeavours. Through gender-focused NGOs, gender equality throughout project implementation will be ensured.</w:t>
            </w:r>
          </w:p>
          <w:p w14:paraId="7CBDA19C" w14:textId="481FBD04" w:rsidR="00667466" w:rsidRPr="003B6A69" w:rsidRDefault="00667466" w:rsidP="00667466">
            <w:pPr>
              <w:tabs>
                <w:tab w:val="left" w:pos="426"/>
              </w:tabs>
              <w:spacing w:after="120"/>
              <w:rPr>
                <w:rFonts w:cs="Calibri"/>
                <w:bCs/>
                <w:szCs w:val="20"/>
              </w:rPr>
            </w:pPr>
            <w:r w:rsidRPr="003B6A69">
              <w:rPr>
                <w:rFonts w:cs="Calibri"/>
                <w:bCs/>
                <w:szCs w:val="20"/>
                <w:lang w:val="en-GB"/>
              </w:rPr>
              <w:t xml:space="preserve">NGOs and CSOs could also help in promoting project results and help </w:t>
            </w:r>
            <w:r w:rsidR="00A75B9B" w:rsidRPr="003B6A69">
              <w:rPr>
                <w:rFonts w:cs="Calibri"/>
                <w:bCs/>
                <w:szCs w:val="20"/>
                <w:lang w:val="en-GB"/>
              </w:rPr>
              <w:t>to build</w:t>
            </w:r>
            <w:r w:rsidRPr="003B6A69">
              <w:rPr>
                <w:rFonts w:cs="Calibri"/>
                <w:bCs/>
                <w:szCs w:val="20"/>
                <w:lang w:val="en-GB"/>
              </w:rPr>
              <w:t xml:space="preserve"> upon existing achievements and initiatives already initiated especially on </w:t>
            </w:r>
            <w:r w:rsidR="00A75B9B" w:rsidRPr="003B6A69">
              <w:rPr>
                <w:rFonts w:cs="Calibri"/>
                <w:bCs/>
                <w:szCs w:val="20"/>
                <w:lang w:val="en-GB"/>
              </w:rPr>
              <w:t xml:space="preserve">the </w:t>
            </w:r>
            <w:r w:rsidRPr="003B6A69">
              <w:rPr>
                <w:rFonts w:cs="Calibri"/>
                <w:bCs/>
                <w:szCs w:val="20"/>
                <w:lang w:val="en-GB"/>
              </w:rPr>
              <w:t xml:space="preserve">local level. CSOs and NGOs </w:t>
            </w:r>
            <w:r w:rsidRPr="003B6A69">
              <w:rPr>
                <w:rFonts w:cs="Calibri"/>
                <w:bCs/>
                <w:szCs w:val="20"/>
              </w:rPr>
              <w:t>will be encouraged to take active roles in implementing project activities, ensure synergies with their ongoing initiatives in the field of relevance, and support collaboration between local communities, protected area</w:t>
            </w:r>
            <w:r w:rsidR="00A75B9B" w:rsidRPr="003B6A69">
              <w:rPr>
                <w:rFonts w:cs="Calibri"/>
                <w:bCs/>
                <w:szCs w:val="20"/>
              </w:rPr>
              <w:t>s,</w:t>
            </w:r>
            <w:r w:rsidRPr="003B6A69">
              <w:rPr>
                <w:rFonts w:cs="Calibri"/>
                <w:bCs/>
                <w:szCs w:val="20"/>
              </w:rPr>
              <w:t xml:space="preserve"> and small businesses (tourism, forestry, and farming). Where feasible, </w:t>
            </w:r>
            <w:proofErr w:type="gramStart"/>
            <w:r w:rsidRPr="003B6A69">
              <w:rPr>
                <w:rFonts w:cs="Calibri"/>
                <w:bCs/>
                <w:szCs w:val="20"/>
              </w:rPr>
              <w:t>national</w:t>
            </w:r>
            <w:proofErr w:type="gramEnd"/>
            <w:r w:rsidRPr="003B6A69">
              <w:rPr>
                <w:rFonts w:cs="Calibri"/>
                <w:bCs/>
                <w:szCs w:val="20"/>
              </w:rPr>
              <w:t xml:space="preserve"> and local CSOs will actively participate in the stakeholder engagement processes for project activities.</w:t>
            </w:r>
          </w:p>
          <w:p w14:paraId="11EDCB25" w14:textId="77777777" w:rsidR="00667466" w:rsidRPr="003B6A69" w:rsidRDefault="00667466" w:rsidP="00667466">
            <w:pPr>
              <w:tabs>
                <w:tab w:val="left" w:pos="426"/>
              </w:tabs>
              <w:spacing w:after="120"/>
              <w:rPr>
                <w:rFonts w:cs="Calibri"/>
                <w:bCs/>
                <w:szCs w:val="20"/>
              </w:rPr>
            </w:pPr>
            <w:r w:rsidRPr="003B6A69">
              <w:rPr>
                <w:rFonts w:cs="Calibri"/>
                <w:bCs/>
                <w:szCs w:val="20"/>
              </w:rPr>
              <w:t>Representatives of the Collation 27 and the CSOs that would like to be represented individually will take part in the work of the Partnership Committee.</w:t>
            </w:r>
          </w:p>
        </w:tc>
      </w:tr>
      <w:tr w:rsidR="00667466" w:rsidRPr="003B6A69" w14:paraId="2B0F91C4" w14:textId="77777777" w:rsidTr="00361190">
        <w:tc>
          <w:tcPr>
            <w:tcW w:w="2078" w:type="dxa"/>
            <w:tcBorders>
              <w:top w:val="single" w:sz="4" w:space="0" w:color="auto"/>
              <w:left w:val="single" w:sz="4" w:space="0" w:color="auto"/>
              <w:bottom w:val="single" w:sz="4" w:space="0" w:color="auto"/>
              <w:right w:val="single" w:sz="4" w:space="0" w:color="auto"/>
            </w:tcBorders>
            <w:shd w:val="clear" w:color="auto" w:fill="auto"/>
          </w:tcPr>
          <w:p w14:paraId="3FC598F4" w14:textId="77777777" w:rsidR="00667466" w:rsidRPr="003B6A69" w:rsidRDefault="00667466" w:rsidP="00667466">
            <w:pPr>
              <w:tabs>
                <w:tab w:val="left" w:pos="426"/>
              </w:tabs>
              <w:spacing w:after="120"/>
              <w:rPr>
                <w:szCs w:val="20"/>
              </w:rPr>
            </w:pPr>
            <w:r w:rsidRPr="003B6A69">
              <w:rPr>
                <w:szCs w:val="20"/>
              </w:rPr>
              <w:lastRenderedPageBreak/>
              <w:t>Chamber of Commerce of Montenegro (COC)</w:t>
            </w:r>
          </w:p>
        </w:tc>
        <w:tc>
          <w:tcPr>
            <w:tcW w:w="2332" w:type="dxa"/>
            <w:tcBorders>
              <w:top w:val="single" w:sz="4" w:space="0" w:color="auto"/>
              <w:left w:val="single" w:sz="4" w:space="0" w:color="auto"/>
              <w:bottom w:val="single" w:sz="4" w:space="0" w:color="auto"/>
              <w:right w:val="single" w:sz="4" w:space="0" w:color="auto"/>
            </w:tcBorders>
            <w:shd w:val="clear" w:color="auto" w:fill="auto"/>
          </w:tcPr>
          <w:p w14:paraId="1A89A82D" w14:textId="77777777" w:rsidR="00667466" w:rsidRPr="003B6A69" w:rsidRDefault="00667466" w:rsidP="00667466">
            <w:pPr>
              <w:shd w:val="clear" w:color="auto" w:fill="FFFFFF"/>
              <w:spacing w:after="0"/>
              <w:textAlignment w:val="baseline"/>
              <w:rPr>
                <w:szCs w:val="20"/>
              </w:rPr>
            </w:pPr>
            <w:r w:rsidRPr="003B6A69">
              <w:rPr>
                <w:szCs w:val="20"/>
              </w:rPr>
              <w:t>The Chamber of Commerce is an institutional partner of the Government of Montenegro. Members of the Chamber of Commerce are companies, banks and other financial organizations, insurance organizations and entrepreneurs registered in the Central Register of Business Entities.</w:t>
            </w:r>
            <w:r w:rsidRPr="003B6A69" w:rsidDel="00DC3870">
              <w:rPr>
                <w:szCs w:val="20"/>
              </w:rPr>
              <w:t xml:space="preserve"> </w:t>
            </w:r>
            <w:r w:rsidRPr="003B6A69">
              <w:rPr>
                <w:szCs w:val="20"/>
              </w:rPr>
              <w:t>The Chamber ensures the realization and improvement of the common interests of its members, participates in the adoption of economic-systemic and economic policy measures within the competence of the state by giving proposals and positions on certain issues of interest for business and market economy development.</w:t>
            </w:r>
            <w:r w:rsidRPr="003B6A69" w:rsidDel="00DC3870">
              <w:rPr>
                <w:szCs w:val="20"/>
              </w:rPr>
              <w:t xml:space="preserve"> </w:t>
            </w:r>
          </w:p>
        </w:tc>
        <w:tc>
          <w:tcPr>
            <w:tcW w:w="5580" w:type="dxa"/>
            <w:tcBorders>
              <w:top w:val="single" w:sz="4" w:space="0" w:color="auto"/>
              <w:left w:val="single" w:sz="4" w:space="0" w:color="auto"/>
              <w:bottom w:val="single" w:sz="4" w:space="0" w:color="auto"/>
              <w:right w:val="single" w:sz="4" w:space="0" w:color="auto"/>
            </w:tcBorders>
            <w:shd w:val="clear" w:color="auto" w:fill="auto"/>
          </w:tcPr>
          <w:p w14:paraId="2E059087" w14:textId="77777777" w:rsidR="00667466" w:rsidRPr="003B6A69" w:rsidRDefault="00667466" w:rsidP="00667466">
            <w:pPr>
              <w:tabs>
                <w:tab w:val="left" w:pos="426"/>
              </w:tabs>
              <w:spacing w:after="120"/>
              <w:rPr>
                <w:rFonts w:cs="Calibri"/>
                <w:bCs/>
                <w:szCs w:val="20"/>
              </w:rPr>
            </w:pPr>
            <w:r w:rsidRPr="003B6A69">
              <w:rPr>
                <w:rFonts w:cs="Calibri"/>
                <w:bCs/>
                <w:szCs w:val="20"/>
              </w:rPr>
              <w:t>COC will support the communication with private sector representatives in line with the models established under the UNDP-GEF projects “Growing green businesses in Montenegro” and “Toward low carbon tourism development in Montenegro”.</w:t>
            </w:r>
          </w:p>
          <w:p w14:paraId="26865E24" w14:textId="02026998" w:rsidR="00667466" w:rsidRPr="003B6A69" w:rsidRDefault="00667466" w:rsidP="00667466">
            <w:pPr>
              <w:tabs>
                <w:tab w:val="left" w:pos="426"/>
              </w:tabs>
              <w:spacing w:after="120"/>
              <w:rPr>
                <w:rFonts w:cs="Calibri"/>
                <w:bCs/>
                <w:szCs w:val="20"/>
              </w:rPr>
            </w:pPr>
            <w:r w:rsidRPr="003B6A69">
              <w:rPr>
                <w:rFonts w:cs="Calibri"/>
                <w:bCs/>
                <w:szCs w:val="20"/>
              </w:rPr>
              <w:t xml:space="preserve">Within the mandate of the COC the project will benefit from </w:t>
            </w:r>
            <w:r w:rsidR="00A75B9B" w:rsidRPr="003B6A69">
              <w:rPr>
                <w:rFonts w:cs="Calibri"/>
                <w:bCs/>
                <w:szCs w:val="20"/>
              </w:rPr>
              <w:t xml:space="preserve">the </w:t>
            </w:r>
            <w:r w:rsidRPr="003B6A69">
              <w:rPr>
                <w:rFonts w:cs="Calibri"/>
                <w:bCs/>
                <w:szCs w:val="20"/>
              </w:rPr>
              <w:t>available information system for the needs of its members, information register on business, available capacities in certain branches of the economy and on their production programs;</w:t>
            </w:r>
            <w:r w:rsidRPr="003B6A69">
              <w:rPr>
                <w:rFonts w:asciiTheme="minorHAnsi" w:eastAsiaTheme="minorHAnsi" w:hAnsiTheme="minorHAnsi" w:cstheme="minorBidi"/>
                <w:sz w:val="22"/>
                <w:szCs w:val="22"/>
              </w:rPr>
              <w:t xml:space="preserve"> </w:t>
            </w:r>
            <w:r w:rsidRPr="003B6A69">
              <w:rPr>
                <w:rFonts w:cs="Calibri"/>
                <w:bCs/>
                <w:szCs w:val="20"/>
              </w:rPr>
              <w:t xml:space="preserve">database of training and educational </w:t>
            </w:r>
            <w:proofErr w:type="gramStart"/>
            <w:r w:rsidRPr="003B6A69">
              <w:rPr>
                <w:rFonts w:cs="Calibri"/>
                <w:bCs/>
                <w:szCs w:val="20"/>
              </w:rPr>
              <w:t>programs</w:t>
            </w:r>
            <w:r w:rsidR="00A75B9B" w:rsidRPr="003B6A69">
              <w:rPr>
                <w:rFonts w:cs="Calibri"/>
                <w:bCs/>
                <w:szCs w:val="20"/>
              </w:rPr>
              <w:t>,</w:t>
            </w:r>
            <w:r w:rsidRPr="003B6A69">
              <w:rPr>
                <w:rFonts w:cs="Calibri"/>
                <w:bCs/>
                <w:szCs w:val="20"/>
              </w:rPr>
              <w:t xml:space="preserve"> and</w:t>
            </w:r>
            <w:proofErr w:type="gramEnd"/>
            <w:r w:rsidRPr="003B6A69">
              <w:rPr>
                <w:rFonts w:cs="Calibri"/>
                <w:bCs/>
                <w:szCs w:val="20"/>
              </w:rPr>
              <w:t xml:space="preserve"> strengthening of good business practices. </w:t>
            </w:r>
          </w:p>
          <w:p w14:paraId="0BD64F6B" w14:textId="3199901C" w:rsidR="00667466" w:rsidRPr="003B6A69" w:rsidRDefault="00667466" w:rsidP="00667466">
            <w:pPr>
              <w:tabs>
                <w:tab w:val="left" w:pos="426"/>
              </w:tabs>
              <w:spacing w:after="120"/>
              <w:rPr>
                <w:rFonts w:cs="Calibri"/>
                <w:bCs/>
                <w:szCs w:val="20"/>
              </w:rPr>
            </w:pPr>
            <w:r w:rsidRPr="003B6A69">
              <w:rPr>
                <w:rFonts w:cs="Calibri"/>
                <w:bCs/>
                <w:szCs w:val="20"/>
              </w:rPr>
              <w:t>The COC represents the most efficient platform for information exchange between relevant busines</w:t>
            </w:r>
            <w:r w:rsidR="00A75B9B" w:rsidRPr="003B6A69">
              <w:rPr>
                <w:rFonts w:cs="Calibri"/>
                <w:bCs/>
                <w:szCs w:val="20"/>
              </w:rPr>
              <w:t>se</w:t>
            </w:r>
            <w:r w:rsidRPr="003B6A69">
              <w:rPr>
                <w:rFonts w:cs="Calibri"/>
                <w:bCs/>
                <w:szCs w:val="20"/>
              </w:rPr>
              <w:t xml:space="preserve">s and will present an important communication channel with the business community for the project. </w:t>
            </w:r>
          </w:p>
          <w:p w14:paraId="37B16229" w14:textId="77777777" w:rsidR="00667466" w:rsidRPr="003B6A69" w:rsidRDefault="00667466" w:rsidP="00667466">
            <w:pPr>
              <w:tabs>
                <w:tab w:val="left" w:pos="426"/>
              </w:tabs>
              <w:spacing w:after="120"/>
              <w:rPr>
                <w:rFonts w:cs="Calibri"/>
                <w:bCs/>
                <w:szCs w:val="20"/>
              </w:rPr>
            </w:pPr>
            <w:r w:rsidRPr="003B6A69">
              <w:rPr>
                <w:rFonts w:cs="Calibri"/>
                <w:bCs/>
                <w:szCs w:val="20"/>
              </w:rPr>
              <w:t>Representatives of COC will take part in the work of the Partnership Committee.</w:t>
            </w:r>
          </w:p>
        </w:tc>
      </w:tr>
    </w:tbl>
    <w:p w14:paraId="0F57E200" w14:textId="77777777" w:rsidR="00667466" w:rsidRPr="003B6A69" w:rsidRDefault="00667466" w:rsidP="00667466">
      <w:pPr>
        <w:tabs>
          <w:tab w:val="left" w:pos="426"/>
        </w:tabs>
        <w:spacing w:after="120"/>
        <w:rPr>
          <w:rFonts w:cs="Calibri"/>
          <w:bCs/>
          <w:szCs w:val="20"/>
        </w:rPr>
      </w:pPr>
    </w:p>
    <w:p w14:paraId="37D2631C" w14:textId="77777777" w:rsidR="00667466" w:rsidRPr="003B6A69" w:rsidRDefault="00667466" w:rsidP="00FE2363">
      <w:pPr>
        <w:tabs>
          <w:tab w:val="left" w:pos="426"/>
        </w:tabs>
        <w:spacing w:after="120"/>
        <w:rPr>
          <w:rFonts w:cs="Calibri"/>
          <w:bCs/>
          <w:color w:val="2E74B5" w:themeColor="accent1" w:themeShade="BF"/>
          <w:sz w:val="22"/>
          <w:szCs w:val="22"/>
        </w:rPr>
      </w:pPr>
    </w:p>
    <w:p w14:paraId="4009A56A" w14:textId="36A91B95" w:rsidR="004C0749" w:rsidRPr="003B6A69" w:rsidRDefault="00904403" w:rsidP="00B24DF3">
      <w:pPr>
        <w:pStyle w:val="Heading2"/>
        <w:rPr>
          <w:lang w:val="en-GB"/>
        </w:rPr>
      </w:pPr>
      <w:bookmarkStart w:id="45" w:name="_Toc82018261"/>
      <w:r w:rsidRPr="003B6A69">
        <w:rPr>
          <w:lang w:val="en-GB"/>
        </w:rPr>
        <w:t>3</w:t>
      </w:r>
      <w:r w:rsidR="0022335E" w:rsidRPr="003B6A69">
        <w:rPr>
          <w:lang w:val="en-GB"/>
        </w:rPr>
        <w:t>.</w:t>
      </w:r>
      <w:r w:rsidR="006D4080" w:rsidRPr="003B6A69">
        <w:rPr>
          <w:lang w:val="en-GB"/>
        </w:rPr>
        <w:t>3</w:t>
      </w:r>
      <w:r w:rsidRPr="003B6A69">
        <w:rPr>
          <w:lang w:val="en-GB"/>
        </w:rPr>
        <w:t xml:space="preserve"> </w:t>
      </w:r>
      <w:r w:rsidR="002B27F5" w:rsidRPr="003B6A69">
        <w:rPr>
          <w:lang w:val="en-GB"/>
        </w:rPr>
        <w:t>Gender equality and women’s empowerment</w:t>
      </w:r>
      <w:bookmarkEnd w:id="45"/>
    </w:p>
    <w:p w14:paraId="38C89AE7" w14:textId="77777777" w:rsidR="009D5A1D" w:rsidRPr="003B6A69" w:rsidRDefault="009D5A1D" w:rsidP="003C6B7B">
      <w:pPr>
        <w:numPr>
          <w:ilvl w:val="0"/>
          <w:numId w:val="41"/>
        </w:numPr>
        <w:tabs>
          <w:tab w:val="left" w:pos="426"/>
        </w:tabs>
        <w:spacing w:after="120"/>
        <w:ind w:left="0" w:firstLine="0"/>
        <w:rPr>
          <w:rFonts w:cs="Calibri"/>
          <w:bCs/>
          <w:szCs w:val="20"/>
          <w:lang w:val="en-GB"/>
        </w:rPr>
      </w:pPr>
      <w:r w:rsidRPr="003B6A69">
        <w:rPr>
          <w:rFonts w:cs="Calibri"/>
          <w:bCs/>
          <w:lang w:val="en-GB"/>
        </w:rPr>
        <w:t xml:space="preserve">A </w:t>
      </w:r>
      <w:r w:rsidR="00883EF9" w:rsidRPr="003B6A69">
        <w:rPr>
          <w:rFonts w:cs="Calibri"/>
          <w:bCs/>
          <w:szCs w:val="20"/>
          <w:lang w:val="en-GB"/>
        </w:rPr>
        <w:t>Gender</w:t>
      </w:r>
      <w:r w:rsidRPr="003B6A69">
        <w:rPr>
          <w:rFonts w:cs="Calibri"/>
          <w:bCs/>
          <w:szCs w:val="20"/>
          <w:lang w:val="en-GB"/>
        </w:rPr>
        <w:t xml:space="preserve"> Analysis has been commissioned during the PPG phase, and a Gender</w:t>
      </w:r>
      <w:r w:rsidR="00883EF9" w:rsidRPr="003B6A69">
        <w:rPr>
          <w:rFonts w:cs="Calibri"/>
          <w:bCs/>
          <w:szCs w:val="20"/>
          <w:lang w:val="en-GB"/>
        </w:rPr>
        <w:t xml:space="preserve"> Action Plan </w:t>
      </w:r>
      <w:r w:rsidRPr="003B6A69">
        <w:rPr>
          <w:rFonts w:cs="Calibri"/>
          <w:bCs/>
          <w:szCs w:val="20"/>
          <w:lang w:val="en-GB"/>
        </w:rPr>
        <w:t>was</w:t>
      </w:r>
      <w:r w:rsidR="00883EF9" w:rsidRPr="003B6A69">
        <w:rPr>
          <w:rFonts w:cs="Calibri"/>
          <w:bCs/>
          <w:szCs w:val="20"/>
          <w:lang w:val="en-GB"/>
        </w:rPr>
        <w:t xml:space="preserve"> developed to guide gender mainstreaming during project implementation and ensure that the project interventions targeting local communities are implemented with a major account of gender disparities and with the aim to promote equal benefit sharing. </w:t>
      </w:r>
    </w:p>
    <w:p w14:paraId="160D3C83" w14:textId="0D013F49" w:rsidR="009D5A1D" w:rsidRPr="003B6A69" w:rsidRDefault="009D5A1D" w:rsidP="003C6B7B">
      <w:pPr>
        <w:numPr>
          <w:ilvl w:val="0"/>
          <w:numId w:val="41"/>
        </w:numPr>
        <w:tabs>
          <w:tab w:val="left" w:pos="426"/>
        </w:tabs>
        <w:spacing w:after="120"/>
        <w:ind w:left="0" w:firstLine="0"/>
        <w:rPr>
          <w:rFonts w:cs="Calibri"/>
          <w:bCs/>
          <w:szCs w:val="20"/>
        </w:rPr>
      </w:pPr>
      <w:r w:rsidRPr="003B6A69">
        <w:rPr>
          <w:rFonts w:cs="Calibri"/>
          <w:bCs/>
          <w:szCs w:val="20"/>
          <w:lang w:val="en-GB"/>
        </w:rPr>
        <w:t>In the Gender Assessment (</w:t>
      </w:r>
      <w:hyperlink w:anchor="_Annex_12._Gender" w:history="1">
        <w:r w:rsidRPr="003B6A69">
          <w:rPr>
            <w:rStyle w:val="Hyperlink"/>
            <w:rFonts w:cs="Calibri"/>
            <w:bCs/>
            <w:szCs w:val="20"/>
            <w:lang w:val="en-GB"/>
          </w:rPr>
          <w:t>Annex 12</w:t>
        </w:r>
      </w:hyperlink>
      <w:r w:rsidRPr="003B6A69">
        <w:rPr>
          <w:rFonts w:cs="Calibri"/>
          <w:bCs/>
          <w:szCs w:val="20"/>
          <w:lang w:val="en-GB"/>
        </w:rPr>
        <w:t xml:space="preserve"> to this project document), the </w:t>
      </w:r>
      <w:r w:rsidRPr="003B6A69">
        <w:rPr>
          <w:rFonts w:cs="Calibri"/>
          <w:bCs/>
          <w:szCs w:val="20"/>
        </w:rPr>
        <w:t xml:space="preserve">gender issues which are of the importance of the Project implementation can be summarized as follows: </w:t>
      </w:r>
    </w:p>
    <w:p w14:paraId="1CC5F338" w14:textId="49024CB3" w:rsidR="009D5A1D" w:rsidRPr="003B6A69" w:rsidRDefault="009D5A1D" w:rsidP="003C6B7B">
      <w:pPr>
        <w:numPr>
          <w:ilvl w:val="0"/>
          <w:numId w:val="16"/>
        </w:numPr>
        <w:tabs>
          <w:tab w:val="left" w:pos="426"/>
        </w:tabs>
        <w:spacing w:after="120"/>
        <w:rPr>
          <w:rFonts w:cs="Calibri"/>
          <w:bCs/>
          <w:szCs w:val="20"/>
        </w:rPr>
      </w:pPr>
      <w:r w:rsidRPr="003B6A69">
        <w:rPr>
          <w:rFonts w:cs="Calibri"/>
          <w:bCs/>
          <w:szCs w:val="20"/>
        </w:rPr>
        <w:t>Women are underrepresented among high</w:t>
      </w:r>
      <w:r w:rsidR="00A75B9B" w:rsidRPr="003B6A69">
        <w:rPr>
          <w:rFonts w:cs="Calibri"/>
          <w:bCs/>
          <w:szCs w:val="20"/>
        </w:rPr>
        <w:t>-</w:t>
      </w:r>
      <w:r w:rsidRPr="003B6A69">
        <w:rPr>
          <w:rFonts w:cs="Calibri"/>
          <w:bCs/>
          <w:szCs w:val="20"/>
        </w:rPr>
        <w:t xml:space="preserve">level decision-makers in national and local institutions and public enterprises that implement legislation and standards for environmental policies, protection of natural resources and biodiversity hot-spots. It compromises the possibility to </w:t>
      </w:r>
      <w:proofErr w:type="gramStart"/>
      <w:r w:rsidRPr="003B6A69">
        <w:rPr>
          <w:rFonts w:cs="Calibri"/>
          <w:bCs/>
          <w:szCs w:val="20"/>
        </w:rPr>
        <w:t>take into account</w:t>
      </w:r>
      <w:proofErr w:type="gramEnd"/>
      <w:r w:rsidRPr="003B6A69">
        <w:rPr>
          <w:rFonts w:cs="Calibri"/>
          <w:bCs/>
          <w:szCs w:val="20"/>
        </w:rPr>
        <w:t xml:space="preserve"> the diversity of opinions, ideas and experiences in the decision-making process. </w:t>
      </w:r>
      <w:r w:rsidRPr="003B6A69">
        <w:rPr>
          <w:rFonts w:cs="Calibri"/>
          <w:bCs/>
          <w:szCs w:val="20"/>
          <w:vertAlign w:val="superscript"/>
        </w:rPr>
        <w:footnoteReference w:id="10"/>
      </w:r>
    </w:p>
    <w:p w14:paraId="711077C5" w14:textId="0C937056" w:rsidR="009D5A1D" w:rsidRPr="003B6A69" w:rsidRDefault="00A75B9B" w:rsidP="003C6B7B">
      <w:pPr>
        <w:numPr>
          <w:ilvl w:val="0"/>
          <w:numId w:val="16"/>
        </w:numPr>
        <w:tabs>
          <w:tab w:val="left" w:pos="426"/>
        </w:tabs>
        <w:spacing w:after="120"/>
        <w:rPr>
          <w:rFonts w:cs="Calibri"/>
          <w:bCs/>
          <w:szCs w:val="20"/>
        </w:rPr>
      </w:pPr>
      <w:r w:rsidRPr="003B6A69">
        <w:rPr>
          <w:rFonts w:cs="Calibri"/>
          <w:bCs/>
          <w:szCs w:val="20"/>
        </w:rPr>
        <w:t>The d</w:t>
      </w:r>
      <w:r w:rsidR="009D5A1D" w:rsidRPr="003B6A69">
        <w:rPr>
          <w:rFonts w:cs="Calibri"/>
          <w:bCs/>
          <w:szCs w:val="20"/>
        </w:rPr>
        <w:t xml:space="preserve">istribution of resources between women and men is uneven - men own more land, immovable properties, businesses, etc. Women are less mobile than men (especially in the north) both in terms of physical mobility and in terms of e-mobility. Economic crises caused by COVID-19 pandemic additionally deepens the gender gap. </w:t>
      </w:r>
    </w:p>
    <w:p w14:paraId="6930C1C9" w14:textId="2C14833D" w:rsidR="003D57FF" w:rsidRPr="003B6A69" w:rsidRDefault="009D5A1D" w:rsidP="003C6B7B">
      <w:pPr>
        <w:numPr>
          <w:ilvl w:val="0"/>
          <w:numId w:val="41"/>
        </w:numPr>
        <w:tabs>
          <w:tab w:val="left" w:pos="426"/>
        </w:tabs>
        <w:spacing w:after="120"/>
        <w:ind w:left="0" w:firstLine="0"/>
        <w:rPr>
          <w:rFonts w:cs="Calibri"/>
          <w:bCs/>
          <w:szCs w:val="20"/>
          <w:lang w:val="en-GB"/>
        </w:rPr>
      </w:pPr>
      <w:r w:rsidRPr="003B6A69">
        <w:rPr>
          <w:rFonts w:cs="Calibri"/>
          <w:bCs/>
          <w:szCs w:val="20"/>
          <w:lang w:val="en-GB"/>
        </w:rPr>
        <w:t>According to the Gender Action Plan (</w:t>
      </w:r>
      <w:hyperlink w:anchor="_Annex_12._Gender" w:history="1">
        <w:r w:rsidRPr="003B6A69">
          <w:rPr>
            <w:rStyle w:val="Hyperlink"/>
            <w:rFonts w:cs="Calibri"/>
            <w:bCs/>
            <w:szCs w:val="20"/>
            <w:lang w:val="en-GB"/>
          </w:rPr>
          <w:t>Annex 12</w:t>
        </w:r>
      </w:hyperlink>
      <w:r w:rsidRPr="003B6A69">
        <w:rPr>
          <w:rFonts w:cs="Calibri"/>
          <w:bCs/>
          <w:szCs w:val="20"/>
          <w:lang w:val="en-GB"/>
        </w:rPr>
        <w:t xml:space="preserve"> to this project document), the </w:t>
      </w:r>
      <w:r w:rsidR="003D57FF" w:rsidRPr="003B6A69">
        <w:rPr>
          <w:rFonts w:cs="Calibri"/>
          <w:bCs/>
          <w:szCs w:val="20"/>
          <w:lang w:val="en-GB"/>
        </w:rPr>
        <w:t>key gender mainstreaming elements in the project strategy can be summarised as follows:</w:t>
      </w:r>
    </w:p>
    <w:p w14:paraId="423A8E37" w14:textId="6B681200" w:rsidR="003D57FF" w:rsidRPr="003B6A69" w:rsidRDefault="003D57FF" w:rsidP="003C6B7B">
      <w:pPr>
        <w:numPr>
          <w:ilvl w:val="0"/>
          <w:numId w:val="15"/>
        </w:numPr>
        <w:tabs>
          <w:tab w:val="left" w:pos="426"/>
        </w:tabs>
        <w:spacing w:after="120"/>
        <w:rPr>
          <w:rFonts w:cs="Calibri"/>
          <w:bCs/>
          <w:szCs w:val="20"/>
        </w:rPr>
      </w:pPr>
      <w:r w:rsidRPr="003B6A69">
        <w:rPr>
          <w:rFonts w:cs="Calibri"/>
          <w:bCs/>
          <w:szCs w:val="20"/>
        </w:rPr>
        <w:t xml:space="preserve">Balanced representation and meaningful participation of women and men in key project activities, including those related to capacity building and management planning for protected areas, BD research and valorization studies, </w:t>
      </w:r>
      <w:r w:rsidRPr="003B6A69">
        <w:rPr>
          <w:rFonts w:cs="Calibri"/>
          <w:bCs/>
          <w:szCs w:val="20"/>
        </w:rPr>
        <w:lastRenderedPageBreak/>
        <w:t xml:space="preserve">BD threat and risk assessments, spatial planning, development of responsible BD-sensitive sectoral practices and </w:t>
      </w:r>
      <w:proofErr w:type="gramStart"/>
      <w:r w:rsidRPr="003B6A69">
        <w:rPr>
          <w:rFonts w:cs="Calibri"/>
          <w:bCs/>
          <w:szCs w:val="20"/>
        </w:rPr>
        <w:t>standards</w:t>
      </w:r>
      <w:r w:rsidR="00A33550" w:rsidRPr="003B6A69">
        <w:rPr>
          <w:rFonts w:cs="Calibri"/>
          <w:bCs/>
          <w:szCs w:val="20"/>
        </w:rPr>
        <w:t>;</w:t>
      </w:r>
      <w:proofErr w:type="gramEnd"/>
    </w:p>
    <w:p w14:paraId="5B6EA0B5" w14:textId="0B9C535A" w:rsidR="003D57FF" w:rsidRPr="003B6A69" w:rsidRDefault="003D57FF" w:rsidP="003C6B7B">
      <w:pPr>
        <w:numPr>
          <w:ilvl w:val="0"/>
          <w:numId w:val="15"/>
        </w:numPr>
        <w:tabs>
          <w:tab w:val="left" w:pos="426"/>
        </w:tabs>
        <w:spacing w:after="120"/>
        <w:rPr>
          <w:rFonts w:cs="Calibri"/>
          <w:bCs/>
          <w:szCs w:val="20"/>
        </w:rPr>
      </w:pPr>
      <w:r w:rsidRPr="003B6A69">
        <w:rPr>
          <w:rFonts w:cs="Calibri"/>
          <w:bCs/>
          <w:szCs w:val="20"/>
        </w:rPr>
        <w:t xml:space="preserve">Engagement and mobilization of individuals, local women groups, women NGOs, etc. to participate in </w:t>
      </w:r>
      <w:r w:rsidR="00C96139" w:rsidRPr="003B6A69">
        <w:rPr>
          <w:rFonts w:cs="Calibri"/>
          <w:bCs/>
          <w:szCs w:val="20"/>
        </w:rPr>
        <w:t xml:space="preserve">project </w:t>
      </w:r>
      <w:r w:rsidRPr="003B6A69">
        <w:rPr>
          <w:rFonts w:cs="Calibri"/>
          <w:bCs/>
          <w:szCs w:val="20"/>
        </w:rPr>
        <w:t>implementation and to benefit from business opportunities that ar</w:t>
      </w:r>
      <w:r w:rsidR="00C96139" w:rsidRPr="003B6A69">
        <w:rPr>
          <w:rFonts w:cs="Calibri"/>
          <w:bCs/>
          <w:szCs w:val="20"/>
        </w:rPr>
        <w:t>e created under the particular p</w:t>
      </w:r>
      <w:r w:rsidRPr="003B6A69">
        <w:rPr>
          <w:rFonts w:cs="Calibri"/>
          <w:bCs/>
          <w:szCs w:val="20"/>
        </w:rPr>
        <w:t xml:space="preserve">roject </w:t>
      </w:r>
      <w:proofErr w:type="gramStart"/>
      <w:r w:rsidRPr="003B6A69">
        <w:rPr>
          <w:rFonts w:cs="Calibri"/>
          <w:bCs/>
          <w:szCs w:val="20"/>
        </w:rPr>
        <w:t>components</w:t>
      </w:r>
      <w:r w:rsidR="00A33550" w:rsidRPr="003B6A69">
        <w:rPr>
          <w:rFonts w:cs="Calibri"/>
          <w:bCs/>
          <w:szCs w:val="20"/>
        </w:rPr>
        <w:t>;</w:t>
      </w:r>
      <w:proofErr w:type="gramEnd"/>
    </w:p>
    <w:p w14:paraId="3E181998" w14:textId="1FB01CD8" w:rsidR="003D57FF" w:rsidRPr="003B6A69" w:rsidRDefault="003D57FF" w:rsidP="003C6B7B">
      <w:pPr>
        <w:numPr>
          <w:ilvl w:val="0"/>
          <w:numId w:val="15"/>
        </w:numPr>
        <w:tabs>
          <w:tab w:val="left" w:pos="426"/>
        </w:tabs>
        <w:spacing w:after="120"/>
        <w:rPr>
          <w:rFonts w:cs="Calibri"/>
          <w:bCs/>
          <w:szCs w:val="20"/>
        </w:rPr>
      </w:pPr>
      <w:r w:rsidRPr="003B6A69">
        <w:rPr>
          <w:rFonts w:cs="Calibri"/>
          <w:bCs/>
          <w:szCs w:val="20"/>
          <w:lang w:val="en-GB"/>
        </w:rPr>
        <w:t xml:space="preserve">Encouragement of and better access for women entrepreneurs and </w:t>
      </w:r>
      <w:r w:rsidRPr="003B6A69">
        <w:rPr>
          <w:rFonts w:cs="Calibri"/>
          <w:bCs/>
          <w:szCs w:val="20"/>
        </w:rPr>
        <w:t>women's businesses – sustainable tourism, private forest management, and “green” farming – through enhanced opportunities for women to receive financial support (credits, grants, loans, etc.) and non-material support (mentoring, coaching, targeted counseling).</w:t>
      </w:r>
    </w:p>
    <w:p w14:paraId="2AE65302" w14:textId="78844FB2" w:rsidR="00C96139" w:rsidRPr="003B6A69" w:rsidRDefault="00C96139" w:rsidP="003C6B7B">
      <w:pPr>
        <w:numPr>
          <w:ilvl w:val="0"/>
          <w:numId w:val="41"/>
        </w:numPr>
        <w:tabs>
          <w:tab w:val="left" w:pos="426"/>
        </w:tabs>
        <w:spacing w:after="120"/>
        <w:ind w:left="0" w:firstLine="0"/>
        <w:rPr>
          <w:rFonts w:cs="Calibri"/>
          <w:bCs/>
          <w:szCs w:val="20"/>
          <w:lang w:val="en-GB"/>
        </w:rPr>
      </w:pPr>
      <w:r w:rsidRPr="003B6A69">
        <w:rPr>
          <w:rFonts w:cs="Calibri"/>
          <w:bCs/>
          <w:szCs w:val="20"/>
          <w:lang w:val="en-GB"/>
        </w:rPr>
        <w:t>The Gender Action Plan (</w:t>
      </w:r>
      <w:hyperlink w:anchor="_Annex_12._Gender" w:history="1">
        <w:r w:rsidRPr="003B6A69">
          <w:rPr>
            <w:rStyle w:val="Hyperlink"/>
            <w:rFonts w:cs="Calibri"/>
            <w:bCs/>
            <w:szCs w:val="20"/>
            <w:lang w:val="en-GB"/>
          </w:rPr>
          <w:t>Annex 12</w:t>
        </w:r>
      </w:hyperlink>
      <w:r w:rsidRPr="003B6A69">
        <w:rPr>
          <w:rFonts w:cs="Calibri"/>
          <w:bCs/>
          <w:szCs w:val="20"/>
          <w:lang w:val="en-GB"/>
        </w:rPr>
        <w:t>) includes the following key activities aimed at gender mainstreaming:</w:t>
      </w:r>
    </w:p>
    <w:p w14:paraId="610B4DDD" w14:textId="7D3679B1" w:rsidR="00C96139" w:rsidRPr="003B6A69" w:rsidRDefault="00C96139" w:rsidP="003C6B7B">
      <w:pPr>
        <w:numPr>
          <w:ilvl w:val="0"/>
          <w:numId w:val="15"/>
        </w:numPr>
        <w:tabs>
          <w:tab w:val="left" w:pos="426"/>
        </w:tabs>
        <w:spacing w:after="120"/>
        <w:rPr>
          <w:rFonts w:cs="Calibri"/>
          <w:bCs/>
          <w:szCs w:val="20"/>
        </w:rPr>
      </w:pPr>
      <w:r w:rsidRPr="003B6A69">
        <w:t xml:space="preserve">Ensure equal access of men and women to resources and benefits associated with the PA estate, recreational areas outside the PAs, forests and valuable agricultural </w:t>
      </w:r>
      <w:proofErr w:type="gramStart"/>
      <w:r w:rsidRPr="003B6A69">
        <w:t>lands</w:t>
      </w:r>
      <w:r w:rsidRPr="003B6A69">
        <w:rPr>
          <w:rFonts w:cs="Calibri"/>
          <w:bCs/>
          <w:szCs w:val="20"/>
        </w:rPr>
        <w:t>;</w:t>
      </w:r>
      <w:proofErr w:type="gramEnd"/>
    </w:p>
    <w:p w14:paraId="09B704D5" w14:textId="2A873D05" w:rsidR="00C96139" w:rsidRPr="003B6A69" w:rsidRDefault="00C96139" w:rsidP="003C6B7B">
      <w:pPr>
        <w:numPr>
          <w:ilvl w:val="0"/>
          <w:numId w:val="15"/>
        </w:numPr>
        <w:tabs>
          <w:tab w:val="left" w:pos="426"/>
        </w:tabs>
        <w:spacing w:after="120"/>
        <w:rPr>
          <w:rFonts w:cs="Calibri"/>
          <w:bCs/>
          <w:szCs w:val="20"/>
        </w:rPr>
      </w:pPr>
      <w:r w:rsidRPr="003B6A69">
        <w:t xml:space="preserve">Provide mechanisms for enhanced participation of women in policy development and </w:t>
      </w:r>
      <w:proofErr w:type="gramStart"/>
      <w:r w:rsidRPr="003B6A69">
        <w:t>decision-making</w:t>
      </w:r>
      <w:r w:rsidRPr="003B6A69">
        <w:rPr>
          <w:rFonts w:cs="Calibri"/>
          <w:bCs/>
          <w:szCs w:val="20"/>
        </w:rPr>
        <w:t>;</w:t>
      </w:r>
      <w:proofErr w:type="gramEnd"/>
    </w:p>
    <w:p w14:paraId="3EF43B5F" w14:textId="77777777" w:rsidR="00C96139" w:rsidRPr="003B6A69" w:rsidRDefault="00C96139" w:rsidP="003C6B7B">
      <w:pPr>
        <w:numPr>
          <w:ilvl w:val="0"/>
          <w:numId w:val="15"/>
        </w:numPr>
        <w:tabs>
          <w:tab w:val="left" w:pos="426"/>
        </w:tabs>
        <w:spacing w:after="120"/>
        <w:rPr>
          <w:rFonts w:cs="Calibri"/>
          <w:bCs/>
          <w:szCs w:val="20"/>
        </w:rPr>
      </w:pPr>
      <w:r w:rsidRPr="003B6A69">
        <w:t>Support women entrepreneurship</w:t>
      </w:r>
      <w:r w:rsidRPr="003B6A69">
        <w:rPr>
          <w:szCs w:val="20"/>
        </w:rPr>
        <w:t xml:space="preserve">, provide incentives to intensify the </w:t>
      </w:r>
      <w:r w:rsidRPr="003B6A69">
        <w:t xml:space="preserve">entrepreneurial activity of women and to generate new </w:t>
      </w:r>
      <w:proofErr w:type="gramStart"/>
      <w:r w:rsidRPr="003B6A69">
        <w:t>jobs;</w:t>
      </w:r>
      <w:proofErr w:type="gramEnd"/>
    </w:p>
    <w:p w14:paraId="4D412849" w14:textId="3D2D2C5B" w:rsidR="00C96139" w:rsidRPr="003B6A69" w:rsidRDefault="00C96139" w:rsidP="003C6B7B">
      <w:pPr>
        <w:numPr>
          <w:ilvl w:val="0"/>
          <w:numId w:val="15"/>
        </w:numPr>
        <w:tabs>
          <w:tab w:val="left" w:pos="426"/>
        </w:tabs>
        <w:spacing w:after="120"/>
        <w:rPr>
          <w:rFonts w:cs="Calibri"/>
          <w:bCs/>
          <w:szCs w:val="20"/>
        </w:rPr>
      </w:pPr>
      <w:proofErr w:type="gramStart"/>
      <w:r w:rsidRPr="003B6A69">
        <w:t>Support women entrepreneurship</w:t>
      </w:r>
      <w:r w:rsidRPr="003B6A69">
        <w:rPr>
          <w:szCs w:val="20"/>
        </w:rPr>
        <w:t>,</w:t>
      </w:r>
      <w:proofErr w:type="gramEnd"/>
      <w:r w:rsidRPr="003B6A69">
        <w:rPr>
          <w:szCs w:val="20"/>
        </w:rPr>
        <w:t xml:space="preserve"> provide incentives to intensify the </w:t>
      </w:r>
      <w:r w:rsidRPr="003B6A69">
        <w:t>entrepreneurial activity of women and to generate new jobs</w:t>
      </w:r>
      <w:r w:rsidRPr="003B6A69">
        <w:rPr>
          <w:rFonts w:cs="Calibri"/>
          <w:bCs/>
          <w:szCs w:val="20"/>
        </w:rPr>
        <w:t>.</w:t>
      </w:r>
    </w:p>
    <w:p w14:paraId="4F5880CC" w14:textId="386E7629" w:rsidR="00E8377A" w:rsidRPr="003B6A69" w:rsidRDefault="00883EF9" w:rsidP="003C6B7B">
      <w:pPr>
        <w:numPr>
          <w:ilvl w:val="0"/>
          <w:numId w:val="41"/>
        </w:numPr>
        <w:tabs>
          <w:tab w:val="left" w:pos="426"/>
        </w:tabs>
        <w:spacing w:after="120"/>
        <w:ind w:left="0" w:firstLine="0"/>
        <w:rPr>
          <w:rFonts w:cs="Calibri"/>
          <w:bCs/>
          <w:szCs w:val="20"/>
          <w:lang w:val="en-GB"/>
        </w:rPr>
      </w:pPr>
      <w:r w:rsidRPr="003B6A69">
        <w:rPr>
          <w:rFonts w:cs="Calibri"/>
          <w:bCs/>
          <w:szCs w:val="20"/>
          <w:lang w:val="en-GB"/>
        </w:rPr>
        <w:t xml:space="preserve">In line with </w:t>
      </w:r>
      <w:r w:rsidRPr="003B6A69">
        <w:rPr>
          <w:noProof/>
          <w:szCs w:val="20"/>
        </w:rPr>
        <w:t xml:space="preserve">the </w:t>
      </w:r>
      <w:hyperlink r:id="rId18" w:history="1">
        <w:r w:rsidRPr="003B6A69">
          <w:rPr>
            <w:rStyle w:val="Hyperlink"/>
            <w:color w:val="auto"/>
            <w:szCs w:val="20"/>
          </w:rPr>
          <w:t>Results Architecture for GEF-7</w:t>
        </w:r>
      </w:hyperlink>
      <w:r w:rsidRPr="003B6A69">
        <w:rPr>
          <w:rFonts w:cs="Calibri"/>
          <w:bCs/>
          <w:szCs w:val="20"/>
          <w:lang w:val="en-GB"/>
        </w:rPr>
        <w:t>, the project will report on direct project beneficiaries disaggregated by gender, as a co-benefit of the GEF investment.</w:t>
      </w:r>
      <w:r w:rsidR="009D5A1D" w:rsidRPr="003B6A69">
        <w:rPr>
          <w:rFonts w:cs="Calibri"/>
          <w:bCs/>
          <w:szCs w:val="20"/>
          <w:lang w:val="en-GB"/>
        </w:rPr>
        <w:t xml:space="preserve"> As stated in the project Results Framework, the project will report o</w:t>
      </w:r>
      <w:r w:rsidR="00A75B9B" w:rsidRPr="003B6A69">
        <w:rPr>
          <w:rFonts w:cs="Calibri"/>
          <w:bCs/>
          <w:szCs w:val="20"/>
          <w:lang w:val="en-GB"/>
        </w:rPr>
        <w:t xml:space="preserve">n the </w:t>
      </w:r>
      <w:r w:rsidR="009D5A1D" w:rsidRPr="003B6A69">
        <w:rPr>
          <w:rFonts w:cs="Calibri"/>
          <w:bCs/>
          <w:i/>
          <w:szCs w:val="20"/>
        </w:rPr>
        <w:t xml:space="preserve">Number of women and men getting access to the best available knowledge and practice, through project-supported knowledge products and training </w:t>
      </w:r>
      <w:r w:rsidR="009D5A1D" w:rsidRPr="003B6A69">
        <w:rPr>
          <w:rFonts w:cs="Calibri"/>
          <w:bCs/>
          <w:szCs w:val="20"/>
          <w:lang w:val="en-GB"/>
        </w:rPr>
        <w:t xml:space="preserve">as </w:t>
      </w:r>
      <w:r w:rsidR="00A75B9B" w:rsidRPr="003B6A69">
        <w:rPr>
          <w:rFonts w:cs="Calibri"/>
          <w:bCs/>
          <w:szCs w:val="20"/>
          <w:lang w:val="en-GB"/>
        </w:rPr>
        <w:t xml:space="preserve">a </w:t>
      </w:r>
      <w:r w:rsidR="009D5A1D" w:rsidRPr="003B6A69">
        <w:rPr>
          <w:rFonts w:cs="Calibri"/>
          <w:bCs/>
          <w:szCs w:val="20"/>
          <w:lang w:val="en-GB"/>
        </w:rPr>
        <w:t>key indicator under Outcome 6.</w:t>
      </w:r>
      <w:r w:rsidR="00C96139" w:rsidRPr="003B6A69">
        <w:rPr>
          <w:rFonts w:cs="Calibri"/>
          <w:bCs/>
          <w:szCs w:val="20"/>
          <w:lang w:val="en-GB"/>
        </w:rPr>
        <w:t xml:space="preserve"> The project will provide gender-disaggregated data while reporting on PRF Indicators 9 and 14. </w:t>
      </w:r>
      <w:r w:rsidR="00C96139" w:rsidRPr="003B6A69">
        <w:rPr>
          <w:rFonts w:cs="Calibri"/>
          <w:bCs/>
          <w:szCs w:val="20"/>
        </w:rPr>
        <w:t>During project implementation, the Gender Action Plan (GAP) actions will be detailed and embedded in the Project Annual Workplans.</w:t>
      </w:r>
      <w:r w:rsidR="00C96139" w:rsidRPr="003B6A69">
        <w:rPr>
          <w:rFonts w:eastAsiaTheme="minorHAnsi" w:cstheme="minorBidi"/>
          <w:szCs w:val="20"/>
        </w:rPr>
        <w:t xml:space="preserve"> A d</w:t>
      </w:r>
      <w:r w:rsidR="00C96139" w:rsidRPr="003B6A69">
        <w:rPr>
          <w:rFonts w:cs="Calibri"/>
          <w:bCs/>
          <w:szCs w:val="20"/>
        </w:rPr>
        <w:t xml:space="preserve">etailed gender </w:t>
      </w:r>
      <w:proofErr w:type="spellStart"/>
      <w:r w:rsidR="00C96139" w:rsidRPr="003B6A69">
        <w:rPr>
          <w:rFonts w:cs="Calibri"/>
          <w:bCs/>
          <w:szCs w:val="20"/>
        </w:rPr>
        <w:t>workplanning</w:t>
      </w:r>
      <w:proofErr w:type="spellEnd"/>
      <w:r w:rsidR="00C96139" w:rsidRPr="003B6A69">
        <w:rPr>
          <w:rFonts w:cs="Calibri"/>
          <w:bCs/>
          <w:szCs w:val="20"/>
        </w:rPr>
        <w:t xml:space="preserve">, target </w:t>
      </w:r>
      <w:proofErr w:type="gramStart"/>
      <w:r w:rsidR="00C96139" w:rsidRPr="003B6A69">
        <w:rPr>
          <w:rFonts w:cs="Calibri"/>
          <w:bCs/>
          <w:szCs w:val="20"/>
        </w:rPr>
        <w:t>setting</w:t>
      </w:r>
      <w:proofErr w:type="gramEnd"/>
      <w:r w:rsidR="00C96139" w:rsidRPr="003B6A69">
        <w:rPr>
          <w:rFonts w:cs="Calibri"/>
          <w:bCs/>
          <w:szCs w:val="20"/>
        </w:rPr>
        <w:t xml:space="preserve"> and reporting takes place in the project inception and implementation phase. The implementation of GAP will be tracked as one of the key project M&amp;E elements.</w:t>
      </w:r>
      <w:r w:rsidR="00C96139" w:rsidRPr="003B6A69">
        <w:rPr>
          <w:rFonts w:cs="Calibri"/>
          <w:bCs/>
          <w:szCs w:val="20"/>
          <w:lang w:val="en-GB"/>
        </w:rPr>
        <w:t xml:space="preserve"> </w:t>
      </w:r>
    </w:p>
    <w:p w14:paraId="1796F97D" w14:textId="0F14EC20" w:rsidR="00AC7DA3" w:rsidRPr="003B6A69" w:rsidRDefault="00904403" w:rsidP="00B24DF3">
      <w:pPr>
        <w:pStyle w:val="Heading2"/>
        <w:rPr>
          <w:lang w:val="en-GB"/>
        </w:rPr>
      </w:pPr>
      <w:bookmarkStart w:id="46" w:name="_Toc82018262"/>
      <w:r w:rsidRPr="003B6A69">
        <w:rPr>
          <w:lang w:val="en-GB"/>
        </w:rPr>
        <w:t>3.</w:t>
      </w:r>
      <w:r w:rsidR="006D4080" w:rsidRPr="003B6A69">
        <w:rPr>
          <w:lang w:val="en-GB"/>
        </w:rPr>
        <w:t>4</w:t>
      </w:r>
      <w:r w:rsidRPr="003B6A69">
        <w:rPr>
          <w:lang w:val="en-GB"/>
        </w:rPr>
        <w:t xml:space="preserve"> </w:t>
      </w:r>
      <w:r w:rsidR="00B602FB" w:rsidRPr="003B6A69">
        <w:rPr>
          <w:lang w:val="en-GB"/>
        </w:rPr>
        <w:t xml:space="preserve">Risks to project </w:t>
      </w:r>
      <w:r w:rsidR="0049052F" w:rsidRPr="003B6A69">
        <w:rPr>
          <w:lang w:val="en-GB"/>
        </w:rPr>
        <w:t>success</w:t>
      </w:r>
      <w:r w:rsidR="00823ECE">
        <w:rPr>
          <w:lang w:val="en-GB"/>
        </w:rPr>
        <w:t xml:space="preserve">, cross-cutting </w:t>
      </w:r>
      <w:proofErr w:type="gramStart"/>
      <w:r w:rsidR="00823ECE">
        <w:rPr>
          <w:lang w:val="en-GB"/>
        </w:rPr>
        <w:t>issues</w:t>
      </w:r>
      <w:proofErr w:type="gramEnd"/>
      <w:r w:rsidR="0049052F" w:rsidRPr="003B6A69">
        <w:rPr>
          <w:lang w:val="en-GB"/>
        </w:rPr>
        <w:t xml:space="preserve"> </w:t>
      </w:r>
      <w:r w:rsidR="00B602FB" w:rsidRPr="003B6A69">
        <w:rPr>
          <w:lang w:val="en-GB"/>
        </w:rPr>
        <w:t>and social/environmental safeguards</w:t>
      </w:r>
      <w:bookmarkEnd w:id="46"/>
    </w:p>
    <w:p w14:paraId="70080167" w14:textId="77777777" w:rsidR="00883EF9" w:rsidRPr="003B6A69" w:rsidRDefault="00883EF9" w:rsidP="00142385">
      <w:pPr>
        <w:rPr>
          <w:noProof/>
        </w:rPr>
      </w:pPr>
    </w:p>
    <w:tbl>
      <w:tblPr>
        <w:tblW w:w="99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0"/>
        <w:gridCol w:w="387"/>
        <w:gridCol w:w="5373"/>
      </w:tblGrid>
      <w:tr w:rsidR="00883EF9" w:rsidRPr="003B6A69" w14:paraId="5B92141B" w14:textId="77777777" w:rsidTr="00883EF9">
        <w:tc>
          <w:tcPr>
            <w:tcW w:w="4230" w:type="dxa"/>
            <w:shd w:val="clear" w:color="auto" w:fill="auto"/>
          </w:tcPr>
          <w:p w14:paraId="7E2AAF9F" w14:textId="77777777" w:rsidR="00883EF9" w:rsidRPr="003B6A69" w:rsidRDefault="00883EF9" w:rsidP="00142385">
            <w:pPr>
              <w:rPr>
                <w:b/>
                <w:noProof/>
                <w:szCs w:val="20"/>
              </w:rPr>
            </w:pPr>
            <w:r w:rsidRPr="003B6A69">
              <w:rPr>
                <w:b/>
                <w:noProof/>
                <w:szCs w:val="20"/>
              </w:rPr>
              <w:t>Risk</w:t>
            </w:r>
          </w:p>
        </w:tc>
        <w:tc>
          <w:tcPr>
            <w:tcW w:w="387" w:type="dxa"/>
            <w:shd w:val="clear" w:color="auto" w:fill="auto"/>
          </w:tcPr>
          <w:p w14:paraId="46A0537C" w14:textId="77777777" w:rsidR="00883EF9" w:rsidRPr="003B6A69" w:rsidRDefault="00883EF9" w:rsidP="00142385">
            <w:pPr>
              <w:rPr>
                <w:b/>
                <w:noProof/>
                <w:szCs w:val="20"/>
              </w:rPr>
            </w:pPr>
          </w:p>
        </w:tc>
        <w:tc>
          <w:tcPr>
            <w:tcW w:w="5373" w:type="dxa"/>
            <w:shd w:val="clear" w:color="auto" w:fill="auto"/>
          </w:tcPr>
          <w:p w14:paraId="0FAF851B" w14:textId="77777777" w:rsidR="00883EF9" w:rsidRPr="003B6A69" w:rsidRDefault="00883EF9" w:rsidP="00142385">
            <w:pPr>
              <w:rPr>
                <w:b/>
                <w:noProof/>
                <w:szCs w:val="20"/>
              </w:rPr>
            </w:pPr>
            <w:r w:rsidRPr="003B6A69">
              <w:rPr>
                <w:b/>
                <w:noProof/>
                <w:szCs w:val="20"/>
              </w:rPr>
              <w:t>Mitigation</w:t>
            </w:r>
          </w:p>
        </w:tc>
      </w:tr>
      <w:tr w:rsidR="006655BA" w:rsidRPr="003B6A69" w14:paraId="7EAE5664" w14:textId="77777777" w:rsidTr="00883EF9">
        <w:tc>
          <w:tcPr>
            <w:tcW w:w="4230" w:type="dxa"/>
            <w:shd w:val="clear" w:color="auto" w:fill="auto"/>
          </w:tcPr>
          <w:p w14:paraId="0A3598F4" w14:textId="3B1FC8F9" w:rsidR="003B4CEE" w:rsidRPr="003B6A69" w:rsidRDefault="003B4CEE" w:rsidP="003B4CEE">
            <w:pPr>
              <w:rPr>
                <w:noProof/>
                <w:szCs w:val="20"/>
              </w:rPr>
            </w:pPr>
            <w:r w:rsidRPr="003B6A69">
              <w:rPr>
                <w:noProof/>
                <w:szCs w:val="20"/>
              </w:rPr>
              <w:t>Despite the overall high political and institutional commitment</w:t>
            </w:r>
            <w:r w:rsidR="008F0046" w:rsidRPr="003B6A69">
              <w:rPr>
                <w:noProof/>
                <w:szCs w:val="20"/>
              </w:rPr>
              <w:t xml:space="preserve"> of the Government agencies</w:t>
            </w:r>
            <w:r w:rsidRPr="003B6A69">
              <w:rPr>
                <w:noProof/>
                <w:szCs w:val="20"/>
              </w:rPr>
              <w:t xml:space="preserve"> to the project and its individual components, the project coordination and the synergy between the individual components may be negatively affected by the highly sectoral nature and the procedural </w:t>
            </w:r>
            <w:r w:rsidR="009579C8" w:rsidRPr="003B6A69">
              <w:rPr>
                <w:noProof/>
                <w:szCs w:val="20"/>
              </w:rPr>
              <w:t>pecul</w:t>
            </w:r>
            <w:r w:rsidR="00A75B9B" w:rsidRPr="003B6A69">
              <w:rPr>
                <w:noProof/>
                <w:szCs w:val="20"/>
              </w:rPr>
              <w:t>i</w:t>
            </w:r>
            <w:r w:rsidR="009579C8" w:rsidRPr="003B6A69">
              <w:rPr>
                <w:noProof/>
                <w:szCs w:val="20"/>
              </w:rPr>
              <w:t xml:space="preserve">arities of </w:t>
            </w:r>
            <w:r w:rsidRPr="003B6A69">
              <w:rPr>
                <w:noProof/>
                <w:szCs w:val="20"/>
              </w:rPr>
              <w:t>the governmental authorities and agencies in the country. Being in full ownership and implementation by the Government, the project may be affected by the internal governmental trends and flows and l</w:t>
            </w:r>
            <w:r w:rsidR="008F0046" w:rsidRPr="003B6A69">
              <w:rPr>
                <w:noProof/>
                <w:szCs w:val="20"/>
              </w:rPr>
              <w:t>o</w:t>
            </w:r>
            <w:r w:rsidRPr="003B6A69">
              <w:rPr>
                <w:noProof/>
                <w:szCs w:val="20"/>
              </w:rPr>
              <w:t>se its integral nature</w:t>
            </w:r>
            <w:r w:rsidR="00A75B9B" w:rsidRPr="003B6A69">
              <w:rPr>
                <w:noProof/>
                <w:szCs w:val="20"/>
              </w:rPr>
              <w:t xml:space="preserve"> and planned cross-sectoral and</w:t>
            </w:r>
            <w:r w:rsidRPr="003B6A69">
              <w:rPr>
                <w:noProof/>
                <w:szCs w:val="20"/>
              </w:rPr>
              <w:t xml:space="preserve"> multi-level impact.</w:t>
            </w:r>
          </w:p>
          <w:p w14:paraId="251AEF81" w14:textId="5BA9046A" w:rsidR="00D21937" w:rsidRPr="003B6A69" w:rsidRDefault="00D21937" w:rsidP="00142385">
            <w:pPr>
              <w:rPr>
                <w:noProof/>
                <w:szCs w:val="20"/>
              </w:rPr>
            </w:pPr>
          </w:p>
        </w:tc>
        <w:tc>
          <w:tcPr>
            <w:tcW w:w="387" w:type="dxa"/>
            <w:shd w:val="clear" w:color="auto" w:fill="auto"/>
          </w:tcPr>
          <w:p w14:paraId="1562EDB3" w14:textId="395A0FEA" w:rsidR="006655BA" w:rsidRPr="003B6A69" w:rsidRDefault="003B4CEE" w:rsidP="00142385">
            <w:pPr>
              <w:rPr>
                <w:noProof/>
                <w:szCs w:val="20"/>
              </w:rPr>
            </w:pPr>
            <w:r w:rsidRPr="003B6A69">
              <w:rPr>
                <w:noProof/>
                <w:szCs w:val="20"/>
              </w:rPr>
              <w:t>M</w:t>
            </w:r>
          </w:p>
        </w:tc>
        <w:tc>
          <w:tcPr>
            <w:tcW w:w="5373" w:type="dxa"/>
            <w:shd w:val="clear" w:color="auto" w:fill="auto"/>
          </w:tcPr>
          <w:p w14:paraId="1D87DAA8" w14:textId="0267B37F" w:rsidR="003B4CEE" w:rsidRPr="003B6A69" w:rsidRDefault="003B4CEE" w:rsidP="003B4CEE">
            <w:pPr>
              <w:rPr>
                <w:noProof/>
                <w:szCs w:val="20"/>
              </w:rPr>
            </w:pPr>
            <w:r w:rsidRPr="003B6A69">
              <w:rPr>
                <w:noProof/>
                <w:szCs w:val="20"/>
              </w:rPr>
              <w:t xml:space="preserve">The risk has, in part, materialized during the PPG stage when the most interest and involvement of the </w:t>
            </w:r>
            <w:r w:rsidR="008F0046" w:rsidRPr="003B6A69">
              <w:rPr>
                <w:noProof/>
                <w:szCs w:val="20"/>
              </w:rPr>
              <w:t>project development partners</w:t>
            </w:r>
            <w:r w:rsidRPr="003B6A69">
              <w:rPr>
                <w:noProof/>
                <w:szCs w:val="20"/>
              </w:rPr>
              <w:t xml:space="preserve"> were focused around project Outcomes 1 and 2. This is partly associated with the governmental reform and COVID-19 negative effects on stakeholder communication lines in 2020.</w:t>
            </w:r>
          </w:p>
          <w:p w14:paraId="0F45AA99" w14:textId="5B066492" w:rsidR="006655BA" w:rsidRPr="003B6A69" w:rsidRDefault="003B4CEE" w:rsidP="008F0046">
            <w:pPr>
              <w:rPr>
                <w:noProof/>
                <w:szCs w:val="20"/>
              </w:rPr>
            </w:pPr>
            <w:r w:rsidRPr="003B6A69">
              <w:rPr>
                <w:noProof/>
                <w:szCs w:val="20"/>
              </w:rPr>
              <w:t xml:space="preserve">The project will be nationally implemented by the </w:t>
            </w:r>
            <w:r w:rsidRPr="003B6A69">
              <w:rPr>
                <w:rFonts w:cs="Calibri"/>
                <w:bCs/>
                <w:szCs w:val="20"/>
                <w:lang w:val="en-GB"/>
              </w:rPr>
              <w:t>Ministry of Ecology, Spatial Planning and Urbanism. UNDP will continue consultations with the Implementing Partne</w:t>
            </w:r>
            <w:r w:rsidR="008F0046" w:rsidRPr="003B6A69">
              <w:rPr>
                <w:rFonts w:cs="Calibri"/>
                <w:bCs/>
                <w:szCs w:val="20"/>
                <w:lang w:val="en-GB"/>
              </w:rPr>
              <w:t xml:space="preserve">r to ensure that the integrated, multi-sectoral </w:t>
            </w:r>
            <w:r w:rsidRPr="003B6A69">
              <w:rPr>
                <w:rFonts w:cs="Calibri"/>
                <w:bCs/>
                <w:szCs w:val="20"/>
                <w:lang w:val="en-GB"/>
              </w:rPr>
              <w:t xml:space="preserve">nature of the project </w:t>
            </w:r>
            <w:r w:rsidR="008F0046" w:rsidRPr="003B6A69">
              <w:rPr>
                <w:rFonts w:cs="Calibri"/>
                <w:bCs/>
                <w:szCs w:val="20"/>
                <w:lang w:val="en-GB"/>
              </w:rPr>
              <w:t xml:space="preserve">is </w:t>
            </w:r>
            <w:r w:rsidRPr="003B6A69">
              <w:rPr>
                <w:rFonts w:cs="Calibri"/>
                <w:bCs/>
                <w:szCs w:val="20"/>
                <w:lang w:val="en-GB"/>
              </w:rPr>
              <w:t>reflect</w:t>
            </w:r>
            <w:r w:rsidR="008F0046" w:rsidRPr="003B6A69">
              <w:rPr>
                <w:rFonts w:cs="Calibri"/>
                <w:bCs/>
                <w:szCs w:val="20"/>
                <w:lang w:val="en-GB"/>
              </w:rPr>
              <w:t>ed</w:t>
            </w:r>
            <w:r w:rsidRPr="003B6A69">
              <w:rPr>
                <w:rFonts w:cs="Calibri"/>
                <w:bCs/>
                <w:szCs w:val="20"/>
                <w:lang w:val="en-GB"/>
              </w:rPr>
              <w:t xml:space="preserve"> in the institutional arrangements and project management practice. A need for further engagement of multi-sectoral governmental stakeholders, as well as municipal-level beneficiaries and partners, private sectors, CSOs, academia, and communities, will be reinforced. </w:t>
            </w:r>
            <w:r w:rsidRPr="003B6A69">
              <w:rPr>
                <w:noProof/>
                <w:szCs w:val="20"/>
              </w:rPr>
              <w:t>The “regular” institutional arrangements for the project implementation will be strengthened by the introduction of a Project Partnership Committee to make sure that the project is implemented in an integrated manner and the sectoral components work in synergy towards the achievement of an overarching project objective and targets.</w:t>
            </w:r>
          </w:p>
        </w:tc>
      </w:tr>
      <w:tr w:rsidR="00455BC7" w:rsidRPr="003B6A69" w14:paraId="068C2A54" w14:textId="77777777" w:rsidTr="00883EF9">
        <w:tc>
          <w:tcPr>
            <w:tcW w:w="4230" w:type="dxa"/>
            <w:shd w:val="clear" w:color="auto" w:fill="auto"/>
          </w:tcPr>
          <w:p w14:paraId="3262BE4C" w14:textId="70B86018" w:rsidR="00EC2921" w:rsidRPr="003B6A69" w:rsidRDefault="00EC2921" w:rsidP="00EC2921">
            <w:pPr>
              <w:rPr>
                <w:noProof/>
                <w:szCs w:val="20"/>
              </w:rPr>
            </w:pPr>
            <w:r w:rsidRPr="003B6A69">
              <w:t xml:space="preserve">Being one of the first two projects in the country with the NIM management arrangements, the </w:t>
            </w:r>
            <w:r w:rsidRPr="003B6A69">
              <w:lastRenderedPageBreak/>
              <w:t>project is very likely to face operational difficulties and delays associated with a rapid switch to a testing of a new execution modality. The PPG phase complicated with the governmental reform did not allow for a comprehensive assessment of the institutional and procedural gaps and bottlenecks that are likely to hamper a swift transition towards a different implementation modality. A rapid switch in the execution modalities and key responsibilities for project operations pose poses a significant operational risk for the project.</w:t>
            </w:r>
          </w:p>
        </w:tc>
        <w:tc>
          <w:tcPr>
            <w:tcW w:w="387" w:type="dxa"/>
            <w:shd w:val="clear" w:color="auto" w:fill="auto"/>
          </w:tcPr>
          <w:p w14:paraId="112B4566" w14:textId="626A9840" w:rsidR="00455BC7" w:rsidRPr="003B6A69" w:rsidRDefault="00EC2921" w:rsidP="00142385">
            <w:pPr>
              <w:rPr>
                <w:noProof/>
                <w:szCs w:val="20"/>
              </w:rPr>
            </w:pPr>
            <w:r w:rsidRPr="003B6A69">
              <w:rPr>
                <w:noProof/>
                <w:szCs w:val="20"/>
              </w:rPr>
              <w:lastRenderedPageBreak/>
              <w:t>M</w:t>
            </w:r>
          </w:p>
        </w:tc>
        <w:tc>
          <w:tcPr>
            <w:tcW w:w="5373" w:type="dxa"/>
            <w:shd w:val="clear" w:color="auto" w:fill="auto"/>
          </w:tcPr>
          <w:p w14:paraId="44122116" w14:textId="7571A00F" w:rsidR="00455BC7" w:rsidRPr="003B6A69" w:rsidRDefault="00EC2921" w:rsidP="008F0046">
            <w:pPr>
              <w:rPr>
                <w:noProof/>
                <w:szCs w:val="20"/>
              </w:rPr>
            </w:pPr>
            <w:r w:rsidRPr="003B6A69">
              <w:rPr>
                <w:noProof/>
                <w:szCs w:val="20"/>
              </w:rPr>
              <w:t xml:space="preserve">Although </w:t>
            </w:r>
            <w:r w:rsidR="008F0046" w:rsidRPr="003B6A69">
              <w:rPr>
                <w:noProof/>
                <w:szCs w:val="20"/>
              </w:rPr>
              <w:t xml:space="preserve">the </w:t>
            </w:r>
            <w:r w:rsidRPr="003B6A69">
              <w:rPr>
                <w:noProof/>
                <w:szCs w:val="20"/>
              </w:rPr>
              <w:t xml:space="preserve">core capacities of Implementing Partner are sound, </w:t>
            </w:r>
            <w:r w:rsidR="008F0046" w:rsidRPr="003B6A69">
              <w:rPr>
                <w:noProof/>
                <w:szCs w:val="20"/>
              </w:rPr>
              <w:t xml:space="preserve">the </w:t>
            </w:r>
            <w:r w:rsidRPr="003B6A69">
              <w:rPr>
                <w:noProof/>
                <w:szCs w:val="20"/>
              </w:rPr>
              <w:t>human resources are limited (enabling envi</w:t>
            </w:r>
            <w:r w:rsidR="008F0046" w:rsidRPr="003B6A69">
              <w:rPr>
                <w:noProof/>
                <w:szCs w:val="20"/>
              </w:rPr>
              <w:t xml:space="preserve">ronment </w:t>
            </w:r>
            <w:r w:rsidR="008F0046" w:rsidRPr="003B6A69">
              <w:rPr>
                <w:noProof/>
                <w:szCs w:val="20"/>
              </w:rPr>
              <w:lastRenderedPageBreak/>
              <w:t xml:space="preserve">and technical capacity). </w:t>
            </w:r>
            <w:r w:rsidRPr="003B6A69">
              <w:rPr>
                <w:noProof/>
                <w:szCs w:val="20"/>
              </w:rPr>
              <w:t>Capacity li</w:t>
            </w:r>
            <w:r w:rsidR="008F0046" w:rsidRPr="003B6A69">
              <w:rPr>
                <w:noProof/>
                <w:szCs w:val="20"/>
              </w:rPr>
              <w:t xml:space="preserve">mitations along with </w:t>
            </w:r>
            <w:r w:rsidRPr="003B6A69">
              <w:rPr>
                <w:noProof/>
                <w:szCs w:val="20"/>
              </w:rPr>
              <w:t xml:space="preserve">the lack of direct experience in </w:t>
            </w:r>
            <w:r w:rsidR="008F0046" w:rsidRPr="003B6A69">
              <w:rPr>
                <w:noProof/>
                <w:szCs w:val="20"/>
              </w:rPr>
              <w:t>direct implementation of large-</w:t>
            </w:r>
            <w:r w:rsidRPr="003B6A69">
              <w:rPr>
                <w:noProof/>
                <w:szCs w:val="20"/>
              </w:rPr>
              <w:t>scale projects call for targeted capaci</w:t>
            </w:r>
            <w:r w:rsidR="008F0046" w:rsidRPr="003B6A69">
              <w:rPr>
                <w:noProof/>
                <w:szCs w:val="20"/>
              </w:rPr>
              <w:t>ty building (particularly hands-</w:t>
            </w:r>
            <w:r w:rsidRPr="003B6A69">
              <w:rPr>
                <w:noProof/>
                <w:szCs w:val="20"/>
              </w:rPr>
              <w:t xml:space="preserve">on experience and learning by doing) is considered as the major risk mitigation measure. </w:t>
            </w:r>
          </w:p>
        </w:tc>
      </w:tr>
      <w:tr w:rsidR="00883EF9" w:rsidRPr="003B6A69" w14:paraId="71613753" w14:textId="77777777" w:rsidTr="00883EF9">
        <w:tc>
          <w:tcPr>
            <w:tcW w:w="4230" w:type="dxa"/>
            <w:shd w:val="clear" w:color="auto" w:fill="auto"/>
          </w:tcPr>
          <w:p w14:paraId="0E1A2B99" w14:textId="721C295B" w:rsidR="00883EF9" w:rsidRPr="003B6A69" w:rsidRDefault="006C1C66" w:rsidP="00142385">
            <w:pPr>
              <w:rPr>
                <w:noProof/>
                <w:szCs w:val="20"/>
              </w:rPr>
            </w:pPr>
            <w:r w:rsidRPr="003B6A69">
              <w:rPr>
                <w:noProof/>
                <w:szCs w:val="20"/>
              </w:rPr>
              <w:lastRenderedPageBreak/>
              <w:t xml:space="preserve">Conservation planning and particularly </w:t>
            </w:r>
            <w:r w:rsidR="008F0046" w:rsidRPr="003B6A69">
              <w:rPr>
                <w:noProof/>
                <w:szCs w:val="20"/>
              </w:rPr>
              <w:t xml:space="preserve">the </w:t>
            </w:r>
            <w:r w:rsidRPr="003B6A69">
              <w:rPr>
                <w:noProof/>
                <w:szCs w:val="20"/>
              </w:rPr>
              <w:t>proclamation of protection regimes for areas with multiple land use an</w:t>
            </w:r>
            <w:r w:rsidR="008F0046" w:rsidRPr="003B6A69">
              <w:rPr>
                <w:noProof/>
                <w:szCs w:val="20"/>
              </w:rPr>
              <w:t>d stakeholder interests</w:t>
            </w:r>
            <w:r w:rsidR="00883EF9" w:rsidRPr="003B6A69">
              <w:rPr>
                <w:noProof/>
                <w:szCs w:val="20"/>
              </w:rPr>
              <w:t xml:space="preserve"> involve iterative processes that take a long time, which is not always possible to factor into a 5-year project. There’s a risk of underdelivery of </w:t>
            </w:r>
            <w:r w:rsidRPr="003B6A69">
              <w:rPr>
                <w:noProof/>
                <w:szCs w:val="20"/>
              </w:rPr>
              <w:t>declared spatial indicators under project Outcomes 1 and 2</w:t>
            </w:r>
            <w:r w:rsidR="00883EF9" w:rsidRPr="003B6A69">
              <w:rPr>
                <w:noProof/>
                <w:szCs w:val="20"/>
              </w:rPr>
              <w:t xml:space="preserve"> without an extended project timeframe</w:t>
            </w:r>
          </w:p>
          <w:p w14:paraId="1D07539E" w14:textId="77777777" w:rsidR="00883EF9" w:rsidRPr="003B6A69" w:rsidRDefault="00883EF9" w:rsidP="00142385">
            <w:pPr>
              <w:rPr>
                <w:noProof/>
                <w:szCs w:val="20"/>
              </w:rPr>
            </w:pPr>
          </w:p>
        </w:tc>
        <w:tc>
          <w:tcPr>
            <w:tcW w:w="387" w:type="dxa"/>
            <w:shd w:val="clear" w:color="auto" w:fill="auto"/>
          </w:tcPr>
          <w:p w14:paraId="3D1F8F5E" w14:textId="77777777" w:rsidR="00883EF9" w:rsidRPr="003B6A69" w:rsidRDefault="00883EF9" w:rsidP="00142385">
            <w:pPr>
              <w:rPr>
                <w:noProof/>
                <w:szCs w:val="20"/>
              </w:rPr>
            </w:pPr>
            <w:r w:rsidRPr="003B6A69">
              <w:rPr>
                <w:noProof/>
                <w:szCs w:val="20"/>
              </w:rPr>
              <w:t>M</w:t>
            </w:r>
          </w:p>
        </w:tc>
        <w:tc>
          <w:tcPr>
            <w:tcW w:w="5373" w:type="dxa"/>
            <w:shd w:val="clear" w:color="auto" w:fill="auto"/>
          </w:tcPr>
          <w:p w14:paraId="7ECBE11C" w14:textId="4D6DD6A4" w:rsidR="00883EF9" w:rsidRPr="003B6A69" w:rsidRDefault="006C1C66" w:rsidP="00142385">
            <w:pPr>
              <w:rPr>
                <w:noProof/>
                <w:szCs w:val="20"/>
              </w:rPr>
            </w:pPr>
            <w:r w:rsidRPr="003B6A69">
              <w:rPr>
                <w:noProof/>
                <w:szCs w:val="20"/>
              </w:rPr>
              <w:t>The project strategy makes sure that all the project</w:t>
            </w:r>
            <w:r w:rsidR="008F0046" w:rsidRPr="003B6A69">
              <w:rPr>
                <w:noProof/>
                <w:szCs w:val="20"/>
              </w:rPr>
              <w:t>’</w:t>
            </w:r>
            <w:r w:rsidRPr="003B6A69">
              <w:rPr>
                <w:noProof/>
                <w:szCs w:val="20"/>
              </w:rPr>
              <w:t xml:space="preserve">s endeavours at enhanced protection status for valuable biodiversity hotspots are supported by the spatial development framework of the country (the Spatial Plan and the General Regulation Plan of Montenegro). </w:t>
            </w:r>
            <w:r w:rsidR="00883EF9" w:rsidRPr="003B6A69">
              <w:rPr>
                <w:noProof/>
                <w:szCs w:val="20"/>
              </w:rPr>
              <w:t>Since the state government level spatial planning and sectoral development reforms, as well as the management actions for the international Ramsar and UNESCO protected areas, will be undou</w:t>
            </w:r>
            <w:r w:rsidR="008F0046" w:rsidRPr="003B6A69">
              <w:rPr>
                <w:noProof/>
                <w:szCs w:val="20"/>
              </w:rPr>
              <w:t>bted</w:t>
            </w:r>
            <w:r w:rsidR="00883EF9" w:rsidRPr="003B6A69">
              <w:rPr>
                <w:noProof/>
                <w:szCs w:val="20"/>
              </w:rPr>
              <w:t>ly driven by the EU integration process with strict milestones, timelines</w:t>
            </w:r>
            <w:r w:rsidR="00A75B9B" w:rsidRPr="003B6A69">
              <w:rPr>
                <w:noProof/>
                <w:szCs w:val="20"/>
              </w:rPr>
              <w:t>,</w:t>
            </w:r>
            <w:r w:rsidR="00883EF9" w:rsidRPr="003B6A69">
              <w:rPr>
                <w:noProof/>
                <w:szCs w:val="20"/>
              </w:rPr>
              <w:t xml:space="preserve"> and monitori</w:t>
            </w:r>
            <w:r w:rsidR="008F0046" w:rsidRPr="003B6A69">
              <w:rPr>
                <w:noProof/>
                <w:szCs w:val="20"/>
              </w:rPr>
              <w:t xml:space="preserve">ng system, the project will be </w:t>
            </w:r>
            <w:r w:rsidR="00883EF9" w:rsidRPr="003B6A69">
              <w:rPr>
                <w:noProof/>
                <w:szCs w:val="20"/>
              </w:rPr>
              <w:t>planned in integration and synergy with these mainstream processes thus ensuring the delivery of planned outcomes and their sust</w:t>
            </w:r>
            <w:r w:rsidR="008F0046" w:rsidRPr="003B6A69">
              <w:rPr>
                <w:noProof/>
                <w:szCs w:val="20"/>
              </w:rPr>
              <w:t>a</w:t>
            </w:r>
            <w:r w:rsidR="00883EF9" w:rsidRPr="003B6A69">
              <w:rPr>
                <w:noProof/>
                <w:szCs w:val="20"/>
              </w:rPr>
              <w:t xml:space="preserve">inability and scaling-up upon project completion. </w:t>
            </w:r>
          </w:p>
          <w:p w14:paraId="6E87F8D0" w14:textId="77777777" w:rsidR="00883EF9" w:rsidRPr="003B6A69" w:rsidRDefault="00883EF9" w:rsidP="00142385">
            <w:pPr>
              <w:rPr>
                <w:noProof/>
                <w:szCs w:val="20"/>
              </w:rPr>
            </w:pPr>
          </w:p>
        </w:tc>
      </w:tr>
      <w:tr w:rsidR="00883EF9" w:rsidRPr="003B6A69" w14:paraId="2D016690" w14:textId="77777777" w:rsidTr="00883EF9">
        <w:tc>
          <w:tcPr>
            <w:tcW w:w="4230" w:type="dxa"/>
            <w:shd w:val="clear" w:color="auto" w:fill="auto"/>
          </w:tcPr>
          <w:p w14:paraId="39945D6B" w14:textId="09D037C9" w:rsidR="00883EF9" w:rsidRPr="003B6A69" w:rsidRDefault="00883EF9" w:rsidP="006655BA">
            <w:pPr>
              <w:rPr>
                <w:noProof/>
                <w:szCs w:val="20"/>
              </w:rPr>
            </w:pPr>
            <w:r w:rsidRPr="003B6A69">
              <w:rPr>
                <w:noProof/>
                <w:szCs w:val="20"/>
              </w:rPr>
              <w:t xml:space="preserve">Montenegro’s planning and regulatory framework is very well developed </w:t>
            </w:r>
            <w:r w:rsidR="006C1C66" w:rsidRPr="003B6A69">
              <w:rPr>
                <w:noProof/>
                <w:szCs w:val="20"/>
              </w:rPr>
              <w:t>and responsive</w:t>
            </w:r>
            <w:r w:rsidRPr="003B6A69">
              <w:rPr>
                <w:noProof/>
                <w:szCs w:val="20"/>
              </w:rPr>
              <w:t xml:space="preserve"> to the most recent international </w:t>
            </w:r>
            <w:r w:rsidR="006655BA" w:rsidRPr="003B6A69">
              <w:rPr>
                <w:noProof/>
                <w:szCs w:val="20"/>
              </w:rPr>
              <w:t xml:space="preserve">(first of all </w:t>
            </w:r>
            <w:r w:rsidRPr="003B6A69">
              <w:rPr>
                <w:noProof/>
                <w:szCs w:val="20"/>
              </w:rPr>
              <w:t>EU</w:t>
            </w:r>
            <w:r w:rsidR="006655BA" w:rsidRPr="003B6A69">
              <w:rPr>
                <w:noProof/>
                <w:szCs w:val="20"/>
              </w:rPr>
              <w:t>)</w:t>
            </w:r>
            <w:r w:rsidRPr="003B6A69">
              <w:rPr>
                <w:noProof/>
                <w:szCs w:val="20"/>
              </w:rPr>
              <w:t xml:space="preserve"> standards and best practices. However, the current capacities may be insufficient to implement them all in a timely and effective manner. There is a risk that the new strategic, regulatory</w:t>
            </w:r>
            <w:r w:rsidR="00A75B9B" w:rsidRPr="003B6A69">
              <w:rPr>
                <w:noProof/>
                <w:szCs w:val="20"/>
              </w:rPr>
              <w:t>,</w:t>
            </w:r>
            <w:r w:rsidRPr="003B6A69">
              <w:rPr>
                <w:noProof/>
                <w:szCs w:val="20"/>
              </w:rPr>
              <w:t xml:space="preserve"> and planning reforms to which this project will provide a biodiversity mainstreaming dimension will remain only as high-quality written products upon project completion but will not experience full implementation.</w:t>
            </w:r>
          </w:p>
        </w:tc>
        <w:tc>
          <w:tcPr>
            <w:tcW w:w="387" w:type="dxa"/>
            <w:shd w:val="clear" w:color="auto" w:fill="auto"/>
          </w:tcPr>
          <w:p w14:paraId="0BD0ABDD" w14:textId="77777777" w:rsidR="00883EF9" w:rsidRPr="003B6A69" w:rsidRDefault="00883EF9" w:rsidP="00142385">
            <w:pPr>
              <w:rPr>
                <w:noProof/>
                <w:szCs w:val="20"/>
              </w:rPr>
            </w:pPr>
            <w:r w:rsidRPr="003B6A69">
              <w:rPr>
                <w:noProof/>
                <w:szCs w:val="20"/>
              </w:rPr>
              <w:t>M</w:t>
            </w:r>
          </w:p>
        </w:tc>
        <w:tc>
          <w:tcPr>
            <w:tcW w:w="5373" w:type="dxa"/>
            <w:shd w:val="clear" w:color="auto" w:fill="auto"/>
          </w:tcPr>
          <w:p w14:paraId="5F5DF687" w14:textId="7D3EC202" w:rsidR="00883EF9" w:rsidRPr="003B6A69" w:rsidRDefault="00883EF9" w:rsidP="00142385">
            <w:pPr>
              <w:rPr>
                <w:noProof/>
                <w:szCs w:val="20"/>
              </w:rPr>
            </w:pPr>
            <w:r w:rsidRPr="003B6A69">
              <w:rPr>
                <w:noProof/>
                <w:szCs w:val="20"/>
              </w:rPr>
              <w:t>Apart from an incremental input</w:t>
            </w:r>
            <w:r w:rsidR="008F0046" w:rsidRPr="003B6A69">
              <w:rPr>
                <w:noProof/>
                <w:szCs w:val="20"/>
              </w:rPr>
              <w:t xml:space="preserve"> that</w:t>
            </w:r>
            <w:r w:rsidRPr="003B6A69">
              <w:rPr>
                <w:noProof/>
                <w:szCs w:val="20"/>
              </w:rPr>
              <w:t xml:space="preserve"> the project will provide for elevating BD conservation considerations to spatial planning and production sectors and landscapes; it will also develop and test very practical solutions and models to address the biodiversity threats and mainstream biodiversity-friendly sectoral practices. With the knowledge sharing and awareness</w:t>
            </w:r>
            <w:r w:rsidR="008F0046" w:rsidRPr="003B6A69">
              <w:rPr>
                <w:noProof/>
                <w:szCs w:val="20"/>
              </w:rPr>
              <w:t>-</w:t>
            </w:r>
            <w:r w:rsidRPr="003B6A69">
              <w:rPr>
                <w:noProof/>
                <w:szCs w:val="20"/>
              </w:rPr>
              <w:t>raising activiti</w:t>
            </w:r>
            <w:r w:rsidR="008F0046" w:rsidRPr="003B6A69">
              <w:rPr>
                <w:noProof/>
                <w:szCs w:val="20"/>
              </w:rPr>
              <w:t>es</w:t>
            </w:r>
            <w:r w:rsidRPr="003B6A69">
              <w:rPr>
                <w:noProof/>
                <w:szCs w:val="20"/>
              </w:rPr>
              <w:t xml:space="preserve"> associated with these practical BD mainstreaming interventions</w:t>
            </w:r>
            <w:r w:rsidR="008F0046" w:rsidRPr="003B6A69">
              <w:rPr>
                <w:noProof/>
                <w:szCs w:val="20"/>
              </w:rPr>
              <w:t>,</w:t>
            </w:r>
            <w:r w:rsidRPr="003B6A69">
              <w:rPr>
                <w:noProof/>
                <w:szCs w:val="20"/>
              </w:rPr>
              <w:t xml:space="preserve"> the project will make sure that the key strategic and regulatory reforms find their way to the actual implementation phase.</w:t>
            </w:r>
          </w:p>
          <w:p w14:paraId="32C7908E" w14:textId="77777777" w:rsidR="00883EF9" w:rsidRPr="003B6A69" w:rsidRDefault="00883EF9" w:rsidP="00142385">
            <w:pPr>
              <w:rPr>
                <w:noProof/>
                <w:szCs w:val="20"/>
              </w:rPr>
            </w:pPr>
          </w:p>
        </w:tc>
      </w:tr>
      <w:tr w:rsidR="00883EF9" w:rsidRPr="003B6A69" w14:paraId="5A281D7B" w14:textId="77777777" w:rsidTr="00883EF9">
        <w:tc>
          <w:tcPr>
            <w:tcW w:w="4230" w:type="dxa"/>
            <w:shd w:val="clear" w:color="auto" w:fill="auto"/>
          </w:tcPr>
          <w:p w14:paraId="29C86706" w14:textId="6BA5CDBF" w:rsidR="00883EF9" w:rsidRPr="003B6A69" w:rsidRDefault="00883EF9" w:rsidP="00142385">
            <w:pPr>
              <w:rPr>
                <w:noProof/>
                <w:szCs w:val="20"/>
              </w:rPr>
            </w:pPr>
            <w:r w:rsidRPr="003B6A69">
              <w:rPr>
                <w:noProof/>
                <w:szCs w:val="20"/>
              </w:rPr>
              <w:t xml:space="preserve">The different management arrangements for PAs according to their category, international status and mandate might provide complications for </w:t>
            </w:r>
            <w:r w:rsidR="008F0046" w:rsidRPr="003B6A69">
              <w:rPr>
                <w:noProof/>
                <w:szCs w:val="20"/>
              </w:rPr>
              <w:t xml:space="preserve">the </w:t>
            </w:r>
            <w:r w:rsidRPr="003B6A69">
              <w:rPr>
                <w:noProof/>
                <w:szCs w:val="20"/>
              </w:rPr>
              <w:t>implementation of targeted project activities within Outcome 1.</w:t>
            </w:r>
          </w:p>
          <w:p w14:paraId="08251A50" w14:textId="77777777" w:rsidR="00883EF9" w:rsidRPr="003B6A69" w:rsidRDefault="00883EF9" w:rsidP="00142385">
            <w:pPr>
              <w:rPr>
                <w:noProof/>
                <w:szCs w:val="20"/>
              </w:rPr>
            </w:pPr>
          </w:p>
        </w:tc>
        <w:tc>
          <w:tcPr>
            <w:tcW w:w="387" w:type="dxa"/>
            <w:shd w:val="clear" w:color="auto" w:fill="auto"/>
          </w:tcPr>
          <w:p w14:paraId="126F2D55" w14:textId="77777777" w:rsidR="00883EF9" w:rsidRPr="003B6A69" w:rsidRDefault="00883EF9" w:rsidP="00142385">
            <w:pPr>
              <w:rPr>
                <w:noProof/>
                <w:szCs w:val="20"/>
              </w:rPr>
            </w:pPr>
            <w:r w:rsidRPr="003B6A69">
              <w:rPr>
                <w:noProof/>
                <w:szCs w:val="20"/>
              </w:rPr>
              <w:t>L</w:t>
            </w:r>
          </w:p>
        </w:tc>
        <w:tc>
          <w:tcPr>
            <w:tcW w:w="5373" w:type="dxa"/>
            <w:shd w:val="clear" w:color="auto" w:fill="auto"/>
          </w:tcPr>
          <w:p w14:paraId="4E2AC72E" w14:textId="77777777" w:rsidR="00883EF9" w:rsidRPr="003B6A69" w:rsidRDefault="00883EF9" w:rsidP="00142385">
            <w:pPr>
              <w:rPr>
                <w:noProof/>
                <w:szCs w:val="20"/>
              </w:rPr>
            </w:pPr>
            <w:r w:rsidRPr="003B6A69">
              <w:rPr>
                <w:noProof/>
                <w:szCs w:val="20"/>
              </w:rPr>
              <w:t>This risk will be mitigated through close collaboration with relevant stakeholders from the outset and by determining collaborative strategies and focal points in each of the key institutions for the Project Steering Committee.</w:t>
            </w:r>
          </w:p>
        </w:tc>
      </w:tr>
      <w:tr w:rsidR="00883EF9" w:rsidRPr="003B6A69" w14:paraId="4087DDA7" w14:textId="77777777" w:rsidTr="00883EF9">
        <w:tc>
          <w:tcPr>
            <w:tcW w:w="4230" w:type="dxa"/>
            <w:shd w:val="clear" w:color="auto" w:fill="auto"/>
          </w:tcPr>
          <w:p w14:paraId="4FFFD57E" w14:textId="77777777" w:rsidR="00883EF9" w:rsidRPr="001523F8" w:rsidRDefault="00883EF9" w:rsidP="00142385">
            <w:pPr>
              <w:rPr>
                <w:noProof/>
                <w:szCs w:val="20"/>
                <w:highlight w:val="cyan"/>
              </w:rPr>
            </w:pPr>
            <w:r w:rsidRPr="001523F8">
              <w:rPr>
                <w:rFonts w:eastAsia="MS Mincho"/>
                <w:szCs w:val="20"/>
                <w:highlight w:val="cyan"/>
              </w:rPr>
              <w:t>The project</w:t>
            </w:r>
            <w:r w:rsidRPr="001523F8">
              <w:rPr>
                <w:szCs w:val="20"/>
                <w:highlight w:val="cyan"/>
              </w:rPr>
              <w:t xml:space="preserve"> impact on the status of biodiversity and KBAs might be limited by </w:t>
            </w:r>
            <w:r w:rsidRPr="001523F8">
              <w:rPr>
                <w:noProof/>
                <w:szCs w:val="20"/>
                <w:highlight w:val="cyan"/>
              </w:rPr>
              <w:t>climate change as a direct driver of habitat conversion and biodiversity loss in the country.</w:t>
            </w:r>
          </w:p>
          <w:p w14:paraId="24AE2C80" w14:textId="77777777" w:rsidR="00883EF9" w:rsidRPr="001523F8" w:rsidRDefault="00883EF9" w:rsidP="00142385">
            <w:pPr>
              <w:rPr>
                <w:noProof/>
                <w:szCs w:val="20"/>
                <w:highlight w:val="cyan"/>
              </w:rPr>
            </w:pPr>
          </w:p>
        </w:tc>
        <w:tc>
          <w:tcPr>
            <w:tcW w:w="387" w:type="dxa"/>
            <w:shd w:val="clear" w:color="auto" w:fill="auto"/>
          </w:tcPr>
          <w:p w14:paraId="48EDE94A" w14:textId="77777777" w:rsidR="00883EF9" w:rsidRPr="001523F8" w:rsidRDefault="00883EF9" w:rsidP="00142385">
            <w:pPr>
              <w:rPr>
                <w:noProof/>
                <w:szCs w:val="20"/>
                <w:highlight w:val="cyan"/>
              </w:rPr>
            </w:pPr>
            <w:r w:rsidRPr="001523F8">
              <w:rPr>
                <w:noProof/>
                <w:szCs w:val="20"/>
                <w:highlight w:val="cyan"/>
              </w:rPr>
              <w:t>L</w:t>
            </w:r>
          </w:p>
        </w:tc>
        <w:tc>
          <w:tcPr>
            <w:tcW w:w="5373" w:type="dxa"/>
            <w:shd w:val="clear" w:color="auto" w:fill="auto"/>
          </w:tcPr>
          <w:p w14:paraId="49B0DB5C" w14:textId="3D77E3DF" w:rsidR="001523F8" w:rsidRPr="001523F8" w:rsidRDefault="001523F8" w:rsidP="005D32D5">
            <w:pPr>
              <w:rPr>
                <w:noProof/>
                <w:szCs w:val="20"/>
                <w:highlight w:val="cyan"/>
              </w:rPr>
            </w:pPr>
            <w:r w:rsidRPr="001523F8">
              <w:rPr>
                <w:noProof/>
                <w:szCs w:val="20"/>
                <w:highlight w:val="cyan"/>
              </w:rPr>
              <w:t>Impacts of climate change on the ecosystems include primarily the effects of hot and dry periods on forest habitats which cause wildfires. Current assessments predict shifting of vegetation zones, habitat loss and fragmentation, and changes in qualitative and quantitative aspects of biocoenoses as a result of climate change. A reduction in number of species is expected, primarily related to freshwater ecosystems, as well as the impact of significant fluctuations in temperature and humidity in the environment on species vulnerable to these effects.</w:t>
            </w:r>
          </w:p>
          <w:p w14:paraId="20DC460B" w14:textId="77777777" w:rsidR="001523F8" w:rsidRPr="001523F8" w:rsidRDefault="001523F8" w:rsidP="005D32D5">
            <w:pPr>
              <w:rPr>
                <w:noProof/>
                <w:szCs w:val="20"/>
                <w:highlight w:val="cyan"/>
              </w:rPr>
            </w:pPr>
          </w:p>
          <w:p w14:paraId="6A1B9DF6" w14:textId="24F201D0" w:rsidR="00883EF9" w:rsidRPr="003B6A69" w:rsidRDefault="006655BA" w:rsidP="005D32D5">
            <w:pPr>
              <w:rPr>
                <w:noProof/>
                <w:szCs w:val="20"/>
              </w:rPr>
            </w:pPr>
            <w:r w:rsidRPr="001523F8">
              <w:rPr>
                <w:noProof/>
                <w:szCs w:val="20"/>
                <w:highlight w:val="cyan"/>
              </w:rPr>
              <w:t>A</w:t>
            </w:r>
            <w:r w:rsidR="00883EF9" w:rsidRPr="001523F8">
              <w:rPr>
                <w:noProof/>
                <w:szCs w:val="20"/>
                <w:highlight w:val="cyan"/>
              </w:rPr>
              <w:t xml:space="preserve">ssessments of climate change effects within </w:t>
            </w:r>
            <w:r w:rsidRPr="001523F8">
              <w:rPr>
                <w:noProof/>
                <w:szCs w:val="20"/>
                <w:highlight w:val="cyan"/>
              </w:rPr>
              <w:t xml:space="preserve">the targeted PAs and ecosystems will be included in the revised protection studies and advanced management planning instruments to be developed with the project support for the targeted PAs: Durmitor NP, Dragisnica-Komarnica PN, Skadar Lake NP (Outcome 1). Targeted BD assessments and the baseline studies for the unprotected KBAs under Outcome 2 will include climate change threats and effects. </w:t>
            </w:r>
            <w:r w:rsidR="00495F74" w:rsidRPr="001523F8">
              <w:rPr>
                <w:noProof/>
                <w:szCs w:val="20"/>
                <w:highlight w:val="cyan"/>
              </w:rPr>
              <w:t>Project Output 4.2 is aimed at strengthened resilience of High-Conservation Value forests to fires and other climate-induced threats. Finally, under Output 5 the project will develop and test agro-environmental measures that will respond to the climate threats to the vulnerable agricultural lands within the biodiversity buffer zones and KBAs. Embedding CC issues and risk mediation measures at the design sta</w:t>
            </w:r>
            <w:r w:rsidR="005D32D5" w:rsidRPr="001523F8">
              <w:rPr>
                <w:noProof/>
                <w:szCs w:val="20"/>
                <w:highlight w:val="cyan"/>
              </w:rPr>
              <w:t>ge</w:t>
            </w:r>
            <w:r w:rsidR="00495F74" w:rsidRPr="001523F8">
              <w:rPr>
                <w:noProof/>
                <w:szCs w:val="20"/>
                <w:highlight w:val="cyan"/>
              </w:rPr>
              <w:t xml:space="preserve"> for the key project endeavo</w:t>
            </w:r>
            <w:r w:rsidR="005D32D5" w:rsidRPr="001523F8">
              <w:rPr>
                <w:noProof/>
                <w:szCs w:val="20"/>
                <w:highlight w:val="cyan"/>
              </w:rPr>
              <w:t>ur</w:t>
            </w:r>
            <w:r w:rsidR="00495F74" w:rsidRPr="001523F8">
              <w:rPr>
                <w:noProof/>
                <w:szCs w:val="20"/>
                <w:highlight w:val="cyan"/>
              </w:rPr>
              <w:t>s mentioned above is seen as a princip</w:t>
            </w:r>
            <w:r w:rsidR="008F0046" w:rsidRPr="001523F8">
              <w:rPr>
                <w:noProof/>
                <w:szCs w:val="20"/>
                <w:highlight w:val="cyan"/>
              </w:rPr>
              <w:t>al</w:t>
            </w:r>
            <w:r w:rsidR="00495F74" w:rsidRPr="001523F8">
              <w:rPr>
                <w:noProof/>
                <w:szCs w:val="20"/>
                <w:highlight w:val="cyan"/>
              </w:rPr>
              <w:t xml:space="preserve"> risk mitigation measure.</w:t>
            </w:r>
            <w:r w:rsidR="00495F74" w:rsidRPr="003B6A69">
              <w:rPr>
                <w:noProof/>
                <w:szCs w:val="20"/>
              </w:rPr>
              <w:t xml:space="preserve"> </w:t>
            </w:r>
          </w:p>
        </w:tc>
      </w:tr>
      <w:tr w:rsidR="00883EF9" w:rsidRPr="003B6A69" w14:paraId="0A35682D" w14:textId="77777777" w:rsidTr="00883EF9">
        <w:tc>
          <w:tcPr>
            <w:tcW w:w="4230" w:type="dxa"/>
            <w:shd w:val="clear" w:color="auto" w:fill="auto"/>
          </w:tcPr>
          <w:p w14:paraId="374F301A" w14:textId="3FBC92CE" w:rsidR="00883EF9" w:rsidRPr="003B6A69" w:rsidRDefault="00883EF9" w:rsidP="00142385">
            <w:pPr>
              <w:rPr>
                <w:noProof/>
                <w:szCs w:val="20"/>
              </w:rPr>
            </w:pPr>
            <w:r w:rsidRPr="003B6A69">
              <w:rPr>
                <w:noProof/>
                <w:szCs w:val="20"/>
              </w:rPr>
              <w:lastRenderedPageBreak/>
              <w:t xml:space="preserve">There is a risk that the sustainable biodiversity finance mechanisms and incentives aimed </w:t>
            </w:r>
            <w:r w:rsidR="00495F74" w:rsidRPr="003B6A69">
              <w:rPr>
                <w:noProof/>
                <w:szCs w:val="20"/>
              </w:rPr>
              <w:t>to</w:t>
            </w:r>
            <w:r w:rsidRPr="003B6A69">
              <w:rPr>
                <w:noProof/>
                <w:szCs w:val="20"/>
              </w:rPr>
              <w:t xml:space="preserve"> mainstream biodiversity-friendly sectoral practices will not prove their desired financial effect, and the financial viability may not be sufficient to upscale those instruments in the long term.</w:t>
            </w:r>
          </w:p>
          <w:p w14:paraId="73F52684" w14:textId="77777777" w:rsidR="00883EF9" w:rsidRPr="003B6A69" w:rsidRDefault="00883EF9" w:rsidP="00142385">
            <w:pPr>
              <w:rPr>
                <w:noProof/>
                <w:szCs w:val="20"/>
              </w:rPr>
            </w:pPr>
          </w:p>
        </w:tc>
        <w:tc>
          <w:tcPr>
            <w:tcW w:w="387" w:type="dxa"/>
            <w:shd w:val="clear" w:color="auto" w:fill="auto"/>
          </w:tcPr>
          <w:p w14:paraId="1ED38453" w14:textId="77777777" w:rsidR="00883EF9" w:rsidRPr="003B6A69" w:rsidRDefault="00883EF9" w:rsidP="00142385">
            <w:pPr>
              <w:rPr>
                <w:noProof/>
                <w:szCs w:val="20"/>
              </w:rPr>
            </w:pPr>
            <w:r w:rsidRPr="003B6A69">
              <w:rPr>
                <w:noProof/>
                <w:szCs w:val="20"/>
              </w:rPr>
              <w:t>L</w:t>
            </w:r>
          </w:p>
        </w:tc>
        <w:tc>
          <w:tcPr>
            <w:tcW w:w="5373" w:type="dxa"/>
            <w:shd w:val="clear" w:color="auto" w:fill="auto"/>
          </w:tcPr>
          <w:p w14:paraId="33882D0F" w14:textId="77777777" w:rsidR="00883EF9" w:rsidRPr="003B6A69" w:rsidRDefault="00883EF9" w:rsidP="00142385">
            <w:pPr>
              <w:rPr>
                <w:noProof/>
                <w:szCs w:val="20"/>
              </w:rPr>
            </w:pPr>
            <w:r w:rsidRPr="003B6A69">
              <w:rPr>
                <w:noProof/>
                <w:szCs w:val="20"/>
              </w:rPr>
              <w:t>In response to this risk, the project will perform a comprehensive cost-benefit analysis of the proposed finance opportunities.</w:t>
            </w:r>
          </w:p>
        </w:tc>
      </w:tr>
      <w:tr w:rsidR="00883EF9" w:rsidRPr="003B6A69" w14:paraId="5660D04C" w14:textId="77777777" w:rsidTr="00883EF9">
        <w:tc>
          <w:tcPr>
            <w:tcW w:w="4230" w:type="dxa"/>
            <w:shd w:val="clear" w:color="auto" w:fill="auto"/>
          </w:tcPr>
          <w:p w14:paraId="4235A14B" w14:textId="77777777" w:rsidR="00883EF9" w:rsidRPr="00823ECE" w:rsidRDefault="00883EF9" w:rsidP="005716FD">
            <w:pPr>
              <w:rPr>
                <w:noProof/>
                <w:szCs w:val="20"/>
                <w:lang w:val="en-GB"/>
              </w:rPr>
            </w:pPr>
            <w:r w:rsidRPr="00823ECE">
              <w:rPr>
                <w:noProof/>
                <w:szCs w:val="20"/>
              </w:rPr>
              <w:t>There is a risk that the planned partnerships with the private sector partners will fail to yield the expected benefits.</w:t>
            </w:r>
            <w:r w:rsidR="006C1C66" w:rsidRPr="00823ECE">
              <w:rPr>
                <w:noProof/>
                <w:szCs w:val="20"/>
              </w:rPr>
              <w:t xml:space="preserve"> </w:t>
            </w:r>
            <w:r w:rsidR="005716FD" w:rsidRPr="00823ECE">
              <w:rPr>
                <w:noProof/>
                <w:szCs w:val="20"/>
                <w:lang w:val="en-GB"/>
              </w:rPr>
              <w:t>The negative effects of the post-COVID 19 recession may hamper project plans towards private sector engagement, especially for the tourism sector most severely affected by COVID-19 pandemic.</w:t>
            </w:r>
          </w:p>
          <w:p w14:paraId="3DEA4404" w14:textId="265912DE" w:rsidR="005716FD" w:rsidRPr="00823ECE" w:rsidRDefault="005716FD" w:rsidP="005716FD">
            <w:pPr>
              <w:rPr>
                <w:noProof/>
                <w:szCs w:val="20"/>
              </w:rPr>
            </w:pPr>
          </w:p>
        </w:tc>
        <w:tc>
          <w:tcPr>
            <w:tcW w:w="387" w:type="dxa"/>
            <w:shd w:val="clear" w:color="auto" w:fill="auto"/>
          </w:tcPr>
          <w:p w14:paraId="5F4013BC" w14:textId="037303B7" w:rsidR="00883EF9" w:rsidRPr="00823ECE" w:rsidRDefault="000B36D0" w:rsidP="00142385">
            <w:pPr>
              <w:rPr>
                <w:noProof/>
                <w:szCs w:val="20"/>
              </w:rPr>
            </w:pPr>
            <w:r w:rsidRPr="00823ECE">
              <w:rPr>
                <w:noProof/>
                <w:szCs w:val="20"/>
              </w:rPr>
              <w:t>M</w:t>
            </w:r>
          </w:p>
        </w:tc>
        <w:tc>
          <w:tcPr>
            <w:tcW w:w="5373" w:type="dxa"/>
            <w:shd w:val="clear" w:color="auto" w:fill="auto"/>
          </w:tcPr>
          <w:p w14:paraId="3841FBAC" w14:textId="00105D13" w:rsidR="00883EF9" w:rsidRPr="003B6A69" w:rsidRDefault="005716FD" w:rsidP="008F0046">
            <w:pPr>
              <w:rPr>
                <w:noProof/>
                <w:szCs w:val="20"/>
              </w:rPr>
            </w:pPr>
            <w:r w:rsidRPr="00823ECE">
              <w:rPr>
                <w:noProof/>
                <w:szCs w:val="20"/>
                <w:lang w:val="en-GB"/>
              </w:rPr>
              <w:t>The project will apply an extra capacity</w:t>
            </w:r>
            <w:r w:rsidR="008F0046" w:rsidRPr="00823ECE">
              <w:rPr>
                <w:noProof/>
                <w:szCs w:val="20"/>
                <w:lang w:val="en-GB"/>
              </w:rPr>
              <w:t>-</w:t>
            </w:r>
            <w:r w:rsidRPr="00823ECE">
              <w:rPr>
                <w:noProof/>
                <w:szCs w:val="20"/>
                <w:lang w:val="en-GB"/>
              </w:rPr>
              <w:t xml:space="preserve">building effort to make sure that the tourism sector players are able to apply for economic recovery funds in a sustainable manner. Last but not least, the GEF increment for promotional activities will hopefully become one of the principal risk management measures and will help </w:t>
            </w:r>
            <w:r w:rsidR="008F0046" w:rsidRPr="00823ECE">
              <w:rPr>
                <w:noProof/>
                <w:szCs w:val="20"/>
                <w:lang w:val="en-GB"/>
              </w:rPr>
              <w:t>to mitigate</w:t>
            </w:r>
            <w:r w:rsidRPr="00823ECE">
              <w:rPr>
                <w:noProof/>
                <w:szCs w:val="20"/>
                <w:lang w:val="en-GB"/>
              </w:rPr>
              <w:t xml:space="preserve"> the obstacles towards tourism sector business engagement.</w:t>
            </w:r>
            <w:r w:rsidRPr="003B6A69">
              <w:rPr>
                <w:noProof/>
                <w:szCs w:val="20"/>
                <w:lang w:val="en-GB"/>
              </w:rPr>
              <w:t xml:space="preserve">  </w:t>
            </w:r>
          </w:p>
        </w:tc>
      </w:tr>
    </w:tbl>
    <w:p w14:paraId="5C2CC038" w14:textId="77777777" w:rsidR="000C2013" w:rsidRDefault="000C2013" w:rsidP="000C2013">
      <w:pPr>
        <w:rPr>
          <w:b/>
          <w:bCs/>
          <w:szCs w:val="20"/>
          <w:lang w:val="en-GB"/>
        </w:rPr>
      </w:pPr>
    </w:p>
    <w:p w14:paraId="63438B5E" w14:textId="1A1267C1" w:rsidR="000C2013" w:rsidRPr="00823ECE" w:rsidRDefault="000C2013" w:rsidP="000C2013">
      <w:pPr>
        <w:rPr>
          <w:bCs/>
          <w:szCs w:val="20"/>
          <w:highlight w:val="cyan"/>
          <w:u w:val="single"/>
          <w:lang w:val="en-GB"/>
        </w:rPr>
      </w:pPr>
      <w:r w:rsidRPr="00823ECE">
        <w:rPr>
          <w:bCs/>
          <w:szCs w:val="20"/>
          <w:highlight w:val="cyan"/>
          <w:u w:val="single"/>
          <w:lang w:val="en-GB"/>
        </w:rPr>
        <w:t>Green recovery oppo</w:t>
      </w:r>
      <w:r w:rsidR="00823ECE">
        <w:rPr>
          <w:bCs/>
          <w:szCs w:val="20"/>
          <w:highlight w:val="cyan"/>
          <w:u w:val="single"/>
          <w:lang w:val="en-GB"/>
        </w:rPr>
        <w:t>rtunity post global pandemic</w:t>
      </w:r>
    </w:p>
    <w:p w14:paraId="72ED265E" w14:textId="5DCD8F36" w:rsidR="00736CE1" w:rsidRPr="00736CE1" w:rsidRDefault="000C2013" w:rsidP="00736CE1">
      <w:pPr>
        <w:rPr>
          <w:bCs/>
          <w:szCs w:val="20"/>
          <w:highlight w:val="cyan"/>
          <w:lang w:val="en-GB"/>
        </w:rPr>
      </w:pPr>
      <w:r w:rsidRPr="00736CE1">
        <w:rPr>
          <w:bCs/>
          <w:szCs w:val="20"/>
          <w:highlight w:val="cyan"/>
          <w:lang w:val="en-GB"/>
        </w:rPr>
        <w:t xml:space="preserve">The Montenegrin economy was characterized by dynamic growth rates in 2018 and 2019, </w:t>
      </w:r>
      <w:r w:rsidR="00736CE1" w:rsidRPr="00736CE1">
        <w:rPr>
          <w:bCs/>
          <w:szCs w:val="20"/>
          <w:highlight w:val="cyan"/>
          <w:lang w:val="en-GB"/>
        </w:rPr>
        <w:t>h</w:t>
      </w:r>
      <w:r w:rsidRPr="00736CE1">
        <w:rPr>
          <w:bCs/>
          <w:szCs w:val="20"/>
          <w:highlight w:val="cyan"/>
          <w:lang w:val="en-GB"/>
        </w:rPr>
        <w:t xml:space="preserve">owever, the spread of coronavirus has severely disrupted supply chains and led to a decline in economic activity. The current situation, in the case of small, </w:t>
      </w:r>
      <w:proofErr w:type="gramStart"/>
      <w:r w:rsidRPr="00736CE1">
        <w:rPr>
          <w:bCs/>
          <w:szCs w:val="20"/>
          <w:highlight w:val="cyan"/>
          <w:lang w:val="en-GB"/>
        </w:rPr>
        <w:t>open</w:t>
      </w:r>
      <w:proofErr w:type="gramEnd"/>
      <w:r w:rsidRPr="00736CE1">
        <w:rPr>
          <w:bCs/>
          <w:szCs w:val="20"/>
          <w:highlight w:val="cyan"/>
          <w:lang w:val="en-GB"/>
        </w:rPr>
        <w:t xml:space="preserve"> and service-oriented economies such as Montenegro, emphasizes the need to diversify economic activity in order to strengthen the resilience of the economy and society to external shocks. The development model should continue to be adjusted and focused on those sectors in which Montenegro has underutilized resources and in which it is possible to achieve a competitive advantage, </w:t>
      </w:r>
      <w:proofErr w:type="gramStart"/>
      <w:r w:rsidRPr="00736CE1">
        <w:rPr>
          <w:bCs/>
          <w:szCs w:val="20"/>
          <w:highlight w:val="cyan"/>
          <w:lang w:val="en-GB"/>
        </w:rPr>
        <w:t>i</w:t>
      </w:r>
      <w:r w:rsidR="00736CE1" w:rsidRPr="00736CE1">
        <w:rPr>
          <w:bCs/>
          <w:szCs w:val="20"/>
          <w:highlight w:val="cyan"/>
          <w:lang w:val="en-GB"/>
        </w:rPr>
        <w:t>.</w:t>
      </w:r>
      <w:r w:rsidRPr="00736CE1">
        <w:rPr>
          <w:bCs/>
          <w:szCs w:val="20"/>
          <w:highlight w:val="cyan"/>
          <w:lang w:val="en-GB"/>
        </w:rPr>
        <w:t>e</w:t>
      </w:r>
      <w:r w:rsidR="00736CE1" w:rsidRPr="00736CE1">
        <w:rPr>
          <w:bCs/>
          <w:szCs w:val="20"/>
          <w:highlight w:val="cyan"/>
          <w:lang w:val="en-GB"/>
        </w:rPr>
        <w:t>.</w:t>
      </w:r>
      <w:proofErr w:type="gramEnd"/>
      <w:r w:rsidRPr="00736CE1">
        <w:rPr>
          <w:bCs/>
          <w:szCs w:val="20"/>
          <w:highlight w:val="cyan"/>
          <w:lang w:val="en-GB"/>
        </w:rPr>
        <w:t xml:space="preserve"> a high level of productivity and development of products with higher added value. Tourism and agriculture do represent sectors which with the adequate application of new models and digital technologies will create the preconditions for sustainable development.</w:t>
      </w:r>
      <w:r w:rsidR="00736CE1" w:rsidRPr="00736CE1">
        <w:rPr>
          <w:bCs/>
          <w:szCs w:val="20"/>
          <w:highlight w:val="cyan"/>
          <w:lang w:val="en-GB"/>
        </w:rPr>
        <w:t xml:space="preserve"> </w:t>
      </w:r>
    </w:p>
    <w:p w14:paraId="13B05C5C" w14:textId="77777777" w:rsidR="00736CE1" w:rsidRPr="00736CE1" w:rsidRDefault="00736CE1" w:rsidP="00736CE1">
      <w:pPr>
        <w:rPr>
          <w:bCs/>
          <w:szCs w:val="20"/>
          <w:highlight w:val="cyan"/>
        </w:rPr>
      </w:pPr>
      <w:r w:rsidRPr="00736CE1">
        <w:rPr>
          <w:bCs/>
          <w:szCs w:val="20"/>
          <w:highlight w:val="cyan"/>
        </w:rPr>
        <w:t xml:space="preserve">The baseline development of tourism in Montenegro was severely affected by the COVI19 pandemic in 2020, and the effects are still present. Several recovery scenarios and assistance windows are in place to support the small business that suffered the most from the lost tourist season 2020 and the uncertain prospects for the future. It is somewhat clear that the KBAs and the biodiversity hot-spots will be subject to more intense tourism pressure in the post-COVID-19 era. Remoteness and wilderness will have more value in the eyes of travelers, and the KBAs can expect a significant increase in the number of visitors. These implications of the “new normality” will require more responsible management of negative effects </w:t>
      </w:r>
      <w:proofErr w:type="gramStart"/>
      <w:r w:rsidRPr="00736CE1">
        <w:rPr>
          <w:bCs/>
          <w:szCs w:val="20"/>
          <w:highlight w:val="cyan"/>
        </w:rPr>
        <w:t>in order to</w:t>
      </w:r>
      <w:proofErr w:type="gramEnd"/>
      <w:r w:rsidRPr="00736CE1">
        <w:rPr>
          <w:bCs/>
          <w:szCs w:val="20"/>
          <w:highlight w:val="cyan"/>
        </w:rPr>
        <w:t xml:space="preserve"> identify new solutions, develop more sustainable tourism in biodiversity hot-spots, and increase resilience in response to future shocks and instability.</w:t>
      </w:r>
    </w:p>
    <w:p w14:paraId="6FD3E9F2" w14:textId="77777777" w:rsidR="00736CE1" w:rsidRPr="00736CE1" w:rsidRDefault="00736CE1" w:rsidP="00736CE1">
      <w:pPr>
        <w:rPr>
          <w:bCs/>
          <w:szCs w:val="20"/>
          <w:highlight w:val="cyan"/>
        </w:rPr>
      </w:pPr>
      <w:r w:rsidRPr="00736CE1">
        <w:rPr>
          <w:bCs/>
          <w:szCs w:val="20"/>
          <w:highlight w:val="cyan"/>
        </w:rPr>
        <w:lastRenderedPageBreak/>
        <w:t>Within the project impact area, the project will support MESPU with an assessment and evaluation of how the COVID-19 crisis has affected the tourism sector so far. The project will gather expertise and resource to offer a set of recommendations aimed to ensure that the economic recovery and development plans are prepared with due account of increased environmental pressure and possible biodiversity loss associated with the speedy recovery measures. For the MSPU tourism recovery scenarios, the project experts will make sure that the economic incentives and on-the-ground support measures are environmentally sensitive and do not impose additional risks of biodiversity loss.</w:t>
      </w:r>
    </w:p>
    <w:p w14:paraId="17D83EA2" w14:textId="77777777" w:rsidR="00883EF9" w:rsidRPr="000C2013" w:rsidRDefault="00883EF9" w:rsidP="00142385">
      <w:pPr>
        <w:rPr>
          <w:szCs w:val="20"/>
          <w:lang w:val="en-GB"/>
        </w:rPr>
      </w:pPr>
    </w:p>
    <w:p w14:paraId="3134B95D" w14:textId="4AB5C72D" w:rsidR="00081409" w:rsidRPr="003B6A69" w:rsidRDefault="00AF39F7" w:rsidP="005403A7">
      <w:pPr>
        <w:rPr>
          <w:u w:val="single"/>
          <w:lang w:val="en-GB"/>
        </w:rPr>
      </w:pPr>
      <w:r w:rsidRPr="003B6A69">
        <w:rPr>
          <w:u w:val="single"/>
          <w:lang w:val="en-GB"/>
        </w:rPr>
        <w:t>Social and environmental risks and safeguards</w:t>
      </w:r>
    </w:p>
    <w:p w14:paraId="5E471C53" w14:textId="567050CD" w:rsidR="005716FD" w:rsidRPr="003B6A69" w:rsidRDefault="00E95E0D" w:rsidP="005716FD">
      <w:pPr>
        <w:rPr>
          <w:rFonts w:cs="Calibri"/>
          <w:bCs/>
          <w:szCs w:val="20"/>
          <w:lang w:val="en-GB"/>
        </w:rPr>
      </w:pPr>
      <w:r w:rsidRPr="003B6A69">
        <w:rPr>
          <w:szCs w:val="20"/>
        </w:rPr>
        <w:t>Eight</w:t>
      </w:r>
      <w:r w:rsidR="005716FD" w:rsidRPr="003B6A69">
        <w:rPr>
          <w:szCs w:val="20"/>
        </w:rPr>
        <w:t xml:space="preserve"> risks were identified in the SESP (</w:t>
      </w:r>
      <w:hyperlink w:anchor="_Annex_5:_UNDP" w:history="1">
        <w:r w:rsidR="005716FD" w:rsidRPr="003B6A69">
          <w:rPr>
            <w:rStyle w:val="Hyperlink"/>
            <w:szCs w:val="20"/>
          </w:rPr>
          <w:t>Annex 5</w:t>
        </w:r>
      </w:hyperlink>
      <w:r w:rsidR="005716FD" w:rsidRPr="003B6A69">
        <w:rPr>
          <w:szCs w:val="20"/>
        </w:rPr>
        <w:t xml:space="preserve"> to this project document), of which </w:t>
      </w:r>
      <w:r w:rsidR="00070251" w:rsidRPr="003B6A69">
        <w:rPr>
          <w:szCs w:val="20"/>
        </w:rPr>
        <w:t>five</w:t>
      </w:r>
      <w:r w:rsidR="005716FD" w:rsidRPr="003B6A69">
        <w:rPr>
          <w:szCs w:val="20"/>
        </w:rPr>
        <w:t xml:space="preserve"> were assessed as moderate risk, and </w:t>
      </w:r>
      <w:r w:rsidRPr="003B6A69">
        <w:rPr>
          <w:szCs w:val="20"/>
        </w:rPr>
        <w:t>three</w:t>
      </w:r>
      <w:r w:rsidR="005716FD" w:rsidRPr="003B6A69">
        <w:rPr>
          <w:szCs w:val="20"/>
        </w:rPr>
        <w:t xml:space="preserve"> assessed as low risk. Therefore, the project overall in relation to SESP measures is considered moderate risk. This is consistent with the UNDP-GEF approach that all UNDP-GEF projects that include on the ground activities related to protected areas must be classified as at least "moderate" risk.</w:t>
      </w:r>
    </w:p>
    <w:p w14:paraId="691693A9" w14:textId="0F9FC73B" w:rsidR="005716FD" w:rsidRPr="003B6A69" w:rsidRDefault="005716FD" w:rsidP="005716FD">
      <w:pPr>
        <w:rPr>
          <w:szCs w:val="20"/>
        </w:rPr>
      </w:pPr>
      <w:r w:rsidRPr="003B6A69">
        <w:rPr>
          <w:szCs w:val="20"/>
        </w:rPr>
        <w:t xml:space="preserve">As per standard UNDP requirements, the </w:t>
      </w:r>
      <w:r w:rsidR="00127DDC" w:rsidRPr="003E6B19">
        <w:rPr>
          <w:highlight w:val="yellow"/>
          <w:lang w:val="en-GB" w:eastAsia="ja-JP"/>
        </w:rPr>
        <w:t xml:space="preserve">Project Coordinator / </w:t>
      </w:r>
      <w:proofErr w:type="gramStart"/>
      <w:r w:rsidR="00127DDC" w:rsidRPr="003E6B19">
        <w:rPr>
          <w:highlight w:val="yellow"/>
          <w:lang w:val="en-GB" w:eastAsia="ja-JP"/>
        </w:rPr>
        <w:t>Principle</w:t>
      </w:r>
      <w:proofErr w:type="gramEnd"/>
      <w:r w:rsidR="00127DDC" w:rsidRPr="003E6B19">
        <w:rPr>
          <w:highlight w:val="yellow"/>
          <w:lang w:val="en-GB" w:eastAsia="ja-JP"/>
        </w:rPr>
        <w:t xml:space="preserve"> Manager</w:t>
      </w:r>
      <w:r w:rsidR="00127DDC" w:rsidRPr="003B6A69">
        <w:rPr>
          <w:szCs w:val="20"/>
        </w:rPr>
        <w:t xml:space="preserve"> </w:t>
      </w:r>
      <w:r w:rsidRPr="003B6A69">
        <w:rPr>
          <w:szCs w:val="20"/>
        </w:rPr>
        <w:t>will monitor risks quarterly and report on the status of risks to the UNDP Country Office. The UNDP Country Office will record progress in the UNDP ATLAS risk log (</w:t>
      </w:r>
      <w:hyperlink w:anchor="_Annex_6:_UNDP" w:history="1">
        <w:r w:rsidRPr="003B6A69">
          <w:rPr>
            <w:rStyle w:val="Hyperlink"/>
            <w:szCs w:val="20"/>
          </w:rPr>
          <w:t>Annex 6</w:t>
        </w:r>
      </w:hyperlink>
      <w:r w:rsidRPr="003B6A69">
        <w:rPr>
          <w:szCs w:val="20"/>
        </w:rPr>
        <w:t xml:space="preserve"> of this </w:t>
      </w:r>
      <w:proofErr w:type="spellStart"/>
      <w:r w:rsidRPr="003B6A69">
        <w:rPr>
          <w:szCs w:val="20"/>
        </w:rPr>
        <w:t>Prodoc</w:t>
      </w:r>
      <w:proofErr w:type="spellEnd"/>
      <w:r w:rsidRPr="003B6A69">
        <w:rPr>
          <w:szCs w:val="20"/>
        </w:rPr>
        <w:t>). Risks will be reported as critical when the impact and probability are high (</w:t>
      </w:r>
      <w:proofErr w:type="gramStart"/>
      <w:r w:rsidRPr="003B6A69">
        <w:rPr>
          <w:szCs w:val="20"/>
        </w:rPr>
        <w:t>i.e.</w:t>
      </w:r>
      <w:proofErr w:type="gramEnd"/>
      <w:r w:rsidRPr="003B6A69">
        <w:rPr>
          <w:szCs w:val="20"/>
        </w:rPr>
        <w:t xml:space="preserve"> when impact is rated as 5, and when impact is rated as 4 and probability is rated at 3 or higher). Management responses to critical risks will also be reported to the GEF in the annual PIR.</w:t>
      </w:r>
    </w:p>
    <w:p w14:paraId="2DD8B0D9" w14:textId="310CFB0A" w:rsidR="00E95E0D" w:rsidRPr="003B6A69" w:rsidRDefault="00E95E0D" w:rsidP="005716FD">
      <w:pPr>
        <w:rPr>
          <w:rFonts w:cs="Calibri"/>
          <w:bCs/>
          <w:szCs w:val="20"/>
          <w:lang w:val="en-GB"/>
        </w:rPr>
      </w:pPr>
      <w:r w:rsidRPr="003B6A69">
        <w:rPr>
          <w:rFonts w:cs="Calibri"/>
          <w:bCs/>
          <w:szCs w:val="20"/>
        </w:rPr>
        <w:t xml:space="preserve">The PPG studies revealed no substantive background or detail for developing the specific management plans in response to risks identified in the SESP. However, the SESP review suggested the preparation of an Environmental and Social Management Framework (ESMF) during the project inception stage. Certain elements of an ESMF were incorporated into the SESP and SEP, subject to further </w:t>
      </w:r>
      <w:proofErr w:type="spellStart"/>
      <w:r w:rsidRPr="003B6A69">
        <w:rPr>
          <w:rFonts w:cs="Calibri"/>
          <w:bCs/>
          <w:szCs w:val="20"/>
        </w:rPr>
        <w:t>detalization</w:t>
      </w:r>
      <w:proofErr w:type="spellEnd"/>
      <w:r w:rsidRPr="003B6A69">
        <w:rPr>
          <w:rFonts w:cs="Calibri"/>
          <w:bCs/>
          <w:szCs w:val="20"/>
        </w:rPr>
        <w:t xml:space="preserve"> and planning through an ESMF during the project inception phase. The NIM Implementing Partner will make sure that the detailed management measures for specific risks are proposed in accordance with the existing national law and regulations. UNDP will ensure consistency with UNDP’s SES as part of UNDP’s assurance role in the project. N</w:t>
      </w:r>
      <w:r w:rsidRPr="003B6A69">
        <w:rPr>
          <w:rFonts w:cs="Calibri"/>
          <w:bCs/>
          <w:szCs w:val="20"/>
          <w:lang w:val="en-GB"/>
        </w:rPr>
        <w:t xml:space="preserve">o activities that may have potential adverse impacts on people or the environment will be implemented until relevant environmental and social assessments are conducted and management measures/plans put in place. Related project procedures to ensure these safeguards are in place will be elaborated in the ESMF. </w:t>
      </w:r>
      <w:r w:rsidR="00BA45E9" w:rsidRPr="003B6A69">
        <w:rPr>
          <w:rFonts w:cs="Calibri"/>
          <w:bCs/>
          <w:szCs w:val="20"/>
        </w:rPr>
        <w:t xml:space="preserve">UNDP will make sure that draft ESMF is available prior to signature of the project Document to provide the assurance that the </w:t>
      </w:r>
      <w:proofErr w:type="gramStart"/>
      <w:r w:rsidR="00BA45E9" w:rsidRPr="003B6A69">
        <w:rPr>
          <w:rFonts w:cs="Calibri"/>
          <w:bCs/>
          <w:szCs w:val="20"/>
        </w:rPr>
        <w:t>project  will</w:t>
      </w:r>
      <w:proofErr w:type="gramEnd"/>
      <w:r w:rsidR="00BA45E9" w:rsidRPr="003B6A69">
        <w:rPr>
          <w:rFonts w:cs="Calibri"/>
          <w:bCs/>
          <w:szCs w:val="20"/>
        </w:rPr>
        <w:t xml:space="preserve"> be implemented consistent with the UNDP SES. </w:t>
      </w:r>
      <w:r w:rsidRPr="003B6A69">
        <w:rPr>
          <w:rFonts w:cs="Calibri"/>
          <w:bCs/>
          <w:szCs w:val="20"/>
          <w:lang w:val="en-GB"/>
        </w:rPr>
        <w:t>Preparation of ESMF is considered as a priority capacity-building exercise that would require the close engagement of both UNDP and the NIM Implementing Partner as the project will be testing full NIM implementation modality for the first time in the country practice.</w:t>
      </w:r>
    </w:p>
    <w:p w14:paraId="5EABB1CB" w14:textId="77777777" w:rsidR="005716FD" w:rsidRPr="003B6A69" w:rsidRDefault="005716FD" w:rsidP="005403A7">
      <w:pPr>
        <w:rPr>
          <w:u w:val="single"/>
          <w:lang w:val="en-GB"/>
        </w:rPr>
      </w:pPr>
    </w:p>
    <w:p w14:paraId="7D89F9F0" w14:textId="44DF5A9A" w:rsidR="00BC02A0" w:rsidRPr="003B6A69" w:rsidRDefault="00904403" w:rsidP="00B24DF3">
      <w:pPr>
        <w:pStyle w:val="Heading2"/>
        <w:rPr>
          <w:lang w:val="en-GB"/>
        </w:rPr>
      </w:pPr>
      <w:bookmarkStart w:id="47" w:name="_Toc82018263"/>
      <w:r w:rsidRPr="003B6A69">
        <w:rPr>
          <w:lang w:val="en-GB"/>
        </w:rPr>
        <w:t>3</w:t>
      </w:r>
      <w:r w:rsidR="00105B25" w:rsidRPr="003B6A69">
        <w:rPr>
          <w:lang w:val="en-GB"/>
        </w:rPr>
        <w:t>.</w:t>
      </w:r>
      <w:r w:rsidR="006D4080" w:rsidRPr="003B6A69">
        <w:rPr>
          <w:lang w:val="en-GB"/>
        </w:rPr>
        <w:t>5</w:t>
      </w:r>
      <w:r w:rsidRPr="003B6A69">
        <w:rPr>
          <w:lang w:val="en-GB"/>
        </w:rPr>
        <w:t xml:space="preserve"> </w:t>
      </w:r>
      <w:r w:rsidR="00EB2DAC" w:rsidRPr="003B6A69">
        <w:rPr>
          <w:lang w:val="en-GB"/>
        </w:rPr>
        <w:t xml:space="preserve">Innovativeness, </w:t>
      </w:r>
      <w:proofErr w:type="gramStart"/>
      <w:r w:rsidR="00EB2DAC" w:rsidRPr="003B6A69">
        <w:rPr>
          <w:lang w:val="en-GB"/>
        </w:rPr>
        <w:t>sustainability</w:t>
      </w:r>
      <w:proofErr w:type="gramEnd"/>
      <w:r w:rsidR="00EB2DAC" w:rsidRPr="003B6A69">
        <w:rPr>
          <w:lang w:val="en-GB"/>
        </w:rPr>
        <w:t xml:space="preserve"> and potential for scaling up</w:t>
      </w:r>
      <w:bookmarkEnd w:id="47"/>
    </w:p>
    <w:p w14:paraId="3E17B392" w14:textId="77777777" w:rsidR="005403A7" w:rsidRPr="003B6A69" w:rsidRDefault="005403A7" w:rsidP="003C6B7B">
      <w:pPr>
        <w:numPr>
          <w:ilvl w:val="0"/>
          <w:numId w:val="41"/>
        </w:numPr>
        <w:tabs>
          <w:tab w:val="left" w:pos="426"/>
        </w:tabs>
        <w:spacing w:after="120"/>
        <w:ind w:left="0" w:firstLine="0"/>
        <w:rPr>
          <w:rFonts w:cs="Calibri"/>
          <w:bCs/>
          <w:szCs w:val="20"/>
          <w:u w:val="single"/>
          <w:lang w:val="en-GB"/>
        </w:rPr>
      </w:pPr>
      <w:r w:rsidRPr="003B6A69">
        <w:rPr>
          <w:rFonts w:cs="Calibri"/>
          <w:bCs/>
          <w:szCs w:val="20"/>
          <w:u w:val="single"/>
          <w:lang w:val="en-GB"/>
        </w:rPr>
        <w:t>Innovativeness</w:t>
      </w:r>
      <w:r w:rsidRPr="003B6A69">
        <w:rPr>
          <w:rFonts w:cs="Calibri"/>
          <w:bCs/>
          <w:szCs w:val="20"/>
          <w:lang w:val="en-GB"/>
        </w:rPr>
        <w:t xml:space="preserve">. </w:t>
      </w:r>
    </w:p>
    <w:p w14:paraId="2E50CB2C" w14:textId="77777777" w:rsidR="005403A7" w:rsidRPr="003B6A69" w:rsidRDefault="005403A7" w:rsidP="005403A7">
      <w:pPr>
        <w:tabs>
          <w:tab w:val="left" w:pos="426"/>
        </w:tabs>
        <w:spacing w:after="120"/>
        <w:rPr>
          <w:rFonts w:cs="Calibri"/>
          <w:bCs/>
          <w:szCs w:val="20"/>
          <w:lang w:val="en-GB"/>
        </w:rPr>
      </w:pPr>
      <w:r w:rsidRPr="003B6A69">
        <w:rPr>
          <w:rFonts w:cs="Calibri"/>
          <w:bCs/>
          <w:szCs w:val="20"/>
          <w:lang w:val="en-GB"/>
        </w:rPr>
        <w:t xml:space="preserve">The project will assist the PA management authorities with the innovative management planning that will </w:t>
      </w:r>
      <w:proofErr w:type="gramStart"/>
      <w:r w:rsidRPr="003B6A69">
        <w:rPr>
          <w:rFonts w:cs="Calibri"/>
          <w:bCs/>
          <w:szCs w:val="20"/>
          <w:lang w:val="en-GB"/>
        </w:rPr>
        <w:t>take into account</w:t>
      </w:r>
      <w:proofErr w:type="gramEnd"/>
      <w:r w:rsidRPr="003B6A69">
        <w:rPr>
          <w:rFonts w:cs="Calibri"/>
          <w:bCs/>
          <w:szCs w:val="20"/>
          <w:lang w:val="en-GB"/>
        </w:rPr>
        <w:t xml:space="preserve"> the international requirements for global nominations (UNESCO, Ramsar) and offer customized management planning options for lower category PAs, to be adopted for the first time in the national PA system. </w:t>
      </w:r>
      <w:proofErr w:type="gramStart"/>
      <w:r w:rsidRPr="003B6A69">
        <w:rPr>
          <w:rFonts w:cs="Calibri"/>
          <w:bCs/>
          <w:szCs w:val="20"/>
          <w:lang w:val="en-GB"/>
        </w:rPr>
        <w:t>Also</w:t>
      </w:r>
      <w:proofErr w:type="gramEnd"/>
      <w:r w:rsidRPr="003B6A69">
        <w:rPr>
          <w:rFonts w:cs="Calibri"/>
          <w:bCs/>
          <w:szCs w:val="20"/>
          <w:lang w:val="en-GB"/>
        </w:rPr>
        <w:t xml:space="preserve"> for the first time in the country the PA management planning will take into consideration the climate change-induced threats to the PA values.</w:t>
      </w:r>
    </w:p>
    <w:p w14:paraId="6C8F165F" w14:textId="15A6C9FA" w:rsidR="005403A7" w:rsidRPr="003B6A69" w:rsidRDefault="005403A7" w:rsidP="005403A7">
      <w:pPr>
        <w:tabs>
          <w:tab w:val="left" w:pos="426"/>
        </w:tabs>
        <w:spacing w:after="120"/>
        <w:rPr>
          <w:rFonts w:cs="Calibri"/>
          <w:bCs/>
          <w:szCs w:val="20"/>
          <w:lang w:val="en-GB"/>
        </w:rPr>
      </w:pPr>
      <w:r w:rsidRPr="003B6A69">
        <w:rPr>
          <w:rFonts w:cs="Calibri"/>
          <w:bCs/>
          <w:szCs w:val="20"/>
          <w:lang w:val="en-GB"/>
        </w:rPr>
        <w:t>The biodiversity mainstreaming into the Spatial Plan of Montenegro will become an unprecedent</w:t>
      </w:r>
      <w:r w:rsidR="00070251" w:rsidRPr="003B6A69">
        <w:rPr>
          <w:rFonts w:cs="Calibri"/>
          <w:bCs/>
          <w:szCs w:val="20"/>
          <w:lang w:val="en-GB"/>
        </w:rPr>
        <w:t>ed</w:t>
      </w:r>
      <w:r w:rsidRPr="003B6A69">
        <w:rPr>
          <w:rFonts w:cs="Calibri"/>
          <w:bCs/>
          <w:szCs w:val="20"/>
          <w:lang w:val="en-GB"/>
        </w:rPr>
        <w:t xml:space="preserve"> effort of this scale for the country. Another equally important increment would be for this project to come up with and test management options for BD conservation outside PAs, based on the applicable best practice in the region. </w:t>
      </w:r>
    </w:p>
    <w:p w14:paraId="485A2DFA" w14:textId="3A9F4254" w:rsidR="005403A7" w:rsidRPr="003B6A69" w:rsidRDefault="005403A7" w:rsidP="005403A7">
      <w:pPr>
        <w:tabs>
          <w:tab w:val="left" w:pos="426"/>
        </w:tabs>
        <w:spacing w:after="120"/>
        <w:rPr>
          <w:rFonts w:cs="Calibri"/>
          <w:bCs/>
          <w:szCs w:val="20"/>
          <w:lang w:val="en-GB"/>
        </w:rPr>
      </w:pPr>
      <w:r w:rsidRPr="003B6A69">
        <w:rPr>
          <w:rFonts w:cs="Calibri"/>
          <w:bCs/>
          <w:szCs w:val="20"/>
          <w:lang w:val="en-GB"/>
        </w:rPr>
        <w:t xml:space="preserve">The project </w:t>
      </w:r>
      <w:proofErr w:type="spellStart"/>
      <w:r w:rsidR="00070251" w:rsidRPr="003B6A69">
        <w:rPr>
          <w:rFonts w:cs="Calibri"/>
          <w:bCs/>
          <w:szCs w:val="20"/>
          <w:lang w:val="en-GB"/>
        </w:rPr>
        <w:t>endeavors</w:t>
      </w:r>
      <w:proofErr w:type="spellEnd"/>
      <w:r w:rsidR="00070251" w:rsidRPr="003B6A69">
        <w:rPr>
          <w:rFonts w:cs="Calibri"/>
          <w:bCs/>
          <w:szCs w:val="20"/>
          <w:lang w:val="en-GB"/>
        </w:rPr>
        <w:t xml:space="preserve"> to</w:t>
      </w:r>
      <w:r w:rsidRPr="003B6A69">
        <w:rPr>
          <w:rFonts w:cs="Calibri"/>
          <w:bCs/>
          <w:szCs w:val="20"/>
          <w:lang w:val="en-GB"/>
        </w:rPr>
        <w:t xml:space="preserve"> offer new part</w:t>
      </w:r>
      <w:r w:rsidR="00070251" w:rsidRPr="003B6A69">
        <w:rPr>
          <w:rFonts w:cs="Calibri"/>
          <w:bCs/>
          <w:szCs w:val="20"/>
          <w:lang w:val="en-GB"/>
        </w:rPr>
        <w:t>n</w:t>
      </w:r>
      <w:r w:rsidRPr="003B6A69">
        <w:rPr>
          <w:rFonts w:cs="Calibri"/>
          <w:bCs/>
          <w:szCs w:val="20"/>
          <w:lang w:val="en-GB"/>
        </w:rPr>
        <w:t>ership models involving big tourism busines</w:t>
      </w:r>
      <w:r w:rsidR="00070251" w:rsidRPr="003B6A69">
        <w:rPr>
          <w:rFonts w:cs="Calibri"/>
          <w:bCs/>
          <w:szCs w:val="20"/>
          <w:lang w:val="en-GB"/>
        </w:rPr>
        <w:t>se</w:t>
      </w:r>
      <w:r w:rsidRPr="003B6A69">
        <w:rPr>
          <w:rFonts w:cs="Calibri"/>
          <w:bCs/>
          <w:szCs w:val="20"/>
          <w:lang w:val="en-GB"/>
        </w:rPr>
        <w:t xml:space="preserve">s into the BD conservation agenda for the targeted biodiversity </w:t>
      </w:r>
      <w:proofErr w:type="gramStart"/>
      <w:r w:rsidRPr="003B6A69">
        <w:rPr>
          <w:rFonts w:cs="Calibri"/>
          <w:bCs/>
          <w:szCs w:val="20"/>
          <w:lang w:val="en-GB"/>
        </w:rPr>
        <w:t>hot-spots</w:t>
      </w:r>
      <w:proofErr w:type="gramEnd"/>
      <w:r w:rsidRPr="003B6A69">
        <w:rPr>
          <w:rFonts w:cs="Calibri"/>
          <w:bCs/>
          <w:szCs w:val="20"/>
          <w:lang w:val="en-GB"/>
        </w:rPr>
        <w:t xml:space="preserve">. </w:t>
      </w:r>
    </w:p>
    <w:p w14:paraId="46A2A636" w14:textId="77777777" w:rsidR="005403A7" w:rsidRPr="003B6A69" w:rsidRDefault="005403A7" w:rsidP="005403A7">
      <w:pPr>
        <w:tabs>
          <w:tab w:val="left" w:pos="426"/>
        </w:tabs>
        <w:spacing w:after="120"/>
        <w:rPr>
          <w:rFonts w:cs="Calibri"/>
          <w:bCs/>
          <w:szCs w:val="20"/>
          <w:lang w:val="en-GB"/>
        </w:rPr>
      </w:pPr>
      <w:r w:rsidRPr="003B6A69">
        <w:rPr>
          <w:rFonts w:cs="Calibri"/>
          <w:bCs/>
          <w:szCs w:val="20"/>
          <w:lang w:val="en-GB"/>
        </w:rPr>
        <w:t xml:space="preserve">The project will provide for PA integration into sustainable tourism development and develop sustainable finance models for low-level PAs in the country. </w:t>
      </w:r>
    </w:p>
    <w:p w14:paraId="68CF5003" w14:textId="77777777" w:rsidR="005403A7" w:rsidRPr="003B6A69" w:rsidRDefault="005403A7" w:rsidP="005403A7">
      <w:pPr>
        <w:tabs>
          <w:tab w:val="left" w:pos="426"/>
        </w:tabs>
        <w:spacing w:after="120"/>
        <w:rPr>
          <w:rFonts w:cs="Calibri"/>
          <w:bCs/>
          <w:szCs w:val="20"/>
          <w:lang w:val="en-GB"/>
        </w:rPr>
      </w:pPr>
      <w:r w:rsidRPr="003B6A69">
        <w:rPr>
          <w:rFonts w:cs="Calibri"/>
          <w:bCs/>
          <w:szCs w:val="20"/>
          <w:lang w:val="en-GB"/>
        </w:rPr>
        <w:t xml:space="preserve">The UNDP-GEF project will support the Government and the private forest owners with improved biodiversity-sensitive management of the private forests, and broader testing of the private </w:t>
      </w:r>
      <w:proofErr w:type="gramStart"/>
      <w:r w:rsidRPr="003B6A69">
        <w:rPr>
          <w:rFonts w:cs="Calibri"/>
          <w:bCs/>
          <w:szCs w:val="20"/>
          <w:lang w:val="en-GB"/>
        </w:rPr>
        <w:t>incentives</w:t>
      </w:r>
      <w:proofErr w:type="gramEnd"/>
      <w:r w:rsidRPr="003B6A69">
        <w:rPr>
          <w:rFonts w:cs="Calibri"/>
          <w:bCs/>
          <w:szCs w:val="20"/>
          <w:lang w:val="en-GB"/>
        </w:rPr>
        <w:t xml:space="preserve"> models. The project will support establishment of a system of incentives for biodiversity-positive forest owners including services such as free-of-charge forest management planning and subsidies for re-forestation and sylviculture.  </w:t>
      </w:r>
    </w:p>
    <w:p w14:paraId="743D8098" w14:textId="124CDBC7" w:rsidR="005403A7" w:rsidRPr="003B6A69" w:rsidRDefault="005403A7" w:rsidP="005403A7">
      <w:pPr>
        <w:tabs>
          <w:tab w:val="left" w:pos="426"/>
        </w:tabs>
        <w:spacing w:after="120"/>
        <w:rPr>
          <w:rFonts w:cs="Calibri"/>
          <w:bCs/>
          <w:szCs w:val="20"/>
          <w:lang w:val="en-GB"/>
        </w:rPr>
      </w:pPr>
      <w:r w:rsidRPr="003B6A69">
        <w:rPr>
          <w:rFonts w:cs="Calibri"/>
          <w:bCs/>
          <w:szCs w:val="20"/>
        </w:rPr>
        <w:t xml:space="preserve">The project will help changing the concept of forestry plot management for private forest owners. The baseline management planning for privately owned forests has a primary objective of justifying higher cutting volumes. The project would </w:t>
      </w:r>
      <w:r w:rsidRPr="003B6A69">
        <w:rPr>
          <w:rFonts w:cs="Calibri"/>
          <w:bCs/>
          <w:szCs w:val="20"/>
        </w:rPr>
        <w:lastRenderedPageBreak/>
        <w:t>endeavor changing the attitude and demonstrate an innovative, comprehensive</w:t>
      </w:r>
      <w:r w:rsidR="00070251" w:rsidRPr="003B6A69">
        <w:rPr>
          <w:rFonts w:cs="Calibri"/>
          <w:bCs/>
          <w:szCs w:val="20"/>
        </w:rPr>
        <w:t>,</w:t>
      </w:r>
      <w:r w:rsidRPr="003B6A69">
        <w:rPr>
          <w:rFonts w:cs="Calibri"/>
          <w:bCs/>
          <w:szCs w:val="20"/>
        </w:rPr>
        <w:t xml:space="preserve"> and biodiversity-sensitive approach to management and business planning for privately owned forests. The plot selected for piloting innovative management planning </w:t>
      </w:r>
      <w:proofErr w:type="gramStart"/>
      <w:r w:rsidRPr="003B6A69">
        <w:rPr>
          <w:rFonts w:cs="Calibri"/>
          <w:bCs/>
          <w:szCs w:val="20"/>
        </w:rPr>
        <w:t>is located in</w:t>
      </w:r>
      <w:proofErr w:type="gramEnd"/>
      <w:r w:rsidRPr="003B6A69">
        <w:rPr>
          <w:rFonts w:cs="Calibri"/>
          <w:bCs/>
          <w:szCs w:val="20"/>
        </w:rPr>
        <w:t xml:space="preserve"> the coastal zone of Montenegro that is most vulnerable to CC effects and specifically forest fires. </w:t>
      </w:r>
    </w:p>
    <w:p w14:paraId="767B2A92" w14:textId="77777777" w:rsidR="005403A7" w:rsidRPr="003B6A69" w:rsidRDefault="005403A7" w:rsidP="005403A7">
      <w:pPr>
        <w:tabs>
          <w:tab w:val="left" w:pos="426"/>
        </w:tabs>
        <w:spacing w:after="120"/>
        <w:rPr>
          <w:rFonts w:cs="Calibri"/>
          <w:bCs/>
          <w:szCs w:val="20"/>
          <w:lang w:val="en-GB"/>
        </w:rPr>
      </w:pPr>
      <w:r w:rsidRPr="003B6A69">
        <w:rPr>
          <w:rFonts w:cs="Calibri"/>
          <w:bCs/>
          <w:szCs w:val="20"/>
          <w:lang w:val="en-GB"/>
        </w:rPr>
        <w:t>For the agricultural component, the project will support the Government with the introduction of incentives to support agricultural practices promoting sustainable use of valuable agricultural land.</w:t>
      </w:r>
    </w:p>
    <w:p w14:paraId="6E1D1DD8" w14:textId="77777777" w:rsidR="005403A7" w:rsidRPr="003B6A69" w:rsidRDefault="005403A7" w:rsidP="003C6B7B">
      <w:pPr>
        <w:numPr>
          <w:ilvl w:val="0"/>
          <w:numId w:val="41"/>
        </w:numPr>
        <w:tabs>
          <w:tab w:val="left" w:pos="426"/>
        </w:tabs>
        <w:spacing w:after="120"/>
        <w:ind w:left="0" w:firstLine="0"/>
        <w:rPr>
          <w:rFonts w:cs="Calibri"/>
          <w:bCs/>
          <w:szCs w:val="20"/>
          <w:lang w:val="en-GB"/>
        </w:rPr>
      </w:pPr>
      <w:r w:rsidRPr="003B6A69">
        <w:rPr>
          <w:rFonts w:cs="Calibri"/>
          <w:bCs/>
          <w:szCs w:val="20"/>
          <w:u w:val="single"/>
          <w:lang w:val="en-GB"/>
        </w:rPr>
        <w:t xml:space="preserve">Sustainability. </w:t>
      </w:r>
    </w:p>
    <w:p w14:paraId="6E0EDC94" w14:textId="4B672F78" w:rsidR="005403A7" w:rsidRPr="003B6A69" w:rsidRDefault="005403A7" w:rsidP="005403A7">
      <w:pPr>
        <w:tabs>
          <w:tab w:val="left" w:pos="426"/>
        </w:tabs>
        <w:spacing w:after="120"/>
        <w:rPr>
          <w:rFonts w:cs="Calibri"/>
          <w:bCs/>
          <w:szCs w:val="20"/>
          <w:lang w:val="en-GB"/>
        </w:rPr>
      </w:pPr>
      <w:r w:rsidRPr="003B6A69">
        <w:rPr>
          <w:rFonts w:cs="Calibri"/>
          <w:bCs/>
          <w:szCs w:val="20"/>
          <w:lang w:val="en-GB"/>
        </w:rPr>
        <w:t xml:space="preserve">The proposed project interventions will be incremental to the baseline PA management scenarios in the country and will be implemented in collaboration and synergy with the sectoral authorities and institutions. The project intervention strategy will ensure early buy-in and ownership at the level of individual PAs and key stakeholders, for the interventions that will create long term effects such as innovative PA management planning, the spatial planning framework ensuring </w:t>
      </w:r>
      <w:r w:rsidR="00070251" w:rsidRPr="003B6A69">
        <w:rPr>
          <w:rFonts w:cs="Calibri"/>
          <w:bCs/>
          <w:szCs w:val="20"/>
          <w:lang w:val="en-GB"/>
        </w:rPr>
        <w:t xml:space="preserve">the </w:t>
      </w:r>
      <w:r w:rsidRPr="003B6A69">
        <w:rPr>
          <w:rFonts w:cs="Calibri"/>
          <w:bCs/>
          <w:szCs w:val="20"/>
          <w:lang w:val="en-GB"/>
        </w:rPr>
        <w:t>sustainability of biodiversity protection outside PAs, and private sector engagement mechanisms and models. The project efforts at enhanced PA visibility, promotion of PA value and content in sustainable tourism development will be sustained and scaled up by the relevant authorities and partner initiatives.</w:t>
      </w:r>
    </w:p>
    <w:p w14:paraId="4B31165F" w14:textId="7CDF0DE5" w:rsidR="005403A7" w:rsidRPr="003B6A69" w:rsidRDefault="005403A7" w:rsidP="005403A7">
      <w:pPr>
        <w:tabs>
          <w:tab w:val="left" w:pos="426"/>
        </w:tabs>
        <w:spacing w:after="120"/>
        <w:rPr>
          <w:rFonts w:cs="Calibri"/>
          <w:bCs/>
          <w:szCs w:val="20"/>
          <w:lang w:val="en-GB"/>
        </w:rPr>
      </w:pPr>
      <w:r w:rsidRPr="003B6A69">
        <w:rPr>
          <w:rFonts w:cs="Calibri"/>
          <w:bCs/>
          <w:szCs w:val="20"/>
          <w:lang w:val="en-GB"/>
        </w:rPr>
        <w:t xml:space="preserve">The project is designed to be sustainable in two ways: 1) it focuses on strengthening and utilizing the capacity of existing institutions; and 2) it creates new resources and capacities that will form an increment to the existing baseline. With respect to promoting environmental and </w:t>
      </w:r>
      <w:proofErr w:type="gramStart"/>
      <w:r w:rsidRPr="003B6A69">
        <w:rPr>
          <w:rFonts w:cs="Calibri"/>
          <w:bCs/>
          <w:szCs w:val="20"/>
          <w:lang w:val="en-GB"/>
        </w:rPr>
        <w:t>PAs</w:t>
      </w:r>
      <w:proofErr w:type="gramEnd"/>
      <w:r w:rsidRPr="003B6A69">
        <w:rPr>
          <w:rFonts w:cs="Calibri"/>
          <w:bCs/>
          <w:szCs w:val="20"/>
          <w:lang w:val="en-GB"/>
        </w:rPr>
        <w:t xml:space="preserve"> sustainability, this is fundamentally embedded within the learning-by-doing project approach.  In so doing, the project will engage as many of the relevant project stakeholders to think critically about new and alternative approaches, or to scale up successful models from the country or abroad. In this manner, one of the expected results is enhanced cooperation and information exchange that will result in continuous use and build</w:t>
      </w:r>
      <w:r w:rsidR="00070251" w:rsidRPr="003B6A69">
        <w:rPr>
          <w:rFonts w:cs="Calibri"/>
          <w:bCs/>
          <w:szCs w:val="20"/>
          <w:lang w:val="en-GB"/>
        </w:rPr>
        <w:t>-</w:t>
      </w:r>
      <w:r w:rsidRPr="003B6A69">
        <w:rPr>
          <w:rFonts w:cs="Calibri"/>
          <w:bCs/>
          <w:szCs w:val="20"/>
          <w:lang w:val="en-GB"/>
        </w:rPr>
        <w:t xml:space="preserve">up of project results. </w:t>
      </w:r>
    </w:p>
    <w:p w14:paraId="3534170D" w14:textId="1425151D" w:rsidR="005403A7" w:rsidRPr="003B6A69" w:rsidRDefault="005403A7" w:rsidP="005403A7">
      <w:pPr>
        <w:tabs>
          <w:tab w:val="left" w:pos="426"/>
        </w:tabs>
        <w:spacing w:after="120"/>
        <w:rPr>
          <w:rFonts w:cs="Calibri"/>
          <w:bCs/>
          <w:szCs w:val="20"/>
          <w:lang w:val="en-GB"/>
        </w:rPr>
      </w:pPr>
      <w:r w:rsidRPr="003B6A69">
        <w:rPr>
          <w:rFonts w:cs="Calibri"/>
          <w:bCs/>
          <w:szCs w:val="20"/>
          <w:lang w:val="en-GB"/>
        </w:rPr>
        <w:t>One key sustainability element for the project is its engagement in the mainstream sustainable development planning via its direct support for the preparation of the new Spatial Plan of Montenegro and the General Regulation Plan. The project will be built into the existing baseline and bring in the best practice from the region, thus enabling the key governmental stakeholders to gain a better appreciation of new and innovative development approaches for meeting environmental sustainability criteria.</w:t>
      </w:r>
    </w:p>
    <w:p w14:paraId="2A650DB7" w14:textId="77777777" w:rsidR="005403A7" w:rsidRPr="003B6A69" w:rsidRDefault="005403A7" w:rsidP="003C6B7B">
      <w:pPr>
        <w:numPr>
          <w:ilvl w:val="0"/>
          <w:numId w:val="41"/>
        </w:numPr>
        <w:tabs>
          <w:tab w:val="left" w:pos="426"/>
        </w:tabs>
        <w:spacing w:after="120"/>
        <w:ind w:left="0" w:firstLine="0"/>
        <w:rPr>
          <w:rFonts w:cs="Calibri"/>
          <w:bCs/>
          <w:szCs w:val="20"/>
          <w:lang w:val="en-GB"/>
        </w:rPr>
      </w:pPr>
      <w:r w:rsidRPr="003B6A69">
        <w:rPr>
          <w:rFonts w:cs="Calibri"/>
          <w:bCs/>
          <w:szCs w:val="20"/>
          <w:u w:val="single"/>
          <w:lang w:val="en-GB"/>
        </w:rPr>
        <w:t>Replication and potential for scaling up</w:t>
      </w:r>
      <w:r w:rsidRPr="003B6A69">
        <w:rPr>
          <w:rFonts w:cs="Calibri"/>
          <w:bCs/>
          <w:szCs w:val="20"/>
          <w:lang w:val="en-GB"/>
        </w:rPr>
        <w:t xml:space="preserve">. </w:t>
      </w:r>
    </w:p>
    <w:p w14:paraId="01CBDD9B" w14:textId="77777777" w:rsidR="005403A7" w:rsidRPr="003B6A69" w:rsidRDefault="005403A7" w:rsidP="005403A7">
      <w:pPr>
        <w:tabs>
          <w:tab w:val="left" w:pos="426"/>
        </w:tabs>
        <w:spacing w:after="120"/>
        <w:rPr>
          <w:rFonts w:cs="Calibri"/>
          <w:bCs/>
          <w:szCs w:val="20"/>
          <w:lang w:val="en-GB"/>
        </w:rPr>
      </w:pPr>
      <w:r w:rsidRPr="003B6A69">
        <w:rPr>
          <w:rFonts w:cs="Calibri"/>
          <w:bCs/>
          <w:szCs w:val="20"/>
          <w:lang w:val="en-GB"/>
        </w:rPr>
        <w:t xml:space="preserve">By piloting a Comprehensive Protection study justifying an upgrade of the </w:t>
      </w:r>
      <w:proofErr w:type="spellStart"/>
      <w:r w:rsidRPr="003B6A69">
        <w:rPr>
          <w:rFonts w:cs="Calibri"/>
          <w:bCs/>
          <w:szCs w:val="20"/>
          <w:lang w:val="en-GB"/>
        </w:rPr>
        <w:t>Dragisnica-Komarnica</w:t>
      </w:r>
      <w:proofErr w:type="spellEnd"/>
      <w:r w:rsidRPr="003B6A69">
        <w:rPr>
          <w:rFonts w:cs="Calibri"/>
          <w:bCs/>
          <w:szCs w:val="20"/>
          <w:lang w:val="en-GB"/>
        </w:rPr>
        <w:t xml:space="preserve"> Park of Nature to a higher protection status, the project will provide NEPA and MESPUU with a model for further replication to future conservation planning for BD hotspots (that are in the focus of the project Outcome 2).</w:t>
      </w:r>
    </w:p>
    <w:p w14:paraId="050138A9" w14:textId="77777777" w:rsidR="005403A7" w:rsidRPr="003B6A69" w:rsidRDefault="005403A7" w:rsidP="005403A7">
      <w:pPr>
        <w:tabs>
          <w:tab w:val="left" w:pos="426"/>
        </w:tabs>
        <w:spacing w:after="120"/>
        <w:rPr>
          <w:rFonts w:cs="Calibri"/>
          <w:bCs/>
          <w:szCs w:val="20"/>
          <w:lang w:val="en-GB"/>
        </w:rPr>
      </w:pPr>
      <w:r w:rsidRPr="003B6A69">
        <w:rPr>
          <w:rFonts w:cs="Calibri"/>
          <w:bCs/>
          <w:szCs w:val="20"/>
          <w:lang w:val="en-GB"/>
        </w:rPr>
        <w:t>The management capacity strengthening measures for the individual PAs will be applicable to similar PAs in the system, as well as the transboundary PAs in the Dinaric region.</w:t>
      </w:r>
    </w:p>
    <w:p w14:paraId="1AE76B77" w14:textId="77777777" w:rsidR="005403A7" w:rsidRPr="003B6A69" w:rsidRDefault="005403A7" w:rsidP="005403A7">
      <w:pPr>
        <w:tabs>
          <w:tab w:val="left" w:pos="426"/>
        </w:tabs>
        <w:spacing w:after="120"/>
        <w:rPr>
          <w:rFonts w:cs="Calibri"/>
          <w:bCs/>
          <w:szCs w:val="20"/>
          <w:lang w:val="en-GB"/>
        </w:rPr>
      </w:pPr>
      <w:r w:rsidRPr="003B6A69">
        <w:rPr>
          <w:rFonts w:cs="Calibri"/>
          <w:bCs/>
          <w:szCs w:val="20"/>
          <w:lang w:val="en-GB"/>
        </w:rPr>
        <w:t xml:space="preserve">Key solutions for ensuring conservation of biodiversity within KBAs and other biodiversity hot-spots will be available for the regional community for practice as case-studies for possible adoption and replication. </w:t>
      </w:r>
    </w:p>
    <w:p w14:paraId="3B1263F3" w14:textId="2B571C12" w:rsidR="005403A7" w:rsidRPr="003B6A69" w:rsidRDefault="005403A7" w:rsidP="005403A7">
      <w:pPr>
        <w:tabs>
          <w:tab w:val="left" w:pos="426"/>
        </w:tabs>
        <w:spacing w:after="120"/>
        <w:rPr>
          <w:rFonts w:cs="Calibri"/>
          <w:bCs/>
          <w:szCs w:val="20"/>
          <w:lang w:val="en-GB"/>
        </w:rPr>
      </w:pPr>
      <w:r w:rsidRPr="003B6A69">
        <w:rPr>
          <w:rFonts w:cs="Calibri"/>
          <w:bCs/>
          <w:szCs w:val="20"/>
          <w:lang w:val="en-GB"/>
        </w:rPr>
        <w:t xml:space="preserve">One major sustainability element in the project strategy is the incremental input for the new spatial development framework, the Spatial </w:t>
      </w:r>
      <w:proofErr w:type="gramStart"/>
      <w:r w:rsidRPr="003B6A69">
        <w:rPr>
          <w:rFonts w:cs="Calibri"/>
          <w:bCs/>
          <w:szCs w:val="20"/>
          <w:lang w:val="en-GB"/>
        </w:rPr>
        <w:t>Plan</w:t>
      </w:r>
      <w:proofErr w:type="gramEnd"/>
      <w:r w:rsidRPr="003B6A69">
        <w:rPr>
          <w:rFonts w:cs="Calibri"/>
          <w:bCs/>
          <w:szCs w:val="20"/>
          <w:lang w:val="en-GB"/>
        </w:rPr>
        <w:t xml:space="preserve"> and the General Regulations Plan of Montenegro. The GEF investment in the BD research and study of BD values within the unprotected KBAs and other BD hot-spots will be more than justified once the project, in cooperation with the relevant partners, ensures adequate representation and prioriti</w:t>
      </w:r>
      <w:r w:rsidR="00070251" w:rsidRPr="003B6A69">
        <w:rPr>
          <w:rFonts w:cs="Calibri"/>
          <w:bCs/>
          <w:szCs w:val="20"/>
          <w:lang w:val="en-GB"/>
        </w:rPr>
        <w:t>z</w:t>
      </w:r>
      <w:r w:rsidRPr="003B6A69">
        <w:rPr>
          <w:rFonts w:cs="Calibri"/>
          <w:bCs/>
          <w:szCs w:val="20"/>
          <w:lang w:val="en-GB"/>
        </w:rPr>
        <w:t>ation of the BD hot-spots for protection within the national spatial development framework. Introducing/expanding on any conceptual planning related to the conservation/sustainable use corridors in the draft Spatial Plan would be indicative of the project impact at a larger scale tha</w:t>
      </w:r>
      <w:r w:rsidR="00070251" w:rsidRPr="003B6A69">
        <w:rPr>
          <w:rFonts w:cs="Calibri"/>
          <w:bCs/>
          <w:szCs w:val="20"/>
          <w:lang w:val="en-GB"/>
        </w:rPr>
        <w:t>n</w:t>
      </w:r>
      <w:r w:rsidRPr="003B6A69">
        <w:rPr>
          <w:rFonts w:cs="Calibri"/>
          <w:bCs/>
          <w:szCs w:val="20"/>
          <w:lang w:val="en-GB"/>
        </w:rPr>
        <w:t xml:space="preserve"> was initially envisioned.</w:t>
      </w:r>
    </w:p>
    <w:p w14:paraId="4B9146EB" w14:textId="77777777" w:rsidR="005403A7" w:rsidRPr="003B6A69" w:rsidRDefault="005403A7" w:rsidP="005403A7">
      <w:pPr>
        <w:tabs>
          <w:tab w:val="left" w:pos="426"/>
        </w:tabs>
        <w:spacing w:after="120"/>
        <w:rPr>
          <w:rFonts w:cs="Calibri"/>
          <w:bCs/>
          <w:szCs w:val="20"/>
          <w:lang w:val="en-GB"/>
        </w:rPr>
      </w:pPr>
      <w:r w:rsidRPr="003B6A69">
        <w:rPr>
          <w:rFonts w:cs="Calibri"/>
          <w:bCs/>
          <w:szCs w:val="20"/>
          <w:lang w:val="en-GB"/>
        </w:rPr>
        <w:t xml:space="preserve">The project will work on establishing a close relationship with the tourism clusters and the private sector to ensure that PAs are recognized as valuable tourism destinations, providing for their sustained interest in active BD conservation. The project will map relevant regional initiatives and organize a </w:t>
      </w:r>
      <w:proofErr w:type="gramStart"/>
      <w:r w:rsidRPr="003B6A69">
        <w:rPr>
          <w:rFonts w:cs="Calibri"/>
          <w:bCs/>
          <w:szCs w:val="20"/>
          <w:lang w:val="en-GB"/>
        </w:rPr>
        <w:t>lessons</w:t>
      </w:r>
      <w:proofErr w:type="gramEnd"/>
      <w:r w:rsidRPr="003B6A69">
        <w:rPr>
          <w:rFonts w:cs="Calibri"/>
          <w:bCs/>
          <w:szCs w:val="20"/>
          <w:lang w:val="en-GB"/>
        </w:rPr>
        <w:t xml:space="preserve"> learned exchange with them and the transboundary PAs.</w:t>
      </w:r>
    </w:p>
    <w:p w14:paraId="1F5A7B3E" w14:textId="47DCA2A6" w:rsidR="005403A7" w:rsidRPr="003B6A69" w:rsidRDefault="005403A7" w:rsidP="005403A7">
      <w:pPr>
        <w:tabs>
          <w:tab w:val="left" w:pos="426"/>
        </w:tabs>
        <w:spacing w:after="120"/>
        <w:rPr>
          <w:rFonts w:cs="Calibri"/>
          <w:bCs/>
          <w:szCs w:val="20"/>
        </w:rPr>
      </w:pPr>
      <w:r w:rsidRPr="003B6A69">
        <w:rPr>
          <w:rFonts w:cs="Calibri"/>
          <w:bCs/>
          <w:szCs w:val="20"/>
          <w:lang w:val="en-GB"/>
        </w:rPr>
        <w:t xml:space="preserve">The project will support private forest managers with </w:t>
      </w:r>
      <w:r w:rsidR="00070251" w:rsidRPr="003B6A69">
        <w:rPr>
          <w:rFonts w:cs="Calibri"/>
          <w:bCs/>
          <w:szCs w:val="20"/>
          <w:lang w:val="en-GB"/>
        </w:rPr>
        <w:t xml:space="preserve">the </w:t>
      </w:r>
      <w:r w:rsidRPr="003B6A69">
        <w:rPr>
          <w:rFonts w:cs="Calibri"/>
          <w:bCs/>
          <w:szCs w:val="20"/>
          <w:lang w:val="en-GB"/>
        </w:rPr>
        <w:t>development and targeted implementation of the Forest Management Plans, setting out BD-sensitive targets, adaptive management planning and comprehensive reporting.</w:t>
      </w:r>
      <w:r w:rsidRPr="003B6A69">
        <w:rPr>
          <w:rFonts w:cs="Calibri"/>
          <w:bCs/>
          <w:szCs w:val="20"/>
        </w:rPr>
        <w:t xml:space="preserve"> Project experience at a model site will be replicated to other privately owned forestry plots. </w:t>
      </w:r>
    </w:p>
    <w:p w14:paraId="6D36B324" w14:textId="76589869" w:rsidR="005403A7" w:rsidRPr="003B6A69" w:rsidRDefault="005403A7" w:rsidP="005403A7">
      <w:pPr>
        <w:tabs>
          <w:tab w:val="left" w:pos="426"/>
        </w:tabs>
        <w:spacing w:after="120"/>
        <w:rPr>
          <w:rFonts w:cs="Calibri"/>
          <w:bCs/>
          <w:szCs w:val="20"/>
          <w:lang w:val="en-GB"/>
        </w:rPr>
      </w:pPr>
      <w:r w:rsidRPr="003B6A69">
        <w:rPr>
          <w:rFonts w:cs="Calibri"/>
          <w:bCs/>
          <w:szCs w:val="20"/>
          <w:lang w:val="en-GB"/>
        </w:rPr>
        <w:t xml:space="preserve">Once the enabling environment for </w:t>
      </w:r>
      <w:r w:rsidR="00070251" w:rsidRPr="003B6A69">
        <w:rPr>
          <w:rFonts w:cs="Calibri"/>
          <w:bCs/>
          <w:szCs w:val="20"/>
          <w:lang w:val="en-GB"/>
        </w:rPr>
        <w:t xml:space="preserve">the </w:t>
      </w:r>
      <w:r w:rsidRPr="003B6A69">
        <w:rPr>
          <w:rFonts w:cs="Calibri"/>
          <w:bCs/>
          <w:szCs w:val="20"/>
          <w:lang w:val="en-GB"/>
        </w:rPr>
        <w:t xml:space="preserve">introduction of incentives for “green” small-scale farming is in place, this will be widely replicable for the businesses supporting agricultural practices with the aim of restoring, </w:t>
      </w:r>
      <w:proofErr w:type="gramStart"/>
      <w:r w:rsidRPr="003B6A69">
        <w:rPr>
          <w:rFonts w:cs="Calibri"/>
          <w:bCs/>
          <w:szCs w:val="20"/>
          <w:lang w:val="en-GB"/>
        </w:rPr>
        <w:t>preserving</w:t>
      </w:r>
      <w:proofErr w:type="gramEnd"/>
      <w:r w:rsidRPr="003B6A69">
        <w:rPr>
          <w:rFonts w:cs="Calibri"/>
          <w:bCs/>
          <w:szCs w:val="20"/>
          <w:lang w:val="en-GB"/>
        </w:rPr>
        <w:t xml:space="preserve"> and promoting sustainable use of valuable agricultural land.</w:t>
      </w:r>
    </w:p>
    <w:p w14:paraId="46DBC7C9" w14:textId="698C46D4" w:rsidR="00CF43C6" w:rsidRPr="003B6A69" w:rsidRDefault="00904403" w:rsidP="00B24DF3">
      <w:pPr>
        <w:pStyle w:val="Heading2"/>
        <w:rPr>
          <w:lang w:val="en-GB"/>
        </w:rPr>
      </w:pPr>
      <w:bookmarkStart w:id="48" w:name="_Toc82018264"/>
      <w:bookmarkStart w:id="49" w:name="_Toc207800912"/>
      <w:r w:rsidRPr="003B6A69">
        <w:rPr>
          <w:lang w:val="en-GB"/>
        </w:rPr>
        <w:lastRenderedPageBreak/>
        <w:t>3.</w:t>
      </w:r>
      <w:r w:rsidR="006D4080" w:rsidRPr="003B6A69">
        <w:rPr>
          <w:lang w:val="en-GB"/>
        </w:rPr>
        <w:t>6</w:t>
      </w:r>
      <w:r w:rsidR="008D0E9A" w:rsidRPr="003B6A69">
        <w:rPr>
          <w:lang w:val="en-GB"/>
        </w:rPr>
        <w:t xml:space="preserve"> </w:t>
      </w:r>
      <w:r w:rsidR="007D3644" w:rsidRPr="003B6A69">
        <w:rPr>
          <w:lang w:val="en-GB"/>
        </w:rPr>
        <w:t xml:space="preserve">Knowledge </w:t>
      </w:r>
      <w:r w:rsidR="00C10011" w:rsidRPr="003B6A69">
        <w:rPr>
          <w:lang w:val="en-GB"/>
        </w:rPr>
        <w:t>m</w:t>
      </w:r>
      <w:r w:rsidR="007D3644" w:rsidRPr="003B6A69">
        <w:rPr>
          <w:lang w:val="en-GB"/>
        </w:rPr>
        <w:t>anagement</w:t>
      </w:r>
      <w:bookmarkEnd w:id="48"/>
    </w:p>
    <w:p w14:paraId="7857AD8D" w14:textId="7508C2C4" w:rsidR="007D3644" w:rsidRPr="003B6A69" w:rsidRDefault="00170ABB" w:rsidP="003C6B7B">
      <w:pPr>
        <w:pStyle w:val="Header"/>
        <w:numPr>
          <w:ilvl w:val="0"/>
          <w:numId w:val="41"/>
        </w:numPr>
        <w:tabs>
          <w:tab w:val="clear" w:pos="4153"/>
          <w:tab w:val="clear" w:pos="8306"/>
          <w:tab w:val="left" w:pos="426"/>
        </w:tabs>
        <w:spacing w:after="120"/>
        <w:ind w:left="0" w:firstLine="0"/>
        <w:rPr>
          <w:rFonts w:cs="Calibri"/>
          <w:bCs/>
          <w:lang w:val="en-GB"/>
        </w:rPr>
      </w:pPr>
      <w:r w:rsidRPr="003B6A69">
        <w:rPr>
          <w:lang w:val="en-GB"/>
        </w:rPr>
        <w:t xml:space="preserve">The project team will ensure </w:t>
      </w:r>
      <w:r w:rsidR="00070251" w:rsidRPr="003B6A69">
        <w:rPr>
          <w:lang w:val="en-GB"/>
        </w:rPr>
        <w:t xml:space="preserve">the </w:t>
      </w:r>
      <w:r w:rsidRPr="003B6A69">
        <w:rPr>
          <w:lang w:val="en-GB"/>
        </w:rPr>
        <w:t>extraction and dissemination of lessons learned and good practices to enable adaptive management and upscaling or replication at local and global scales. Results will be disseminated to targeted audiences through relevant information sharing fora and networks. The project will contribute to scientific, policy-based and/or any other networks as appropriate (</w:t>
      </w:r>
      <w:proofErr w:type="gramStart"/>
      <w:r w:rsidRPr="003B6A69">
        <w:rPr>
          <w:lang w:val="en-GB"/>
        </w:rPr>
        <w:t>e.g.</w:t>
      </w:r>
      <w:proofErr w:type="gramEnd"/>
      <w:r w:rsidRPr="003B6A69">
        <w:rPr>
          <w:lang w:val="en-GB"/>
        </w:rPr>
        <w:t xml:space="preserve"> by providing content, and/or enabling </w:t>
      </w:r>
      <w:r w:rsidR="00070251" w:rsidRPr="003B6A69">
        <w:rPr>
          <w:lang w:val="en-GB"/>
        </w:rPr>
        <w:t xml:space="preserve">the </w:t>
      </w:r>
      <w:r w:rsidRPr="003B6A69">
        <w:rPr>
          <w:lang w:val="en-GB"/>
        </w:rPr>
        <w:t>participation of stakeholders/beneficiaries)</w:t>
      </w:r>
    </w:p>
    <w:p w14:paraId="16EF4ADC" w14:textId="597681FA" w:rsidR="00F60E6E" w:rsidRPr="003B6A69" w:rsidRDefault="00F60E6E" w:rsidP="003C6B7B">
      <w:pPr>
        <w:numPr>
          <w:ilvl w:val="0"/>
          <w:numId w:val="41"/>
        </w:numPr>
        <w:tabs>
          <w:tab w:val="left" w:pos="426"/>
        </w:tabs>
        <w:spacing w:after="120"/>
        <w:ind w:left="0" w:firstLine="0"/>
        <w:rPr>
          <w:rFonts w:cs="Calibri"/>
          <w:bCs/>
          <w:lang w:val="en-GB"/>
        </w:rPr>
      </w:pPr>
      <w:r w:rsidRPr="003B6A69">
        <w:rPr>
          <w:lang w:val="en-GB"/>
        </w:rPr>
        <w:t>Results from the project will be disseminated within and beyond the project intervention area through existing information</w:t>
      </w:r>
      <w:r w:rsidR="00070251" w:rsidRPr="003B6A69">
        <w:rPr>
          <w:lang w:val="en-GB"/>
        </w:rPr>
        <w:t>-</w:t>
      </w:r>
      <w:r w:rsidRPr="003B6A69">
        <w:rPr>
          <w:lang w:val="en-GB"/>
        </w:rPr>
        <w:t xml:space="preserve">sharing networks and forums. The project will identify and participate, as relevant and appropriate, in scientific, policy-based and/or any other networks, which may be of benefit to the project. The project will identify, </w:t>
      </w:r>
      <w:proofErr w:type="gramStart"/>
      <w:r w:rsidRPr="003B6A69">
        <w:rPr>
          <w:lang w:val="en-GB"/>
        </w:rPr>
        <w:t>analyse</w:t>
      </w:r>
      <w:proofErr w:type="gramEnd"/>
      <w:r w:rsidRPr="003B6A69">
        <w:rPr>
          <w:lang w:val="en-GB"/>
        </w:rPr>
        <w:t xml:space="preserve"> and share lessons learned that might be beneficial to the design and implementation of similar projects and disseminate these lessons widely. There will be continuous information exchange between this project and other projects of similar focus in the same country, region and globally.</w:t>
      </w:r>
    </w:p>
    <w:p w14:paraId="59094CE8" w14:textId="111EE00C" w:rsidR="005403A7" w:rsidRPr="003B6A69" w:rsidRDefault="005403A7" w:rsidP="003C6B7B">
      <w:pPr>
        <w:numPr>
          <w:ilvl w:val="0"/>
          <w:numId w:val="41"/>
        </w:numPr>
        <w:tabs>
          <w:tab w:val="left" w:pos="426"/>
        </w:tabs>
        <w:spacing w:after="120"/>
        <w:ind w:left="0" w:firstLine="0"/>
        <w:rPr>
          <w:rFonts w:cs="Calibri"/>
          <w:bCs/>
          <w:lang w:val="en-GB"/>
        </w:rPr>
      </w:pPr>
      <w:r w:rsidRPr="003B6A69">
        <w:rPr>
          <w:lang w:val="en-GB"/>
        </w:rPr>
        <w:t xml:space="preserve">At the inception stage, the project team will commission a Communication Strategy and a Knowledge Management plan within the project </w:t>
      </w:r>
      <w:r w:rsidR="00580FAC" w:rsidRPr="003B6A69">
        <w:rPr>
          <w:lang w:val="en-GB"/>
        </w:rPr>
        <w:t>Component 3 (</w:t>
      </w:r>
      <w:r w:rsidRPr="003B6A69">
        <w:rPr>
          <w:lang w:val="en-GB"/>
        </w:rPr>
        <w:t>Outcome 6</w:t>
      </w:r>
      <w:r w:rsidR="00580FAC" w:rsidRPr="003B6A69">
        <w:rPr>
          <w:lang w:val="en-GB"/>
        </w:rPr>
        <w:t>)</w:t>
      </w:r>
      <w:r w:rsidRPr="003B6A69">
        <w:rPr>
          <w:lang w:val="en-GB"/>
        </w:rPr>
        <w:t xml:space="preserve">. </w:t>
      </w:r>
    </w:p>
    <w:p w14:paraId="6698BBED" w14:textId="47C10484" w:rsidR="003761C8" w:rsidRPr="003B6A69" w:rsidRDefault="00904403" w:rsidP="00B24DF3">
      <w:pPr>
        <w:pStyle w:val="Heading2"/>
        <w:rPr>
          <w:lang w:val="en-GB"/>
        </w:rPr>
      </w:pPr>
      <w:bookmarkStart w:id="50" w:name="_Toc82018265"/>
      <w:r w:rsidRPr="003B6A69">
        <w:rPr>
          <w:lang w:val="en-GB"/>
        </w:rPr>
        <w:t>3.</w:t>
      </w:r>
      <w:r w:rsidR="006D4080" w:rsidRPr="003B6A69">
        <w:rPr>
          <w:lang w:val="en-GB"/>
        </w:rPr>
        <w:t>7</w:t>
      </w:r>
      <w:r w:rsidR="00F02EA2" w:rsidRPr="003B6A69">
        <w:rPr>
          <w:lang w:val="en-GB"/>
        </w:rPr>
        <w:t xml:space="preserve"> </w:t>
      </w:r>
      <w:r w:rsidR="005F0A1F" w:rsidRPr="003B6A69">
        <w:rPr>
          <w:lang w:val="en-GB"/>
        </w:rPr>
        <w:t>South-</w:t>
      </w:r>
      <w:r w:rsidR="00C10011" w:rsidRPr="003B6A69">
        <w:rPr>
          <w:lang w:val="en-GB"/>
        </w:rPr>
        <w:t>s</w:t>
      </w:r>
      <w:r w:rsidR="005F0A1F" w:rsidRPr="003B6A69">
        <w:rPr>
          <w:lang w:val="en-GB"/>
        </w:rPr>
        <w:t xml:space="preserve">outh and </w:t>
      </w:r>
      <w:r w:rsidR="00C10011" w:rsidRPr="003B6A69">
        <w:rPr>
          <w:lang w:val="en-GB"/>
        </w:rPr>
        <w:t>t</w:t>
      </w:r>
      <w:r w:rsidR="005F0A1F" w:rsidRPr="003B6A69">
        <w:rPr>
          <w:lang w:val="en-GB"/>
        </w:rPr>
        <w:t xml:space="preserve">riangular </w:t>
      </w:r>
      <w:r w:rsidR="00C10011" w:rsidRPr="003B6A69">
        <w:rPr>
          <w:lang w:val="en-GB"/>
        </w:rPr>
        <w:t>c</w:t>
      </w:r>
      <w:r w:rsidR="005F0A1F" w:rsidRPr="003B6A69">
        <w:rPr>
          <w:lang w:val="en-GB"/>
        </w:rPr>
        <w:t>ooperation</w:t>
      </w:r>
      <w:bookmarkEnd w:id="50"/>
    </w:p>
    <w:p w14:paraId="4367043A" w14:textId="68FDBF17" w:rsidR="00170ABB" w:rsidRPr="003B6A69" w:rsidRDefault="00C43277" w:rsidP="003C6B7B">
      <w:pPr>
        <w:numPr>
          <w:ilvl w:val="0"/>
          <w:numId w:val="41"/>
        </w:numPr>
        <w:tabs>
          <w:tab w:val="left" w:pos="426"/>
        </w:tabs>
        <w:spacing w:after="120"/>
        <w:ind w:left="0" w:firstLine="0"/>
        <w:rPr>
          <w:lang w:val="en-GB"/>
        </w:rPr>
      </w:pPr>
      <w:r w:rsidRPr="003B6A69">
        <w:rPr>
          <w:lang w:val="en-GB"/>
        </w:rPr>
        <w:t xml:space="preserve">Learning opportunities and technology transfer from peer countries will be further explored during project implementation. To present opportunities for replication in other countries, the project will codify good practices and facilitate </w:t>
      </w:r>
      <w:r w:rsidRPr="003B6A69">
        <w:rPr>
          <w:rFonts w:cs="Calibri"/>
          <w:bCs/>
          <w:lang w:val="en-GB"/>
        </w:rPr>
        <w:t>dissemination</w:t>
      </w:r>
      <w:r w:rsidRPr="003B6A69">
        <w:rPr>
          <w:lang w:val="en-GB"/>
        </w:rPr>
        <w:t xml:space="preserve"> through global ongoing South-South and global platforms, such as Africa Solutions Platform, the UN South-South Galaxy knowledge sharing platform and PANORAMA</w:t>
      </w:r>
      <w:r w:rsidRPr="003B6A69">
        <w:rPr>
          <w:rFonts w:ascii="Arial" w:hAnsi="Arial"/>
          <w:sz w:val="18"/>
          <w:vertAlign w:val="superscript"/>
          <w:lang w:val="en-GB"/>
        </w:rPr>
        <w:footnoteReference w:id="11"/>
      </w:r>
      <w:r w:rsidRPr="003B6A69">
        <w:rPr>
          <w:lang w:val="en-GB"/>
        </w:rPr>
        <w:t xml:space="preserve">. </w:t>
      </w:r>
    </w:p>
    <w:p w14:paraId="6E0862FE" w14:textId="33BACB0B" w:rsidR="003761C8" w:rsidRPr="003B6A69" w:rsidRDefault="00C43277" w:rsidP="003C6B7B">
      <w:pPr>
        <w:numPr>
          <w:ilvl w:val="0"/>
          <w:numId w:val="41"/>
        </w:numPr>
        <w:tabs>
          <w:tab w:val="left" w:pos="426"/>
        </w:tabs>
        <w:spacing w:after="120"/>
        <w:ind w:left="0" w:firstLine="0"/>
        <w:rPr>
          <w:i/>
          <w:szCs w:val="20"/>
          <w:lang w:val="en-GB"/>
        </w:rPr>
      </w:pPr>
      <w:r w:rsidRPr="003B6A69">
        <w:rPr>
          <w:lang w:val="en-GB"/>
        </w:rPr>
        <w:t xml:space="preserve">In addition, </w:t>
      </w:r>
      <w:bookmarkEnd w:id="43"/>
      <w:r w:rsidR="005403A7" w:rsidRPr="003B6A69">
        <w:rPr>
          <w:lang w:val="en-GB"/>
        </w:rPr>
        <w:t xml:space="preserve">to bring the voice of Montenegro to global and regional fora, the project will explore opportunities for meaningful participation in specific events where UNDP could support </w:t>
      </w:r>
      <w:r w:rsidR="005403A7" w:rsidRPr="003B6A69">
        <w:rPr>
          <w:rFonts w:cs="Calibri"/>
          <w:bCs/>
          <w:lang w:val="en-GB"/>
        </w:rPr>
        <w:t>engagement</w:t>
      </w:r>
      <w:r w:rsidR="005403A7" w:rsidRPr="003B6A69">
        <w:rPr>
          <w:lang w:val="en-GB"/>
        </w:rPr>
        <w:t xml:space="preserve"> with the global development discourse on biodiversity conservation, PA estate management and protection of valuable biodiversity outside the PA estate. The project will furthermore provide opportunities for regional cooperation with countries that are implementing initiatives on innovative PA management planning, mainstreaming of biodiversity considerations into spatial planning instruments, innovative partnership mechanisms and tools for nature-based tourism promotion, and support to “green” forestry and agricultural practices in geopolitical, </w:t>
      </w:r>
      <w:proofErr w:type="gramStart"/>
      <w:r w:rsidR="005403A7" w:rsidRPr="003B6A69">
        <w:rPr>
          <w:lang w:val="en-GB"/>
        </w:rPr>
        <w:t>social</w:t>
      </w:r>
      <w:proofErr w:type="gramEnd"/>
      <w:r w:rsidR="005403A7" w:rsidRPr="003B6A69">
        <w:rPr>
          <w:lang w:val="en-GB"/>
        </w:rPr>
        <w:t xml:space="preserve"> and environmental contexts relevant to the proposed project in Montenegro.</w:t>
      </w:r>
    </w:p>
    <w:p w14:paraId="77F22CB6" w14:textId="77777777" w:rsidR="009F19D4" w:rsidRPr="003B6A69" w:rsidRDefault="009F19D4" w:rsidP="008A6833">
      <w:pPr>
        <w:pStyle w:val="ListParagraph"/>
        <w:spacing w:after="60"/>
        <w:ind w:left="1080"/>
        <w:contextualSpacing/>
        <w:rPr>
          <w:rFonts w:asciiTheme="minorHAnsi" w:hAnsiTheme="minorHAnsi" w:cstheme="minorHAnsi"/>
          <w:color w:val="000000"/>
          <w:szCs w:val="20"/>
          <w:lang w:val="en-GB"/>
        </w:rPr>
        <w:sectPr w:rsidR="009F19D4" w:rsidRPr="003B6A69" w:rsidSect="00E55A1A">
          <w:footerReference w:type="default" r:id="rId19"/>
          <w:footerReference w:type="first" r:id="rId20"/>
          <w:pgSz w:w="12240" w:h="15840" w:code="1"/>
          <w:pgMar w:top="1134" w:right="1134" w:bottom="1134" w:left="1134" w:header="720" w:footer="431" w:gutter="0"/>
          <w:cols w:space="708"/>
          <w:docGrid w:linePitch="360"/>
        </w:sectPr>
      </w:pPr>
    </w:p>
    <w:p w14:paraId="20AA2D44" w14:textId="77777777" w:rsidR="0053408E" w:rsidRPr="003B6A69" w:rsidRDefault="0053408E" w:rsidP="00506CA1">
      <w:pPr>
        <w:pStyle w:val="Heading1"/>
        <w:spacing w:before="240" w:after="240"/>
        <w:rPr>
          <w:rFonts w:asciiTheme="minorHAnsi" w:hAnsiTheme="minorHAnsi" w:cstheme="minorHAnsi"/>
          <w:lang w:val="en-GB"/>
        </w:rPr>
      </w:pPr>
      <w:bookmarkStart w:id="51" w:name="_Toc82018266"/>
      <w:r w:rsidRPr="003B6A69">
        <w:rPr>
          <w:rFonts w:asciiTheme="minorHAnsi" w:hAnsiTheme="minorHAnsi" w:cstheme="minorHAnsi"/>
          <w:lang w:val="en-GB"/>
        </w:rPr>
        <w:lastRenderedPageBreak/>
        <w:t>Project Results Framework</w:t>
      </w:r>
      <w:bookmarkEnd w:id="51"/>
    </w:p>
    <w:tbl>
      <w:tblPr>
        <w:tblW w:w="14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05"/>
        <w:gridCol w:w="4230"/>
        <w:gridCol w:w="2610"/>
        <w:gridCol w:w="2070"/>
        <w:gridCol w:w="2903"/>
      </w:tblGrid>
      <w:tr w:rsidR="00E4085F" w:rsidRPr="003B6A69" w14:paraId="02C45059" w14:textId="77777777" w:rsidTr="00AE3EED">
        <w:trPr>
          <w:trHeight w:val="305"/>
        </w:trPr>
        <w:tc>
          <w:tcPr>
            <w:tcW w:w="14418" w:type="dxa"/>
            <w:gridSpan w:val="5"/>
            <w:shd w:val="pct12" w:color="auto" w:fill="auto"/>
          </w:tcPr>
          <w:p w14:paraId="0A8DF388" w14:textId="2805D2DA" w:rsidR="00E4085F" w:rsidRPr="003B6A69" w:rsidRDefault="00E4085F" w:rsidP="00CD0329">
            <w:pPr>
              <w:rPr>
                <w:sz w:val="18"/>
                <w:szCs w:val="18"/>
              </w:rPr>
            </w:pPr>
            <w:bookmarkStart w:id="52" w:name="_Toc207800914"/>
            <w:bookmarkStart w:id="53" w:name="_Toc407785522"/>
            <w:bookmarkEnd w:id="49"/>
            <w:r w:rsidRPr="003B6A69">
              <w:rPr>
                <w:b/>
                <w:sz w:val="18"/>
                <w:szCs w:val="18"/>
              </w:rPr>
              <w:t xml:space="preserve">This project will contribute to the following Sustainable Development Goal (s):  </w:t>
            </w:r>
            <w:r w:rsidR="00CD0329" w:rsidRPr="003B6A69">
              <w:rPr>
                <w:i/>
                <w:sz w:val="18"/>
                <w:szCs w:val="18"/>
              </w:rPr>
              <w:t>SDGs 2, 5, 8, 12, 13, 15</w:t>
            </w:r>
          </w:p>
        </w:tc>
      </w:tr>
      <w:tr w:rsidR="00E4085F" w:rsidRPr="003B6A69" w14:paraId="1B18D829" w14:textId="77777777" w:rsidTr="00AE3EED">
        <w:trPr>
          <w:trHeight w:val="287"/>
        </w:trPr>
        <w:tc>
          <w:tcPr>
            <w:tcW w:w="14418" w:type="dxa"/>
            <w:gridSpan w:val="5"/>
            <w:shd w:val="pct12" w:color="auto" w:fill="auto"/>
          </w:tcPr>
          <w:p w14:paraId="404B12B1" w14:textId="37C07A1D" w:rsidR="00E4085F" w:rsidRPr="003B6A69" w:rsidRDefault="00E4085F" w:rsidP="00AE3EED">
            <w:pPr>
              <w:rPr>
                <w:b/>
                <w:szCs w:val="20"/>
              </w:rPr>
            </w:pPr>
            <w:r w:rsidRPr="003B6A69">
              <w:rPr>
                <w:b/>
                <w:bCs/>
                <w:sz w:val="18"/>
                <w:szCs w:val="18"/>
              </w:rPr>
              <w:t xml:space="preserve">This project will contribute to the following country outcome (UNDAF/CPD, RPD, GPD):  </w:t>
            </w:r>
            <w:r w:rsidR="00CD0329" w:rsidRPr="003B6A69">
              <w:rPr>
                <w:bCs/>
                <w:i/>
                <w:sz w:val="18"/>
                <w:szCs w:val="18"/>
              </w:rPr>
              <w:t>By 2021, people of Montenegro benefit from sustainable management of natural resources, combating climate change and disaster risk reduction</w:t>
            </w:r>
          </w:p>
        </w:tc>
      </w:tr>
      <w:tr w:rsidR="00E4085F" w:rsidRPr="003B6A69" w14:paraId="21EE4428" w14:textId="77777777" w:rsidTr="00195776">
        <w:trPr>
          <w:trHeight w:val="544"/>
        </w:trPr>
        <w:tc>
          <w:tcPr>
            <w:tcW w:w="2605" w:type="dxa"/>
            <w:shd w:val="pct12" w:color="auto" w:fill="auto"/>
          </w:tcPr>
          <w:p w14:paraId="23296ECB" w14:textId="77777777" w:rsidR="00E4085F" w:rsidRPr="003B6A69" w:rsidRDefault="00E4085F" w:rsidP="00AE3EED">
            <w:pPr>
              <w:jc w:val="center"/>
              <w:rPr>
                <w:rFonts w:ascii="Times New Roman" w:hAnsi="Times New Roman"/>
                <w:b/>
                <w:bCs/>
                <w:sz w:val="18"/>
                <w:szCs w:val="18"/>
              </w:rPr>
            </w:pPr>
          </w:p>
        </w:tc>
        <w:tc>
          <w:tcPr>
            <w:tcW w:w="4230" w:type="dxa"/>
            <w:shd w:val="pct12" w:color="auto" w:fill="auto"/>
          </w:tcPr>
          <w:p w14:paraId="078C29AE" w14:textId="77777777" w:rsidR="00E4085F" w:rsidRPr="003B6A69" w:rsidRDefault="00E4085F" w:rsidP="00AE3EED">
            <w:pPr>
              <w:jc w:val="center"/>
              <w:rPr>
                <w:b/>
                <w:bCs/>
                <w:sz w:val="18"/>
                <w:szCs w:val="18"/>
              </w:rPr>
            </w:pPr>
            <w:r w:rsidRPr="003B6A69">
              <w:rPr>
                <w:b/>
                <w:bCs/>
                <w:sz w:val="18"/>
                <w:szCs w:val="18"/>
              </w:rPr>
              <w:t>Objective and Outcome Indicators</w:t>
            </w:r>
          </w:p>
          <w:p w14:paraId="2727BA13" w14:textId="77777777" w:rsidR="00E4085F" w:rsidRPr="003B6A69" w:rsidRDefault="00E4085F" w:rsidP="00AE3EED">
            <w:pPr>
              <w:jc w:val="center"/>
              <w:rPr>
                <w:b/>
                <w:bCs/>
                <w:sz w:val="18"/>
                <w:szCs w:val="18"/>
              </w:rPr>
            </w:pPr>
            <w:r w:rsidRPr="003B6A69">
              <w:rPr>
                <w:b/>
                <w:bCs/>
                <w:sz w:val="18"/>
                <w:szCs w:val="18"/>
              </w:rPr>
              <w:t>(no more than a total of 20 indicators)</w:t>
            </w:r>
          </w:p>
        </w:tc>
        <w:tc>
          <w:tcPr>
            <w:tcW w:w="2610" w:type="dxa"/>
            <w:shd w:val="pct12" w:color="auto" w:fill="auto"/>
          </w:tcPr>
          <w:p w14:paraId="3A1A37C8" w14:textId="77777777" w:rsidR="00E4085F" w:rsidRPr="003B6A69" w:rsidRDefault="00E4085F" w:rsidP="00AE3EED">
            <w:pPr>
              <w:jc w:val="center"/>
              <w:rPr>
                <w:b/>
                <w:bCs/>
                <w:sz w:val="18"/>
                <w:szCs w:val="18"/>
              </w:rPr>
            </w:pPr>
            <w:r w:rsidRPr="003B6A69">
              <w:rPr>
                <w:b/>
                <w:bCs/>
                <w:sz w:val="18"/>
                <w:szCs w:val="18"/>
              </w:rPr>
              <w:t>Baseline</w:t>
            </w:r>
          </w:p>
          <w:p w14:paraId="1ADAB512" w14:textId="77777777" w:rsidR="00E4085F" w:rsidRPr="003B6A69" w:rsidRDefault="00E4085F" w:rsidP="00AE3EED">
            <w:pPr>
              <w:jc w:val="center"/>
              <w:rPr>
                <w:b/>
                <w:bCs/>
                <w:sz w:val="18"/>
                <w:szCs w:val="18"/>
              </w:rPr>
            </w:pPr>
          </w:p>
        </w:tc>
        <w:tc>
          <w:tcPr>
            <w:tcW w:w="2070" w:type="dxa"/>
            <w:shd w:val="pct12" w:color="auto" w:fill="auto"/>
          </w:tcPr>
          <w:p w14:paraId="53613CF8" w14:textId="77777777" w:rsidR="00E4085F" w:rsidRPr="003B6A69" w:rsidRDefault="00E4085F" w:rsidP="00AE3EED">
            <w:pPr>
              <w:jc w:val="center"/>
              <w:rPr>
                <w:b/>
                <w:bCs/>
                <w:sz w:val="18"/>
                <w:szCs w:val="18"/>
              </w:rPr>
            </w:pPr>
            <w:r w:rsidRPr="003B6A69">
              <w:rPr>
                <w:b/>
                <w:bCs/>
                <w:sz w:val="18"/>
                <w:szCs w:val="18"/>
              </w:rPr>
              <w:t>Mid-term Target</w:t>
            </w:r>
          </w:p>
          <w:p w14:paraId="546CD03B" w14:textId="77777777" w:rsidR="00E4085F" w:rsidRPr="003B6A69" w:rsidRDefault="00E4085F" w:rsidP="00AE3EED">
            <w:pPr>
              <w:jc w:val="center"/>
              <w:rPr>
                <w:b/>
                <w:bCs/>
                <w:sz w:val="18"/>
                <w:szCs w:val="18"/>
              </w:rPr>
            </w:pPr>
          </w:p>
        </w:tc>
        <w:tc>
          <w:tcPr>
            <w:tcW w:w="2903" w:type="dxa"/>
            <w:shd w:val="pct12" w:color="auto" w:fill="auto"/>
          </w:tcPr>
          <w:p w14:paraId="6D7D54FA" w14:textId="77777777" w:rsidR="00E4085F" w:rsidRPr="003B6A69" w:rsidRDefault="00E4085F" w:rsidP="00AE3EED">
            <w:pPr>
              <w:jc w:val="center"/>
              <w:rPr>
                <w:b/>
                <w:bCs/>
                <w:sz w:val="18"/>
                <w:szCs w:val="18"/>
              </w:rPr>
            </w:pPr>
            <w:r w:rsidRPr="003B6A69">
              <w:rPr>
                <w:b/>
                <w:bCs/>
                <w:sz w:val="18"/>
                <w:szCs w:val="18"/>
              </w:rPr>
              <w:t>End of Project Target</w:t>
            </w:r>
          </w:p>
          <w:p w14:paraId="7C31EA16" w14:textId="77777777" w:rsidR="00E4085F" w:rsidRPr="003B6A69" w:rsidRDefault="00E4085F" w:rsidP="00AE3EED">
            <w:pPr>
              <w:jc w:val="center"/>
              <w:rPr>
                <w:b/>
                <w:bCs/>
                <w:sz w:val="18"/>
                <w:szCs w:val="18"/>
              </w:rPr>
            </w:pPr>
          </w:p>
        </w:tc>
      </w:tr>
      <w:tr w:rsidR="00E4085F" w:rsidRPr="003B6A69" w14:paraId="7575190D" w14:textId="77777777" w:rsidTr="00195776">
        <w:trPr>
          <w:trHeight w:val="665"/>
        </w:trPr>
        <w:tc>
          <w:tcPr>
            <w:tcW w:w="2605" w:type="dxa"/>
            <w:vMerge w:val="restart"/>
            <w:shd w:val="pct12" w:color="auto" w:fill="auto"/>
          </w:tcPr>
          <w:p w14:paraId="4FB3D847" w14:textId="0E19913F" w:rsidR="00E4085F" w:rsidRPr="003B6A69" w:rsidRDefault="00E4085F" w:rsidP="00EB5106">
            <w:pPr>
              <w:jc w:val="left"/>
              <w:rPr>
                <w:rFonts w:ascii="Times New Roman" w:hAnsi="Times New Roman"/>
                <w:b/>
                <w:bCs/>
                <w:i/>
                <w:sz w:val="18"/>
                <w:szCs w:val="18"/>
              </w:rPr>
            </w:pPr>
            <w:r w:rsidRPr="003B6A69">
              <w:rPr>
                <w:rFonts w:ascii="Times New Roman" w:hAnsi="Times New Roman"/>
                <w:b/>
                <w:bCs/>
                <w:sz w:val="18"/>
                <w:szCs w:val="18"/>
              </w:rPr>
              <w:t>Project Objective:</w:t>
            </w:r>
            <w:r w:rsidRPr="003B6A69">
              <w:rPr>
                <w:rFonts w:ascii="Times New Roman" w:eastAsia="Times New Roman" w:hAnsi="Times New Roman"/>
                <w:noProof/>
                <w:szCs w:val="20"/>
              </w:rPr>
              <w:t xml:space="preserve"> </w:t>
            </w:r>
            <w:r w:rsidRPr="003B6A69">
              <w:rPr>
                <w:rFonts w:ascii="Times New Roman" w:hAnsi="Times New Roman"/>
                <w:b/>
                <w:bCs/>
                <w:sz w:val="18"/>
                <w:szCs w:val="18"/>
              </w:rPr>
              <w:t xml:space="preserve">To ensure strengthened capacities for protection of the internationally recognized biodiversity </w:t>
            </w:r>
            <w:proofErr w:type="gramStart"/>
            <w:r w:rsidRPr="003B6A69">
              <w:rPr>
                <w:rFonts w:ascii="Times New Roman" w:hAnsi="Times New Roman"/>
                <w:b/>
                <w:bCs/>
                <w:sz w:val="18"/>
                <w:szCs w:val="18"/>
              </w:rPr>
              <w:t>hot-spots</w:t>
            </w:r>
            <w:proofErr w:type="gramEnd"/>
            <w:r w:rsidRPr="003B6A69">
              <w:rPr>
                <w:rFonts w:ascii="Times New Roman" w:hAnsi="Times New Roman"/>
                <w:b/>
                <w:bCs/>
                <w:sz w:val="18"/>
                <w:szCs w:val="18"/>
              </w:rPr>
              <w:t xml:space="preserve"> of Montenegro and mainstream biodiversity conservation and sustainable use objectives into the land use planning framework and sectoral practices around the KBAs</w:t>
            </w:r>
          </w:p>
        </w:tc>
        <w:tc>
          <w:tcPr>
            <w:tcW w:w="4230" w:type="dxa"/>
          </w:tcPr>
          <w:p w14:paraId="729771A2" w14:textId="49D720CD" w:rsidR="00E4085F" w:rsidRPr="00EB5106" w:rsidRDefault="00E4085F" w:rsidP="00AE3EED">
            <w:pPr>
              <w:jc w:val="left"/>
              <w:rPr>
                <w:bCs/>
                <w:i/>
                <w:sz w:val="18"/>
                <w:szCs w:val="18"/>
              </w:rPr>
            </w:pPr>
            <w:r w:rsidRPr="003B6A69">
              <w:rPr>
                <w:b/>
                <w:bCs/>
                <w:sz w:val="18"/>
                <w:szCs w:val="18"/>
                <w:u w:val="single"/>
              </w:rPr>
              <w:t>Mandatory</w:t>
            </w:r>
            <w:r w:rsidRPr="003B6A69">
              <w:rPr>
                <w:bCs/>
                <w:sz w:val="18"/>
                <w:szCs w:val="18"/>
                <w:u w:val="single"/>
              </w:rPr>
              <w:t xml:space="preserve"> Indicator 1:</w:t>
            </w:r>
            <w:r w:rsidRPr="003B6A69">
              <w:rPr>
                <w:bCs/>
                <w:sz w:val="18"/>
                <w:szCs w:val="18"/>
              </w:rPr>
              <w:t xml:space="preserve">  # direct project beneficiaries disaggregated by gender (individual people)</w:t>
            </w:r>
            <w:r w:rsidR="004E7FA9" w:rsidRPr="003B6A69">
              <w:rPr>
                <w:bCs/>
                <w:sz w:val="18"/>
                <w:szCs w:val="18"/>
              </w:rPr>
              <w:t xml:space="preserve"> (GEF Core Indicator 11)</w:t>
            </w:r>
          </w:p>
        </w:tc>
        <w:tc>
          <w:tcPr>
            <w:tcW w:w="2610" w:type="dxa"/>
          </w:tcPr>
          <w:p w14:paraId="36EF3E67" w14:textId="77777777" w:rsidR="00E4085F" w:rsidRPr="003B6A69" w:rsidRDefault="00E4085F" w:rsidP="00AE3EED">
            <w:pPr>
              <w:jc w:val="left"/>
              <w:rPr>
                <w:bCs/>
                <w:i/>
                <w:sz w:val="18"/>
                <w:szCs w:val="18"/>
              </w:rPr>
            </w:pPr>
            <w:r w:rsidRPr="003B6A69">
              <w:rPr>
                <w:bCs/>
                <w:i/>
                <w:sz w:val="18"/>
                <w:szCs w:val="18"/>
              </w:rPr>
              <w:t>0</w:t>
            </w:r>
          </w:p>
        </w:tc>
        <w:tc>
          <w:tcPr>
            <w:tcW w:w="2070" w:type="dxa"/>
          </w:tcPr>
          <w:p w14:paraId="1339B449" w14:textId="77777777" w:rsidR="00E4085F" w:rsidRPr="003B6A69" w:rsidRDefault="00E4085F" w:rsidP="00AE3EED">
            <w:pPr>
              <w:jc w:val="left"/>
              <w:rPr>
                <w:bCs/>
                <w:i/>
                <w:sz w:val="18"/>
                <w:szCs w:val="18"/>
              </w:rPr>
            </w:pPr>
            <w:r w:rsidRPr="003B6A69">
              <w:rPr>
                <w:bCs/>
                <w:i/>
                <w:sz w:val="18"/>
                <w:szCs w:val="18"/>
              </w:rPr>
              <w:t>20,000 (incl. 10,000 women)</w:t>
            </w:r>
          </w:p>
        </w:tc>
        <w:tc>
          <w:tcPr>
            <w:tcW w:w="2903" w:type="dxa"/>
          </w:tcPr>
          <w:p w14:paraId="27C61735" w14:textId="77777777" w:rsidR="00E4085F" w:rsidRPr="003B6A69" w:rsidRDefault="00E4085F" w:rsidP="00AE3EED">
            <w:pPr>
              <w:jc w:val="left"/>
              <w:rPr>
                <w:bCs/>
                <w:i/>
                <w:sz w:val="18"/>
                <w:szCs w:val="18"/>
              </w:rPr>
            </w:pPr>
            <w:r w:rsidRPr="003B6A69">
              <w:rPr>
                <w:bCs/>
                <w:i/>
                <w:sz w:val="18"/>
                <w:szCs w:val="18"/>
              </w:rPr>
              <w:t>50,000 (incl. 27,000 women)</w:t>
            </w:r>
          </w:p>
        </w:tc>
      </w:tr>
      <w:tr w:rsidR="00E4085F" w:rsidRPr="003B6A69" w14:paraId="7785370C" w14:textId="77777777" w:rsidTr="00EB5106">
        <w:trPr>
          <w:trHeight w:val="305"/>
        </w:trPr>
        <w:tc>
          <w:tcPr>
            <w:tcW w:w="2605" w:type="dxa"/>
            <w:vMerge/>
            <w:shd w:val="pct12" w:color="auto" w:fill="auto"/>
          </w:tcPr>
          <w:p w14:paraId="284F0EE5" w14:textId="77777777" w:rsidR="00E4085F" w:rsidRPr="003B6A69" w:rsidRDefault="00E4085F" w:rsidP="00AE3EED">
            <w:pPr>
              <w:jc w:val="left"/>
              <w:rPr>
                <w:rFonts w:ascii="Times New Roman" w:hAnsi="Times New Roman"/>
                <w:b/>
                <w:bCs/>
                <w:sz w:val="18"/>
                <w:szCs w:val="18"/>
              </w:rPr>
            </w:pPr>
          </w:p>
        </w:tc>
        <w:tc>
          <w:tcPr>
            <w:tcW w:w="4230" w:type="dxa"/>
          </w:tcPr>
          <w:p w14:paraId="7BFB34BD" w14:textId="77777777" w:rsidR="00E4085F" w:rsidRPr="003B6A69" w:rsidRDefault="00E4085F" w:rsidP="00AE3EED">
            <w:pPr>
              <w:jc w:val="left"/>
              <w:rPr>
                <w:bCs/>
                <w:sz w:val="18"/>
                <w:szCs w:val="18"/>
                <w:u w:val="single"/>
              </w:rPr>
            </w:pPr>
            <w:r w:rsidRPr="003B6A69">
              <w:rPr>
                <w:b/>
                <w:bCs/>
                <w:sz w:val="18"/>
                <w:szCs w:val="18"/>
                <w:u w:val="single"/>
              </w:rPr>
              <w:t>Mandatory</w:t>
            </w:r>
            <w:r w:rsidRPr="003B6A69">
              <w:rPr>
                <w:bCs/>
                <w:sz w:val="18"/>
                <w:szCs w:val="18"/>
                <w:u w:val="single"/>
              </w:rPr>
              <w:t xml:space="preserve"> GEF Core Indicators: </w:t>
            </w:r>
          </w:p>
          <w:p w14:paraId="6F2336C9" w14:textId="4B6650CE" w:rsidR="00E4085F" w:rsidRPr="003B6A69" w:rsidRDefault="00E4085F" w:rsidP="00AE3EED">
            <w:pPr>
              <w:jc w:val="left"/>
              <w:rPr>
                <w:bCs/>
                <w:i/>
                <w:sz w:val="18"/>
                <w:szCs w:val="18"/>
              </w:rPr>
            </w:pPr>
            <w:r w:rsidRPr="003B6A69">
              <w:rPr>
                <w:bCs/>
                <w:i/>
                <w:sz w:val="18"/>
                <w:szCs w:val="18"/>
              </w:rPr>
              <w:t>Indicator 2:</w:t>
            </w:r>
            <w:r w:rsidRPr="003B6A69">
              <w:rPr>
                <w:rFonts w:ascii="Times New Roman" w:eastAsia="Times New Roman" w:hAnsi="Times New Roman"/>
                <w:szCs w:val="20"/>
              </w:rPr>
              <w:t xml:space="preserve"> </w:t>
            </w:r>
            <w:r w:rsidRPr="003B6A69">
              <w:rPr>
                <w:bCs/>
                <w:sz w:val="18"/>
                <w:szCs w:val="18"/>
              </w:rPr>
              <w:t>Terrestrial protected areas under improved management for conservation and sustainable use (Hectares)</w:t>
            </w:r>
            <w:r w:rsidR="004E7FA9" w:rsidRPr="003B6A69">
              <w:rPr>
                <w:bCs/>
                <w:sz w:val="18"/>
                <w:szCs w:val="18"/>
              </w:rPr>
              <w:t xml:space="preserve"> (GEF Core Indicator 1</w:t>
            </w:r>
            <w:r w:rsidR="00E42C0F">
              <w:rPr>
                <w:bCs/>
                <w:sz w:val="18"/>
                <w:szCs w:val="18"/>
              </w:rPr>
              <w:t>)</w:t>
            </w:r>
          </w:p>
        </w:tc>
        <w:tc>
          <w:tcPr>
            <w:tcW w:w="2610" w:type="dxa"/>
          </w:tcPr>
          <w:p w14:paraId="34F9AE3D" w14:textId="77777777" w:rsidR="00E4085F" w:rsidRPr="003B6A69" w:rsidRDefault="00E4085F" w:rsidP="00AE3EED">
            <w:pPr>
              <w:jc w:val="left"/>
              <w:rPr>
                <w:bCs/>
                <w:i/>
                <w:sz w:val="18"/>
                <w:szCs w:val="18"/>
              </w:rPr>
            </w:pPr>
            <w:r w:rsidRPr="003B6A69">
              <w:rPr>
                <w:bCs/>
                <w:i/>
                <w:sz w:val="18"/>
                <w:szCs w:val="18"/>
              </w:rPr>
              <w:t>0</w:t>
            </w:r>
          </w:p>
        </w:tc>
        <w:tc>
          <w:tcPr>
            <w:tcW w:w="2070" w:type="dxa"/>
          </w:tcPr>
          <w:p w14:paraId="699E1F51" w14:textId="77777777" w:rsidR="00E4085F" w:rsidRPr="003B6A69" w:rsidRDefault="00E4085F" w:rsidP="00AE3EED">
            <w:pPr>
              <w:jc w:val="left"/>
              <w:rPr>
                <w:bCs/>
                <w:i/>
                <w:sz w:val="18"/>
                <w:szCs w:val="18"/>
              </w:rPr>
            </w:pPr>
            <w:r w:rsidRPr="003B6A69">
              <w:rPr>
                <w:bCs/>
                <w:i/>
                <w:sz w:val="18"/>
                <w:szCs w:val="18"/>
              </w:rPr>
              <w:t>145,767 ha</w:t>
            </w:r>
          </w:p>
        </w:tc>
        <w:tc>
          <w:tcPr>
            <w:tcW w:w="2903" w:type="dxa"/>
          </w:tcPr>
          <w:p w14:paraId="7224595D" w14:textId="77777777" w:rsidR="00E4085F" w:rsidRPr="003B6A69" w:rsidRDefault="00E4085F" w:rsidP="00AE3EED">
            <w:pPr>
              <w:jc w:val="left"/>
              <w:rPr>
                <w:bCs/>
                <w:i/>
                <w:sz w:val="18"/>
                <w:szCs w:val="18"/>
              </w:rPr>
            </w:pPr>
            <w:r w:rsidRPr="003B6A69">
              <w:rPr>
                <w:bCs/>
                <w:i/>
                <w:sz w:val="18"/>
                <w:szCs w:val="18"/>
              </w:rPr>
              <w:t>145,767 ha</w:t>
            </w:r>
          </w:p>
        </w:tc>
      </w:tr>
      <w:tr w:rsidR="00E4085F" w:rsidRPr="003B6A69" w14:paraId="3DB7D0F3" w14:textId="77777777" w:rsidTr="00EB5106">
        <w:trPr>
          <w:trHeight w:val="206"/>
        </w:trPr>
        <w:tc>
          <w:tcPr>
            <w:tcW w:w="2605" w:type="dxa"/>
            <w:vMerge/>
            <w:shd w:val="pct12" w:color="auto" w:fill="auto"/>
          </w:tcPr>
          <w:p w14:paraId="05C0489A" w14:textId="77777777" w:rsidR="00E4085F" w:rsidRPr="003B6A69" w:rsidRDefault="00E4085F" w:rsidP="00AE3EED">
            <w:pPr>
              <w:jc w:val="left"/>
              <w:rPr>
                <w:rFonts w:ascii="Times New Roman" w:hAnsi="Times New Roman"/>
                <w:b/>
                <w:bCs/>
                <w:sz w:val="18"/>
                <w:szCs w:val="18"/>
              </w:rPr>
            </w:pPr>
          </w:p>
        </w:tc>
        <w:tc>
          <w:tcPr>
            <w:tcW w:w="4230" w:type="dxa"/>
          </w:tcPr>
          <w:p w14:paraId="3CADF62A" w14:textId="0032A605" w:rsidR="00E4085F" w:rsidRPr="003B6A69" w:rsidRDefault="00E4085F" w:rsidP="00E42C0F">
            <w:pPr>
              <w:jc w:val="left"/>
              <w:rPr>
                <w:bCs/>
                <w:sz w:val="18"/>
                <w:szCs w:val="18"/>
              </w:rPr>
            </w:pPr>
            <w:r w:rsidRPr="007D3DC0">
              <w:rPr>
                <w:bCs/>
                <w:i/>
                <w:sz w:val="18"/>
                <w:szCs w:val="18"/>
                <w:highlight w:val="cyan"/>
              </w:rPr>
              <w:t xml:space="preserve">Indicator </w:t>
            </w:r>
            <w:r w:rsidR="00202509" w:rsidRPr="007D3DC0">
              <w:rPr>
                <w:bCs/>
                <w:i/>
                <w:sz w:val="18"/>
                <w:szCs w:val="18"/>
                <w:highlight w:val="cyan"/>
              </w:rPr>
              <w:t>3</w:t>
            </w:r>
            <w:r w:rsidRPr="007D3DC0">
              <w:rPr>
                <w:bCs/>
                <w:i/>
                <w:sz w:val="18"/>
                <w:szCs w:val="18"/>
                <w:highlight w:val="cyan"/>
              </w:rPr>
              <w:t>:</w:t>
            </w:r>
            <w:r w:rsidRPr="007D3DC0">
              <w:rPr>
                <w:bCs/>
                <w:sz w:val="18"/>
                <w:szCs w:val="18"/>
                <w:highlight w:val="cyan"/>
              </w:rPr>
              <w:t xml:space="preserve"> </w:t>
            </w:r>
            <w:r w:rsidR="00E42C0F" w:rsidRPr="007D3DC0">
              <w:rPr>
                <w:bCs/>
                <w:sz w:val="18"/>
                <w:szCs w:val="18"/>
                <w:highlight w:val="cyan"/>
              </w:rPr>
              <w:t xml:space="preserve">Area of landscapes under improved management to benefit biodiversity </w:t>
            </w:r>
            <w:r w:rsidR="004E7FA9" w:rsidRPr="007D3DC0">
              <w:rPr>
                <w:bCs/>
                <w:sz w:val="18"/>
                <w:szCs w:val="18"/>
                <w:highlight w:val="cyan"/>
              </w:rPr>
              <w:t>(GEF Core Indicator 4.</w:t>
            </w:r>
            <w:r w:rsidR="00E42C0F" w:rsidRPr="007D3DC0">
              <w:rPr>
                <w:bCs/>
                <w:sz w:val="18"/>
                <w:szCs w:val="18"/>
                <w:highlight w:val="cyan"/>
              </w:rPr>
              <w:t>1</w:t>
            </w:r>
            <w:r w:rsidR="004E7FA9" w:rsidRPr="007D3DC0">
              <w:rPr>
                <w:bCs/>
                <w:sz w:val="18"/>
                <w:szCs w:val="18"/>
                <w:highlight w:val="cyan"/>
              </w:rPr>
              <w:t>)</w:t>
            </w:r>
          </w:p>
        </w:tc>
        <w:tc>
          <w:tcPr>
            <w:tcW w:w="2610" w:type="dxa"/>
          </w:tcPr>
          <w:p w14:paraId="78C98844" w14:textId="77777777" w:rsidR="00E4085F" w:rsidRPr="003B6A69" w:rsidRDefault="00E4085F" w:rsidP="00AE3EED">
            <w:pPr>
              <w:jc w:val="left"/>
              <w:rPr>
                <w:bCs/>
                <w:i/>
                <w:sz w:val="18"/>
                <w:szCs w:val="18"/>
              </w:rPr>
            </w:pPr>
            <w:r w:rsidRPr="003B6A69">
              <w:rPr>
                <w:bCs/>
                <w:i/>
                <w:sz w:val="18"/>
                <w:szCs w:val="18"/>
              </w:rPr>
              <w:t>0</w:t>
            </w:r>
          </w:p>
        </w:tc>
        <w:tc>
          <w:tcPr>
            <w:tcW w:w="2070" w:type="dxa"/>
          </w:tcPr>
          <w:p w14:paraId="667D7ED4" w14:textId="77777777" w:rsidR="00E4085F" w:rsidRPr="003B6A69" w:rsidRDefault="00E4085F" w:rsidP="00AE3EED">
            <w:pPr>
              <w:jc w:val="left"/>
              <w:rPr>
                <w:bCs/>
                <w:i/>
                <w:sz w:val="18"/>
                <w:szCs w:val="18"/>
              </w:rPr>
            </w:pPr>
            <w:r w:rsidRPr="003B6A69">
              <w:rPr>
                <w:bCs/>
                <w:i/>
                <w:sz w:val="18"/>
                <w:szCs w:val="18"/>
              </w:rPr>
              <w:t>0</w:t>
            </w:r>
          </w:p>
        </w:tc>
        <w:tc>
          <w:tcPr>
            <w:tcW w:w="2903" w:type="dxa"/>
          </w:tcPr>
          <w:p w14:paraId="77777B08" w14:textId="563696B5" w:rsidR="00E4085F" w:rsidRPr="003B6A69" w:rsidRDefault="00E42C0F" w:rsidP="00AE3EED">
            <w:pPr>
              <w:jc w:val="left"/>
              <w:rPr>
                <w:bCs/>
                <w:i/>
                <w:sz w:val="18"/>
                <w:szCs w:val="18"/>
              </w:rPr>
            </w:pPr>
            <w:r w:rsidRPr="00E42C0F">
              <w:rPr>
                <w:bCs/>
                <w:i/>
                <w:sz w:val="18"/>
                <w:szCs w:val="18"/>
                <w:highlight w:val="cyan"/>
              </w:rPr>
              <w:t>8</w:t>
            </w:r>
            <w:r w:rsidR="00E4085F" w:rsidRPr="00E42C0F">
              <w:rPr>
                <w:bCs/>
                <w:i/>
                <w:sz w:val="18"/>
                <w:szCs w:val="18"/>
                <w:highlight w:val="cyan"/>
              </w:rPr>
              <w:t>0,000 ha</w:t>
            </w:r>
          </w:p>
        </w:tc>
      </w:tr>
      <w:tr w:rsidR="00E4085F" w:rsidRPr="003B6A69" w14:paraId="49C79B7F" w14:textId="77777777" w:rsidTr="00EB5106">
        <w:trPr>
          <w:trHeight w:val="287"/>
        </w:trPr>
        <w:tc>
          <w:tcPr>
            <w:tcW w:w="2605" w:type="dxa"/>
            <w:shd w:val="clear" w:color="auto" w:fill="E7E6E6" w:themeFill="background2"/>
          </w:tcPr>
          <w:p w14:paraId="4FD7DB9C" w14:textId="759227C3" w:rsidR="00E4085F" w:rsidRPr="003B6A69" w:rsidRDefault="00580FAC" w:rsidP="00AE3EED">
            <w:pPr>
              <w:jc w:val="left"/>
              <w:rPr>
                <w:rFonts w:ascii="Times New Roman" w:hAnsi="Times New Roman"/>
                <w:b/>
                <w:bCs/>
                <w:i/>
                <w:sz w:val="18"/>
                <w:szCs w:val="18"/>
              </w:rPr>
            </w:pPr>
            <w:r w:rsidRPr="003B6A69">
              <w:rPr>
                <w:rFonts w:ascii="Times New Roman" w:hAnsi="Times New Roman"/>
                <w:b/>
                <w:bCs/>
                <w:sz w:val="18"/>
                <w:szCs w:val="18"/>
              </w:rPr>
              <w:t>Project C</w:t>
            </w:r>
            <w:r w:rsidR="00E4085F" w:rsidRPr="003B6A69">
              <w:rPr>
                <w:rFonts w:ascii="Times New Roman" w:hAnsi="Times New Roman"/>
                <w:b/>
                <w:bCs/>
                <w:sz w:val="18"/>
                <w:szCs w:val="18"/>
              </w:rPr>
              <w:t xml:space="preserve">omponent 1 </w:t>
            </w:r>
          </w:p>
        </w:tc>
        <w:tc>
          <w:tcPr>
            <w:tcW w:w="11813" w:type="dxa"/>
            <w:gridSpan w:val="4"/>
            <w:shd w:val="clear" w:color="auto" w:fill="E7E6E6" w:themeFill="background2"/>
          </w:tcPr>
          <w:p w14:paraId="2710C7A4" w14:textId="77777777" w:rsidR="00E4085F" w:rsidRPr="003B6A69" w:rsidRDefault="00E4085F" w:rsidP="00AE3EED">
            <w:pPr>
              <w:jc w:val="left"/>
              <w:rPr>
                <w:b/>
                <w:bCs/>
                <w:sz w:val="18"/>
                <w:szCs w:val="18"/>
              </w:rPr>
            </w:pPr>
            <w:r w:rsidRPr="003B6A69">
              <w:rPr>
                <w:b/>
                <w:bCs/>
                <w:sz w:val="18"/>
                <w:szCs w:val="18"/>
              </w:rPr>
              <w:t>Protection of valuable and/or vulnerable biodiversity within the KBAs and biodiversity buffer zones</w:t>
            </w:r>
          </w:p>
        </w:tc>
      </w:tr>
      <w:tr w:rsidR="00E4085F" w:rsidRPr="003B6A69" w14:paraId="2E6089C2" w14:textId="77777777" w:rsidTr="00195776">
        <w:trPr>
          <w:trHeight w:val="575"/>
        </w:trPr>
        <w:tc>
          <w:tcPr>
            <w:tcW w:w="2605" w:type="dxa"/>
            <w:vMerge w:val="restart"/>
            <w:shd w:val="clear" w:color="auto" w:fill="D9D9D9" w:themeFill="background1" w:themeFillShade="D9"/>
          </w:tcPr>
          <w:p w14:paraId="09A52477" w14:textId="77777777" w:rsidR="00E4085F" w:rsidRPr="003B6A69" w:rsidRDefault="00E4085F" w:rsidP="00AE3EED">
            <w:pPr>
              <w:jc w:val="left"/>
              <w:rPr>
                <w:rFonts w:ascii="Times New Roman" w:hAnsi="Times New Roman"/>
                <w:b/>
                <w:bCs/>
                <w:sz w:val="18"/>
                <w:szCs w:val="18"/>
              </w:rPr>
            </w:pPr>
            <w:r w:rsidRPr="003B6A69">
              <w:rPr>
                <w:rFonts w:ascii="Times New Roman" w:hAnsi="Times New Roman"/>
                <w:b/>
                <w:bCs/>
                <w:sz w:val="18"/>
                <w:szCs w:val="18"/>
              </w:rPr>
              <w:t>Project Outcome 1: Capacity of the existing national protected areas strengthened to better address the key threats to globally significant biodiversity</w:t>
            </w:r>
          </w:p>
          <w:p w14:paraId="1F74AE18" w14:textId="77777777" w:rsidR="00E4085F" w:rsidRPr="003B6A69" w:rsidRDefault="00E4085F" w:rsidP="00AE3EED">
            <w:pPr>
              <w:jc w:val="left"/>
              <w:rPr>
                <w:rFonts w:ascii="Times New Roman" w:hAnsi="Times New Roman"/>
                <w:b/>
                <w:bCs/>
                <w:i/>
                <w:sz w:val="18"/>
                <w:szCs w:val="18"/>
              </w:rPr>
            </w:pPr>
          </w:p>
          <w:p w14:paraId="5A477F6C" w14:textId="77777777" w:rsidR="00E4085F" w:rsidRPr="003B6A69" w:rsidRDefault="00E4085F" w:rsidP="00AE3EED">
            <w:pPr>
              <w:jc w:val="left"/>
              <w:rPr>
                <w:rFonts w:ascii="Times New Roman" w:hAnsi="Times New Roman"/>
                <w:bCs/>
                <w:i/>
                <w:sz w:val="18"/>
                <w:szCs w:val="18"/>
              </w:rPr>
            </w:pPr>
          </w:p>
        </w:tc>
        <w:tc>
          <w:tcPr>
            <w:tcW w:w="4230" w:type="dxa"/>
            <w:shd w:val="clear" w:color="auto" w:fill="FFFFFF" w:themeFill="background1"/>
          </w:tcPr>
          <w:p w14:paraId="03F02EA0" w14:textId="3C927477" w:rsidR="00E4085F" w:rsidRPr="003B6A69" w:rsidRDefault="00E4085F" w:rsidP="00202509">
            <w:pPr>
              <w:jc w:val="left"/>
              <w:rPr>
                <w:bCs/>
                <w:i/>
                <w:sz w:val="18"/>
                <w:szCs w:val="18"/>
              </w:rPr>
            </w:pPr>
            <w:r w:rsidRPr="003B6A69">
              <w:rPr>
                <w:bCs/>
                <w:i/>
                <w:sz w:val="18"/>
                <w:szCs w:val="18"/>
              </w:rPr>
              <w:t xml:space="preserve">Indicator </w:t>
            </w:r>
            <w:r w:rsidR="00202509" w:rsidRPr="003B6A69">
              <w:rPr>
                <w:bCs/>
                <w:i/>
                <w:sz w:val="18"/>
                <w:szCs w:val="18"/>
              </w:rPr>
              <w:t>4</w:t>
            </w:r>
            <w:r w:rsidRPr="003B6A69">
              <w:rPr>
                <w:bCs/>
                <w:i/>
                <w:sz w:val="18"/>
                <w:szCs w:val="18"/>
              </w:rPr>
              <w:t xml:space="preserve">: </w:t>
            </w:r>
            <w:r w:rsidRPr="003B6A69">
              <w:rPr>
                <w:bCs/>
                <w:sz w:val="18"/>
                <w:szCs w:val="18"/>
              </w:rPr>
              <w:t>At least 10% increase in METT score for the targeted national PAs</w:t>
            </w:r>
          </w:p>
        </w:tc>
        <w:tc>
          <w:tcPr>
            <w:tcW w:w="2610" w:type="dxa"/>
            <w:shd w:val="clear" w:color="auto" w:fill="FFFFFF" w:themeFill="background1"/>
          </w:tcPr>
          <w:p w14:paraId="03E62B69" w14:textId="6F9E3243" w:rsidR="00195776" w:rsidRPr="003B6A69" w:rsidRDefault="00195776" w:rsidP="00195776">
            <w:pPr>
              <w:jc w:val="left"/>
              <w:rPr>
                <w:bCs/>
                <w:i/>
                <w:sz w:val="16"/>
                <w:szCs w:val="16"/>
              </w:rPr>
            </w:pPr>
            <w:proofErr w:type="spellStart"/>
            <w:r w:rsidRPr="003B6A69">
              <w:rPr>
                <w:bCs/>
                <w:i/>
                <w:sz w:val="16"/>
                <w:szCs w:val="16"/>
              </w:rPr>
              <w:t>Durmitor</w:t>
            </w:r>
            <w:proofErr w:type="spellEnd"/>
            <w:r w:rsidRPr="003B6A69">
              <w:rPr>
                <w:bCs/>
                <w:i/>
                <w:sz w:val="16"/>
                <w:szCs w:val="16"/>
              </w:rPr>
              <w:t xml:space="preserve"> National park</w:t>
            </w:r>
            <w:r w:rsidR="00EB5106">
              <w:rPr>
                <w:bCs/>
                <w:i/>
                <w:sz w:val="16"/>
                <w:szCs w:val="16"/>
              </w:rPr>
              <w:t xml:space="preserve"> - </w:t>
            </w:r>
            <w:r w:rsidRPr="003B6A69">
              <w:rPr>
                <w:bCs/>
                <w:i/>
                <w:sz w:val="16"/>
                <w:szCs w:val="16"/>
              </w:rPr>
              <w:t>64</w:t>
            </w:r>
          </w:p>
          <w:p w14:paraId="301C05A1" w14:textId="2AF6EFDB" w:rsidR="00195776" w:rsidRPr="003B6A69" w:rsidRDefault="00195776" w:rsidP="00195776">
            <w:pPr>
              <w:jc w:val="left"/>
              <w:rPr>
                <w:bCs/>
                <w:i/>
                <w:sz w:val="16"/>
                <w:szCs w:val="16"/>
              </w:rPr>
            </w:pPr>
            <w:proofErr w:type="spellStart"/>
            <w:r w:rsidRPr="003B6A69">
              <w:rPr>
                <w:bCs/>
                <w:i/>
                <w:sz w:val="16"/>
                <w:szCs w:val="16"/>
              </w:rPr>
              <w:t>Biogradska</w:t>
            </w:r>
            <w:proofErr w:type="spellEnd"/>
            <w:r w:rsidRPr="003B6A69">
              <w:rPr>
                <w:bCs/>
                <w:i/>
                <w:sz w:val="16"/>
                <w:szCs w:val="16"/>
              </w:rPr>
              <w:t xml:space="preserve"> Gora National park</w:t>
            </w:r>
            <w:r w:rsidR="00EB5106">
              <w:rPr>
                <w:bCs/>
                <w:i/>
                <w:sz w:val="16"/>
                <w:szCs w:val="16"/>
              </w:rPr>
              <w:t xml:space="preserve"> - </w:t>
            </w:r>
            <w:r w:rsidRPr="003B6A69">
              <w:rPr>
                <w:bCs/>
                <w:i/>
                <w:sz w:val="16"/>
                <w:szCs w:val="16"/>
              </w:rPr>
              <w:t>66</w:t>
            </w:r>
          </w:p>
          <w:p w14:paraId="3E10CAF4" w14:textId="4B2A7227" w:rsidR="00195776" w:rsidRPr="003B6A69" w:rsidRDefault="00195776" w:rsidP="00195776">
            <w:pPr>
              <w:jc w:val="left"/>
              <w:rPr>
                <w:bCs/>
                <w:i/>
                <w:sz w:val="16"/>
                <w:szCs w:val="16"/>
              </w:rPr>
            </w:pPr>
            <w:proofErr w:type="spellStart"/>
            <w:r w:rsidRPr="003B6A69">
              <w:rPr>
                <w:bCs/>
                <w:i/>
                <w:sz w:val="16"/>
                <w:szCs w:val="16"/>
              </w:rPr>
              <w:t>Skadar</w:t>
            </w:r>
            <w:proofErr w:type="spellEnd"/>
            <w:r w:rsidRPr="003B6A69">
              <w:rPr>
                <w:bCs/>
                <w:i/>
                <w:sz w:val="16"/>
                <w:szCs w:val="16"/>
              </w:rPr>
              <w:t xml:space="preserve"> Lake National Park</w:t>
            </w:r>
            <w:r w:rsidR="00EB5106">
              <w:rPr>
                <w:bCs/>
                <w:i/>
                <w:sz w:val="16"/>
                <w:szCs w:val="16"/>
              </w:rPr>
              <w:t xml:space="preserve"> - </w:t>
            </w:r>
            <w:r w:rsidRPr="003B6A69">
              <w:rPr>
                <w:bCs/>
                <w:i/>
                <w:sz w:val="16"/>
                <w:szCs w:val="16"/>
              </w:rPr>
              <w:t>57</w:t>
            </w:r>
          </w:p>
          <w:p w14:paraId="2546C7D6" w14:textId="7ADC8ECA" w:rsidR="00195776" w:rsidRPr="003B6A69" w:rsidRDefault="00195776" w:rsidP="00195776">
            <w:pPr>
              <w:jc w:val="left"/>
              <w:rPr>
                <w:bCs/>
                <w:i/>
                <w:sz w:val="16"/>
                <w:szCs w:val="16"/>
              </w:rPr>
            </w:pPr>
            <w:proofErr w:type="spellStart"/>
            <w:r w:rsidRPr="003B6A69">
              <w:rPr>
                <w:bCs/>
                <w:i/>
                <w:sz w:val="16"/>
                <w:szCs w:val="16"/>
              </w:rPr>
              <w:t>Orjen</w:t>
            </w:r>
            <w:proofErr w:type="spellEnd"/>
            <w:r w:rsidRPr="003B6A69">
              <w:rPr>
                <w:bCs/>
                <w:i/>
                <w:sz w:val="16"/>
                <w:szCs w:val="16"/>
              </w:rPr>
              <w:t xml:space="preserve"> Nature Park</w:t>
            </w:r>
            <w:r w:rsidR="00EB5106">
              <w:rPr>
                <w:bCs/>
                <w:i/>
                <w:sz w:val="16"/>
                <w:szCs w:val="16"/>
              </w:rPr>
              <w:t xml:space="preserve"> - </w:t>
            </w:r>
            <w:r w:rsidRPr="003B6A69">
              <w:rPr>
                <w:bCs/>
                <w:i/>
                <w:sz w:val="16"/>
                <w:szCs w:val="16"/>
              </w:rPr>
              <w:t>43</w:t>
            </w:r>
          </w:p>
          <w:p w14:paraId="276D2460" w14:textId="4609876C" w:rsidR="00195776" w:rsidRPr="003B6A69" w:rsidRDefault="00195776" w:rsidP="00195776">
            <w:pPr>
              <w:jc w:val="left"/>
              <w:rPr>
                <w:bCs/>
                <w:i/>
                <w:sz w:val="16"/>
                <w:szCs w:val="16"/>
              </w:rPr>
            </w:pPr>
            <w:proofErr w:type="spellStart"/>
            <w:r w:rsidRPr="003B6A69">
              <w:rPr>
                <w:bCs/>
                <w:i/>
                <w:sz w:val="16"/>
                <w:szCs w:val="16"/>
              </w:rPr>
              <w:t>Dragisnica-Komarnica</w:t>
            </w:r>
            <w:proofErr w:type="spellEnd"/>
            <w:r w:rsidRPr="003B6A69">
              <w:rPr>
                <w:bCs/>
                <w:i/>
                <w:sz w:val="16"/>
                <w:szCs w:val="16"/>
              </w:rPr>
              <w:t xml:space="preserve"> Nature Park</w:t>
            </w:r>
            <w:r w:rsidR="00EB5106">
              <w:rPr>
                <w:bCs/>
                <w:i/>
                <w:sz w:val="16"/>
                <w:szCs w:val="16"/>
              </w:rPr>
              <w:t xml:space="preserve"> - </w:t>
            </w:r>
            <w:r w:rsidRPr="003B6A69">
              <w:rPr>
                <w:bCs/>
                <w:i/>
                <w:sz w:val="16"/>
                <w:szCs w:val="16"/>
              </w:rPr>
              <w:t>37</w:t>
            </w:r>
          </w:p>
          <w:p w14:paraId="2119433B" w14:textId="1EFE6CA8" w:rsidR="00195776" w:rsidRPr="003B6A69" w:rsidRDefault="00195776" w:rsidP="00195776">
            <w:pPr>
              <w:jc w:val="left"/>
              <w:rPr>
                <w:bCs/>
                <w:i/>
                <w:sz w:val="16"/>
                <w:szCs w:val="16"/>
              </w:rPr>
            </w:pPr>
            <w:proofErr w:type="spellStart"/>
            <w:r w:rsidRPr="003B6A69">
              <w:rPr>
                <w:bCs/>
                <w:i/>
                <w:sz w:val="16"/>
                <w:szCs w:val="16"/>
              </w:rPr>
              <w:t>Piva</w:t>
            </w:r>
            <w:proofErr w:type="spellEnd"/>
            <w:r w:rsidRPr="003B6A69">
              <w:rPr>
                <w:bCs/>
                <w:i/>
                <w:sz w:val="16"/>
                <w:szCs w:val="16"/>
              </w:rPr>
              <w:t xml:space="preserve"> Nature Park</w:t>
            </w:r>
            <w:r w:rsidR="00EB5106">
              <w:rPr>
                <w:bCs/>
                <w:i/>
                <w:sz w:val="16"/>
                <w:szCs w:val="16"/>
              </w:rPr>
              <w:t xml:space="preserve"> - </w:t>
            </w:r>
            <w:r w:rsidRPr="003B6A69">
              <w:rPr>
                <w:bCs/>
                <w:i/>
                <w:sz w:val="16"/>
                <w:szCs w:val="16"/>
              </w:rPr>
              <w:t>60</w:t>
            </w:r>
          </w:p>
          <w:p w14:paraId="6134E56E" w14:textId="0AC39620" w:rsidR="00195776" w:rsidRPr="003B6A69" w:rsidRDefault="00195776" w:rsidP="00195776">
            <w:pPr>
              <w:jc w:val="left"/>
              <w:rPr>
                <w:bCs/>
                <w:i/>
                <w:sz w:val="16"/>
                <w:szCs w:val="16"/>
              </w:rPr>
            </w:pPr>
            <w:proofErr w:type="spellStart"/>
            <w:r w:rsidRPr="003B6A69">
              <w:rPr>
                <w:bCs/>
                <w:i/>
                <w:sz w:val="16"/>
                <w:szCs w:val="16"/>
              </w:rPr>
              <w:t>Komovi</w:t>
            </w:r>
            <w:proofErr w:type="spellEnd"/>
            <w:r w:rsidRPr="003B6A69">
              <w:rPr>
                <w:bCs/>
                <w:i/>
                <w:sz w:val="16"/>
                <w:szCs w:val="16"/>
              </w:rPr>
              <w:t xml:space="preserve"> Nature Park</w:t>
            </w:r>
            <w:r w:rsidR="00EB5106">
              <w:rPr>
                <w:bCs/>
                <w:i/>
                <w:sz w:val="16"/>
                <w:szCs w:val="16"/>
              </w:rPr>
              <w:t xml:space="preserve"> - </w:t>
            </w:r>
            <w:r w:rsidRPr="003B6A69">
              <w:rPr>
                <w:bCs/>
                <w:i/>
                <w:sz w:val="16"/>
                <w:szCs w:val="16"/>
              </w:rPr>
              <w:t>21</w:t>
            </w:r>
          </w:p>
          <w:p w14:paraId="3039622E" w14:textId="098179DE" w:rsidR="00E4085F" w:rsidRPr="003B6A69" w:rsidRDefault="00195776" w:rsidP="00195776">
            <w:pPr>
              <w:jc w:val="left"/>
              <w:rPr>
                <w:bCs/>
                <w:i/>
                <w:sz w:val="18"/>
                <w:szCs w:val="18"/>
              </w:rPr>
            </w:pPr>
            <w:proofErr w:type="spellStart"/>
            <w:r w:rsidRPr="003B6A69">
              <w:rPr>
                <w:bCs/>
                <w:i/>
                <w:sz w:val="16"/>
                <w:szCs w:val="16"/>
              </w:rPr>
              <w:t>Ulcinjska</w:t>
            </w:r>
            <w:proofErr w:type="spellEnd"/>
            <w:r w:rsidRPr="003B6A69">
              <w:rPr>
                <w:bCs/>
                <w:i/>
                <w:sz w:val="16"/>
                <w:szCs w:val="16"/>
              </w:rPr>
              <w:t xml:space="preserve"> Solana Nature Park</w:t>
            </w:r>
            <w:r w:rsidR="00EB5106">
              <w:rPr>
                <w:bCs/>
                <w:i/>
                <w:sz w:val="16"/>
                <w:szCs w:val="16"/>
              </w:rPr>
              <w:t xml:space="preserve"> - </w:t>
            </w:r>
            <w:r w:rsidRPr="003B6A69">
              <w:rPr>
                <w:bCs/>
                <w:i/>
                <w:sz w:val="16"/>
                <w:szCs w:val="16"/>
              </w:rPr>
              <w:t>38</w:t>
            </w:r>
          </w:p>
        </w:tc>
        <w:tc>
          <w:tcPr>
            <w:tcW w:w="2070" w:type="dxa"/>
            <w:shd w:val="clear" w:color="auto" w:fill="FFFFFF" w:themeFill="background1"/>
          </w:tcPr>
          <w:p w14:paraId="24783F14" w14:textId="048D0744" w:rsidR="00E4085F" w:rsidRPr="003B6A69" w:rsidRDefault="00195776" w:rsidP="00AE3EED">
            <w:pPr>
              <w:jc w:val="left"/>
              <w:rPr>
                <w:bCs/>
                <w:i/>
                <w:sz w:val="18"/>
                <w:szCs w:val="18"/>
              </w:rPr>
            </w:pPr>
            <w:r w:rsidRPr="003B6A69">
              <w:rPr>
                <w:bCs/>
                <w:i/>
                <w:sz w:val="18"/>
                <w:szCs w:val="18"/>
              </w:rPr>
              <w:t>n/a</w:t>
            </w:r>
          </w:p>
        </w:tc>
        <w:tc>
          <w:tcPr>
            <w:tcW w:w="2903" w:type="dxa"/>
            <w:shd w:val="clear" w:color="auto" w:fill="FFFFFF" w:themeFill="background1"/>
          </w:tcPr>
          <w:p w14:paraId="5A94A5BE" w14:textId="702F27C4" w:rsidR="00195776" w:rsidRPr="003B6A69" w:rsidRDefault="00195776" w:rsidP="00195776">
            <w:pPr>
              <w:jc w:val="left"/>
              <w:rPr>
                <w:i/>
                <w:sz w:val="16"/>
                <w:szCs w:val="16"/>
              </w:rPr>
            </w:pPr>
            <w:proofErr w:type="spellStart"/>
            <w:r w:rsidRPr="003B6A69">
              <w:rPr>
                <w:i/>
                <w:sz w:val="16"/>
                <w:szCs w:val="16"/>
              </w:rPr>
              <w:t>Durmitor</w:t>
            </w:r>
            <w:proofErr w:type="spellEnd"/>
            <w:r w:rsidRPr="003B6A69">
              <w:rPr>
                <w:i/>
                <w:sz w:val="16"/>
                <w:szCs w:val="16"/>
              </w:rPr>
              <w:t xml:space="preserve"> National park</w:t>
            </w:r>
            <w:r w:rsidR="00EB5106">
              <w:rPr>
                <w:i/>
                <w:sz w:val="16"/>
                <w:szCs w:val="16"/>
              </w:rPr>
              <w:t xml:space="preserve"> - </w:t>
            </w:r>
            <w:r w:rsidRPr="003B6A69">
              <w:rPr>
                <w:i/>
                <w:sz w:val="16"/>
                <w:szCs w:val="16"/>
              </w:rPr>
              <w:t>70</w:t>
            </w:r>
          </w:p>
          <w:p w14:paraId="13A747E9" w14:textId="6B420AEC" w:rsidR="00195776" w:rsidRPr="003B6A69" w:rsidRDefault="00195776" w:rsidP="00195776">
            <w:pPr>
              <w:jc w:val="left"/>
              <w:rPr>
                <w:i/>
                <w:sz w:val="16"/>
                <w:szCs w:val="16"/>
              </w:rPr>
            </w:pPr>
            <w:proofErr w:type="spellStart"/>
            <w:r w:rsidRPr="003B6A69">
              <w:rPr>
                <w:i/>
                <w:sz w:val="16"/>
                <w:szCs w:val="16"/>
              </w:rPr>
              <w:t>Biogradska</w:t>
            </w:r>
            <w:proofErr w:type="spellEnd"/>
            <w:r w:rsidRPr="003B6A69">
              <w:rPr>
                <w:i/>
                <w:sz w:val="16"/>
                <w:szCs w:val="16"/>
              </w:rPr>
              <w:t xml:space="preserve"> Gora National park</w:t>
            </w:r>
            <w:r w:rsidR="00EB5106">
              <w:rPr>
                <w:i/>
                <w:sz w:val="16"/>
                <w:szCs w:val="16"/>
              </w:rPr>
              <w:t xml:space="preserve"> - </w:t>
            </w:r>
            <w:r w:rsidRPr="003B6A69">
              <w:rPr>
                <w:i/>
                <w:sz w:val="16"/>
                <w:szCs w:val="16"/>
              </w:rPr>
              <w:t>72</w:t>
            </w:r>
          </w:p>
          <w:p w14:paraId="137E7FFA" w14:textId="4816BDA1" w:rsidR="00195776" w:rsidRPr="003B6A69" w:rsidRDefault="00195776" w:rsidP="00195776">
            <w:pPr>
              <w:jc w:val="left"/>
              <w:rPr>
                <w:i/>
                <w:sz w:val="16"/>
                <w:szCs w:val="16"/>
              </w:rPr>
            </w:pPr>
            <w:proofErr w:type="spellStart"/>
            <w:r w:rsidRPr="003B6A69">
              <w:rPr>
                <w:i/>
                <w:sz w:val="16"/>
                <w:szCs w:val="16"/>
              </w:rPr>
              <w:t>Skadar</w:t>
            </w:r>
            <w:proofErr w:type="spellEnd"/>
            <w:r w:rsidRPr="003B6A69">
              <w:rPr>
                <w:i/>
                <w:sz w:val="16"/>
                <w:szCs w:val="16"/>
              </w:rPr>
              <w:t xml:space="preserve"> Lake National Park</w:t>
            </w:r>
            <w:r w:rsidR="00EB5106">
              <w:rPr>
                <w:i/>
                <w:sz w:val="16"/>
                <w:szCs w:val="16"/>
              </w:rPr>
              <w:t xml:space="preserve"> - </w:t>
            </w:r>
            <w:r w:rsidRPr="003B6A69">
              <w:rPr>
                <w:i/>
                <w:sz w:val="16"/>
                <w:szCs w:val="16"/>
              </w:rPr>
              <w:t>62</w:t>
            </w:r>
          </w:p>
          <w:p w14:paraId="7700547C" w14:textId="4469868B" w:rsidR="00195776" w:rsidRPr="003B6A69" w:rsidRDefault="00195776" w:rsidP="00195776">
            <w:pPr>
              <w:jc w:val="left"/>
              <w:rPr>
                <w:i/>
                <w:sz w:val="16"/>
                <w:szCs w:val="16"/>
              </w:rPr>
            </w:pPr>
            <w:proofErr w:type="spellStart"/>
            <w:r w:rsidRPr="003B6A69">
              <w:rPr>
                <w:i/>
                <w:sz w:val="16"/>
                <w:szCs w:val="16"/>
              </w:rPr>
              <w:t>Orjen</w:t>
            </w:r>
            <w:proofErr w:type="spellEnd"/>
            <w:r w:rsidRPr="003B6A69">
              <w:rPr>
                <w:i/>
                <w:sz w:val="16"/>
                <w:szCs w:val="16"/>
              </w:rPr>
              <w:t xml:space="preserve"> Nature Park</w:t>
            </w:r>
            <w:r w:rsidR="00EB5106">
              <w:rPr>
                <w:i/>
                <w:sz w:val="16"/>
                <w:szCs w:val="16"/>
              </w:rPr>
              <w:t xml:space="preserve"> - </w:t>
            </w:r>
            <w:r w:rsidRPr="003B6A69">
              <w:rPr>
                <w:i/>
                <w:sz w:val="16"/>
                <w:szCs w:val="16"/>
              </w:rPr>
              <w:t>46</w:t>
            </w:r>
          </w:p>
          <w:p w14:paraId="62B621DD" w14:textId="76703885" w:rsidR="00195776" w:rsidRPr="003B6A69" w:rsidRDefault="00195776" w:rsidP="00195776">
            <w:pPr>
              <w:jc w:val="left"/>
              <w:rPr>
                <w:i/>
                <w:sz w:val="16"/>
                <w:szCs w:val="16"/>
              </w:rPr>
            </w:pPr>
            <w:proofErr w:type="spellStart"/>
            <w:r w:rsidRPr="003B6A69">
              <w:rPr>
                <w:i/>
                <w:sz w:val="16"/>
                <w:szCs w:val="16"/>
              </w:rPr>
              <w:t>Dragisnica-Komarnica</w:t>
            </w:r>
            <w:proofErr w:type="spellEnd"/>
            <w:r w:rsidRPr="003B6A69">
              <w:rPr>
                <w:i/>
                <w:sz w:val="16"/>
                <w:szCs w:val="16"/>
              </w:rPr>
              <w:t xml:space="preserve"> Nature Park</w:t>
            </w:r>
            <w:r w:rsidR="00EB5106">
              <w:rPr>
                <w:i/>
                <w:sz w:val="16"/>
                <w:szCs w:val="16"/>
              </w:rPr>
              <w:t xml:space="preserve"> - </w:t>
            </w:r>
            <w:r w:rsidRPr="003B6A69">
              <w:rPr>
                <w:i/>
                <w:sz w:val="16"/>
                <w:szCs w:val="16"/>
              </w:rPr>
              <w:t>42</w:t>
            </w:r>
          </w:p>
          <w:p w14:paraId="003E0F34" w14:textId="6031ADB1" w:rsidR="00195776" w:rsidRPr="003B6A69" w:rsidRDefault="00195776" w:rsidP="00195776">
            <w:pPr>
              <w:jc w:val="left"/>
              <w:rPr>
                <w:i/>
                <w:sz w:val="16"/>
                <w:szCs w:val="16"/>
              </w:rPr>
            </w:pPr>
            <w:proofErr w:type="spellStart"/>
            <w:r w:rsidRPr="003B6A69">
              <w:rPr>
                <w:i/>
                <w:sz w:val="16"/>
                <w:szCs w:val="16"/>
              </w:rPr>
              <w:t>Piva</w:t>
            </w:r>
            <w:proofErr w:type="spellEnd"/>
            <w:r w:rsidRPr="003B6A69">
              <w:rPr>
                <w:i/>
                <w:sz w:val="16"/>
                <w:szCs w:val="16"/>
              </w:rPr>
              <w:t xml:space="preserve"> Nature Park</w:t>
            </w:r>
            <w:r w:rsidR="00EB5106">
              <w:rPr>
                <w:i/>
                <w:sz w:val="16"/>
                <w:szCs w:val="16"/>
              </w:rPr>
              <w:t xml:space="preserve"> - </w:t>
            </w:r>
            <w:r w:rsidRPr="003B6A69">
              <w:rPr>
                <w:i/>
                <w:sz w:val="16"/>
                <w:szCs w:val="16"/>
              </w:rPr>
              <w:t>65</w:t>
            </w:r>
          </w:p>
          <w:p w14:paraId="67D9F14A" w14:textId="616CD8FC" w:rsidR="00195776" w:rsidRPr="003B6A69" w:rsidRDefault="00195776" w:rsidP="00195776">
            <w:pPr>
              <w:jc w:val="left"/>
              <w:rPr>
                <w:i/>
                <w:sz w:val="16"/>
                <w:szCs w:val="16"/>
              </w:rPr>
            </w:pPr>
            <w:proofErr w:type="spellStart"/>
            <w:r w:rsidRPr="003B6A69">
              <w:rPr>
                <w:i/>
                <w:sz w:val="16"/>
                <w:szCs w:val="16"/>
              </w:rPr>
              <w:t>Komovi</w:t>
            </w:r>
            <w:proofErr w:type="spellEnd"/>
            <w:r w:rsidRPr="003B6A69">
              <w:rPr>
                <w:i/>
                <w:sz w:val="16"/>
                <w:szCs w:val="16"/>
              </w:rPr>
              <w:t xml:space="preserve"> Nature Park</w:t>
            </w:r>
            <w:r w:rsidR="00EB5106">
              <w:rPr>
                <w:i/>
                <w:sz w:val="16"/>
                <w:szCs w:val="16"/>
              </w:rPr>
              <w:t xml:space="preserve"> - </w:t>
            </w:r>
            <w:r w:rsidRPr="003B6A69">
              <w:rPr>
                <w:i/>
                <w:sz w:val="16"/>
                <w:szCs w:val="16"/>
              </w:rPr>
              <w:tab/>
              <w:t>22</w:t>
            </w:r>
          </w:p>
          <w:p w14:paraId="341896DE" w14:textId="12EDB4E6" w:rsidR="00E4085F" w:rsidRPr="003B6A69" w:rsidRDefault="00195776" w:rsidP="00195776">
            <w:pPr>
              <w:jc w:val="left"/>
              <w:rPr>
                <w:i/>
              </w:rPr>
            </w:pPr>
            <w:proofErr w:type="spellStart"/>
            <w:r w:rsidRPr="003B6A69">
              <w:rPr>
                <w:i/>
                <w:sz w:val="16"/>
                <w:szCs w:val="16"/>
              </w:rPr>
              <w:t>Ulcinjska</w:t>
            </w:r>
            <w:proofErr w:type="spellEnd"/>
            <w:r w:rsidRPr="003B6A69">
              <w:rPr>
                <w:i/>
                <w:sz w:val="16"/>
                <w:szCs w:val="16"/>
              </w:rPr>
              <w:t xml:space="preserve"> Solana Nature Park</w:t>
            </w:r>
            <w:r w:rsidR="00EB5106">
              <w:rPr>
                <w:i/>
                <w:sz w:val="16"/>
                <w:szCs w:val="16"/>
              </w:rPr>
              <w:t xml:space="preserve"> - </w:t>
            </w:r>
            <w:r w:rsidRPr="003B6A69">
              <w:rPr>
                <w:i/>
                <w:sz w:val="16"/>
                <w:szCs w:val="16"/>
              </w:rPr>
              <w:t>40</w:t>
            </w:r>
          </w:p>
        </w:tc>
      </w:tr>
      <w:tr w:rsidR="00E4085F" w:rsidRPr="003B6A69" w14:paraId="691539D6" w14:textId="77777777" w:rsidTr="00195776">
        <w:trPr>
          <w:trHeight w:val="584"/>
        </w:trPr>
        <w:tc>
          <w:tcPr>
            <w:tcW w:w="2605" w:type="dxa"/>
            <w:vMerge/>
            <w:shd w:val="clear" w:color="auto" w:fill="D9D9D9" w:themeFill="background1" w:themeFillShade="D9"/>
          </w:tcPr>
          <w:p w14:paraId="4891996A" w14:textId="77777777" w:rsidR="00E4085F" w:rsidRPr="003B6A69" w:rsidRDefault="00E4085F" w:rsidP="00AE3EED">
            <w:pPr>
              <w:jc w:val="left"/>
              <w:rPr>
                <w:rFonts w:ascii="Times New Roman" w:hAnsi="Times New Roman"/>
                <w:b/>
                <w:bCs/>
                <w:sz w:val="18"/>
                <w:szCs w:val="18"/>
              </w:rPr>
            </w:pPr>
          </w:p>
        </w:tc>
        <w:tc>
          <w:tcPr>
            <w:tcW w:w="4230" w:type="dxa"/>
            <w:shd w:val="clear" w:color="auto" w:fill="FFFFFF" w:themeFill="background1"/>
          </w:tcPr>
          <w:p w14:paraId="14B74B5B" w14:textId="3D856E93" w:rsidR="00E4085F" w:rsidRPr="003B6A69" w:rsidRDefault="00E4085F" w:rsidP="00202509">
            <w:r w:rsidRPr="003B6A69">
              <w:rPr>
                <w:bCs/>
                <w:i/>
                <w:sz w:val="18"/>
                <w:szCs w:val="18"/>
              </w:rPr>
              <w:t xml:space="preserve">Indicator </w:t>
            </w:r>
            <w:r w:rsidR="00202509" w:rsidRPr="003B6A69">
              <w:rPr>
                <w:bCs/>
                <w:i/>
                <w:sz w:val="18"/>
                <w:szCs w:val="18"/>
              </w:rPr>
              <w:t>5</w:t>
            </w:r>
            <w:r w:rsidRPr="003B6A69">
              <w:rPr>
                <w:bCs/>
                <w:i/>
                <w:sz w:val="18"/>
                <w:szCs w:val="18"/>
              </w:rPr>
              <w:t xml:space="preserve">: </w:t>
            </w:r>
            <w:r w:rsidRPr="003B6A69">
              <w:rPr>
                <w:bCs/>
                <w:sz w:val="18"/>
                <w:szCs w:val="18"/>
              </w:rPr>
              <w:t>International nominations (UNESCO, Ramsar) under improved management at 280,000 ha</w:t>
            </w:r>
          </w:p>
        </w:tc>
        <w:tc>
          <w:tcPr>
            <w:tcW w:w="2610" w:type="dxa"/>
            <w:shd w:val="clear" w:color="auto" w:fill="FFFFFF" w:themeFill="background1"/>
          </w:tcPr>
          <w:p w14:paraId="56D29F59" w14:textId="77777777" w:rsidR="00E4085F" w:rsidRPr="003B6A69" w:rsidRDefault="00E4085F" w:rsidP="00AE3EED">
            <w:pPr>
              <w:jc w:val="left"/>
              <w:rPr>
                <w:bCs/>
                <w:i/>
                <w:sz w:val="18"/>
                <w:szCs w:val="18"/>
              </w:rPr>
            </w:pPr>
            <w:r w:rsidRPr="003B6A69">
              <w:rPr>
                <w:bCs/>
                <w:i/>
                <w:sz w:val="18"/>
                <w:szCs w:val="18"/>
              </w:rPr>
              <w:t>0</w:t>
            </w:r>
          </w:p>
        </w:tc>
        <w:tc>
          <w:tcPr>
            <w:tcW w:w="2070" w:type="dxa"/>
            <w:shd w:val="clear" w:color="auto" w:fill="FFFFFF" w:themeFill="background1"/>
          </w:tcPr>
          <w:p w14:paraId="6938097F" w14:textId="77777777" w:rsidR="00E4085F" w:rsidRPr="003B6A69" w:rsidRDefault="00E4085F" w:rsidP="00AE3EED">
            <w:pPr>
              <w:jc w:val="left"/>
              <w:rPr>
                <w:bCs/>
                <w:i/>
                <w:sz w:val="18"/>
                <w:szCs w:val="18"/>
              </w:rPr>
            </w:pPr>
            <w:r w:rsidRPr="003B6A69">
              <w:rPr>
                <w:bCs/>
                <w:i/>
                <w:sz w:val="18"/>
                <w:szCs w:val="18"/>
              </w:rPr>
              <w:t>0</w:t>
            </w:r>
          </w:p>
        </w:tc>
        <w:tc>
          <w:tcPr>
            <w:tcW w:w="2903" w:type="dxa"/>
            <w:shd w:val="clear" w:color="auto" w:fill="FFFFFF" w:themeFill="background1"/>
          </w:tcPr>
          <w:p w14:paraId="25D14A1E" w14:textId="77777777" w:rsidR="00E4085F" w:rsidRPr="003B6A69" w:rsidRDefault="00E4085F" w:rsidP="00AE3EED">
            <w:pPr>
              <w:jc w:val="left"/>
              <w:rPr>
                <w:i/>
                <w:sz w:val="18"/>
                <w:szCs w:val="18"/>
              </w:rPr>
            </w:pPr>
            <w:r w:rsidRPr="003B6A69">
              <w:rPr>
                <w:bCs/>
                <w:i/>
                <w:sz w:val="18"/>
                <w:szCs w:val="18"/>
              </w:rPr>
              <w:t>287,707 ha</w:t>
            </w:r>
          </w:p>
        </w:tc>
      </w:tr>
      <w:tr w:rsidR="00E4085F" w:rsidRPr="003B6A69" w14:paraId="13E41572" w14:textId="77777777" w:rsidTr="00AE3EED">
        <w:trPr>
          <w:trHeight w:val="620"/>
        </w:trPr>
        <w:tc>
          <w:tcPr>
            <w:tcW w:w="2605" w:type="dxa"/>
            <w:shd w:val="clear" w:color="auto" w:fill="D9D9D9" w:themeFill="background1" w:themeFillShade="D9"/>
          </w:tcPr>
          <w:p w14:paraId="6E58B7E2" w14:textId="77777777" w:rsidR="00E4085F" w:rsidRPr="003B6A69" w:rsidRDefault="00E4085F" w:rsidP="00AE3EED">
            <w:pPr>
              <w:jc w:val="left"/>
              <w:rPr>
                <w:rFonts w:ascii="Times New Roman" w:hAnsi="Times New Roman"/>
                <w:b/>
                <w:bCs/>
                <w:sz w:val="18"/>
                <w:szCs w:val="18"/>
              </w:rPr>
            </w:pPr>
            <w:r w:rsidRPr="003B6A69">
              <w:rPr>
                <w:rFonts w:ascii="Times New Roman" w:hAnsi="Times New Roman"/>
                <w:b/>
                <w:bCs/>
                <w:sz w:val="18"/>
                <w:szCs w:val="18"/>
              </w:rPr>
              <w:t>Outputs to achieve Outcome 1</w:t>
            </w:r>
          </w:p>
        </w:tc>
        <w:tc>
          <w:tcPr>
            <w:tcW w:w="11813" w:type="dxa"/>
            <w:gridSpan w:val="4"/>
            <w:shd w:val="clear" w:color="auto" w:fill="FFFFFF" w:themeFill="background1"/>
          </w:tcPr>
          <w:p w14:paraId="5C933D94" w14:textId="77777777" w:rsidR="00E4085F" w:rsidRPr="003B6A69" w:rsidRDefault="00E4085F" w:rsidP="00AE3EED">
            <w:pPr>
              <w:jc w:val="left"/>
              <w:rPr>
                <w:bCs/>
                <w:i/>
                <w:sz w:val="18"/>
                <w:szCs w:val="18"/>
              </w:rPr>
            </w:pPr>
            <w:r w:rsidRPr="003B6A69">
              <w:rPr>
                <w:bCs/>
                <w:i/>
                <w:sz w:val="18"/>
                <w:szCs w:val="18"/>
              </w:rPr>
              <w:t xml:space="preserve">Output 1.1: Revised management planning of the existing national PAs addresses the KBA conservation needs, international UNESCO and Ramsar requirements, newly assessed </w:t>
            </w:r>
            <w:proofErr w:type="gramStart"/>
            <w:r w:rsidRPr="003B6A69">
              <w:rPr>
                <w:bCs/>
                <w:i/>
                <w:sz w:val="18"/>
                <w:szCs w:val="18"/>
              </w:rPr>
              <w:t>threats</w:t>
            </w:r>
            <w:proofErr w:type="gramEnd"/>
            <w:r w:rsidRPr="003B6A69">
              <w:rPr>
                <w:bCs/>
                <w:i/>
                <w:sz w:val="18"/>
                <w:szCs w:val="18"/>
              </w:rPr>
              <w:t xml:space="preserve"> and climate risks</w:t>
            </w:r>
          </w:p>
          <w:p w14:paraId="17AE46F0" w14:textId="77777777" w:rsidR="00E4085F" w:rsidRPr="003B6A69" w:rsidRDefault="00E4085F" w:rsidP="00AE3EED">
            <w:pPr>
              <w:jc w:val="left"/>
              <w:rPr>
                <w:bCs/>
                <w:i/>
                <w:sz w:val="18"/>
                <w:szCs w:val="18"/>
              </w:rPr>
            </w:pPr>
            <w:r w:rsidRPr="003B6A69">
              <w:rPr>
                <w:bCs/>
                <w:i/>
                <w:sz w:val="18"/>
                <w:szCs w:val="18"/>
              </w:rPr>
              <w:t>Output 1.2: Strengthened capacities of targeted PAs through incremental support for the implementation of the new management plan actions on patrolling, monitoring and enforcement, valorization of BD values; outreach to local communities</w:t>
            </w:r>
          </w:p>
        </w:tc>
      </w:tr>
      <w:tr w:rsidR="00E4085F" w:rsidRPr="003B6A69" w14:paraId="76CD1E07" w14:textId="77777777" w:rsidTr="00195776">
        <w:trPr>
          <w:trHeight w:val="485"/>
        </w:trPr>
        <w:tc>
          <w:tcPr>
            <w:tcW w:w="2605" w:type="dxa"/>
            <w:vMerge w:val="restart"/>
            <w:shd w:val="clear" w:color="auto" w:fill="D9D9D9" w:themeFill="background1" w:themeFillShade="D9"/>
          </w:tcPr>
          <w:p w14:paraId="301768FE" w14:textId="77777777" w:rsidR="00E4085F" w:rsidRPr="003B6A69" w:rsidRDefault="00E4085F" w:rsidP="00AE3EED">
            <w:pPr>
              <w:jc w:val="left"/>
              <w:rPr>
                <w:rFonts w:ascii="Times New Roman" w:hAnsi="Times New Roman"/>
                <w:b/>
                <w:bCs/>
                <w:sz w:val="18"/>
                <w:szCs w:val="18"/>
              </w:rPr>
            </w:pPr>
            <w:r w:rsidRPr="003B6A69">
              <w:rPr>
                <w:rFonts w:ascii="Times New Roman" w:hAnsi="Times New Roman"/>
                <w:b/>
                <w:bCs/>
                <w:sz w:val="18"/>
                <w:szCs w:val="18"/>
              </w:rPr>
              <w:t xml:space="preserve">Outcome 2: Biodiversity conservation arrangements in place for the biodiversity </w:t>
            </w:r>
            <w:proofErr w:type="gramStart"/>
            <w:r w:rsidRPr="003B6A69">
              <w:rPr>
                <w:rFonts w:ascii="Times New Roman" w:hAnsi="Times New Roman"/>
                <w:b/>
                <w:bCs/>
                <w:sz w:val="18"/>
                <w:szCs w:val="18"/>
              </w:rPr>
              <w:t>hot-spots</w:t>
            </w:r>
            <w:proofErr w:type="gramEnd"/>
            <w:r w:rsidRPr="003B6A69">
              <w:rPr>
                <w:rFonts w:ascii="Times New Roman" w:hAnsi="Times New Roman"/>
                <w:b/>
                <w:bCs/>
                <w:sz w:val="18"/>
                <w:szCs w:val="18"/>
              </w:rPr>
              <w:t xml:space="preserve"> outside the PAs</w:t>
            </w:r>
          </w:p>
          <w:p w14:paraId="0D23A30E" w14:textId="77777777" w:rsidR="00E4085F" w:rsidRPr="003B6A69" w:rsidRDefault="00E4085F" w:rsidP="00AE3EED">
            <w:pPr>
              <w:jc w:val="left"/>
              <w:rPr>
                <w:rFonts w:ascii="Times New Roman" w:hAnsi="Times New Roman"/>
                <w:b/>
                <w:bCs/>
                <w:sz w:val="18"/>
                <w:szCs w:val="18"/>
              </w:rPr>
            </w:pPr>
          </w:p>
          <w:p w14:paraId="2B330E34" w14:textId="77777777" w:rsidR="00E4085F" w:rsidRPr="003B6A69" w:rsidRDefault="00E4085F" w:rsidP="00AE3EED">
            <w:pPr>
              <w:jc w:val="left"/>
              <w:rPr>
                <w:rFonts w:ascii="Times New Roman" w:hAnsi="Times New Roman"/>
                <w:b/>
                <w:bCs/>
                <w:sz w:val="18"/>
                <w:szCs w:val="18"/>
              </w:rPr>
            </w:pPr>
          </w:p>
        </w:tc>
        <w:tc>
          <w:tcPr>
            <w:tcW w:w="4230" w:type="dxa"/>
            <w:shd w:val="clear" w:color="auto" w:fill="FFFFFF" w:themeFill="background1"/>
          </w:tcPr>
          <w:p w14:paraId="60B4AA9E" w14:textId="04DF45AF" w:rsidR="00E4085F" w:rsidRPr="00792600" w:rsidRDefault="00E4085F" w:rsidP="00202509">
            <w:pPr>
              <w:jc w:val="left"/>
              <w:rPr>
                <w:rFonts w:asciiTheme="minorHAnsi" w:hAnsiTheme="minorHAnsi"/>
                <w:bCs/>
                <w:i/>
                <w:sz w:val="18"/>
                <w:szCs w:val="18"/>
              </w:rPr>
            </w:pPr>
            <w:r w:rsidRPr="00792600">
              <w:rPr>
                <w:rFonts w:asciiTheme="minorHAnsi" w:hAnsiTheme="minorHAnsi"/>
                <w:bCs/>
                <w:i/>
                <w:sz w:val="18"/>
                <w:szCs w:val="18"/>
              </w:rPr>
              <w:t xml:space="preserve">Indicator </w:t>
            </w:r>
            <w:r w:rsidR="00202509" w:rsidRPr="00792600">
              <w:rPr>
                <w:rFonts w:asciiTheme="minorHAnsi" w:hAnsiTheme="minorHAnsi"/>
                <w:bCs/>
                <w:i/>
                <w:sz w:val="18"/>
                <w:szCs w:val="18"/>
              </w:rPr>
              <w:t>6</w:t>
            </w:r>
            <w:r w:rsidRPr="00792600">
              <w:rPr>
                <w:rFonts w:asciiTheme="minorHAnsi" w:hAnsiTheme="minorHAnsi"/>
                <w:bCs/>
                <w:i/>
                <w:sz w:val="18"/>
                <w:szCs w:val="18"/>
              </w:rPr>
              <w:t xml:space="preserve">: </w:t>
            </w:r>
            <w:r w:rsidRPr="00792600">
              <w:rPr>
                <w:rFonts w:asciiTheme="minorHAnsi" w:hAnsiTheme="minorHAnsi"/>
                <w:bCs/>
                <w:sz w:val="18"/>
                <w:szCs w:val="18"/>
              </w:rPr>
              <w:t>Biodiversity conservation considerations mainstreamed at the national scale through spatial planning framework (Spatial Plan and General Regulations Plan of Montenegro)</w:t>
            </w:r>
          </w:p>
        </w:tc>
        <w:tc>
          <w:tcPr>
            <w:tcW w:w="2610" w:type="dxa"/>
            <w:shd w:val="clear" w:color="auto" w:fill="FFFFFF" w:themeFill="background1"/>
          </w:tcPr>
          <w:p w14:paraId="0E02656A" w14:textId="77777777" w:rsidR="00E4085F" w:rsidRPr="00792600" w:rsidRDefault="00E4085F" w:rsidP="00AE3EED">
            <w:pPr>
              <w:jc w:val="left"/>
              <w:rPr>
                <w:rFonts w:asciiTheme="minorHAnsi" w:hAnsiTheme="minorHAnsi"/>
                <w:bCs/>
                <w:sz w:val="18"/>
                <w:szCs w:val="18"/>
              </w:rPr>
            </w:pPr>
            <w:r w:rsidRPr="00792600">
              <w:rPr>
                <w:rFonts w:asciiTheme="minorHAnsi" w:hAnsiTheme="minorHAnsi"/>
                <w:bCs/>
                <w:sz w:val="18"/>
                <w:szCs w:val="18"/>
              </w:rPr>
              <w:t>Limited BD conservation aspects mainstreamed through the national spatial development framework</w:t>
            </w:r>
          </w:p>
        </w:tc>
        <w:tc>
          <w:tcPr>
            <w:tcW w:w="2070" w:type="dxa"/>
            <w:shd w:val="clear" w:color="auto" w:fill="FFFFFF" w:themeFill="background1"/>
          </w:tcPr>
          <w:p w14:paraId="0CF94A35" w14:textId="77777777" w:rsidR="00E4085F" w:rsidRPr="003B6A69" w:rsidRDefault="00E4085F" w:rsidP="00AE3EED">
            <w:pPr>
              <w:jc w:val="left"/>
              <w:rPr>
                <w:rFonts w:ascii="Times New Roman" w:hAnsi="Times New Roman"/>
                <w:bCs/>
                <w:sz w:val="18"/>
                <w:szCs w:val="18"/>
              </w:rPr>
            </w:pPr>
            <w:r w:rsidRPr="003B6A69">
              <w:rPr>
                <w:sz w:val="18"/>
                <w:szCs w:val="18"/>
              </w:rPr>
              <w:t xml:space="preserve">The Spatial Plan for Montenegro and the General Regulation Plan are developed and adopted with a due consideration of biodiversity conservation priorities and concrete </w:t>
            </w:r>
            <w:r w:rsidRPr="003B6A69">
              <w:rPr>
                <w:sz w:val="18"/>
                <w:szCs w:val="18"/>
              </w:rPr>
              <w:lastRenderedPageBreak/>
              <w:t>solutions for valuable BD conservation outside PAs</w:t>
            </w:r>
          </w:p>
        </w:tc>
        <w:tc>
          <w:tcPr>
            <w:tcW w:w="2903" w:type="dxa"/>
            <w:shd w:val="clear" w:color="auto" w:fill="FFFFFF" w:themeFill="background1"/>
          </w:tcPr>
          <w:p w14:paraId="52A09DA8" w14:textId="77777777" w:rsidR="00E4085F" w:rsidRPr="003B6A69" w:rsidRDefault="00E4085F" w:rsidP="00AE3EED">
            <w:pPr>
              <w:jc w:val="left"/>
              <w:rPr>
                <w:sz w:val="18"/>
                <w:szCs w:val="18"/>
              </w:rPr>
            </w:pPr>
            <w:r w:rsidRPr="003B6A69">
              <w:rPr>
                <w:sz w:val="18"/>
                <w:szCs w:val="18"/>
              </w:rPr>
              <w:lastRenderedPageBreak/>
              <w:t>The Spatial Plan for Montenegro and the General Regulation Plan are developed and adopted with a due consideration of biodiversity conservation priorities and concrete solutions for valuable BD conservation outside PAs</w:t>
            </w:r>
          </w:p>
        </w:tc>
      </w:tr>
      <w:tr w:rsidR="00E4085F" w:rsidRPr="003B6A69" w14:paraId="3A8C7996" w14:textId="77777777" w:rsidTr="00195776">
        <w:trPr>
          <w:trHeight w:val="350"/>
        </w:trPr>
        <w:tc>
          <w:tcPr>
            <w:tcW w:w="2605" w:type="dxa"/>
            <w:vMerge/>
            <w:shd w:val="clear" w:color="auto" w:fill="D9D9D9" w:themeFill="background1" w:themeFillShade="D9"/>
          </w:tcPr>
          <w:p w14:paraId="3605F73E" w14:textId="77777777" w:rsidR="00E4085F" w:rsidRPr="003B6A69" w:rsidRDefault="00E4085F" w:rsidP="00AE3EED">
            <w:pPr>
              <w:jc w:val="left"/>
              <w:rPr>
                <w:rFonts w:ascii="Times New Roman" w:hAnsi="Times New Roman"/>
                <w:b/>
                <w:bCs/>
                <w:sz w:val="18"/>
                <w:szCs w:val="18"/>
              </w:rPr>
            </w:pPr>
          </w:p>
        </w:tc>
        <w:tc>
          <w:tcPr>
            <w:tcW w:w="4230" w:type="dxa"/>
            <w:shd w:val="clear" w:color="auto" w:fill="FFFFFF" w:themeFill="background1"/>
          </w:tcPr>
          <w:p w14:paraId="1DEAD360" w14:textId="58E37BFB" w:rsidR="00E4085F" w:rsidRPr="00792600" w:rsidRDefault="00E4085F" w:rsidP="00E44B44">
            <w:pPr>
              <w:rPr>
                <w:rFonts w:asciiTheme="minorHAnsi" w:hAnsiTheme="minorHAnsi"/>
                <w:bCs/>
                <w:i/>
                <w:sz w:val="18"/>
                <w:szCs w:val="18"/>
              </w:rPr>
            </w:pPr>
            <w:r w:rsidRPr="00792600">
              <w:rPr>
                <w:rFonts w:asciiTheme="minorHAnsi" w:hAnsiTheme="minorHAnsi"/>
                <w:bCs/>
                <w:i/>
                <w:sz w:val="18"/>
                <w:szCs w:val="18"/>
              </w:rPr>
              <w:t xml:space="preserve">Indicator </w:t>
            </w:r>
            <w:r w:rsidR="00202509" w:rsidRPr="00792600">
              <w:rPr>
                <w:rFonts w:asciiTheme="minorHAnsi" w:hAnsiTheme="minorHAnsi"/>
                <w:bCs/>
                <w:i/>
                <w:sz w:val="18"/>
                <w:szCs w:val="18"/>
              </w:rPr>
              <w:t>7</w:t>
            </w:r>
            <w:r w:rsidRPr="00792600">
              <w:rPr>
                <w:rFonts w:asciiTheme="minorHAnsi" w:hAnsiTheme="minorHAnsi"/>
                <w:bCs/>
                <w:i/>
                <w:sz w:val="18"/>
                <w:szCs w:val="18"/>
              </w:rPr>
              <w:t xml:space="preserve">: </w:t>
            </w:r>
            <w:r w:rsidRPr="00792600">
              <w:rPr>
                <w:rFonts w:asciiTheme="minorHAnsi" w:hAnsiTheme="minorHAnsi"/>
                <w:bCs/>
                <w:sz w:val="18"/>
                <w:szCs w:val="18"/>
              </w:rPr>
              <w:t xml:space="preserve">KBAs covered by specific </w:t>
            </w:r>
            <w:r w:rsidR="00E44B44">
              <w:rPr>
                <w:rFonts w:asciiTheme="minorHAnsi" w:hAnsiTheme="minorHAnsi"/>
                <w:bCs/>
                <w:sz w:val="18"/>
                <w:szCs w:val="18"/>
              </w:rPr>
              <w:t>management/</w:t>
            </w:r>
            <w:r w:rsidRPr="00792600">
              <w:rPr>
                <w:rFonts w:asciiTheme="minorHAnsi" w:hAnsiTheme="minorHAnsi"/>
                <w:bCs/>
                <w:sz w:val="18"/>
                <w:szCs w:val="18"/>
              </w:rPr>
              <w:t>protection mechanisms developed with the project assistance and set for implementation</w:t>
            </w:r>
            <w:r w:rsidR="00792600" w:rsidRPr="00792600">
              <w:rPr>
                <w:rFonts w:asciiTheme="minorHAnsi" w:hAnsiTheme="minorHAnsi"/>
                <w:bCs/>
                <w:sz w:val="18"/>
                <w:szCs w:val="18"/>
              </w:rPr>
              <w:t xml:space="preserve"> </w:t>
            </w:r>
          </w:p>
        </w:tc>
        <w:tc>
          <w:tcPr>
            <w:tcW w:w="2610" w:type="dxa"/>
            <w:shd w:val="clear" w:color="auto" w:fill="FFFFFF" w:themeFill="background1"/>
          </w:tcPr>
          <w:p w14:paraId="54BBD926" w14:textId="0276B4D0" w:rsidR="00E4085F" w:rsidRPr="003B6A69" w:rsidRDefault="00CD0329" w:rsidP="00AE3EED">
            <w:pPr>
              <w:jc w:val="left"/>
              <w:rPr>
                <w:rFonts w:ascii="Times New Roman" w:hAnsi="Times New Roman"/>
                <w:bCs/>
                <w:i/>
                <w:sz w:val="18"/>
                <w:szCs w:val="18"/>
              </w:rPr>
            </w:pPr>
            <w:r w:rsidRPr="003B6A69">
              <w:rPr>
                <w:rFonts w:ascii="Times New Roman" w:hAnsi="Times New Roman"/>
                <w:bCs/>
                <w:i/>
                <w:sz w:val="18"/>
                <w:szCs w:val="18"/>
              </w:rPr>
              <w:t>0</w:t>
            </w:r>
          </w:p>
        </w:tc>
        <w:tc>
          <w:tcPr>
            <w:tcW w:w="2070" w:type="dxa"/>
            <w:shd w:val="clear" w:color="auto" w:fill="FFFFFF" w:themeFill="background1"/>
          </w:tcPr>
          <w:p w14:paraId="45866763" w14:textId="043C16C6" w:rsidR="00E4085F" w:rsidRPr="003B6A69" w:rsidRDefault="00E44B44" w:rsidP="00AE3EED">
            <w:pPr>
              <w:jc w:val="left"/>
              <w:rPr>
                <w:rFonts w:ascii="Times New Roman" w:hAnsi="Times New Roman"/>
                <w:bCs/>
                <w:i/>
                <w:sz w:val="18"/>
                <w:szCs w:val="18"/>
              </w:rPr>
            </w:pPr>
            <w:r>
              <w:rPr>
                <w:rFonts w:ascii="Times New Roman" w:hAnsi="Times New Roman"/>
                <w:bCs/>
                <w:i/>
                <w:sz w:val="18"/>
                <w:szCs w:val="18"/>
              </w:rPr>
              <w:t>tbc</w:t>
            </w:r>
          </w:p>
        </w:tc>
        <w:tc>
          <w:tcPr>
            <w:tcW w:w="2903" w:type="dxa"/>
            <w:shd w:val="clear" w:color="auto" w:fill="FFFFFF" w:themeFill="background1"/>
          </w:tcPr>
          <w:p w14:paraId="50391FF9" w14:textId="5BA9931C" w:rsidR="00E4085F" w:rsidRPr="003B6A69" w:rsidRDefault="00E4085F" w:rsidP="00CD0329">
            <w:pPr>
              <w:jc w:val="left"/>
              <w:rPr>
                <w:i/>
                <w:sz w:val="18"/>
                <w:szCs w:val="18"/>
              </w:rPr>
            </w:pPr>
            <w:r w:rsidRPr="003B6A69">
              <w:rPr>
                <w:i/>
                <w:sz w:val="18"/>
                <w:szCs w:val="18"/>
              </w:rPr>
              <w:t xml:space="preserve">Long beach/Velika </w:t>
            </w:r>
            <w:proofErr w:type="spellStart"/>
            <w:r w:rsidRPr="003B6A69">
              <w:rPr>
                <w:i/>
                <w:sz w:val="18"/>
                <w:szCs w:val="18"/>
              </w:rPr>
              <w:t>plaža</w:t>
            </w:r>
            <w:proofErr w:type="spellEnd"/>
            <w:r w:rsidRPr="003B6A69">
              <w:rPr>
                <w:i/>
                <w:sz w:val="18"/>
                <w:szCs w:val="18"/>
              </w:rPr>
              <w:t xml:space="preserve">, Ada Bojana and </w:t>
            </w:r>
            <w:proofErr w:type="spellStart"/>
            <w:r w:rsidRPr="003B6A69">
              <w:rPr>
                <w:i/>
                <w:sz w:val="18"/>
                <w:szCs w:val="18"/>
              </w:rPr>
              <w:t>Šasko</w:t>
            </w:r>
            <w:proofErr w:type="spellEnd"/>
            <w:r w:rsidRPr="003B6A69">
              <w:rPr>
                <w:i/>
                <w:sz w:val="18"/>
                <w:szCs w:val="18"/>
              </w:rPr>
              <w:t xml:space="preserve"> </w:t>
            </w:r>
            <w:proofErr w:type="spellStart"/>
            <w:r w:rsidRPr="003B6A69">
              <w:rPr>
                <w:i/>
                <w:sz w:val="18"/>
                <w:szCs w:val="18"/>
              </w:rPr>
              <w:t>jezero</w:t>
            </w:r>
            <w:proofErr w:type="spellEnd"/>
            <w:r w:rsidRPr="003B6A69">
              <w:rPr>
                <w:i/>
                <w:sz w:val="18"/>
                <w:szCs w:val="18"/>
              </w:rPr>
              <w:t xml:space="preserve"> with its surroundings (</w:t>
            </w:r>
            <w:proofErr w:type="spellStart"/>
            <w:r w:rsidRPr="003B6A69">
              <w:rPr>
                <w:i/>
                <w:sz w:val="18"/>
                <w:szCs w:val="18"/>
              </w:rPr>
              <w:t>Briska</w:t>
            </w:r>
            <w:proofErr w:type="spellEnd"/>
            <w:r w:rsidRPr="003B6A69">
              <w:rPr>
                <w:i/>
                <w:sz w:val="18"/>
                <w:szCs w:val="18"/>
              </w:rPr>
              <w:t xml:space="preserve"> </w:t>
            </w:r>
            <w:proofErr w:type="spellStart"/>
            <w:r w:rsidRPr="003B6A69">
              <w:rPr>
                <w:i/>
                <w:sz w:val="18"/>
                <w:szCs w:val="18"/>
              </w:rPr>
              <w:t>gora</w:t>
            </w:r>
            <w:proofErr w:type="spellEnd"/>
            <w:r w:rsidRPr="003B6A69">
              <w:rPr>
                <w:i/>
                <w:sz w:val="18"/>
                <w:szCs w:val="18"/>
              </w:rPr>
              <w:t>) – spatial coverage for Output 2.3</w:t>
            </w:r>
            <w:r w:rsidR="00CD0329" w:rsidRPr="003B6A69">
              <w:rPr>
                <w:i/>
                <w:sz w:val="18"/>
                <w:szCs w:val="18"/>
              </w:rPr>
              <w:t>; the exact coverage in ha tbc pending the parallel research and conservation effort</w:t>
            </w:r>
          </w:p>
        </w:tc>
      </w:tr>
      <w:tr w:rsidR="00E4085F" w:rsidRPr="003B6A69" w14:paraId="2E216DDF" w14:textId="77777777" w:rsidTr="00195776">
        <w:trPr>
          <w:trHeight w:val="350"/>
        </w:trPr>
        <w:tc>
          <w:tcPr>
            <w:tcW w:w="2605" w:type="dxa"/>
            <w:vMerge/>
            <w:shd w:val="clear" w:color="auto" w:fill="D9D9D9" w:themeFill="background1" w:themeFillShade="D9"/>
          </w:tcPr>
          <w:p w14:paraId="3A213913" w14:textId="77777777" w:rsidR="00E4085F" w:rsidRPr="003B6A69" w:rsidRDefault="00E4085F" w:rsidP="00AE3EED">
            <w:pPr>
              <w:jc w:val="left"/>
              <w:rPr>
                <w:rFonts w:ascii="Times New Roman" w:hAnsi="Times New Roman"/>
                <w:b/>
                <w:bCs/>
                <w:sz w:val="18"/>
                <w:szCs w:val="18"/>
              </w:rPr>
            </w:pPr>
          </w:p>
        </w:tc>
        <w:tc>
          <w:tcPr>
            <w:tcW w:w="4230" w:type="dxa"/>
            <w:shd w:val="clear" w:color="auto" w:fill="FFFFFF" w:themeFill="background1"/>
          </w:tcPr>
          <w:p w14:paraId="27974F9E" w14:textId="54DE7BE1" w:rsidR="00E4085F" w:rsidRPr="00792600" w:rsidRDefault="00202509" w:rsidP="00AE3EED">
            <w:pPr>
              <w:rPr>
                <w:rFonts w:asciiTheme="minorHAnsi" w:hAnsiTheme="minorHAnsi"/>
              </w:rPr>
            </w:pPr>
            <w:r w:rsidRPr="00792600">
              <w:rPr>
                <w:rFonts w:asciiTheme="minorHAnsi" w:hAnsiTheme="minorHAnsi"/>
                <w:bCs/>
                <w:i/>
                <w:sz w:val="18"/>
                <w:szCs w:val="18"/>
              </w:rPr>
              <w:t>Indicator 8</w:t>
            </w:r>
            <w:r w:rsidR="00E4085F" w:rsidRPr="00792600">
              <w:rPr>
                <w:rFonts w:asciiTheme="minorHAnsi" w:hAnsiTheme="minorHAnsi"/>
                <w:bCs/>
                <w:i/>
                <w:sz w:val="18"/>
                <w:szCs w:val="18"/>
              </w:rPr>
              <w:t xml:space="preserve">: </w:t>
            </w:r>
            <w:r w:rsidR="00E4085F" w:rsidRPr="00792600">
              <w:rPr>
                <w:rFonts w:asciiTheme="minorHAnsi" w:hAnsiTheme="minorHAnsi"/>
                <w:bCs/>
                <w:sz w:val="18"/>
                <w:szCs w:val="18"/>
              </w:rPr>
              <w:t xml:space="preserve">Unprotected KBAs and valuable BD hotspots justified for enhanced protection status and included as priorities into the spatial development framework  </w:t>
            </w:r>
          </w:p>
        </w:tc>
        <w:tc>
          <w:tcPr>
            <w:tcW w:w="2610" w:type="dxa"/>
            <w:shd w:val="clear" w:color="auto" w:fill="FFFFFF" w:themeFill="background1"/>
          </w:tcPr>
          <w:p w14:paraId="72D61F56" w14:textId="137D8320" w:rsidR="00E4085F" w:rsidRPr="003B6A69" w:rsidRDefault="00CD0329" w:rsidP="00AE3EED">
            <w:pPr>
              <w:jc w:val="left"/>
              <w:rPr>
                <w:rFonts w:ascii="Times New Roman" w:hAnsi="Times New Roman"/>
                <w:bCs/>
                <w:i/>
                <w:sz w:val="18"/>
                <w:szCs w:val="18"/>
              </w:rPr>
            </w:pPr>
            <w:r w:rsidRPr="003B6A69">
              <w:rPr>
                <w:rFonts w:ascii="Times New Roman" w:hAnsi="Times New Roman"/>
                <w:bCs/>
                <w:i/>
                <w:sz w:val="18"/>
                <w:szCs w:val="18"/>
              </w:rPr>
              <w:t>0</w:t>
            </w:r>
          </w:p>
        </w:tc>
        <w:tc>
          <w:tcPr>
            <w:tcW w:w="2070" w:type="dxa"/>
            <w:shd w:val="clear" w:color="auto" w:fill="FFFFFF" w:themeFill="background1"/>
          </w:tcPr>
          <w:p w14:paraId="1B7D1643" w14:textId="77777777" w:rsidR="00E4085F" w:rsidRPr="003B6A69" w:rsidRDefault="00E4085F" w:rsidP="00AE3EED">
            <w:pPr>
              <w:jc w:val="left"/>
              <w:rPr>
                <w:rFonts w:ascii="Times New Roman" w:hAnsi="Times New Roman"/>
                <w:bCs/>
                <w:i/>
                <w:sz w:val="18"/>
                <w:szCs w:val="18"/>
              </w:rPr>
            </w:pPr>
            <w:r w:rsidRPr="003B6A69">
              <w:rPr>
                <w:rFonts w:ascii="Times New Roman" w:hAnsi="Times New Roman"/>
                <w:bCs/>
                <w:i/>
                <w:sz w:val="18"/>
                <w:szCs w:val="18"/>
              </w:rPr>
              <w:t>130,000 ha</w:t>
            </w:r>
          </w:p>
        </w:tc>
        <w:tc>
          <w:tcPr>
            <w:tcW w:w="2903" w:type="dxa"/>
            <w:shd w:val="clear" w:color="auto" w:fill="FFFFFF" w:themeFill="background1"/>
          </w:tcPr>
          <w:p w14:paraId="28CBD119" w14:textId="77777777" w:rsidR="00E4085F" w:rsidRPr="003B6A69" w:rsidRDefault="00E4085F" w:rsidP="00AE3EED">
            <w:pPr>
              <w:jc w:val="left"/>
              <w:rPr>
                <w:i/>
                <w:sz w:val="18"/>
                <w:szCs w:val="18"/>
              </w:rPr>
            </w:pPr>
            <w:r w:rsidRPr="003B6A69">
              <w:rPr>
                <w:i/>
                <w:sz w:val="18"/>
                <w:szCs w:val="18"/>
              </w:rPr>
              <w:t>130,000 ha</w:t>
            </w:r>
          </w:p>
        </w:tc>
      </w:tr>
      <w:tr w:rsidR="00E4085F" w:rsidRPr="003B6A69" w14:paraId="5AEC5B85" w14:textId="77777777" w:rsidTr="00AE3EED">
        <w:trPr>
          <w:trHeight w:val="800"/>
        </w:trPr>
        <w:tc>
          <w:tcPr>
            <w:tcW w:w="2605" w:type="dxa"/>
            <w:shd w:val="clear" w:color="auto" w:fill="D9D9D9" w:themeFill="background1" w:themeFillShade="D9"/>
          </w:tcPr>
          <w:p w14:paraId="5380C9EB" w14:textId="77777777" w:rsidR="00E4085F" w:rsidRPr="003B6A69" w:rsidRDefault="00E4085F" w:rsidP="00AE3EED">
            <w:pPr>
              <w:jc w:val="left"/>
              <w:rPr>
                <w:rFonts w:ascii="Times New Roman" w:hAnsi="Times New Roman"/>
                <w:b/>
                <w:bCs/>
                <w:sz w:val="18"/>
                <w:szCs w:val="18"/>
              </w:rPr>
            </w:pPr>
            <w:r w:rsidRPr="003B6A69">
              <w:rPr>
                <w:rFonts w:ascii="Times New Roman" w:hAnsi="Times New Roman"/>
                <w:b/>
                <w:bCs/>
                <w:sz w:val="18"/>
                <w:szCs w:val="18"/>
              </w:rPr>
              <w:t>Outputs to achieve Outcome 2</w:t>
            </w:r>
          </w:p>
        </w:tc>
        <w:tc>
          <w:tcPr>
            <w:tcW w:w="11813" w:type="dxa"/>
            <w:gridSpan w:val="4"/>
            <w:shd w:val="clear" w:color="auto" w:fill="FFFFFF" w:themeFill="background1"/>
          </w:tcPr>
          <w:p w14:paraId="0ECF2845" w14:textId="77777777" w:rsidR="00E4085F" w:rsidRPr="003B6A69" w:rsidRDefault="00E4085F" w:rsidP="00AE3EED">
            <w:pPr>
              <w:jc w:val="left"/>
              <w:rPr>
                <w:bCs/>
                <w:i/>
                <w:sz w:val="18"/>
                <w:szCs w:val="18"/>
              </w:rPr>
            </w:pPr>
            <w:r w:rsidRPr="003B6A69">
              <w:rPr>
                <w:bCs/>
                <w:i/>
                <w:sz w:val="18"/>
                <w:szCs w:val="18"/>
              </w:rPr>
              <w:t xml:space="preserve">Output 2.1: Baseline studies and justification of priorities for protection of key biodiversity </w:t>
            </w:r>
            <w:proofErr w:type="gramStart"/>
            <w:r w:rsidRPr="003B6A69">
              <w:rPr>
                <w:bCs/>
                <w:i/>
                <w:sz w:val="18"/>
                <w:szCs w:val="18"/>
              </w:rPr>
              <w:t>hot-spots</w:t>
            </w:r>
            <w:proofErr w:type="gramEnd"/>
            <w:r w:rsidRPr="003B6A69">
              <w:rPr>
                <w:bCs/>
                <w:i/>
                <w:sz w:val="18"/>
                <w:szCs w:val="18"/>
              </w:rPr>
              <w:t xml:space="preserve"> outside PAs</w:t>
            </w:r>
          </w:p>
          <w:p w14:paraId="3C48A81F" w14:textId="77777777" w:rsidR="00E4085F" w:rsidRPr="003B6A69" w:rsidRDefault="00E4085F" w:rsidP="00AE3EED">
            <w:pPr>
              <w:jc w:val="left"/>
              <w:rPr>
                <w:bCs/>
                <w:i/>
                <w:sz w:val="18"/>
                <w:szCs w:val="18"/>
              </w:rPr>
            </w:pPr>
            <w:r w:rsidRPr="003B6A69">
              <w:rPr>
                <w:bCs/>
                <w:i/>
                <w:sz w:val="18"/>
                <w:szCs w:val="18"/>
              </w:rPr>
              <w:t>Output 2.2: The Spatial Plan for Montenegro and the General Regulation Plan are developed and adopted with a due consideration of biodiversity conservation priorities and concrete solutions for valuable BD conservation outside PAs</w:t>
            </w:r>
          </w:p>
          <w:p w14:paraId="4A668AEC" w14:textId="77777777" w:rsidR="00E4085F" w:rsidRPr="003B6A69" w:rsidRDefault="00E4085F" w:rsidP="00AE3EED">
            <w:pPr>
              <w:jc w:val="left"/>
              <w:rPr>
                <w:bCs/>
                <w:i/>
                <w:sz w:val="18"/>
                <w:szCs w:val="18"/>
              </w:rPr>
            </w:pPr>
            <w:r w:rsidRPr="003B6A69">
              <w:rPr>
                <w:bCs/>
                <w:i/>
                <w:sz w:val="18"/>
                <w:szCs w:val="18"/>
              </w:rPr>
              <w:t>Output 2.3: Concrete mechanisms for KBA protection outside PAs identified and set for implementation</w:t>
            </w:r>
          </w:p>
        </w:tc>
      </w:tr>
      <w:tr w:rsidR="00E4085F" w:rsidRPr="003B6A69" w14:paraId="50AEF8BE" w14:textId="77777777" w:rsidTr="00AE3EED">
        <w:trPr>
          <w:trHeight w:val="620"/>
        </w:trPr>
        <w:tc>
          <w:tcPr>
            <w:tcW w:w="2605" w:type="dxa"/>
            <w:shd w:val="clear" w:color="auto" w:fill="E7E6E6" w:themeFill="background2"/>
          </w:tcPr>
          <w:p w14:paraId="387FEAB6" w14:textId="29703476" w:rsidR="00E4085F" w:rsidRPr="003B6A69" w:rsidRDefault="00E4085F" w:rsidP="00580FAC">
            <w:pPr>
              <w:jc w:val="left"/>
              <w:rPr>
                <w:rFonts w:ascii="Times New Roman" w:hAnsi="Times New Roman"/>
                <w:b/>
                <w:bCs/>
                <w:i/>
                <w:sz w:val="18"/>
                <w:szCs w:val="18"/>
              </w:rPr>
            </w:pPr>
            <w:r w:rsidRPr="003B6A69">
              <w:rPr>
                <w:rFonts w:ascii="Times New Roman" w:hAnsi="Times New Roman"/>
                <w:b/>
                <w:bCs/>
                <w:sz w:val="18"/>
                <w:szCs w:val="18"/>
              </w:rPr>
              <w:t xml:space="preserve">Project </w:t>
            </w:r>
            <w:r w:rsidR="00580FAC" w:rsidRPr="003B6A69">
              <w:rPr>
                <w:rFonts w:ascii="Times New Roman" w:hAnsi="Times New Roman"/>
                <w:b/>
                <w:bCs/>
                <w:sz w:val="18"/>
                <w:szCs w:val="18"/>
              </w:rPr>
              <w:t>C</w:t>
            </w:r>
            <w:r w:rsidRPr="003B6A69">
              <w:rPr>
                <w:rFonts w:ascii="Times New Roman" w:hAnsi="Times New Roman"/>
                <w:b/>
                <w:bCs/>
                <w:sz w:val="18"/>
                <w:szCs w:val="18"/>
              </w:rPr>
              <w:t xml:space="preserve">omponent 2 </w:t>
            </w:r>
          </w:p>
        </w:tc>
        <w:tc>
          <w:tcPr>
            <w:tcW w:w="11813" w:type="dxa"/>
            <w:gridSpan w:val="4"/>
            <w:shd w:val="clear" w:color="auto" w:fill="E7E6E6" w:themeFill="background2"/>
          </w:tcPr>
          <w:p w14:paraId="1E5C2974" w14:textId="77777777" w:rsidR="00E4085F" w:rsidRPr="003B6A69" w:rsidRDefault="00E4085F" w:rsidP="00AE3EED">
            <w:pPr>
              <w:jc w:val="left"/>
              <w:rPr>
                <w:b/>
                <w:bCs/>
                <w:sz w:val="18"/>
                <w:szCs w:val="18"/>
              </w:rPr>
            </w:pPr>
            <w:r w:rsidRPr="003B6A69">
              <w:rPr>
                <w:b/>
                <w:bCs/>
                <w:sz w:val="18"/>
                <w:szCs w:val="18"/>
              </w:rPr>
              <w:t>BD mainstreaming into sectoral policies and practices</w:t>
            </w:r>
          </w:p>
        </w:tc>
      </w:tr>
      <w:tr w:rsidR="00E4085F" w:rsidRPr="003B6A69" w14:paraId="316740D9" w14:textId="77777777" w:rsidTr="00195776">
        <w:trPr>
          <w:trHeight w:val="413"/>
        </w:trPr>
        <w:tc>
          <w:tcPr>
            <w:tcW w:w="2605" w:type="dxa"/>
            <w:vMerge w:val="restart"/>
            <w:shd w:val="pct12" w:color="auto" w:fill="auto"/>
          </w:tcPr>
          <w:p w14:paraId="6389744D" w14:textId="77777777" w:rsidR="00E4085F" w:rsidRPr="003B6A69" w:rsidRDefault="00E4085F" w:rsidP="00AE3EED">
            <w:pPr>
              <w:jc w:val="left"/>
              <w:rPr>
                <w:rFonts w:ascii="Times New Roman" w:hAnsi="Times New Roman"/>
                <w:b/>
                <w:bCs/>
                <w:sz w:val="18"/>
                <w:szCs w:val="18"/>
              </w:rPr>
            </w:pPr>
            <w:r w:rsidRPr="003B6A69">
              <w:rPr>
                <w:rFonts w:ascii="Times New Roman" w:hAnsi="Times New Roman"/>
                <w:b/>
                <w:bCs/>
                <w:sz w:val="18"/>
                <w:szCs w:val="18"/>
              </w:rPr>
              <w:t>Outcome 3: BD conservation considerations mainstreamed for sustainable tourism development</w:t>
            </w:r>
          </w:p>
          <w:p w14:paraId="2B3FA1AA" w14:textId="77777777" w:rsidR="00E4085F" w:rsidRPr="003B6A69" w:rsidRDefault="00E4085F" w:rsidP="00AE3EED">
            <w:pPr>
              <w:jc w:val="left"/>
              <w:rPr>
                <w:rFonts w:ascii="Times New Roman" w:hAnsi="Times New Roman"/>
                <w:b/>
                <w:bCs/>
                <w:sz w:val="18"/>
                <w:szCs w:val="18"/>
              </w:rPr>
            </w:pPr>
          </w:p>
          <w:p w14:paraId="4329BB9E" w14:textId="77777777" w:rsidR="00E4085F" w:rsidRPr="003B6A69" w:rsidRDefault="00E4085F" w:rsidP="00AE3EED">
            <w:pPr>
              <w:jc w:val="left"/>
              <w:rPr>
                <w:rFonts w:ascii="Times New Roman" w:hAnsi="Times New Roman"/>
                <w:b/>
                <w:bCs/>
                <w:sz w:val="18"/>
                <w:szCs w:val="18"/>
              </w:rPr>
            </w:pPr>
          </w:p>
        </w:tc>
        <w:tc>
          <w:tcPr>
            <w:tcW w:w="4230" w:type="dxa"/>
          </w:tcPr>
          <w:p w14:paraId="330F7377" w14:textId="662666AD" w:rsidR="00E4085F" w:rsidRPr="00792600" w:rsidRDefault="00E4085F" w:rsidP="00AE3EED">
            <w:pPr>
              <w:jc w:val="left"/>
              <w:rPr>
                <w:rFonts w:asciiTheme="minorHAnsi" w:hAnsiTheme="minorHAnsi"/>
                <w:bCs/>
                <w:i/>
                <w:sz w:val="18"/>
                <w:szCs w:val="18"/>
              </w:rPr>
            </w:pPr>
            <w:r w:rsidRPr="00792600">
              <w:rPr>
                <w:rFonts w:asciiTheme="minorHAnsi" w:hAnsiTheme="minorHAnsi"/>
                <w:bCs/>
                <w:i/>
                <w:sz w:val="18"/>
                <w:szCs w:val="18"/>
              </w:rPr>
              <w:t xml:space="preserve">Indicator 9: </w:t>
            </w:r>
            <w:r w:rsidRPr="00792600">
              <w:rPr>
                <w:rFonts w:asciiTheme="minorHAnsi" w:hAnsiTheme="minorHAnsi"/>
                <w:bCs/>
                <w:sz w:val="18"/>
                <w:szCs w:val="18"/>
              </w:rPr>
              <w:t>at least 5 small-scale tourism operators introduce biodiversity-sensitive nature-based tourism products</w:t>
            </w:r>
            <w:r w:rsidR="00737B9D" w:rsidRPr="00792600">
              <w:rPr>
                <w:rFonts w:asciiTheme="minorHAnsi" w:hAnsiTheme="minorHAnsi"/>
                <w:bCs/>
                <w:sz w:val="18"/>
                <w:szCs w:val="18"/>
              </w:rPr>
              <w:t xml:space="preserve"> as BAU alternative</w:t>
            </w:r>
            <w:r w:rsidR="00C96139" w:rsidRPr="00792600">
              <w:rPr>
                <w:rFonts w:asciiTheme="minorHAnsi" w:hAnsiTheme="minorHAnsi"/>
                <w:bCs/>
                <w:sz w:val="18"/>
                <w:szCs w:val="18"/>
              </w:rPr>
              <w:t xml:space="preserve"> (gender-disaggregated)</w:t>
            </w:r>
          </w:p>
        </w:tc>
        <w:tc>
          <w:tcPr>
            <w:tcW w:w="2610" w:type="dxa"/>
          </w:tcPr>
          <w:p w14:paraId="72CD789D" w14:textId="77777777" w:rsidR="00E4085F" w:rsidRPr="003B6A69" w:rsidRDefault="00E4085F" w:rsidP="00AE3EED">
            <w:pPr>
              <w:jc w:val="left"/>
              <w:rPr>
                <w:rFonts w:ascii="Times New Roman" w:hAnsi="Times New Roman"/>
                <w:bCs/>
                <w:i/>
                <w:sz w:val="18"/>
                <w:szCs w:val="18"/>
              </w:rPr>
            </w:pPr>
            <w:r w:rsidRPr="003B6A69">
              <w:rPr>
                <w:rFonts w:ascii="Times New Roman" w:hAnsi="Times New Roman"/>
                <w:bCs/>
                <w:i/>
                <w:sz w:val="18"/>
                <w:szCs w:val="18"/>
              </w:rPr>
              <w:t>0</w:t>
            </w:r>
          </w:p>
        </w:tc>
        <w:tc>
          <w:tcPr>
            <w:tcW w:w="2070" w:type="dxa"/>
          </w:tcPr>
          <w:p w14:paraId="4F991DD0" w14:textId="77777777" w:rsidR="00E4085F" w:rsidRPr="003B6A69" w:rsidRDefault="00E4085F" w:rsidP="00AE3EED">
            <w:pPr>
              <w:jc w:val="left"/>
              <w:rPr>
                <w:rFonts w:ascii="Times New Roman" w:hAnsi="Times New Roman"/>
                <w:bCs/>
                <w:i/>
                <w:sz w:val="18"/>
                <w:szCs w:val="18"/>
              </w:rPr>
            </w:pPr>
            <w:r w:rsidRPr="003B6A69">
              <w:rPr>
                <w:rFonts w:ascii="Times New Roman" w:hAnsi="Times New Roman"/>
                <w:bCs/>
                <w:i/>
                <w:sz w:val="18"/>
                <w:szCs w:val="18"/>
              </w:rPr>
              <w:t>0</w:t>
            </w:r>
          </w:p>
        </w:tc>
        <w:tc>
          <w:tcPr>
            <w:tcW w:w="2903" w:type="dxa"/>
          </w:tcPr>
          <w:p w14:paraId="40199B4A" w14:textId="77777777" w:rsidR="00E4085F" w:rsidRPr="003B6A69" w:rsidRDefault="00E4085F" w:rsidP="00AE3EED">
            <w:pPr>
              <w:jc w:val="left"/>
              <w:rPr>
                <w:i/>
                <w:sz w:val="18"/>
                <w:szCs w:val="18"/>
              </w:rPr>
            </w:pPr>
            <w:r w:rsidRPr="003B6A69">
              <w:rPr>
                <w:i/>
                <w:sz w:val="18"/>
                <w:szCs w:val="18"/>
              </w:rPr>
              <w:t>5</w:t>
            </w:r>
          </w:p>
        </w:tc>
      </w:tr>
      <w:tr w:rsidR="00E4085F" w:rsidRPr="003B6A69" w14:paraId="2AC9F0B5" w14:textId="77777777" w:rsidTr="00195776">
        <w:trPr>
          <w:trHeight w:val="440"/>
        </w:trPr>
        <w:tc>
          <w:tcPr>
            <w:tcW w:w="2605" w:type="dxa"/>
            <w:vMerge/>
            <w:shd w:val="pct12" w:color="auto" w:fill="auto"/>
          </w:tcPr>
          <w:p w14:paraId="612F8BF0" w14:textId="77777777" w:rsidR="00E4085F" w:rsidRPr="003B6A69" w:rsidRDefault="00E4085F" w:rsidP="00AE3EED">
            <w:pPr>
              <w:jc w:val="left"/>
              <w:rPr>
                <w:rFonts w:ascii="Times New Roman" w:hAnsi="Times New Roman"/>
                <w:b/>
                <w:bCs/>
                <w:sz w:val="18"/>
                <w:szCs w:val="18"/>
              </w:rPr>
            </w:pPr>
          </w:p>
        </w:tc>
        <w:tc>
          <w:tcPr>
            <w:tcW w:w="4230" w:type="dxa"/>
          </w:tcPr>
          <w:p w14:paraId="78185E7C" w14:textId="45A3AD1E" w:rsidR="00E4085F" w:rsidRPr="00792600" w:rsidRDefault="00E4085F" w:rsidP="006672C3">
            <w:pPr>
              <w:rPr>
                <w:rFonts w:asciiTheme="minorHAnsi" w:hAnsiTheme="minorHAnsi"/>
              </w:rPr>
            </w:pPr>
            <w:r w:rsidRPr="00792600">
              <w:rPr>
                <w:rFonts w:asciiTheme="minorHAnsi" w:hAnsiTheme="minorHAnsi"/>
                <w:bCs/>
                <w:i/>
                <w:sz w:val="18"/>
                <w:szCs w:val="18"/>
              </w:rPr>
              <w:t xml:space="preserve">Indicator 10: </w:t>
            </w:r>
            <w:r w:rsidRPr="00792600">
              <w:rPr>
                <w:rFonts w:asciiTheme="minorHAnsi" w:hAnsiTheme="minorHAnsi"/>
                <w:bCs/>
                <w:sz w:val="18"/>
                <w:szCs w:val="18"/>
              </w:rPr>
              <w:t>at least 10% increase in the annual number of visitors in targeted PAs</w:t>
            </w:r>
          </w:p>
        </w:tc>
        <w:tc>
          <w:tcPr>
            <w:tcW w:w="2610" w:type="dxa"/>
          </w:tcPr>
          <w:p w14:paraId="3C9CFFB9" w14:textId="77777777" w:rsidR="00E4085F" w:rsidRPr="003B6A69" w:rsidRDefault="00E4085F" w:rsidP="00AE3EED">
            <w:pPr>
              <w:jc w:val="left"/>
              <w:rPr>
                <w:rFonts w:ascii="Times New Roman" w:hAnsi="Times New Roman"/>
                <w:bCs/>
                <w:i/>
                <w:sz w:val="18"/>
                <w:szCs w:val="18"/>
              </w:rPr>
            </w:pPr>
            <w:r w:rsidRPr="003B6A69">
              <w:rPr>
                <w:rFonts w:ascii="Times New Roman" w:hAnsi="Times New Roman"/>
                <w:bCs/>
                <w:i/>
                <w:sz w:val="18"/>
                <w:szCs w:val="18"/>
              </w:rPr>
              <w:t>0</w:t>
            </w:r>
          </w:p>
          <w:p w14:paraId="150E4BA7" w14:textId="77777777" w:rsidR="00195776" w:rsidRPr="003B6A69" w:rsidRDefault="00195776" w:rsidP="00AE3EED">
            <w:pPr>
              <w:jc w:val="left"/>
              <w:rPr>
                <w:rFonts w:ascii="Times New Roman" w:hAnsi="Times New Roman"/>
                <w:bCs/>
                <w:i/>
                <w:sz w:val="18"/>
                <w:szCs w:val="18"/>
              </w:rPr>
            </w:pPr>
            <w:r w:rsidRPr="003B6A69">
              <w:rPr>
                <w:rFonts w:ascii="Times New Roman" w:hAnsi="Times New Roman"/>
                <w:bCs/>
                <w:i/>
                <w:sz w:val="18"/>
                <w:szCs w:val="18"/>
              </w:rPr>
              <w:t>Baseline visitation data for the pilot PAs:</w:t>
            </w:r>
          </w:p>
          <w:p w14:paraId="650B66A1" w14:textId="77777777" w:rsidR="00195776" w:rsidRPr="003B6A69" w:rsidRDefault="00195776" w:rsidP="00195776">
            <w:pPr>
              <w:jc w:val="left"/>
              <w:rPr>
                <w:rFonts w:ascii="Times New Roman" w:hAnsi="Times New Roman"/>
                <w:bCs/>
                <w:i/>
                <w:sz w:val="18"/>
                <w:szCs w:val="18"/>
              </w:rPr>
            </w:pPr>
            <w:proofErr w:type="spellStart"/>
            <w:r w:rsidRPr="003B6A69">
              <w:rPr>
                <w:rFonts w:ascii="Times New Roman" w:hAnsi="Times New Roman"/>
                <w:bCs/>
                <w:i/>
                <w:sz w:val="18"/>
                <w:szCs w:val="18"/>
              </w:rPr>
              <w:t>Durmitor</w:t>
            </w:r>
            <w:proofErr w:type="spellEnd"/>
            <w:r w:rsidRPr="003B6A69">
              <w:rPr>
                <w:rFonts w:ascii="Times New Roman" w:hAnsi="Times New Roman"/>
                <w:bCs/>
                <w:i/>
                <w:sz w:val="18"/>
                <w:szCs w:val="18"/>
              </w:rPr>
              <w:t xml:space="preserve"> National park</w:t>
            </w:r>
            <w:r w:rsidRPr="003B6A69">
              <w:rPr>
                <w:rFonts w:ascii="Times New Roman" w:hAnsi="Times New Roman"/>
                <w:bCs/>
                <w:i/>
                <w:sz w:val="18"/>
                <w:szCs w:val="18"/>
              </w:rPr>
              <w:tab/>
              <w:t>270315</w:t>
            </w:r>
          </w:p>
          <w:p w14:paraId="016D14EB" w14:textId="77777777" w:rsidR="00195776" w:rsidRPr="003B6A69" w:rsidRDefault="00195776" w:rsidP="00195776">
            <w:pPr>
              <w:jc w:val="left"/>
              <w:rPr>
                <w:rFonts w:ascii="Times New Roman" w:hAnsi="Times New Roman"/>
                <w:bCs/>
                <w:i/>
                <w:sz w:val="18"/>
                <w:szCs w:val="18"/>
              </w:rPr>
            </w:pPr>
            <w:proofErr w:type="spellStart"/>
            <w:r w:rsidRPr="003B6A69">
              <w:rPr>
                <w:rFonts w:ascii="Times New Roman" w:hAnsi="Times New Roman"/>
                <w:bCs/>
                <w:i/>
                <w:sz w:val="18"/>
                <w:szCs w:val="18"/>
              </w:rPr>
              <w:t>Biogradska</w:t>
            </w:r>
            <w:proofErr w:type="spellEnd"/>
            <w:r w:rsidRPr="003B6A69">
              <w:rPr>
                <w:rFonts w:ascii="Times New Roman" w:hAnsi="Times New Roman"/>
                <w:bCs/>
                <w:i/>
                <w:sz w:val="18"/>
                <w:szCs w:val="18"/>
              </w:rPr>
              <w:t xml:space="preserve"> Gora National park</w:t>
            </w:r>
            <w:r w:rsidRPr="003B6A69">
              <w:rPr>
                <w:rFonts w:ascii="Times New Roman" w:hAnsi="Times New Roman"/>
                <w:bCs/>
                <w:i/>
                <w:sz w:val="18"/>
                <w:szCs w:val="18"/>
              </w:rPr>
              <w:tab/>
              <w:t>72209</w:t>
            </w:r>
          </w:p>
          <w:p w14:paraId="50C83A76" w14:textId="77777777" w:rsidR="00195776" w:rsidRPr="003B6A69" w:rsidRDefault="00195776" w:rsidP="00195776">
            <w:pPr>
              <w:jc w:val="left"/>
              <w:rPr>
                <w:rFonts w:ascii="Times New Roman" w:hAnsi="Times New Roman"/>
                <w:bCs/>
                <w:i/>
                <w:sz w:val="18"/>
                <w:szCs w:val="18"/>
              </w:rPr>
            </w:pPr>
            <w:proofErr w:type="spellStart"/>
            <w:r w:rsidRPr="003B6A69">
              <w:rPr>
                <w:rFonts w:ascii="Times New Roman" w:hAnsi="Times New Roman"/>
                <w:bCs/>
                <w:i/>
                <w:sz w:val="18"/>
                <w:szCs w:val="18"/>
              </w:rPr>
              <w:t>Skadar</w:t>
            </w:r>
            <w:proofErr w:type="spellEnd"/>
            <w:r w:rsidRPr="003B6A69">
              <w:rPr>
                <w:rFonts w:ascii="Times New Roman" w:hAnsi="Times New Roman"/>
                <w:bCs/>
                <w:i/>
                <w:sz w:val="18"/>
                <w:szCs w:val="18"/>
              </w:rPr>
              <w:t xml:space="preserve"> Lake National Park</w:t>
            </w:r>
            <w:r w:rsidRPr="003B6A69">
              <w:rPr>
                <w:rFonts w:ascii="Times New Roman" w:hAnsi="Times New Roman"/>
                <w:bCs/>
                <w:i/>
                <w:sz w:val="18"/>
                <w:szCs w:val="18"/>
              </w:rPr>
              <w:tab/>
              <w:t>145.237</w:t>
            </w:r>
          </w:p>
          <w:p w14:paraId="2C779876" w14:textId="77777777" w:rsidR="00195776" w:rsidRPr="003B6A69" w:rsidRDefault="00195776" w:rsidP="00195776">
            <w:pPr>
              <w:jc w:val="left"/>
              <w:rPr>
                <w:rFonts w:ascii="Times New Roman" w:hAnsi="Times New Roman"/>
                <w:bCs/>
                <w:i/>
                <w:sz w:val="18"/>
                <w:szCs w:val="18"/>
              </w:rPr>
            </w:pPr>
            <w:proofErr w:type="spellStart"/>
            <w:r w:rsidRPr="003B6A69">
              <w:rPr>
                <w:rFonts w:ascii="Times New Roman" w:hAnsi="Times New Roman"/>
                <w:bCs/>
                <w:i/>
                <w:sz w:val="18"/>
                <w:szCs w:val="18"/>
              </w:rPr>
              <w:t>Orjen</w:t>
            </w:r>
            <w:proofErr w:type="spellEnd"/>
            <w:r w:rsidRPr="003B6A69">
              <w:rPr>
                <w:rFonts w:ascii="Times New Roman" w:hAnsi="Times New Roman"/>
                <w:bCs/>
                <w:i/>
                <w:sz w:val="18"/>
                <w:szCs w:val="18"/>
              </w:rPr>
              <w:t xml:space="preserve"> Nature Park</w:t>
            </w:r>
            <w:r w:rsidRPr="003B6A69">
              <w:rPr>
                <w:rFonts w:ascii="Times New Roman" w:hAnsi="Times New Roman"/>
                <w:bCs/>
                <w:i/>
                <w:sz w:val="18"/>
                <w:szCs w:val="18"/>
              </w:rPr>
              <w:tab/>
              <w:t>14</w:t>
            </w:r>
          </w:p>
          <w:p w14:paraId="0320B2C6" w14:textId="77777777" w:rsidR="00195776" w:rsidRPr="003B6A69" w:rsidRDefault="00195776" w:rsidP="00195776">
            <w:pPr>
              <w:jc w:val="left"/>
              <w:rPr>
                <w:rFonts w:ascii="Times New Roman" w:hAnsi="Times New Roman"/>
                <w:bCs/>
                <w:i/>
                <w:sz w:val="18"/>
                <w:szCs w:val="18"/>
              </w:rPr>
            </w:pPr>
            <w:proofErr w:type="spellStart"/>
            <w:r w:rsidRPr="003B6A69">
              <w:rPr>
                <w:rFonts w:ascii="Times New Roman" w:hAnsi="Times New Roman"/>
                <w:bCs/>
                <w:i/>
                <w:sz w:val="18"/>
                <w:szCs w:val="18"/>
              </w:rPr>
              <w:t>Dragisnica-Komarnica</w:t>
            </w:r>
            <w:proofErr w:type="spellEnd"/>
            <w:r w:rsidRPr="003B6A69">
              <w:rPr>
                <w:rFonts w:ascii="Times New Roman" w:hAnsi="Times New Roman"/>
                <w:bCs/>
                <w:i/>
                <w:sz w:val="18"/>
                <w:szCs w:val="18"/>
              </w:rPr>
              <w:t xml:space="preserve"> Nature Park</w:t>
            </w:r>
            <w:r w:rsidRPr="003B6A69">
              <w:rPr>
                <w:rFonts w:ascii="Times New Roman" w:hAnsi="Times New Roman"/>
                <w:bCs/>
                <w:i/>
                <w:sz w:val="18"/>
                <w:szCs w:val="18"/>
              </w:rPr>
              <w:tab/>
              <w:t>2785</w:t>
            </w:r>
          </w:p>
          <w:p w14:paraId="1877097C" w14:textId="77777777" w:rsidR="00195776" w:rsidRPr="003B6A69" w:rsidRDefault="00195776" w:rsidP="00195776">
            <w:pPr>
              <w:jc w:val="left"/>
              <w:rPr>
                <w:rFonts w:ascii="Times New Roman" w:hAnsi="Times New Roman"/>
                <w:bCs/>
                <w:i/>
                <w:sz w:val="18"/>
                <w:szCs w:val="18"/>
              </w:rPr>
            </w:pPr>
            <w:proofErr w:type="spellStart"/>
            <w:r w:rsidRPr="003B6A69">
              <w:rPr>
                <w:rFonts w:ascii="Times New Roman" w:hAnsi="Times New Roman"/>
                <w:bCs/>
                <w:i/>
                <w:sz w:val="18"/>
                <w:szCs w:val="18"/>
              </w:rPr>
              <w:t>Piva</w:t>
            </w:r>
            <w:proofErr w:type="spellEnd"/>
            <w:r w:rsidRPr="003B6A69">
              <w:rPr>
                <w:rFonts w:ascii="Times New Roman" w:hAnsi="Times New Roman"/>
                <w:bCs/>
                <w:i/>
                <w:sz w:val="18"/>
                <w:szCs w:val="18"/>
              </w:rPr>
              <w:t xml:space="preserve"> Nature Park</w:t>
            </w:r>
            <w:r w:rsidRPr="003B6A69">
              <w:rPr>
                <w:rFonts w:ascii="Times New Roman" w:hAnsi="Times New Roman"/>
                <w:bCs/>
                <w:i/>
                <w:sz w:val="18"/>
                <w:szCs w:val="18"/>
              </w:rPr>
              <w:tab/>
              <w:t>33000</w:t>
            </w:r>
          </w:p>
          <w:p w14:paraId="29B38C54" w14:textId="77777777" w:rsidR="00195776" w:rsidRPr="003B6A69" w:rsidRDefault="00195776" w:rsidP="00195776">
            <w:pPr>
              <w:jc w:val="left"/>
              <w:rPr>
                <w:rFonts w:ascii="Times New Roman" w:hAnsi="Times New Roman"/>
                <w:bCs/>
                <w:i/>
                <w:sz w:val="18"/>
                <w:szCs w:val="18"/>
              </w:rPr>
            </w:pPr>
            <w:proofErr w:type="spellStart"/>
            <w:r w:rsidRPr="003B6A69">
              <w:rPr>
                <w:rFonts w:ascii="Times New Roman" w:hAnsi="Times New Roman"/>
                <w:bCs/>
                <w:i/>
                <w:sz w:val="18"/>
                <w:szCs w:val="18"/>
              </w:rPr>
              <w:t>Komovi</w:t>
            </w:r>
            <w:proofErr w:type="spellEnd"/>
            <w:r w:rsidRPr="003B6A69">
              <w:rPr>
                <w:rFonts w:ascii="Times New Roman" w:hAnsi="Times New Roman"/>
                <w:bCs/>
                <w:i/>
                <w:sz w:val="18"/>
                <w:szCs w:val="18"/>
              </w:rPr>
              <w:t xml:space="preserve"> Nature Park</w:t>
            </w:r>
            <w:r w:rsidRPr="003B6A69">
              <w:rPr>
                <w:rFonts w:ascii="Times New Roman" w:hAnsi="Times New Roman"/>
                <w:bCs/>
                <w:i/>
                <w:sz w:val="18"/>
                <w:szCs w:val="18"/>
              </w:rPr>
              <w:tab/>
              <w:t>No data</w:t>
            </w:r>
          </w:p>
          <w:p w14:paraId="59EDB541" w14:textId="44418690" w:rsidR="00CD0329" w:rsidRPr="003B6A69" w:rsidRDefault="00195776" w:rsidP="00AE3EED">
            <w:pPr>
              <w:jc w:val="left"/>
              <w:rPr>
                <w:rFonts w:ascii="Times New Roman" w:hAnsi="Times New Roman"/>
                <w:bCs/>
                <w:i/>
                <w:sz w:val="18"/>
                <w:szCs w:val="18"/>
              </w:rPr>
            </w:pPr>
            <w:proofErr w:type="spellStart"/>
            <w:r w:rsidRPr="003B6A69">
              <w:rPr>
                <w:rFonts w:ascii="Times New Roman" w:hAnsi="Times New Roman"/>
                <w:bCs/>
                <w:i/>
                <w:sz w:val="18"/>
                <w:szCs w:val="18"/>
              </w:rPr>
              <w:t>Ulcinjska</w:t>
            </w:r>
            <w:proofErr w:type="spellEnd"/>
            <w:r w:rsidRPr="003B6A69">
              <w:rPr>
                <w:rFonts w:ascii="Times New Roman" w:hAnsi="Times New Roman"/>
                <w:bCs/>
                <w:i/>
                <w:sz w:val="18"/>
                <w:szCs w:val="18"/>
              </w:rPr>
              <w:t xml:space="preserve"> Solana Nature Park</w:t>
            </w:r>
            <w:r w:rsidRPr="003B6A69">
              <w:rPr>
                <w:rFonts w:ascii="Times New Roman" w:hAnsi="Times New Roman"/>
                <w:bCs/>
                <w:i/>
                <w:sz w:val="18"/>
                <w:szCs w:val="18"/>
              </w:rPr>
              <w:tab/>
              <w:t>2983</w:t>
            </w:r>
          </w:p>
        </w:tc>
        <w:tc>
          <w:tcPr>
            <w:tcW w:w="2070" w:type="dxa"/>
          </w:tcPr>
          <w:p w14:paraId="0F4F6259" w14:textId="77777777" w:rsidR="00E4085F" w:rsidRPr="003B6A69" w:rsidRDefault="00E4085F" w:rsidP="00AE3EED">
            <w:pPr>
              <w:jc w:val="left"/>
              <w:rPr>
                <w:rFonts w:ascii="Times New Roman" w:hAnsi="Times New Roman"/>
                <w:bCs/>
                <w:i/>
                <w:sz w:val="18"/>
                <w:szCs w:val="18"/>
              </w:rPr>
            </w:pPr>
            <w:r w:rsidRPr="003B6A69">
              <w:rPr>
                <w:rFonts w:ascii="Times New Roman" w:hAnsi="Times New Roman"/>
                <w:bCs/>
                <w:i/>
                <w:sz w:val="18"/>
                <w:szCs w:val="18"/>
              </w:rPr>
              <w:t>3%</w:t>
            </w:r>
          </w:p>
        </w:tc>
        <w:tc>
          <w:tcPr>
            <w:tcW w:w="2903" w:type="dxa"/>
          </w:tcPr>
          <w:p w14:paraId="737C9ABD" w14:textId="77777777" w:rsidR="00E4085F" w:rsidRPr="003B6A69" w:rsidRDefault="00E4085F" w:rsidP="00AE3EED">
            <w:pPr>
              <w:jc w:val="left"/>
              <w:rPr>
                <w:i/>
                <w:sz w:val="18"/>
                <w:szCs w:val="18"/>
              </w:rPr>
            </w:pPr>
            <w:r w:rsidRPr="003B6A69">
              <w:rPr>
                <w:i/>
                <w:sz w:val="18"/>
                <w:szCs w:val="18"/>
              </w:rPr>
              <w:t>10%</w:t>
            </w:r>
          </w:p>
          <w:p w14:paraId="0E493D86" w14:textId="511C0FF5" w:rsidR="00E4085F" w:rsidRPr="003B6A69" w:rsidRDefault="00E4085F" w:rsidP="00AE3EED">
            <w:pPr>
              <w:jc w:val="left"/>
              <w:rPr>
                <w:i/>
                <w:sz w:val="18"/>
                <w:szCs w:val="18"/>
              </w:rPr>
            </w:pPr>
          </w:p>
        </w:tc>
      </w:tr>
      <w:tr w:rsidR="00E4085F" w:rsidRPr="003B6A69" w14:paraId="34C79FBA" w14:textId="77777777" w:rsidTr="00AE3EED">
        <w:trPr>
          <w:trHeight w:val="746"/>
        </w:trPr>
        <w:tc>
          <w:tcPr>
            <w:tcW w:w="2605" w:type="dxa"/>
            <w:shd w:val="pct12" w:color="auto" w:fill="auto"/>
          </w:tcPr>
          <w:p w14:paraId="20241DFB" w14:textId="1E7335AA" w:rsidR="00E4085F" w:rsidRPr="003B6A69" w:rsidRDefault="00E4085F" w:rsidP="00AE3EED">
            <w:pPr>
              <w:jc w:val="left"/>
              <w:rPr>
                <w:rFonts w:ascii="Times New Roman" w:hAnsi="Times New Roman"/>
                <w:b/>
                <w:bCs/>
                <w:sz w:val="18"/>
                <w:szCs w:val="18"/>
              </w:rPr>
            </w:pPr>
            <w:r w:rsidRPr="003B6A69">
              <w:rPr>
                <w:rFonts w:ascii="Times New Roman" w:hAnsi="Times New Roman"/>
                <w:b/>
                <w:bCs/>
                <w:sz w:val="18"/>
                <w:szCs w:val="18"/>
              </w:rPr>
              <w:t>Outputs to achieve Outcome 3</w:t>
            </w:r>
          </w:p>
        </w:tc>
        <w:tc>
          <w:tcPr>
            <w:tcW w:w="11813" w:type="dxa"/>
            <w:gridSpan w:val="4"/>
          </w:tcPr>
          <w:p w14:paraId="249EF1F0" w14:textId="77777777" w:rsidR="00E4085F" w:rsidRPr="003B6A69" w:rsidRDefault="00E4085F" w:rsidP="00AE3EED">
            <w:pPr>
              <w:jc w:val="left"/>
              <w:rPr>
                <w:bCs/>
                <w:i/>
                <w:sz w:val="18"/>
                <w:szCs w:val="18"/>
              </w:rPr>
            </w:pPr>
            <w:r w:rsidRPr="003B6A69">
              <w:rPr>
                <w:bCs/>
                <w:i/>
                <w:sz w:val="18"/>
                <w:szCs w:val="18"/>
              </w:rPr>
              <w:t>Output 3.1: Best-practice standards for nature-based BD friendly tourism developed and endorsed</w:t>
            </w:r>
          </w:p>
          <w:p w14:paraId="00B4502B" w14:textId="77777777" w:rsidR="00E4085F" w:rsidRPr="003B6A69" w:rsidRDefault="00E4085F" w:rsidP="00AE3EED">
            <w:pPr>
              <w:jc w:val="left"/>
              <w:rPr>
                <w:bCs/>
                <w:i/>
                <w:sz w:val="18"/>
                <w:szCs w:val="18"/>
              </w:rPr>
            </w:pPr>
            <w:r w:rsidRPr="003B6A69">
              <w:rPr>
                <w:bCs/>
                <w:i/>
                <w:sz w:val="18"/>
                <w:szCs w:val="18"/>
              </w:rPr>
              <w:t>Output 3.2: Small-scale tourism business are stimulated to introduce biodiversity-sensitive business models</w:t>
            </w:r>
          </w:p>
          <w:p w14:paraId="20743C24" w14:textId="77777777" w:rsidR="00E4085F" w:rsidRPr="003B6A69" w:rsidRDefault="00E4085F" w:rsidP="00AE3EED">
            <w:pPr>
              <w:jc w:val="left"/>
              <w:rPr>
                <w:bCs/>
                <w:i/>
                <w:sz w:val="18"/>
                <w:szCs w:val="18"/>
              </w:rPr>
            </w:pPr>
            <w:r w:rsidRPr="003B6A69">
              <w:rPr>
                <w:bCs/>
                <w:i/>
                <w:sz w:val="18"/>
                <w:szCs w:val="18"/>
              </w:rPr>
              <w:t>Output 3.3: Public-private partnerships in tourism as a post-COVID resilience mechanism for responsible tourism development</w:t>
            </w:r>
          </w:p>
          <w:p w14:paraId="2634059A" w14:textId="77777777" w:rsidR="00E4085F" w:rsidRPr="003B6A69" w:rsidRDefault="00E4085F" w:rsidP="00AE3EED">
            <w:pPr>
              <w:jc w:val="left"/>
              <w:rPr>
                <w:bCs/>
                <w:i/>
                <w:sz w:val="18"/>
                <w:szCs w:val="18"/>
              </w:rPr>
            </w:pPr>
            <w:r w:rsidRPr="003B6A69">
              <w:rPr>
                <w:bCs/>
                <w:i/>
                <w:sz w:val="18"/>
                <w:szCs w:val="18"/>
              </w:rPr>
              <w:lastRenderedPageBreak/>
              <w:t>Output 3.4: PAs integrated into sustainable tourism development</w:t>
            </w:r>
          </w:p>
        </w:tc>
      </w:tr>
      <w:tr w:rsidR="00E4085F" w:rsidRPr="003B6A69" w14:paraId="106B13B8" w14:textId="77777777" w:rsidTr="00195776">
        <w:trPr>
          <w:trHeight w:val="440"/>
        </w:trPr>
        <w:tc>
          <w:tcPr>
            <w:tcW w:w="2605" w:type="dxa"/>
            <w:vMerge w:val="restart"/>
            <w:shd w:val="pct12" w:color="auto" w:fill="auto"/>
          </w:tcPr>
          <w:p w14:paraId="69477C4B" w14:textId="77777777" w:rsidR="00E4085F" w:rsidRPr="003B6A69" w:rsidRDefault="00E4085F" w:rsidP="00AE3EED">
            <w:pPr>
              <w:jc w:val="left"/>
              <w:rPr>
                <w:rFonts w:ascii="Times New Roman" w:hAnsi="Times New Roman"/>
                <w:b/>
                <w:bCs/>
                <w:sz w:val="18"/>
                <w:szCs w:val="18"/>
              </w:rPr>
            </w:pPr>
            <w:r w:rsidRPr="003B6A69">
              <w:rPr>
                <w:rFonts w:ascii="Times New Roman" w:hAnsi="Times New Roman"/>
                <w:b/>
                <w:bCs/>
                <w:sz w:val="18"/>
                <w:szCs w:val="18"/>
              </w:rPr>
              <w:lastRenderedPageBreak/>
              <w:t>Outcome 4: BD conservation considerations mainstreamed into forestry policies and practices around KBAs</w:t>
            </w:r>
          </w:p>
          <w:p w14:paraId="76784A02" w14:textId="77777777" w:rsidR="00E4085F" w:rsidRPr="003B6A69" w:rsidRDefault="00E4085F" w:rsidP="00AE3EED">
            <w:pPr>
              <w:jc w:val="left"/>
              <w:rPr>
                <w:rFonts w:ascii="Times New Roman" w:hAnsi="Times New Roman"/>
                <w:sz w:val="18"/>
                <w:szCs w:val="18"/>
              </w:rPr>
            </w:pPr>
          </w:p>
        </w:tc>
        <w:tc>
          <w:tcPr>
            <w:tcW w:w="4230" w:type="dxa"/>
          </w:tcPr>
          <w:p w14:paraId="7FBC2183" w14:textId="77777777" w:rsidR="00E4085F" w:rsidRPr="00792600" w:rsidRDefault="00E4085F" w:rsidP="00AE3EED">
            <w:pPr>
              <w:jc w:val="left"/>
              <w:rPr>
                <w:rFonts w:asciiTheme="minorHAnsi" w:hAnsiTheme="minorHAnsi"/>
                <w:bCs/>
                <w:i/>
                <w:sz w:val="18"/>
                <w:szCs w:val="18"/>
              </w:rPr>
            </w:pPr>
            <w:r w:rsidRPr="00792600">
              <w:rPr>
                <w:rFonts w:asciiTheme="minorHAnsi" w:hAnsiTheme="minorHAnsi"/>
                <w:bCs/>
                <w:i/>
                <w:sz w:val="18"/>
                <w:szCs w:val="18"/>
              </w:rPr>
              <w:t xml:space="preserve">Indicator 11: </w:t>
            </w:r>
            <w:r w:rsidRPr="00792600">
              <w:rPr>
                <w:rFonts w:asciiTheme="minorHAnsi" w:hAnsiTheme="minorHAnsi"/>
                <w:bCs/>
                <w:sz w:val="18"/>
                <w:szCs w:val="18"/>
              </w:rPr>
              <w:t xml:space="preserve">Comprehensive management tools in place and </w:t>
            </w:r>
            <w:r w:rsidRPr="00792600">
              <w:rPr>
                <w:rFonts w:asciiTheme="minorHAnsi" w:hAnsiTheme="minorHAnsi"/>
                <w:bCs/>
                <w:sz w:val="18"/>
                <w:szCs w:val="18"/>
                <w:lang w:val="en-GB"/>
              </w:rPr>
              <w:t>incentives for biodiversity-positive forest owners promoted for at least 600 ha of privately owned forests</w:t>
            </w:r>
          </w:p>
        </w:tc>
        <w:tc>
          <w:tcPr>
            <w:tcW w:w="2610" w:type="dxa"/>
          </w:tcPr>
          <w:p w14:paraId="6F5EA948" w14:textId="77777777" w:rsidR="00E4085F" w:rsidRPr="003B6A69" w:rsidRDefault="00E4085F" w:rsidP="00AE3EED">
            <w:pPr>
              <w:jc w:val="left"/>
              <w:rPr>
                <w:rFonts w:ascii="Times New Roman" w:hAnsi="Times New Roman"/>
                <w:bCs/>
                <w:i/>
                <w:sz w:val="18"/>
                <w:szCs w:val="18"/>
              </w:rPr>
            </w:pPr>
            <w:r w:rsidRPr="003B6A69">
              <w:rPr>
                <w:rFonts w:ascii="Times New Roman" w:hAnsi="Times New Roman"/>
                <w:bCs/>
                <w:i/>
                <w:sz w:val="18"/>
                <w:szCs w:val="18"/>
              </w:rPr>
              <w:t>0</w:t>
            </w:r>
          </w:p>
        </w:tc>
        <w:tc>
          <w:tcPr>
            <w:tcW w:w="2070" w:type="dxa"/>
          </w:tcPr>
          <w:p w14:paraId="1D911164" w14:textId="77777777" w:rsidR="00E4085F" w:rsidRPr="003B6A69" w:rsidRDefault="00E4085F" w:rsidP="00AE3EED">
            <w:pPr>
              <w:jc w:val="left"/>
              <w:rPr>
                <w:rFonts w:ascii="Times New Roman" w:hAnsi="Times New Roman"/>
                <w:bCs/>
                <w:i/>
                <w:sz w:val="18"/>
                <w:szCs w:val="18"/>
              </w:rPr>
            </w:pPr>
            <w:r w:rsidRPr="003B6A69">
              <w:rPr>
                <w:rFonts w:ascii="Times New Roman" w:hAnsi="Times New Roman"/>
                <w:bCs/>
                <w:i/>
                <w:sz w:val="18"/>
                <w:szCs w:val="18"/>
              </w:rPr>
              <w:t>600 ha</w:t>
            </w:r>
          </w:p>
        </w:tc>
        <w:tc>
          <w:tcPr>
            <w:tcW w:w="2903" w:type="dxa"/>
          </w:tcPr>
          <w:p w14:paraId="6154E1E6" w14:textId="77777777" w:rsidR="00E4085F" w:rsidRPr="003B6A69" w:rsidRDefault="00E4085F" w:rsidP="00AE3EED">
            <w:pPr>
              <w:jc w:val="left"/>
              <w:rPr>
                <w:i/>
                <w:sz w:val="18"/>
                <w:szCs w:val="18"/>
              </w:rPr>
            </w:pPr>
            <w:r w:rsidRPr="003B6A69">
              <w:rPr>
                <w:i/>
                <w:sz w:val="18"/>
                <w:szCs w:val="18"/>
              </w:rPr>
              <w:t>600 ha</w:t>
            </w:r>
          </w:p>
        </w:tc>
      </w:tr>
      <w:tr w:rsidR="00E4085F" w:rsidRPr="003B6A69" w14:paraId="5B33CB13" w14:textId="77777777" w:rsidTr="00195776">
        <w:trPr>
          <w:trHeight w:val="530"/>
        </w:trPr>
        <w:tc>
          <w:tcPr>
            <w:tcW w:w="2605" w:type="dxa"/>
            <w:vMerge/>
            <w:shd w:val="pct12" w:color="auto" w:fill="auto"/>
          </w:tcPr>
          <w:p w14:paraId="76E0212E" w14:textId="77777777" w:rsidR="00E4085F" w:rsidRPr="003B6A69" w:rsidRDefault="00E4085F" w:rsidP="00AE3EED">
            <w:pPr>
              <w:jc w:val="left"/>
              <w:rPr>
                <w:rFonts w:ascii="Times New Roman" w:hAnsi="Times New Roman"/>
                <w:b/>
                <w:bCs/>
                <w:sz w:val="18"/>
                <w:szCs w:val="18"/>
              </w:rPr>
            </w:pPr>
          </w:p>
        </w:tc>
        <w:tc>
          <w:tcPr>
            <w:tcW w:w="4230" w:type="dxa"/>
          </w:tcPr>
          <w:p w14:paraId="0F65C96A" w14:textId="77777777" w:rsidR="00E4085F" w:rsidRPr="00792600" w:rsidRDefault="00E4085F" w:rsidP="00AE3EED">
            <w:pPr>
              <w:rPr>
                <w:rFonts w:asciiTheme="minorHAnsi" w:hAnsiTheme="minorHAnsi"/>
              </w:rPr>
            </w:pPr>
            <w:r w:rsidRPr="00792600">
              <w:rPr>
                <w:rFonts w:asciiTheme="minorHAnsi" w:hAnsiTheme="minorHAnsi"/>
                <w:bCs/>
                <w:i/>
                <w:sz w:val="18"/>
                <w:szCs w:val="18"/>
              </w:rPr>
              <w:t xml:space="preserve">Indicator 12: </w:t>
            </w:r>
            <w:r w:rsidRPr="00792600">
              <w:rPr>
                <w:rFonts w:asciiTheme="minorHAnsi" w:hAnsiTheme="minorHAnsi"/>
                <w:bCs/>
                <w:sz w:val="18"/>
                <w:szCs w:val="18"/>
              </w:rPr>
              <w:t>Targeted adaptation and resilience measures developed and implemented for at least 1000 ha of HCVF</w:t>
            </w:r>
          </w:p>
        </w:tc>
        <w:tc>
          <w:tcPr>
            <w:tcW w:w="2610" w:type="dxa"/>
          </w:tcPr>
          <w:p w14:paraId="4EECA9F8" w14:textId="77777777" w:rsidR="00E4085F" w:rsidRPr="003B6A69" w:rsidRDefault="00E4085F" w:rsidP="00AE3EED">
            <w:pPr>
              <w:jc w:val="left"/>
              <w:rPr>
                <w:rFonts w:ascii="Times New Roman" w:hAnsi="Times New Roman"/>
                <w:bCs/>
                <w:i/>
                <w:sz w:val="18"/>
                <w:szCs w:val="18"/>
              </w:rPr>
            </w:pPr>
            <w:r w:rsidRPr="003B6A69">
              <w:rPr>
                <w:rFonts w:ascii="Times New Roman" w:hAnsi="Times New Roman"/>
                <w:bCs/>
                <w:i/>
                <w:sz w:val="18"/>
                <w:szCs w:val="18"/>
              </w:rPr>
              <w:t>0</w:t>
            </w:r>
          </w:p>
        </w:tc>
        <w:tc>
          <w:tcPr>
            <w:tcW w:w="2070" w:type="dxa"/>
          </w:tcPr>
          <w:p w14:paraId="68416D5A" w14:textId="77777777" w:rsidR="00E4085F" w:rsidRPr="003B6A69" w:rsidRDefault="00E4085F" w:rsidP="00AE3EED">
            <w:pPr>
              <w:jc w:val="left"/>
              <w:rPr>
                <w:rFonts w:ascii="Times New Roman" w:hAnsi="Times New Roman"/>
                <w:bCs/>
                <w:i/>
                <w:sz w:val="18"/>
                <w:szCs w:val="18"/>
              </w:rPr>
            </w:pPr>
            <w:r w:rsidRPr="003B6A69">
              <w:rPr>
                <w:rFonts w:ascii="Times New Roman" w:hAnsi="Times New Roman"/>
                <w:bCs/>
                <w:i/>
                <w:sz w:val="18"/>
                <w:szCs w:val="18"/>
              </w:rPr>
              <w:t>1,000 ha</w:t>
            </w:r>
          </w:p>
        </w:tc>
        <w:tc>
          <w:tcPr>
            <w:tcW w:w="2903" w:type="dxa"/>
          </w:tcPr>
          <w:p w14:paraId="310D02DE" w14:textId="77777777" w:rsidR="00E4085F" w:rsidRPr="003B6A69" w:rsidRDefault="00E4085F" w:rsidP="00AE3EED">
            <w:pPr>
              <w:jc w:val="left"/>
              <w:rPr>
                <w:i/>
              </w:rPr>
            </w:pPr>
            <w:r w:rsidRPr="003B6A69">
              <w:rPr>
                <w:i/>
                <w:sz w:val="18"/>
                <w:szCs w:val="18"/>
              </w:rPr>
              <w:t>1,000 ha</w:t>
            </w:r>
          </w:p>
        </w:tc>
      </w:tr>
      <w:tr w:rsidR="00E4085F" w:rsidRPr="003B6A69" w14:paraId="55718070" w14:textId="77777777" w:rsidTr="00AE3EED">
        <w:trPr>
          <w:trHeight w:val="440"/>
        </w:trPr>
        <w:tc>
          <w:tcPr>
            <w:tcW w:w="2605" w:type="dxa"/>
            <w:shd w:val="pct12" w:color="auto" w:fill="auto"/>
          </w:tcPr>
          <w:p w14:paraId="6D027C3B" w14:textId="77777777" w:rsidR="00E4085F" w:rsidRPr="003B6A69" w:rsidRDefault="00E4085F" w:rsidP="00AE3EED">
            <w:pPr>
              <w:jc w:val="left"/>
              <w:rPr>
                <w:rFonts w:ascii="Times New Roman" w:hAnsi="Times New Roman"/>
                <w:b/>
                <w:bCs/>
                <w:sz w:val="18"/>
                <w:szCs w:val="18"/>
              </w:rPr>
            </w:pPr>
            <w:r w:rsidRPr="003B6A69">
              <w:rPr>
                <w:rFonts w:ascii="Times New Roman" w:hAnsi="Times New Roman"/>
                <w:b/>
                <w:bCs/>
                <w:sz w:val="18"/>
                <w:szCs w:val="18"/>
              </w:rPr>
              <w:t>Outputs to achieve Outcome 4</w:t>
            </w:r>
          </w:p>
        </w:tc>
        <w:tc>
          <w:tcPr>
            <w:tcW w:w="11813" w:type="dxa"/>
            <w:gridSpan w:val="4"/>
          </w:tcPr>
          <w:p w14:paraId="1364C598" w14:textId="77777777" w:rsidR="00E4085F" w:rsidRPr="003B6A69" w:rsidRDefault="00E4085F" w:rsidP="00AE3EED">
            <w:pPr>
              <w:jc w:val="left"/>
              <w:rPr>
                <w:bCs/>
                <w:i/>
                <w:sz w:val="18"/>
                <w:szCs w:val="18"/>
              </w:rPr>
            </w:pPr>
            <w:r w:rsidRPr="003B6A69">
              <w:rPr>
                <w:bCs/>
                <w:i/>
                <w:sz w:val="18"/>
                <w:szCs w:val="18"/>
              </w:rPr>
              <w:t>Output 4.1: Best-practice standards mainstreaming biodiversity-friendly forestry practices developed and endorsed</w:t>
            </w:r>
          </w:p>
          <w:p w14:paraId="1BFD09E6" w14:textId="77777777" w:rsidR="00E4085F" w:rsidRPr="003B6A69" w:rsidRDefault="00E4085F" w:rsidP="00AE3EED">
            <w:pPr>
              <w:jc w:val="left"/>
              <w:rPr>
                <w:bCs/>
                <w:i/>
                <w:sz w:val="18"/>
                <w:szCs w:val="18"/>
              </w:rPr>
            </w:pPr>
            <w:r w:rsidRPr="003B6A69">
              <w:rPr>
                <w:bCs/>
                <w:i/>
                <w:sz w:val="18"/>
                <w:szCs w:val="18"/>
              </w:rPr>
              <w:t>Output 4.2: Strengthened resilience of High-Conservation Value forests built through targeted technical assistance</w:t>
            </w:r>
          </w:p>
        </w:tc>
      </w:tr>
      <w:tr w:rsidR="00E4085F" w:rsidRPr="003B6A69" w14:paraId="0FB304E7" w14:textId="77777777" w:rsidTr="00195776">
        <w:trPr>
          <w:trHeight w:val="620"/>
        </w:trPr>
        <w:tc>
          <w:tcPr>
            <w:tcW w:w="2605" w:type="dxa"/>
            <w:vMerge w:val="restart"/>
            <w:shd w:val="pct12" w:color="auto" w:fill="auto"/>
          </w:tcPr>
          <w:p w14:paraId="7E593841" w14:textId="77777777" w:rsidR="00E4085F" w:rsidRPr="003B6A69" w:rsidRDefault="00E4085F" w:rsidP="00AE3EED">
            <w:pPr>
              <w:jc w:val="left"/>
              <w:rPr>
                <w:rFonts w:ascii="Times New Roman" w:hAnsi="Times New Roman"/>
                <w:b/>
                <w:bCs/>
                <w:sz w:val="18"/>
                <w:szCs w:val="18"/>
              </w:rPr>
            </w:pPr>
            <w:r w:rsidRPr="003B6A69">
              <w:rPr>
                <w:rFonts w:ascii="Times New Roman" w:hAnsi="Times New Roman"/>
                <w:b/>
                <w:bCs/>
                <w:sz w:val="18"/>
                <w:szCs w:val="18"/>
              </w:rPr>
              <w:t>Outcome 5: BD conservation considerations mainstreamed into agricultural policies and practices around KBAs</w:t>
            </w:r>
          </w:p>
          <w:p w14:paraId="3FD00136" w14:textId="77777777" w:rsidR="00E4085F" w:rsidRPr="003B6A69" w:rsidRDefault="00E4085F" w:rsidP="00AE3EED">
            <w:pPr>
              <w:jc w:val="left"/>
              <w:rPr>
                <w:rFonts w:ascii="Times New Roman" w:hAnsi="Times New Roman"/>
                <w:b/>
                <w:bCs/>
                <w:sz w:val="18"/>
                <w:szCs w:val="18"/>
              </w:rPr>
            </w:pPr>
          </w:p>
          <w:p w14:paraId="29CB482A" w14:textId="77777777" w:rsidR="00E4085F" w:rsidRPr="003B6A69" w:rsidRDefault="00E4085F" w:rsidP="00AE3EED">
            <w:pPr>
              <w:jc w:val="left"/>
              <w:rPr>
                <w:rFonts w:ascii="Times New Roman" w:hAnsi="Times New Roman"/>
                <w:b/>
                <w:bCs/>
                <w:sz w:val="18"/>
                <w:szCs w:val="18"/>
              </w:rPr>
            </w:pPr>
          </w:p>
        </w:tc>
        <w:tc>
          <w:tcPr>
            <w:tcW w:w="4230" w:type="dxa"/>
          </w:tcPr>
          <w:p w14:paraId="769C3B09" w14:textId="77777777" w:rsidR="00E4085F" w:rsidRPr="00792600" w:rsidRDefault="00E4085F" w:rsidP="00AE3EED">
            <w:pPr>
              <w:jc w:val="left"/>
              <w:rPr>
                <w:rFonts w:asciiTheme="minorHAnsi" w:hAnsiTheme="minorHAnsi"/>
                <w:bCs/>
                <w:i/>
                <w:sz w:val="18"/>
                <w:szCs w:val="18"/>
              </w:rPr>
            </w:pPr>
            <w:r w:rsidRPr="00792600">
              <w:rPr>
                <w:rFonts w:asciiTheme="minorHAnsi" w:hAnsiTheme="minorHAnsi"/>
                <w:bCs/>
                <w:i/>
                <w:sz w:val="18"/>
                <w:szCs w:val="18"/>
              </w:rPr>
              <w:t xml:space="preserve">Indicator 13: </w:t>
            </w:r>
            <w:r w:rsidRPr="00792600">
              <w:rPr>
                <w:rFonts w:asciiTheme="minorHAnsi" w:hAnsiTheme="minorHAnsi"/>
                <w:bCs/>
                <w:sz w:val="18"/>
                <w:szCs w:val="18"/>
                <w:lang w:val="en-GB"/>
              </w:rPr>
              <w:t xml:space="preserve">A sustainable mechanism for </w:t>
            </w:r>
            <w:proofErr w:type="spellStart"/>
            <w:r w:rsidRPr="00792600">
              <w:rPr>
                <w:rFonts w:asciiTheme="minorHAnsi" w:hAnsiTheme="minorHAnsi"/>
                <w:bCs/>
                <w:sz w:val="18"/>
                <w:szCs w:val="18"/>
                <w:lang w:val="en-GB"/>
              </w:rPr>
              <w:t>agro</w:t>
            </w:r>
            <w:proofErr w:type="spellEnd"/>
            <w:r w:rsidRPr="00792600">
              <w:rPr>
                <w:rFonts w:asciiTheme="minorHAnsi" w:hAnsiTheme="minorHAnsi"/>
                <w:bCs/>
                <w:sz w:val="18"/>
                <w:szCs w:val="18"/>
                <w:lang w:val="en-GB"/>
              </w:rPr>
              <w:t>-environmental incentives is in place to encourage uptake of sustainable BD-friendly agricultural practices</w:t>
            </w:r>
          </w:p>
        </w:tc>
        <w:tc>
          <w:tcPr>
            <w:tcW w:w="2610" w:type="dxa"/>
          </w:tcPr>
          <w:p w14:paraId="6291C8EB" w14:textId="77777777" w:rsidR="00E4085F" w:rsidRPr="003B6A69" w:rsidRDefault="00E4085F" w:rsidP="00AE3EED">
            <w:pPr>
              <w:jc w:val="left"/>
              <w:rPr>
                <w:rFonts w:ascii="Times New Roman" w:hAnsi="Times New Roman"/>
                <w:bCs/>
                <w:i/>
                <w:sz w:val="18"/>
                <w:szCs w:val="18"/>
              </w:rPr>
            </w:pPr>
            <w:r w:rsidRPr="003B6A69">
              <w:rPr>
                <w:rFonts w:ascii="Times New Roman" w:hAnsi="Times New Roman"/>
                <w:bCs/>
                <w:i/>
                <w:sz w:val="18"/>
                <w:szCs w:val="18"/>
              </w:rPr>
              <w:t>0</w:t>
            </w:r>
          </w:p>
        </w:tc>
        <w:tc>
          <w:tcPr>
            <w:tcW w:w="2070" w:type="dxa"/>
          </w:tcPr>
          <w:p w14:paraId="0DD5DAEE" w14:textId="77777777" w:rsidR="00E4085F" w:rsidRPr="003B6A69" w:rsidRDefault="00E4085F" w:rsidP="00AE3EED">
            <w:pPr>
              <w:jc w:val="left"/>
              <w:rPr>
                <w:rFonts w:ascii="Times New Roman" w:hAnsi="Times New Roman"/>
                <w:bCs/>
                <w:i/>
                <w:sz w:val="18"/>
                <w:szCs w:val="18"/>
              </w:rPr>
            </w:pPr>
            <w:proofErr w:type="spellStart"/>
            <w:r w:rsidRPr="003B6A69">
              <w:rPr>
                <w:rFonts w:ascii="Times New Roman" w:hAnsi="Times New Roman"/>
                <w:bCs/>
                <w:i/>
                <w:sz w:val="18"/>
                <w:szCs w:val="18"/>
              </w:rPr>
              <w:t>Agro</w:t>
            </w:r>
            <w:proofErr w:type="spellEnd"/>
            <w:r w:rsidRPr="003B6A69">
              <w:rPr>
                <w:rFonts w:ascii="Times New Roman" w:hAnsi="Times New Roman"/>
                <w:bCs/>
                <w:i/>
                <w:sz w:val="18"/>
                <w:szCs w:val="18"/>
              </w:rPr>
              <w:t>-environmental incentive scheme (top-up of green direct payments to farmers) developed</w:t>
            </w:r>
          </w:p>
        </w:tc>
        <w:tc>
          <w:tcPr>
            <w:tcW w:w="2903" w:type="dxa"/>
          </w:tcPr>
          <w:p w14:paraId="116FF913" w14:textId="20D42632" w:rsidR="00E4085F" w:rsidRPr="00EB5106" w:rsidRDefault="00E4085F" w:rsidP="00AE3EED">
            <w:pPr>
              <w:jc w:val="left"/>
              <w:rPr>
                <w:rFonts w:ascii="Times New Roman" w:hAnsi="Times New Roman"/>
                <w:bCs/>
                <w:i/>
                <w:sz w:val="18"/>
                <w:szCs w:val="18"/>
              </w:rPr>
            </w:pPr>
            <w:proofErr w:type="spellStart"/>
            <w:r w:rsidRPr="003B6A69">
              <w:rPr>
                <w:rFonts w:ascii="Times New Roman" w:hAnsi="Times New Roman"/>
                <w:bCs/>
                <w:i/>
                <w:sz w:val="18"/>
                <w:szCs w:val="18"/>
              </w:rPr>
              <w:t>Agro</w:t>
            </w:r>
            <w:proofErr w:type="spellEnd"/>
            <w:r w:rsidRPr="003B6A69">
              <w:rPr>
                <w:rFonts w:ascii="Times New Roman" w:hAnsi="Times New Roman"/>
                <w:bCs/>
                <w:i/>
                <w:sz w:val="18"/>
                <w:szCs w:val="18"/>
              </w:rPr>
              <w:t>-environmental incentive scheme (top-up of green direct payments to farmers) institutionalized and tested</w:t>
            </w:r>
          </w:p>
        </w:tc>
      </w:tr>
      <w:tr w:rsidR="00E4085F" w:rsidRPr="003B6A69" w14:paraId="2FE7ABDF" w14:textId="77777777" w:rsidTr="00195776">
        <w:trPr>
          <w:trHeight w:val="530"/>
        </w:trPr>
        <w:tc>
          <w:tcPr>
            <w:tcW w:w="2605" w:type="dxa"/>
            <w:vMerge/>
            <w:shd w:val="pct12" w:color="auto" w:fill="auto"/>
          </w:tcPr>
          <w:p w14:paraId="61CFD1D4" w14:textId="77777777" w:rsidR="00E4085F" w:rsidRPr="003B6A69" w:rsidRDefault="00E4085F" w:rsidP="00AE3EED">
            <w:pPr>
              <w:jc w:val="left"/>
              <w:rPr>
                <w:rFonts w:ascii="Times New Roman" w:hAnsi="Times New Roman"/>
                <w:b/>
                <w:bCs/>
                <w:sz w:val="18"/>
                <w:szCs w:val="18"/>
              </w:rPr>
            </w:pPr>
          </w:p>
        </w:tc>
        <w:tc>
          <w:tcPr>
            <w:tcW w:w="4230" w:type="dxa"/>
          </w:tcPr>
          <w:p w14:paraId="7CB1AFE4" w14:textId="15B13E8B" w:rsidR="00E4085F" w:rsidRPr="00792600" w:rsidRDefault="00E4085F" w:rsidP="00AE3EED">
            <w:pPr>
              <w:rPr>
                <w:rFonts w:asciiTheme="minorHAnsi" w:hAnsiTheme="minorHAnsi"/>
              </w:rPr>
            </w:pPr>
            <w:r w:rsidRPr="00792600">
              <w:rPr>
                <w:rFonts w:asciiTheme="minorHAnsi" w:hAnsiTheme="minorHAnsi"/>
                <w:bCs/>
                <w:i/>
                <w:sz w:val="18"/>
                <w:szCs w:val="18"/>
              </w:rPr>
              <w:t xml:space="preserve">Indicator 14: </w:t>
            </w:r>
            <w:r w:rsidRPr="00792600">
              <w:rPr>
                <w:rFonts w:asciiTheme="minorHAnsi" w:hAnsiTheme="minorHAnsi"/>
                <w:bCs/>
                <w:sz w:val="18"/>
                <w:szCs w:val="18"/>
              </w:rPr>
              <w:t>at least 20 small-scale farming enterprises benefit from top-up “green” payments</w:t>
            </w:r>
            <w:r w:rsidR="00C96139" w:rsidRPr="00792600">
              <w:rPr>
                <w:rFonts w:asciiTheme="minorHAnsi" w:hAnsiTheme="minorHAnsi"/>
                <w:bCs/>
                <w:sz w:val="18"/>
                <w:szCs w:val="18"/>
              </w:rPr>
              <w:t xml:space="preserve"> (gender-disaggregated)</w:t>
            </w:r>
          </w:p>
        </w:tc>
        <w:tc>
          <w:tcPr>
            <w:tcW w:w="2610" w:type="dxa"/>
          </w:tcPr>
          <w:p w14:paraId="47B5C406" w14:textId="77777777" w:rsidR="00E4085F" w:rsidRPr="003B6A69" w:rsidRDefault="00E4085F" w:rsidP="00AE3EED">
            <w:pPr>
              <w:jc w:val="left"/>
              <w:rPr>
                <w:rFonts w:ascii="Times New Roman" w:hAnsi="Times New Roman"/>
                <w:bCs/>
                <w:i/>
                <w:sz w:val="18"/>
                <w:szCs w:val="18"/>
              </w:rPr>
            </w:pPr>
            <w:r w:rsidRPr="003B6A69">
              <w:rPr>
                <w:rFonts w:ascii="Times New Roman" w:hAnsi="Times New Roman"/>
                <w:bCs/>
                <w:i/>
                <w:sz w:val="18"/>
                <w:szCs w:val="18"/>
              </w:rPr>
              <w:t>0</w:t>
            </w:r>
          </w:p>
        </w:tc>
        <w:tc>
          <w:tcPr>
            <w:tcW w:w="2070" w:type="dxa"/>
          </w:tcPr>
          <w:p w14:paraId="232E004F" w14:textId="77777777" w:rsidR="00E4085F" w:rsidRPr="003B6A69" w:rsidRDefault="00E4085F" w:rsidP="00AE3EED">
            <w:pPr>
              <w:jc w:val="left"/>
              <w:rPr>
                <w:rFonts w:ascii="Times New Roman" w:hAnsi="Times New Roman"/>
                <w:bCs/>
                <w:i/>
                <w:sz w:val="18"/>
                <w:szCs w:val="18"/>
              </w:rPr>
            </w:pPr>
            <w:r w:rsidRPr="003B6A69">
              <w:rPr>
                <w:rFonts w:ascii="Times New Roman" w:hAnsi="Times New Roman"/>
                <w:bCs/>
                <w:i/>
                <w:sz w:val="18"/>
                <w:szCs w:val="18"/>
              </w:rPr>
              <w:t>10</w:t>
            </w:r>
          </w:p>
        </w:tc>
        <w:tc>
          <w:tcPr>
            <w:tcW w:w="2903" w:type="dxa"/>
          </w:tcPr>
          <w:p w14:paraId="36CEA048" w14:textId="77777777" w:rsidR="00E4085F" w:rsidRPr="003B6A69" w:rsidRDefault="00E4085F" w:rsidP="00AE3EED">
            <w:pPr>
              <w:jc w:val="left"/>
              <w:rPr>
                <w:i/>
              </w:rPr>
            </w:pPr>
            <w:r w:rsidRPr="003B6A69">
              <w:rPr>
                <w:rFonts w:ascii="Times New Roman" w:hAnsi="Times New Roman"/>
                <w:bCs/>
                <w:i/>
                <w:sz w:val="18"/>
                <w:szCs w:val="18"/>
              </w:rPr>
              <w:t>20</w:t>
            </w:r>
          </w:p>
        </w:tc>
      </w:tr>
      <w:tr w:rsidR="00E4085F" w:rsidRPr="003B6A69" w14:paraId="0D780611" w14:textId="77777777" w:rsidTr="00AE3EED">
        <w:trPr>
          <w:trHeight w:val="350"/>
        </w:trPr>
        <w:tc>
          <w:tcPr>
            <w:tcW w:w="2605" w:type="dxa"/>
            <w:shd w:val="pct12" w:color="auto" w:fill="auto"/>
          </w:tcPr>
          <w:p w14:paraId="65B948F3" w14:textId="77777777" w:rsidR="00E4085F" w:rsidRPr="003B6A69" w:rsidRDefault="00E4085F" w:rsidP="00AE3EED">
            <w:pPr>
              <w:jc w:val="left"/>
              <w:rPr>
                <w:rFonts w:ascii="Times New Roman" w:hAnsi="Times New Roman"/>
                <w:b/>
                <w:bCs/>
                <w:sz w:val="18"/>
                <w:szCs w:val="18"/>
              </w:rPr>
            </w:pPr>
            <w:r w:rsidRPr="003B6A69">
              <w:rPr>
                <w:rFonts w:ascii="Times New Roman" w:hAnsi="Times New Roman"/>
                <w:b/>
                <w:bCs/>
                <w:sz w:val="18"/>
                <w:szCs w:val="18"/>
              </w:rPr>
              <w:t>Outputs to achieve Outcome 5</w:t>
            </w:r>
          </w:p>
        </w:tc>
        <w:tc>
          <w:tcPr>
            <w:tcW w:w="11813" w:type="dxa"/>
            <w:gridSpan w:val="4"/>
          </w:tcPr>
          <w:p w14:paraId="1030824C" w14:textId="77777777" w:rsidR="00E4085F" w:rsidRPr="003B6A69" w:rsidRDefault="00E4085F" w:rsidP="00AE3EED">
            <w:pPr>
              <w:jc w:val="left"/>
              <w:rPr>
                <w:bCs/>
                <w:i/>
                <w:sz w:val="18"/>
                <w:szCs w:val="18"/>
              </w:rPr>
            </w:pPr>
            <w:r w:rsidRPr="003B6A69">
              <w:rPr>
                <w:bCs/>
                <w:i/>
                <w:sz w:val="18"/>
                <w:szCs w:val="18"/>
              </w:rPr>
              <w:t>Output 5.1: Biodiversity conservation incentives for “green” small-scale farming introduced</w:t>
            </w:r>
          </w:p>
          <w:p w14:paraId="3003664B" w14:textId="77777777" w:rsidR="00E4085F" w:rsidRPr="003B6A69" w:rsidRDefault="00E4085F" w:rsidP="00AE3EED">
            <w:pPr>
              <w:jc w:val="left"/>
              <w:rPr>
                <w:bCs/>
                <w:i/>
                <w:sz w:val="18"/>
                <w:szCs w:val="18"/>
              </w:rPr>
            </w:pPr>
            <w:r w:rsidRPr="003B6A69">
              <w:rPr>
                <w:bCs/>
                <w:i/>
                <w:sz w:val="18"/>
                <w:szCs w:val="18"/>
              </w:rPr>
              <w:t xml:space="preserve">Output 5.2: </w:t>
            </w:r>
            <w:proofErr w:type="spellStart"/>
            <w:r w:rsidRPr="003B6A69">
              <w:rPr>
                <w:bCs/>
                <w:i/>
                <w:sz w:val="18"/>
                <w:szCs w:val="18"/>
              </w:rPr>
              <w:t>Agro</w:t>
            </w:r>
            <w:proofErr w:type="spellEnd"/>
            <w:r w:rsidRPr="003B6A69">
              <w:rPr>
                <w:bCs/>
                <w:i/>
                <w:sz w:val="18"/>
                <w:szCs w:val="18"/>
              </w:rPr>
              <w:t>-environmental measures introduced to promote sustainable use of agricultural lands within the biodiversity buffer zones</w:t>
            </w:r>
          </w:p>
        </w:tc>
      </w:tr>
      <w:tr w:rsidR="00580FAC" w:rsidRPr="003B6A69" w14:paraId="2517CDCD" w14:textId="77777777" w:rsidTr="00580FAC">
        <w:trPr>
          <w:trHeight w:val="575"/>
        </w:trPr>
        <w:tc>
          <w:tcPr>
            <w:tcW w:w="2605" w:type="dxa"/>
            <w:shd w:val="clear" w:color="auto" w:fill="E7E6E6" w:themeFill="background2"/>
          </w:tcPr>
          <w:p w14:paraId="50996E34" w14:textId="1603B4DA" w:rsidR="00580FAC" w:rsidRPr="003B6A69" w:rsidRDefault="00580FAC" w:rsidP="00580FAC">
            <w:pPr>
              <w:jc w:val="left"/>
              <w:rPr>
                <w:rFonts w:ascii="Times New Roman" w:hAnsi="Times New Roman"/>
                <w:b/>
                <w:bCs/>
                <w:i/>
                <w:sz w:val="18"/>
                <w:szCs w:val="18"/>
              </w:rPr>
            </w:pPr>
            <w:r w:rsidRPr="003B6A69">
              <w:rPr>
                <w:rFonts w:ascii="Times New Roman" w:hAnsi="Times New Roman"/>
                <w:b/>
                <w:bCs/>
                <w:sz w:val="18"/>
                <w:szCs w:val="18"/>
              </w:rPr>
              <w:t>Project Component 3</w:t>
            </w:r>
          </w:p>
        </w:tc>
        <w:tc>
          <w:tcPr>
            <w:tcW w:w="11813" w:type="dxa"/>
            <w:gridSpan w:val="4"/>
            <w:shd w:val="clear" w:color="auto" w:fill="E7E6E6" w:themeFill="background2"/>
          </w:tcPr>
          <w:p w14:paraId="2925AAD7" w14:textId="77B3CBFA" w:rsidR="00580FAC" w:rsidRPr="003B6A69" w:rsidRDefault="00580FAC" w:rsidP="00B404E3">
            <w:pPr>
              <w:jc w:val="left"/>
              <w:rPr>
                <w:b/>
                <w:bCs/>
                <w:sz w:val="18"/>
                <w:szCs w:val="18"/>
              </w:rPr>
            </w:pPr>
            <w:r w:rsidRPr="003B6A69">
              <w:rPr>
                <w:rFonts w:ascii="Times New Roman" w:hAnsi="Times New Roman"/>
                <w:b/>
                <w:bCs/>
                <w:sz w:val="18"/>
                <w:szCs w:val="18"/>
                <w:lang w:val="en-GB"/>
              </w:rPr>
              <w:t>Knowledge management</w:t>
            </w:r>
          </w:p>
        </w:tc>
      </w:tr>
      <w:tr w:rsidR="00E4085F" w:rsidRPr="003B6A69" w14:paraId="35E35C0C" w14:textId="77777777" w:rsidTr="00195776">
        <w:trPr>
          <w:trHeight w:val="584"/>
        </w:trPr>
        <w:tc>
          <w:tcPr>
            <w:tcW w:w="2605" w:type="dxa"/>
            <w:vMerge w:val="restart"/>
            <w:shd w:val="pct12" w:color="auto" w:fill="auto"/>
          </w:tcPr>
          <w:p w14:paraId="508D8434" w14:textId="10D92A1C" w:rsidR="00E4085F" w:rsidRPr="003B6A69" w:rsidRDefault="00E4085F" w:rsidP="00AE3EED">
            <w:pPr>
              <w:jc w:val="left"/>
              <w:rPr>
                <w:rFonts w:ascii="Times New Roman" w:hAnsi="Times New Roman"/>
                <w:b/>
                <w:bCs/>
                <w:sz w:val="18"/>
                <w:szCs w:val="18"/>
              </w:rPr>
            </w:pPr>
            <w:r w:rsidRPr="003B6A69">
              <w:rPr>
                <w:rFonts w:ascii="Times New Roman" w:hAnsi="Times New Roman"/>
                <w:b/>
                <w:bCs/>
                <w:sz w:val="18"/>
                <w:szCs w:val="18"/>
              </w:rPr>
              <w:t xml:space="preserve">Outcome 6: </w:t>
            </w:r>
            <w:r w:rsidRPr="003B6A69">
              <w:rPr>
                <w:rFonts w:ascii="Times New Roman" w:hAnsi="Times New Roman"/>
                <w:b/>
                <w:bCs/>
                <w:sz w:val="18"/>
                <w:szCs w:val="18"/>
                <w:lang w:val="en-GB"/>
              </w:rPr>
              <w:t xml:space="preserve">Knowledge management </w:t>
            </w:r>
            <w:r w:rsidR="00AB2FD0" w:rsidRPr="003B6A69">
              <w:rPr>
                <w:rFonts w:ascii="Times New Roman" w:hAnsi="Times New Roman"/>
                <w:b/>
                <w:bCs/>
                <w:sz w:val="18"/>
                <w:szCs w:val="18"/>
                <w:lang w:val="en-GB"/>
              </w:rPr>
              <w:t>ensured through project implementation</w:t>
            </w:r>
          </w:p>
          <w:p w14:paraId="6015AA69" w14:textId="77777777" w:rsidR="00E4085F" w:rsidRPr="003B6A69" w:rsidRDefault="00E4085F" w:rsidP="00AE3EED">
            <w:pPr>
              <w:jc w:val="left"/>
              <w:rPr>
                <w:rFonts w:ascii="Times New Roman" w:hAnsi="Times New Roman"/>
                <w:b/>
                <w:bCs/>
                <w:sz w:val="18"/>
                <w:szCs w:val="18"/>
              </w:rPr>
            </w:pPr>
          </w:p>
        </w:tc>
        <w:tc>
          <w:tcPr>
            <w:tcW w:w="4230" w:type="dxa"/>
          </w:tcPr>
          <w:p w14:paraId="3A377116" w14:textId="6D49597B" w:rsidR="00E4085F" w:rsidRPr="00792600" w:rsidRDefault="00E4085F" w:rsidP="00C96139">
            <w:pPr>
              <w:jc w:val="left"/>
              <w:rPr>
                <w:rFonts w:asciiTheme="minorHAnsi" w:hAnsiTheme="minorHAnsi"/>
                <w:bCs/>
                <w:i/>
                <w:sz w:val="18"/>
                <w:szCs w:val="18"/>
              </w:rPr>
            </w:pPr>
            <w:r w:rsidRPr="00792600">
              <w:rPr>
                <w:rFonts w:asciiTheme="minorHAnsi" w:hAnsiTheme="minorHAnsi"/>
                <w:bCs/>
                <w:i/>
                <w:sz w:val="18"/>
                <w:szCs w:val="18"/>
              </w:rPr>
              <w:t xml:space="preserve">Indicator 15: </w:t>
            </w:r>
            <w:r w:rsidRPr="00792600">
              <w:rPr>
                <w:rFonts w:asciiTheme="minorHAnsi" w:hAnsiTheme="minorHAnsi"/>
                <w:bCs/>
                <w:sz w:val="18"/>
                <w:szCs w:val="18"/>
                <w:lang w:val="en-GB"/>
              </w:rPr>
              <w:t>at least 3 knowledge products related to BD conservation considerations mainstreaming into sectoral policies and practices developed and disseminated</w:t>
            </w:r>
            <w:r w:rsidR="00C96139" w:rsidRPr="00792600">
              <w:rPr>
                <w:rFonts w:asciiTheme="minorHAnsi" w:hAnsiTheme="minorHAnsi"/>
                <w:bCs/>
                <w:sz w:val="18"/>
                <w:szCs w:val="18"/>
                <w:lang w:val="en-GB"/>
              </w:rPr>
              <w:t xml:space="preserve">. Project knowledge products include </w:t>
            </w:r>
            <w:r w:rsidR="00C96139" w:rsidRPr="00792600">
              <w:rPr>
                <w:rFonts w:asciiTheme="minorHAnsi" w:hAnsiTheme="minorHAnsi"/>
                <w:bCs/>
                <w:sz w:val="18"/>
                <w:szCs w:val="18"/>
              </w:rPr>
              <w:t>an analysis or showcasing of the interplay of gender equity/empowerment with the specific knowledge topic</w:t>
            </w:r>
            <w:r w:rsidR="00C96139" w:rsidRPr="00792600">
              <w:rPr>
                <w:rFonts w:asciiTheme="minorHAnsi" w:hAnsiTheme="minorHAnsi"/>
                <w:bCs/>
                <w:sz w:val="18"/>
                <w:szCs w:val="18"/>
                <w:lang w:val="en-GB"/>
              </w:rPr>
              <w:t xml:space="preserve"> </w:t>
            </w:r>
          </w:p>
        </w:tc>
        <w:tc>
          <w:tcPr>
            <w:tcW w:w="2610" w:type="dxa"/>
          </w:tcPr>
          <w:p w14:paraId="7BFA24E4" w14:textId="77777777" w:rsidR="00E4085F" w:rsidRPr="003B6A69" w:rsidRDefault="00E4085F" w:rsidP="00AE3EED">
            <w:pPr>
              <w:jc w:val="left"/>
              <w:rPr>
                <w:rFonts w:ascii="Times New Roman" w:hAnsi="Times New Roman"/>
                <w:bCs/>
                <w:i/>
                <w:sz w:val="18"/>
                <w:szCs w:val="18"/>
              </w:rPr>
            </w:pPr>
            <w:r w:rsidRPr="003B6A69">
              <w:rPr>
                <w:rFonts w:ascii="Times New Roman" w:hAnsi="Times New Roman"/>
                <w:bCs/>
                <w:i/>
                <w:sz w:val="18"/>
                <w:szCs w:val="18"/>
              </w:rPr>
              <w:t>0</w:t>
            </w:r>
          </w:p>
        </w:tc>
        <w:tc>
          <w:tcPr>
            <w:tcW w:w="2070" w:type="dxa"/>
          </w:tcPr>
          <w:p w14:paraId="46663F1B" w14:textId="77777777" w:rsidR="00E4085F" w:rsidRPr="003B6A69" w:rsidRDefault="00E4085F" w:rsidP="00AE3EED">
            <w:pPr>
              <w:jc w:val="left"/>
              <w:rPr>
                <w:rFonts w:ascii="Times New Roman" w:hAnsi="Times New Roman"/>
                <w:bCs/>
                <w:i/>
                <w:sz w:val="18"/>
                <w:szCs w:val="18"/>
              </w:rPr>
            </w:pPr>
            <w:r w:rsidRPr="003B6A69">
              <w:rPr>
                <w:rFonts w:ascii="Times New Roman" w:hAnsi="Times New Roman"/>
                <w:bCs/>
                <w:i/>
                <w:sz w:val="18"/>
                <w:szCs w:val="18"/>
              </w:rPr>
              <w:t>1</w:t>
            </w:r>
          </w:p>
        </w:tc>
        <w:tc>
          <w:tcPr>
            <w:tcW w:w="2903" w:type="dxa"/>
          </w:tcPr>
          <w:p w14:paraId="5B8FC773" w14:textId="77777777" w:rsidR="00E4085F" w:rsidRPr="003B6A69" w:rsidRDefault="00E4085F" w:rsidP="00AE3EED">
            <w:pPr>
              <w:jc w:val="left"/>
              <w:rPr>
                <w:i/>
              </w:rPr>
            </w:pPr>
            <w:r w:rsidRPr="003B6A69">
              <w:rPr>
                <w:i/>
              </w:rPr>
              <w:t>3</w:t>
            </w:r>
          </w:p>
        </w:tc>
      </w:tr>
      <w:tr w:rsidR="00E4085F" w:rsidRPr="003B6A69" w14:paraId="73AC0E40" w14:textId="77777777" w:rsidTr="00195776">
        <w:trPr>
          <w:trHeight w:val="557"/>
        </w:trPr>
        <w:tc>
          <w:tcPr>
            <w:tcW w:w="2605" w:type="dxa"/>
            <w:vMerge/>
            <w:shd w:val="pct12" w:color="auto" w:fill="auto"/>
          </w:tcPr>
          <w:p w14:paraId="6E4F06F5" w14:textId="77777777" w:rsidR="00E4085F" w:rsidRPr="003B6A69" w:rsidRDefault="00E4085F" w:rsidP="00AE3EED">
            <w:pPr>
              <w:jc w:val="left"/>
              <w:rPr>
                <w:rFonts w:ascii="Times New Roman" w:hAnsi="Times New Roman"/>
                <w:b/>
                <w:bCs/>
                <w:sz w:val="18"/>
                <w:szCs w:val="18"/>
              </w:rPr>
            </w:pPr>
          </w:p>
        </w:tc>
        <w:tc>
          <w:tcPr>
            <w:tcW w:w="4230" w:type="dxa"/>
          </w:tcPr>
          <w:p w14:paraId="68CAD399" w14:textId="77777777" w:rsidR="00E4085F" w:rsidRPr="00792600" w:rsidRDefault="00E4085F" w:rsidP="00AE3EED">
            <w:pPr>
              <w:rPr>
                <w:rFonts w:asciiTheme="minorHAnsi" w:hAnsiTheme="minorHAnsi"/>
              </w:rPr>
            </w:pPr>
            <w:r w:rsidRPr="00792600">
              <w:rPr>
                <w:rFonts w:asciiTheme="minorHAnsi" w:hAnsiTheme="minorHAnsi"/>
                <w:bCs/>
                <w:i/>
                <w:sz w:val="18"/>
                <w:szCs w:val="18"/>
              </w:rPr>
              <w:t xml:space="preserve">Indicator 16: </w:t>
            </w:r>
            <w:r w:rsidRPr="00792600">
              <w:rPr>
                <w:rFonts w:asciiTheme="minorHAnsi" w:hAnsiTheme="minorHAnsi"/>
                <w:bCs/>
                <w:sz w:val="18"/>
                <w:szCs w:val="18"/>
              </w:rPr>
              <w:t>Number of women and men getting access to the best available knowledge and practice, through project-supported knowledge products and training</w:t>
            </w:r>
          </w:p>
        </w:tc>
        <w:tc>
          <w:tcPr>
            <w:tcW w:w="2610" w:type="dxa"/>
          </w:tcPr>
          <w:p w14:paraId="48247251" w14:textId="77777777" w:rsidR="00E4085F" w:rsidRPr="003B6A69" w:rsidRDefault="00E4085F" w:rsidP="00AE3EED">
            <w:pPr>
              <w:jc w:val="left"/>
              <w:rPr>
                <w:rFonts w:ascii="Times New Roman" w:hAnsi="Times New Roman"/>
                <w:bCs/>
                <w:i/>
                <w:sz w:val="18"/>
                <w:szCs w:val="18"/>
              </w:rPr>
            </w:pPr>
            <w:proofErr w:type="spellStart"/>
            <w:r w:rsidRPr="003B6A69">
              <w:rPr>
                <w:rFonts w:ascii="Times New Roman" w:hAnsi="Times New Roman"/>
                <w:bCs/>
                <w:i/>
                <w:sz w:val="18"/>
                <w:szCs w:val="18"/>
              </w:rPr>
              <w:t>tbd</w:t>
            </w:r>
            <w:proofErr w:type="spellEnd"/>
          </w:p>
        </w:tc>
        <w:tc>
          <w:tcPr>
            <w:tcW w:w="2070" w:type="dxa"/>
          </w:tcPr>
          <w:p w14:paraId="3942702F" w14:textId="77777777" w:rsidR="00E4085F" w:rsidRPr="003B6A69" w:rsidRDefault="00E4085F" w:rsidP="00AE3EED">
            <w:pPr>
              <w:jc w:val="left"/>
              <w:rPr>
                <w:rFonts w:ascii="Times New Roman" w:hAnsi="Times New Roman"/>
                <w:bCs/>
                <w:i/>
                <w:sz w:val="18"/>
                <w:szCs w:val="18"/>
              </w:rPr>
            </w:pPr>
            <w:proofErr w:type="spellStart"/>
            <w:r w:rsidRPr="003B6A69">
              <w:rPr>
                <w:rFonts w:ascii="Times New Roman" w:hAnsi="Times New Roman"/>
                <w:bCs/>
                <w:i/>
                <w:sz w:val="18"/>
                <w:szCs w:val="18"/>
              </w:rPr>
              <w:t>tbd</w:t>
            </w:r>
            <w:proofErr w:type="spellEnd"/>
          </w:p>
        </w:tc>
        <w:tc>
          <w:tcPr>
            <w:tcW w:w="2903" w:type="dxa"/>
          </w:tcPr>
          <w:p w14:paraId="44D67DFC" w14:textId="77777777" w:rsidR="00E4085F" w:rsidRPr="003B6A69" w:rsidRDefault="00E4085F" w:rsidP="00AE3EED">
            <w:pPr>
              <w:jc w:val="left"/>
              <w:rPr>
                <w:i/>
                <w:sz w:val="18"/>
                <w:szCs w:val="18"/>
              </w:rPr>
            </w:pPr>
            <w:proofErr w:type="spellStart"/>
            <w:r w:rsidRPr="003B6A69">
              <w:rPr>
                <w:i/>
                <w:sz w:val="18"/>
                <w:szCs w:val="18"/>
              </w:rPr>
              <w:t>tbd</w:t>
            </w:r>
            <w:proofErr w:type="spellEnd"/>
          </w:p>
        </w:tc>
      </w:tr>
      <w:tr w:rsidR="00E4085F" w:rsidRPr="003B6A69" w14:paraId="32761A29" w14:textId="77777777" w:rsidTr="00AE3EED">
        <w:trPr>
          <w:trHeight w:val="530"/>
        </w:trPr>
        <w:tc>
          <w:tcPr>
            <w:tcW w:w="2605" w:type="dxa"/>
            <w:shd w:val="pct12" w:color="auto" w:fill="auto"/>
          </w:tcPr>
          <w:p w14:paraId="2AABA80F" w14:textId="77777777" w:rsidR="00E4085F" w:rsidRPr="003B6A69" w:rsidRDefault="00E4085F" w:rsidP="00AE3EED">
            <w:pPr>
              <w:jc w:val="left"/>
              <w:rPr>
                <w:rFonts w:ascii="Times New Roman" w:hAnsi="Times New Roman"/>
                <w:b/>
                <w:bCs/>
                <w:sz w:val="18"/>
                <w:szCs w:val="18"/>
              </w:rPr>
            </w:pPr>
            <w:r w:rsidRPr="003B6A69">
              <w:rPr>
                <w:rFonts w:ascii="Times New Roman" w:hAnsi="Times New Roman"/>
                <w:b/>
                <w:bCs/>
                <w:sz w:val="18"/>
                <w:szCs w:val="18"/>
              </w:rPr>
              <w:t>Outputs to achieve Outcome 6</w:t>
            </w:r>
          </w:p>
        </w:tc>
        <w:tc>
          <w:tcPr>
            <w:tcW w:w="11813" w:type="dxa"/>
            <w:gridSpan w:val="4"/>
          </w:tcPr>
          <w:p w14:paraId="165B1634" w14:textId="77777777" w:rsidR="00E4085F" w:rsidRPr="003B6A69" w:rsidRDefault="00E4085F" w:rsidP="00AE3EED">
            <w:pPr>
              <w:jc w:val="left"/>
              <w:rPr>
                <w:bCs/>
                <w:i/>
                <w:sz w:val="18"/>
                <w:szCs w:val="18"/>
                <w:lang w:val="en-ZA"/>
              </w:rPr>
            </w:pPr>
            <w:r w:rsidRPr="003B6A69">
              <w:rPr>
                <w:bCs/>
                <w:i/>
                <w:sz w:val="18"/>
                <w:szCs w:val="18"/>
                <w:lang w:val="en-ZA"/>
              </w:rPr>
              <w:t>Output 6.1: Knowledge products and lessons learned documented and disseminated</w:t>
            </w:r>
          </w:p>
          <w:p w14:paraId="3F6F78B2" w14:textId="7CD2FCE5" w:rsidR="00E4085F" w:rsidRPr="003B6A69" w:rsidRDefault="00E4085F" w:rsidP="00AE3EED">
            <w:pPr>
              <w:jc w:val="left"/>
              <w:rPr>
                <w:bCs/>
                <w:i/>
                <w:sz w:val="18"/>
                <w:szCs w:val="18"/>
                <w:lang w:val="en-ZA"/>
              </w:rPr>
            </w:pPr>
            <w:r w:rsidRPr="003B6A69">
              <w:rPr>
                <w:bCs/>
                <w:i/>
                <w:sz w:val="18"/>
                <w:szCs w:val="18"/>
                <w:lang w:val="en-ZA"/>
              </w:rPr>
              <w:t>Output 6.2: Project monitoring and evaluation</w:t>
            </w:r>
          </w:p>
        </w:tc>
      </w:tr>
    </w:tbl>
    <w:p w14:paraId="18518CF0" w14:textId="77777777" w:rsidR="004E4D38" w:rsidRPr="003B6A69" w:rsidRDefault="004E4D38" w:rsidP="004E4D38"/>
    <w:p w14:paraId="0B98A4CA" w14:textId="77777777" w:rsidR="004E4D38" w:rsidRPr="003B6A69" w:rsidRDefault="004E4D38" w:rsidP="004E4D38"/>
    <w:p w14:paraId="79F68570" w14:textId="77777777" w:rsidR="004E4D38" w:rsidRPr="003B6A69" w:rsidRDefault="004E4D38" w:rsidP="004E4D38">
      <w:pPr>
        <w:sectPr w:rsidR="004E4D38" w:rsidRPr="003B6A69" w:rsidSect="009F19D4">
          <w:pgSz w:w="15840" w:h="12240" w:orient="landscape" w:code="1"/>
          <w:pgMar w:top="720" w:right="720" w:bottom="720" w:left="720" w:header="720" w:footer="432" w:gutter="0"/>
          <w:cols w:space="708"/>
          <w:titlePg/>
          <w:docGrid w:linePitch="360"/>
        </w:sectPr>
      </w:pPr>
    </w:p>
    <w:p w14:paraId="1B1DCB26" w14:textId="77777777" w:rsidR="0053408E" w:rsidRPr="003B6A69" w:rsidRDefault="0053408E" w:rsidP="00506CA1">
      <w:pPr>
        <w:pStyle w:val="Heading1"/>
        <w:spacing w:before="240" w:after="240"/>
        <w:rPr>
          <w:rFonts w:asciiTheme="minorHAnsi" w:hAnsiTheme="minorHAnsi" w:cstheme="minorHAnsi"/>
          <w:lang w:val="en-GB"/>
        </w:rPr>
      </w:pPr>
      <w:bookmarkStart w:id="54" w:name="_Toc82018267"/>
      <w:r w:rsidRPr="003B6A69">
        <w:rPr>
          <w:rFonts w:asciiTheme="minorHAnsi" w:hAnsiTheme="minorHAnsi" w:cstheme="minorHAnsi"/>
          <w:lang w:val="en-GB"/>
        </w:rPr>
        <w:lastRenderedPageBreak/>
        <w:t>Monitoring and Evaluation (M&amp;E) Plan</w:t>
      </w:r>
      <w:bookmarkEnd w:id="54"/>
    </w:p>
    <w:p w14:paraId="56A1D1D1" w14:textId="71521F21" w:rsidR="00DE63DA" w:rsidRPr="003B6A69" w:rsidRDefault="00DE63DA" w:rsidP="003C6B7B">
      <w:pPr>
        <w:numPr>
          <w:ilvl w:val="0"/>
          <w:numId w:val="41"/>
        </w:numPr>
        <w:tabs>
          <w:tab w:val="left" w:pos="426"/>
        </w:tabs>
        <w:spacing w:after="120"/>
        <w:ind w:left="0" w:firstLine="0"/>
        <w:rPr>
          <w:rFonts w:cs="Calibri"/>
          <w:szCs w:val="20"/>
        </w:rPr>
      </w:pPr>
      <w:r w:rsidRPr="003B6A69">
        <w:rPr>
          <w:rFonts w:cs="Calibri"/>
          <w:szCs w:val="20"/>
        </w:rPr>
        <w:t xml:space="preserve">The project results, corresponding indicators and mid-term and end-of-project targets in the project results framework will be monitored annually and evaluated periodically during project implementation. If baseline data for some of the results indicators is not yet available, it will be collected during the first year of project implementation. The Monitoring Plan included in </w:t>
      </w:r>
      <w:hyperlink w:anchor="_Annex_4:_Monitoring" w:history="1">
        <w:r w:rsidRPr="003B6A69">
          <w:rPr>
            <w:rStyle w:val="Hyperlink"/>
            <w:rFonts w:cs="Calibri"/>
            <w:szCs w:val="20"/>
          </w:rPr>
          <w:t>Annex</w:t>
        </w:r>
      </w:hyperlink>
      <w:r w:rsidR="006C1C66" w:rsidRPr="003B6A69">
        <w:rPr>
          <w:rFonts w:cs="Calibri"/>
          <w:szCs w:val="20"/>
        </w:rPr>
        <w:t xml:space="preserve"> 4</w:t>
      </w:r>
      <w:r w:rsidRPr="003B6A69">
        <w:rPr>
          <w:rFonts w:cs="Calibri"/>
          <w:szCs w:val="20"/>
        </w:rPr>
        <w:t xml:space="preserve"> details the roles, responsibilities, and frequency of monitoring project results. </w:t>
      </w:r>
    </w:p>
    <w:p w14:paraId="181FC4B0" w14:textId="77777777" w:rsidR="00DE63DA" w:rsidRPr="003B6A69" w:rsidRDefault="00DE63DA" w:rsidP="003C6B7B">
      <w:pPr>
        <w:numPr>
          <w:ilvl w:val="0"/>
          <w:numId w:val="41"/>
        </w:numPr>
        <w:tabs>
          <w:tab w:val="left" w:pos="426"/>
        </w:tabs>
        <w:spacing w:after="120"/>
        <w:ind w:left="0" w:firstLine="0"/>
        <w:rPr>
          <w:rStyle w:val="Hyperlink"/>
          <w:rFonts w:cs="Calibri"/>
          <w:color w:val="auto"/>
          <w:szCs w:val="20"/>
          <w:u w:val="none"/>
        </w:rPr>
      </w:pPr>
      <w:r w:rsidRPr="003B6A69">
        <w:rPr>
          <w:rFonts w:cs="Calibri"/>
          <w:szCs w:val="20"/>
        </w:rPr>
        <w:t xml:space="preserve">Project-level monitoring and evaluation will be undertaken in compliance with UNDP requirements as outlined in the </w:t>
      </w:r>
      <w:hyperlink r:id="rId21" w:history="1">
        <w:r w:rsidRPr="003B6A69">
          <w:rPr>
            <w:rStyle w:val="Hyperlink"/>
            <w:rFonts w:cs="Calibri"/>
            <w:szCs w:val="20"/>
          </w:rPr>
          <w:t>UNDP POPP</w:t>
        </w:r>
      </w:hyperlink>
      <w:r w:rsidRPr="003B6A69">
        <w:rPr>
          <w:rStyle w:val="Hyperlink"/>
          <w:rFonts w:cs="Calibri"/>
          <w:szCs w:val="20"/>
        </w:rPr>
        <w:t xml:space="preserve"> </w:t>
      </w:r>
      <w:r w:rsidRPr="003B6A69">
        <w:rPr>
          <w:rStyle w:val="Hyperlink"/>
          <w:rFonts w:cs="Calibri"/>
          <w:color w:val="auto"/>
          <w:szCs w:val="20"/>
          <w:u w:val="none"/>
        </w:rPr>
        <w:t xml:space="preserve">and </w:t>
      </w:r>
      <w:hyperlink r:id="rId22" w:history="1">
        <w:r w:rsidRPr="003B6A69">
          <w:rPr>
            <w:rStyle w:val="Hyperlink"/>
            <w:rFonts w:cs="Calibri"/>
            <w:szCs w:val="20"/>
          </w:rPr>
          <w:t>UNDP Evaluation Policy</w:t>
        </w:r>
      </w:hyperlink>
      <w:r w:rsidRPr="003B6A69">
        <w:rPr>
          <w:rStyle w:val="Hyperlink"/>
          <w:rFonts w:cs="Calibri"/>
          <w:szCs w:val="20"/>
          <w:u w:val="none"/>
        </w:rPr>
        <w:t xml:space="preserve">. </w:t>
      </w:r>
      <w:r w:rsidRPr="003B6A69">
        <w:rPr>
          <w:rStyle w:val="Hyperlink"/>
          <w:rFonts w:cs="Calibri"/>
          <w:color w:val="auto"/>
          <w:szCs w:val="20"/>
          <w:u w:val="none"/>
        </w:rPr>
        <w:t xml:space="preserve">The UNDP Country Office is responsible for ensuring full compliance with all UNDP project monitoring, quality assurance, risk management, and evaluation requirements. </w:t>
      </w:r>
    </w:p>
    <w:p w14:paraId="3FE5F8F5" w14:textId="5524B315" w:rsidR="00DE63DA" w:rsidRPr="003B6A69" w:rsidRDefault="00DE63DA" w:rsidP="003C6B7B">
      <w:pPr>
        <w:numPr>
          <w:ilvl w:val="0"/>
          <w:numId w:val="41"/>
        </w:numPr>
        <w:tabs>
          <w:tab w:val="left" w:pos="426"/>
        </w:tabs>
        <w:spacing w:after="120"/>
        <w:ind w:left="0" w:firstLine="0"/>
        <w:rPr>
          <w:rFonts w:cs="Calibri"/>
          <w:szCs w:val="20"/>
        </w:rPr>
      </w:pPr>
      <w:r w:rsidRPr="003B6A69">
        <w:rPr>
          <w:rFonts w:cs="Calibri"/>
          <w:szCs w:val="20"/>
        </w:rPr>
        <w:t xml:space="preserve">Additional mandatory GEF-specific M&amp;E requirements will be undertaken in accordance with the </w:t>
      </w:r>
      <w:hyperlink r:id="rId23" w:history="1">
        <w:r w:rsidRPr="003B6A69">
          <w:rPr>
            <w:rStyle w:val="Hyperlink"/>
            <w:rFonts w:cs="Calibri"/>
            <w:szCs w:val="20"/>
          </w:rPr>
          <w:t>GEF Monitoring Policy</w:t>
        </w:r>
      </w:hyperlink>
      <w:r w:rsidRPr="003B6A69">
        <w:rPr>
          <w:rFonts w:cs="Calibri"/>
          <w:szCs w:val="20"/>
        </w:rPr>
        <w:t xml:space="preserve"> and the </w:t>
      </w:r>
      <w:hyperlink r:id="rId24" w:history="1">
        <w:r w:rsidRPr="003B6A69">
          <w:rPr>
            <w:rStyle w:val="Hyperlink"/>
            <w:rFonts w:cs="Calibri"/>
            <w:szCs w:val="20"/>
          </w:rPr>
          <w:t>GEF Evaluation Policy</w:t>
        </w:r>
      </w:hyperlink>
      <w:r w:rsidRPr="003B6A69">
        <w:rPr>
          <w:rFonts w:cs="Calibri"/>
          <w:szCs w:val="20"/>
        </w:rPr>
        <w:t xml:space="preserve"> and other </w:t>
      </w:r>
      <w:hyperlink r:id="rId25" w:history="1">
        <w:r w:rsidRPr="003B6A69">
          <w:rPr>
            <w:rStyle w:val="Hyperlink"/>
            <w:rFonts w:cs="Calibri"/>
            <w:szCs w:val="20"/>
          </w:rPr>
          <w:t>relevant GEF policies</w:t>
        </w:r>
      </w:hyperlink>
      <w:r w:rsidRPr="003B6A69">
        <w:rPr>
          <w:rStyle w:val="FootnoteReference"/>
          <w:szCs w:val="20"/>
        </w:rPr>
        <w:footnoteReference w:id="12"/>
      </w:r>
      <w:r w:rsidRPr="003B6A69">
        <w:rPr>
          <w:rFonts w:cs="Calibri"/>
          <w:szCs w:val="20"/>
        </w:rPr>
        <w:t>. The costed M&amp;E plan included below, and the Monitoring plan in Annex</w:t>
      </w:r>
      <w:r w:rsidR="006C1C66" w:rsidRPr="003B6A69">
        <w:rPr>
          <w:rFonts w:cs="Calibri"/>
          <w:szCs w:val="20"/>
        </w:rPr>
        <w:t xml:space="preserve"> 4</w:t>
      </w:r>
      <w:r w:rsidRPr="003B6A69">
        <w:rPr>
          <w:rFonts w:cs="Calibri"/>
          <w:szCs w:val="20"/>
        </w:rPr>
        <w:t>, will guide the GEF-specific M&amp;E activities to be undertaken by this project.</w:t>
      </w:r>
    </w:p>
    <w:p w14:paraId="2BEC9C58" w14:textId="603DDA20" w:rsidR="00DE63DA" w:rsidRPr="003B6A69" w:rsidRDefault="00DE63DA" w:rsidP="003C6B7B">
      <w:pPr>
        <w:numPr>
          <w:ilvl w:val="0"/>
          <w:numId w:val="41"/>
        </w:numPr>
        <w:tabs>
          <w:tab w:val="left" w:pos="426"/>
        </w:tabs>
        <w:spacing w:after="120"/>
        <w:ind w:left="0" w:firstLine="0"/>
        <w:rPr>
          <w:rFonts w:cs="Calibri"/>
          <w:szCs w:val="20"/>
        </w:rPr>
      </w:pPr>
      <w:r w:rsidRPr="003B6A69">
        <w:rPr>
          <w:rFonts w:cs="Calibri"/>
          <w:szCs w:val="20"/>
        </w:rPr>
        <w:t xml:space="preserve">In addition to these mandatory UNDP and GEF M&amp;E requirements, other M&amp;E activities deemed necessary to support project-level adaptive management will be agreed during the Project Inception Workshop and will be detailed in the Inception Report. </w:t>
      </w:r>
    </w:p>
    <w:p w14:paraId="13B7E963" w14:textId="16E24288" w:rsidR="00943D17" w:rsidRPr="003B6A69" w:rsidRDefault="00943D17" w:rsidP="00120581">
      <w:pPr>
        <w:pStyle w:val="CommentSubject"/>
        <w:keepNext/>
        <w:spacing w:before="240" w:after="240"/>
        <w:rPr>
          <w:rFonts w:cs="Calibri"/>
          <w:lang w:val="en-GB"/>
        </w:rPr>
      </w:pPr>
      <w:r w:rsidRPr="003B6A69">
        <w:rPr>
          <w:rFonts w:cs="Calibri"/>
          <w:lang w:val="en-GB"/>
        </w:rPr>
        <w:t>Additional GEF monitoring and reporting requirements</w:t>
      </w:r>
    </w:p>
    <w:p w14:paraId="52D10467" w14:textId="37A2B65D" w:rsidR="00A8007F" w:rsidRPr="003B6A69" w:rsidRDefault="00943D17" w:rsidP="00A8007F">
      <w:pPr>
        <w:pStyle w:val="CommentSubject"/>
        <w:keepNext/>
        <w:spacing w:before="240" w:after="240"/>
        <w:rPr>
          <w:rFonts w:cs="Calibri"/>
          <w:b w:val="0"/>
          <w:u w:val="single"/>
          <w:lang w:val="en-GB"/>
        </w:rPr>
      </w:pPr>
      <w:r w:rsidRPr="003B6A69">
        <w:rPr>
          <w:rFonts w:cs="Calibri"/>
          <w:b w:val="0"/>
          <w:u w:val="single"/>
          <w:lang w:val="en-GB"/>
        </w:rPr>
        <w:t>Inception Workshop and Report</w:t>
      </w:r>
    </w:p>
    <w:p w14:paraId="55FD5BE9" w14:textId="53565E57" w:rsidR="00737FBC" w:rsidRPr="003B6A69" w:rsidRDefault="00737FBC" w:rsidP="003C6B7B">
      <w:pPr>
        <w:numPr>
          <w:ilvl w:val="0"/>
          <w:numId w:val="41"/>
        </w:numPr>
        <w:tabs>
          <w:tab w:val="left" w:pos="426"/>
        </w:tabs>
        <w:spacing w:after="120"/>
        <w:ind w:left="0" w:firstLine="0"/>
        <w:rPr>
          <w:rFonts w:cs="Calibri"/>
          <w:lang w:val="en-GB"/>
        </w:rPr>
      </w:pPr>
      <w:r w:rsidRPr="003B6A69">
        <w:rPr>
          <w:rFonts w:cs="Calibri"/>
          <w:lang w:val="en-GB"/>
        </w:rPr>
        <w:t xml:space="preserve">A project </w:t>
      </w:r>
      <w:r w:rsidRPr="003B6A69">
        <w:rPr>
          <w:rFonts w:cs="Calibri"/>
          <w:szCs w:val="20"/>
          <w:lang w:val="en-GB"/>
        </w:rPr>
        <w:t>inception</w:t>
      </w:r>
      <w:r w:rsidRPr="003B6A69">
        <w:rPr>
          <w:rFonts w:cs="Calibri"/>
          <w:lang w:val="en-GB"/>
        </w:rPr>
        <w:t xml:space="preserve"> workshop will be held within 60 days of project CEO endorsement, with the aim to: </w:t>
      </w:r>
    </w:p>
    <w:p w14:paraId="1A807635" w14:textId="5797F1BF" w:rsidR="008915F5" w:rsidRPr="003B6A69" w:rsidRDefault="008915F5" w:rsidP="003C6B7B">
      <w:pPr>
        <w:pStyle w:val="Header"/>
        <w:numPr>
          <w:ilvl w:val="1"/>
          <w:numId w:val="41"/>
        </w:numPr>
        <w:tabs>
          <w:tab w:val="clear" w:pos="4153"/>
          <w:tab w:val="clear" w:pos="8306"/>
        </w:tabs>
        <w:spacing w:after="0"/>
        <w:ind w:left="709" w:hanging="283"/>
        <w:rPr>
          <w:rFonts w:asciiTheme="minorHAnsi" w:hAnsiTheme="minorHAnsi" w:cstheme="minorHAnsi"/>
          <w:szCs w:val="20"/>
          <w:lang w:val="en-GB"/>
        </w:rPr>
      </w:pPr>
      <w:r w:rsidRPr="003B6A69">
        <w:rPr>
          <w:rFonts w:cs="Calibri"/>
          <w:szCs w:val="20"/>
        </w:rPr>
        <w:t xml:space="preserve">Familiarize key stakeholders with the detailed project strategy and discuss any changes that may have taken place in the overall context since the project idea was initially conceptualized that may influence its strategy and implementation. </w:t>
      </w:r>
    </w:p>
    <w:p w14:paraId="4D438979" w14:textId="77777777" w:rsidR="008915F5" w:rsidRPr="003B6A69" w:rsidRDefault="008915F5" w:rsidP="003C6B7B">
      <w:pPr>
        <w:pStyle w:val="Header"/>
        <w:numPr>
          <w:ilvl w:val="1"/>
          <w:numId w:val="41"/>
        </w:numPr>
        <w:tabs>
          <w:tab w:val="clear" w:pos="4153"/>
          <w:tab w:val="clear" w:pos="8306"/>
        </w:tabs>
        <w:spacing w:after="0"/>
        <w:ind w:left="709" w:hanging="283"/>
        <w:rPr>
          <w:rFonts w:asciiTheme="minorHAnsi" w:hAnsiTheme="minorHAnsi" w:cstheme="minorHAnsi"/>
          <w:szCs w:val="20"/>
          <w:lang w:val="en-GB"/>
        </w:rPr>
      </w:pPr>
      <w:r w:rsidRPr="003B6A69">
        <w:rPr>
          <w:rFonts w:asciiTheme="minorHAnsi" w:hAnsiTheme="minorHAnsi" w:cstheme="minorHAnsi"/>
          <w:szCs w:val="20"/>
          <w:lang w:val="en-GB"/>
        </w:rPr>
        <w:t xml:space="preserve">Discuss the roles and responsibilities of the project team, including reporting lines, stakeholder engagement strategies and conflict resolution mechanisms. </w:t>
      </w:r>
    </w:p>
    <w:p w14:paraId="32FDC5F8" w14:textId="77777777" w:rsidR="008915F5" w:rsidRPr="003B6A69" w:rsidRDefault="008915F5" w:rsidP="003C6B7B">
      <w:pPr>
        <w:pStyle w:val="Header"/>
        <w:numPr>
          <w:ilvl w:val="1"/>
          <w:numId w:val="41"/>
        </w:numPr>
        <w:tabs>
          <w:tab w:val="clear" w:pos="4153"/>
          <w:tab w:val="clear" w:pos="8306"/>
        </w:tabs>
        <w:spacing w:after="0"/>
        <w:ind w:left="709" w:hanging="283"/>
        <w:rPr>
          <w:rFonts w:asciiTheme="minorHAnsi" w:hAnsiTheme="minorHAnsi" w:cstheme="minorHAnsi"/>
          <w:szCs w:val="20"/>
          <w:lang w:val="en-GB"/>
        </w:rPr>
      </w:pPr>
      <w:r w:rsidRPr="003B6A69">
        <w:rPr>
          <w:rFonts w:asciiTheme="minorHAnsi" w:hAnsiTheme="minorHAnsi" w:cstheme="minorHAnsi"/>
          <w:szCs w:val="20"/>
          <w:lang w:val="en-GB"/>
        </w:rPr>
        <w:t xml:space="preserve">Review the results framework and monitoring plan. </w:t>
      </w:r>
    </w:p>
    <w:p w14:paraId="4CA07ADB" w14:textId="77777777" w:rsidR="008915F5" w:rsidRPr="003B6A69" w:rsidRDefault="008915F5" w:rsidP="003C6B7B">
      <w:pPr>
        <w:pStyle w:val="Header"/>
        <w:numPr>
          <w:ilvl w:val="1"/>
          <w:numId w:val="41"/>
        </w:numPr>
        <w:tabs>
          <w:tab w:val="clear" w:pos="4153"/>
          <w:tab w:val="clear" w:pos="8306"/>
        </w:tabs>
        <w:spacing w:after="0"/>
        <w:ind w:left="709" w:hanging="283"/>
        <w:rPr>
          <w:rFonts w:asciiTheme="minorHAnsi" w:hAnsiTheme="minorHAnsi" w:cstheme="minorHAnsi"/>
          <w:szCs w:val="20"/>
          <w:lang w:val="en-GB"/>
        </w:rPr>
      </w:pPr>
      <w:r w:rsidRPr="003B6A69">
        <w:rPr>
          <w:rFonts w:asciiTheme="minorHAnsi" w:hAnsiTheme="minorHAnsi" w:cstheme="minorHAnsi"/>
          <w:szCs w:val="20"/>
          <w:lang w:val="en-GB"/>
        </w:rPr>
        <w:t>Discuss reporting, monitoring and evaluation roles and responsibilities and finalize the M&amp;E budget; identify national/regional institutes to be involved in project-level M&amp;E; discuss the role of the GEF OFP and other stakeholders in project-level M&amp;E.</w:t>
      </w:r>
    </w:p>
    <w:p w14:paraId="43961380" w14:textId="77777777" w:rsidR="008915F5" w:rsidRPr="003B6A69" w:rsidRDefault="008915F5" w:rsidP="003C6B7B">
      <w:pPr>
        <w:pStyle w:val="Header"/>
        <w:numPr>
          <w:ilvl w:val="1"/>
          <w:numId w:val="41"/>
        </w:numPr>
        <w:tabs>
          <w:tab w:val="clear" w:pos="4153"/>
          <w:tab w:val="clear" w:pos="8306"/>
        </w:tabs>
        <w:spacing w:after="0"/>
        <w:ind w:left="709" w:hanging="283"/>
        <w:rPr>
          <w:rFonts w:asciiTheme="minorHAnsi" w:hAnsiTheme="minorHAnsi" w:cstheme="minorHAnsi"/>
          <w:szCs w:val="20"/>
          <w:lang w:val="en-GB"/>
        </w:rPr>
      </w:pPr>
      <w:r w:rsidRPr="003B6A69">
        <w:rPr>
          <w:rFonts w:asciiTheme="minorHAnsi" w:hAnsiTheme="minorHAnsi" w:cstheme="minorHAnsi"/>
          <w:szCs w:val="20"/>
          <w:lang w:val="en-GB"/>
        </w:rPr>
        <w:t>Update and review responsibilities for monitoring project strategies, including the risk log; SESP report, Social and Environmental Management Framework and other safeguard requirements; project grievance mechanisms; gender strategy; knowledge management strategy, and other relevant management strategies.</w:t>
      </w:r>
    </w:p>
    <w:p w14:paraId="6F76FD93" w14:textId="77777777" w:rsidR="008915F5" w:rsidRPr="003B6A69" w:rsidRDefault="008915F5" w:rsidP="003C6B7B">
      <w:pPr>
        <w:pStyle w:val="Header"/>
        <w:numPr>
          <w:ilvl w:val="1"/>
          <w:numId w:val="41"/>
        </w:numPr>
        <w:tabs>
          <w:tab w:val="clear" w:pos="4153"/>
          <w:tab w:val="clear" w:pos="8306"/>
        </w:tabs>
        <w:spacing w:after="0"/>
        <w:ind w:left="709" w:hanging="283"/>
        <w:rPr>
          <w:rFonts w:asciiTheme="minorHAnsi" w:hAnsiTheme="minorHAnsi" w:cstheme="minorHAnsi"/>
          <w:szCs w:val="20"/>
          <w:lang w:val="en-GB"/>
        </w:rPr>
      </w:pPr>
      <w:r w:rsidRPr="003B6A69">
        <w:rPr>
          <w:rFonts w:asciiTheme="minorHAnsi" w:hAnsiTheme="minorHAnsi" w:cstheme="minorHAnsi"/>
          <w:szCs w:val="20"/>
          <w:lang w:val="en-GB"/>
        </w:rPr>
        <w:t xml:space="preserve">Review financial reporting procedures and budget monitoring and other mandatory requirements and agree on the arrangements for the annual audit. </w:t>
      </w:r>
    </w:p>
    <w:p w14:paraId="42EAD5B5" w14:textId="77777777" w:rsidR="008915F5" w:rsidRPr="003B6A69" w:rsidRDefault="008915F5" w:rsidP="003C6B7B">
      <w:pPr>
        <w:pStyle w:val="Header"/>
        <w:numPr>
          <w:ilvl w:val="1"/>
          <w:numId w:val="41"/>
        </w:numPr>
        <w:tabs>
          <w:tab w:val="clear" w:pos="4153"/>
          <w:tab w:val="clear" w:pos="8306"/>
        </w:tabs>
        <w:spacing w:after="0"/>
        <w:ind w:left="709" w:hanging="283"/>
        <w:rPr>
          <w:rFonts w:asciiTheme="minorHAnsi" w:hAnsiTheme="minorHAnsi" w:cstheme="minorHAnsi"/>
          <w:szCs w:val="20"/>
          <w:lang w:val="en-GB"/>
        </w:rPr>
      </w:pPr>
      <w:r w:rsidRPr="003B6A69">
        <w:rPr>
          <w:rFonts w:asciiTheme="minorHAnsi" w:hAnsiTheme="minorHAnsi" w:cstheme="minorHAnsi"/>
          <w:szCs w:val="20"/>
          <w:lang w:val="en-GB"/>
        </w:rPr>
        <w:t xml:space="preserve">Plan and schedule Project Board meetings and finalize the first-year annual work plan.  </w:t>
      </w:r>
    </w:p>
    <w:p w14:paraId="46291ADC" w14:textId="01B7A750" w:rsidR="008915F5" w:rsidRPr="003B6A69" w:rsidRDefault="008915F5" w:rsidP="003C6B7B">
      <w:pPr>
        <w:pStyle w:val="Header"/>
        <w:numPr>
          <w:ilvl w:val="1"/>
          <w:numId w:val="41"/>
        </w:numPr>
        <w:tabs>
          <w:tab w:val="clear" w:pos="4153"/>
          <w:tab w:val="clear" w:pos="8306"/>
        </w:tabs>
        <w:spacing w:after="0"/>
        <w:ind w:left="709" w:hanging="283"/>
        <w:rPr>
          <w:rFonts w:asciiTheme="minorHAnsi" w:hAnsiTheme="minorHAnsi" w:cstheme="minorHAnsi"/>
          <w:szCs w:val="20"/>
          <w:lang w:val="en-GB"/>
        </w:rPr>
      </w:pPr>
      <w:r w:rsidRPr="003B6A69">
        <w:rPr>
          <w:rFonts w:asciiTheme="minorHAnsi" w:hAnsiTheme="minorHAnsi" w:cstheme="minorHAnsi"/>
          <w:szCs w:val="20"/>
          <w:lang w:val="en-GB"/>
        </w:rPr>
        <w:t>Formally launch the Project.</w:t>
      </w:r>
    </w:p>
    <w:p w14:paraId="4E83207D" w14:textId="433EF68D" w:rsidR="00A8007F" w:rsidRPr="003B6A69" w:rsidRDefault="00943D17" w:rsidP="00C3039C">
      <w:pPr>
        <w:pStyle w:val="CommentSubject"/>
        <w:keepNext/>
        <w:spacing w:before="240" w:after="240"/>
        <w:rPr>
          <w:b w:val="0"/>
          <w:i/>
          <w:u w:val="single"/>
          <w:lang w:val="en-GB"/>
        </w:rPr>
      </w:pPr>
      <w:r w:rsidRPr="003B6A69">
        <w:rPr>
          <w:rFonts w:cs="Calibri"/>
          <w:b w:val="0"/>
          <w:u w:val="single"/>
          <w:lang w:val="en-GB"/>
        </w:rPr>
        <w:t>GEF Project Implementation Report (PIR)</w:t>
      </w:r>
      <w:r w:rsidR="00EB350D" w:rsidRPr="003B6A69">
        <w:rPr>
          <w:rFonts w:cs="Calibri"/>
          <w:b w:val="0"/>
          <w:lang w:val="en-GB"/>
        </w:rPr>
        <w:t xml:space="preserve">    </w:t>
      </w:r>
      <w:r w:rsidR="00C3039C" w:rsidRPr="003B6A69">
        <w:rPr>
          <w:b w:val="0"/>
          <w:i/>
          <w:lang w:val="en-GB"/>
        </w:rPr>
        <w:t xml:space="preserve"> </w:t>
      </w:r>
    </w:p>
    <w:p w14:paraId="6386D604" w14:textId="46CD387C" w:rsidR="008915F5" w:rsidRPr="003B6A69" w:rsidRDefault="008915F5" w:rsidP="003C6B7B">
      <w:pPr>
        <w:pStyle w:val="Header"/>
        <w:numPr>
          <w:ilvl w:val="0"/>
          <w:numId w:val="41"/>
        </w:numPr>
        <w:tabs>
          <w:tab w:val="clear" w:pos="4153"/>
          <w:tab w:val="clear" w:pos="8306"/>
          <w:tab w:val="left" w:pos="426"/>
        </w:tabs>
        <w:spacing w:after="120"/>
        <w:ind w:left="0" w:firstLine="0"/>
        <w:rPr>
          <w:rFonts w:cs="Calibri"/>
          <w:i/>
          <w:szCs w:val="20"/>
          <w:lang w:val="en-GB"/>
        </w:rPr>
      </w:pPr>
      <w:r w:rsidRPr="003B6A69">
        <w:rPr>
          <w:rFonts w:cs="Calibri"/>
          <w:szCs w:val="20"/>
        </w:rPr>
        <w:t xml:space="preserve">The annual GEF PIR covering the reporting period July (previous year) to June (current year) will be completed for each year of project implementation. Any environmental and social risks and related management plans will be monitored regularly, and progress will be reported in the PIR. The PIR submitted to the GEF will be shared with the Project Board. The quality rating of the previous year’s PIR will be used to inform the preparation of the subsequent PIR.  </w:t>
      </w:r>
    </w:p>
    <w:p w14:paraId="735CE304" w14:textId="73F154EB" w:rsidR="00C3039C" w:rsidRPr="003B6A69" w:rsidRDefault="00943D17" w:rsidP="00C3039C">
      <w:pPr>
        <w:pStyle w:val="CommentSubject"/>
        <w:keepNext/>
        <w:spacing w:before="240" w:after="240"/>
        <w:rPr>
          <w:rFonts w:cs="Calibri"/>
          <w:b w:val="0"/>
          <w:lang w:val="en-GB"/>
        </w:rPr>
      </w:pPr>
      <w:r w:rsidRPr="003B6A69">
        <w:rPr>
          <w:rFonts w:cs="Calibri"/>
          <w:b w:val="0"/>
          <w:u w:val="single"/>
          <w:lang w:val="en-GB"/>
        </w:rPr>
        <w:t>GEF Core Indicators</w:t>
      </w:r>
      <w:r w:rsidR="00EB350D" w:rsidRPr="003B6A69">
        <w:rPr>
          <w:rFonts w:cs="Calibri"/>
          <w:b w:val="0"/>
          <w:lang w:val="en-GB"/>
        </w:rPr>
        <w:t xml:space="preserve">    </w:t>
      </w:r>
    </w:p>
    <w:p w14:paraId="2194FC27" w14:textId="08F5D62B" w:rsidR="00F07F5B" w:rsidRPr="003B6A69" w:rsidRDefault="00F07F5B" w:rsidP="003C6B7B">
      <w:pPr>
        <w:numPr>
          <w:ilvl w:val="0"/>
          <w:numId w:val="41"/>
        </w:numPr>
        <w:tabs>
          <w:tab w:val="left" w:pos="426"/>
        </w:tabs>
        <w:spacing w:after="120"/>
        <w:ind w:left="0" w:firstLine="0"/>
        <w:rPr>
          <w:rFonts w:cs="Calibri"/>
          <w:szCs w:val="20"/>
          <w:lang w:val="en-GB"/>
        </w:rPr>
      </w:pPr>
      <w:r w:rsidRPr="003B6A69">
        <w:rPr>
          <w:rFonts w:cs="Calibri"/>
          <w:szCs w:val="20"/>
          <w:lang w:val="en-GB"/>
        </w:rPr>
        <w:t xml:space="preserve">The GEF Core indicators included as </w:t>
      </w:r>
      <w:hyperlink w:anchor="_Annex_8:_GEF" w:history="1">
        <w:r w:rsidRPr="003B6A69">
          <w:rPr>
            <w:rStyle w:val="Hyperlink"/>
            <w:rFonts w:cs="Calibri"/>
            <w:szCs w:val="20"/>
            <w:lang w:val="en-GB"/>
          </w:rPr>
          <w:t>Anne</w:t>
        </w:r>
        <w:r w:rsidR="006C1C66" w:rsidRPr="003B6A69">
          <w:rPr>
            <w:rStyle w:val="Hyperlink"/>
            <w:rFonts w:cs="Calibri"/>
            <w:szCs w:val="20"/>
            <w:lang w:val="en-GB"/>
          </w:rPr>
          <w:t>x 8</w:t>
        </w:r>
      </w:hyperlink>
      <w:r w:rsidRPr="003B6A69">
        <w:rPr>
          <w:rFonts w:cs="Calibri"/>
          <w:szCs w:val="20"/>
          <w:lang w:val="en-GB"/>
        </w:rPr>
        <w:t xml:space="preserve"> will be used to monitor global environmental benefits and will be updated for reporting to the GEF prior to MTR and TE. Note that the project team is responsible for updating the indicator status. The updated monitoring data should be shared with MTR/TE consultants </w:t>
      </w:r>
      <w:r w:rsidRPr="003B6A69">
        <w:rPr>
          <w:rFonts w:cs="Calibri"/>
          <w:szCs w:val="20"/>
          <w:u w:val="single"/>
          <w:lang w:val="en-GB"/>
        </w:rPr>
        <w:t>prior</w:t>
      </w:r>
      <w:r w:rsidRPr="003B6A69">
        <w:rPr>
          <w:rFonts w:cs="Calibri"/>
          <w:szCs w:val="20"/>
          <w:lang w:val="en-GB"/>
        </w:rPr>
        <w:t xml:space="preserve"> to required evaluation missions, so these can </w:t>
      </w:r>
      <w:r w:rsidRPr="003B6A69">
        <w:rPr>
          <w:rFonts w:cs="Calibri"/>
          <w:szCs w:val="20"/>
          <w:lang w:val="en-GB"/>
        </w:rPr>
        <w:lastRenderedPageBreak/>
        <w:t xml:space="preserve">be used for subsequent </w:t>
      </w:r>
      <w:proofErr w:type="spellStart"/>
      <w:r w:rsidRPr="003B6A69">
        <w:rPr>
          <w:rFonts w:cs="Calibri"/>
          <w:szCs w:val="20"/>
          <w:lang w:val="en-GB"/>
        </w:rPr>
        <w:t>groundtruthing</w:t>
      </w:r>
      <w:proofErr w:type="spellEnd"/>
      <w:r w:rsidRPr="003B6A69">
        <w:rPr>
          <w:rFonts w:cs="Calibri"/>
          <w:szCs w:val="20"/>
          <w:lang w:val="en-GB"/>
        </w:rPr>
        <w:t xml:space="preserve">. The methodologies to be used in data collection have been defined by the GEF and are available on the GEF </w:t>
      </w:r>
      <w:hyperlink r:id="rId26" w:history="1">
        <w:r w:rsidRPr="003B6A69">
          <w:rPr>
            <w:rStyle w:val="Hyperlink"/>
            <w:rFonts w:cs="Calibri"/>
            <w:szCs w:val="20"/>
            <w:lang w:val="en-GB"/>
          </w:rPr>
          <w:t>website</w:t>
        </w:r>
      </w:hyperlink>
      <w:r w:rsidRPr="003B6A69">
        <w:rPr>
          <w:rFonts w:cs="Calibri"/>
          <w:szCs w:val="20"/>
          <w:lang w:val="en-GB"/>
        </w:rPr>
        <w:t xml:space="preserve">. </w:t>
      </w:r>
    </w:p>
    <w:p w14:paraId="72CD804F" w14:textId="2AF6EC38" w:rsidR="00943D17" w:rsidRPr="003B6A69" w:rsidRDefault="00943D17" w:rsidP="003C6B7B">
      <w:pPr>
        <w:numPr>
          <w:ilvl w:val="0"/>
          <w:numId w:val="41"/>
        </w:numPr>
        <w:tabs>
          <w:tab w:val="left" w:pos="426"/>
        </w:tabs>
        <w:spacing w:after="120"/>
        <w:ind w:left="0" w:firstLine="0"/>
        <w:rPr>
          <w:rFonts w:cs="Calibri"/>
          <w:szCs w:val="20"/>
          <w:lang w:val="en-GB"/>
        </w:rPr>
      </w:pPr>
      <w:r w:rsidRPr="003B6A69">
        <w:rPr>
          <w:rFonts w:cs="Calibri"/>
          <w:szCs w:val="20"/>
          <w:lang w:val="en-GB"/>
        </w:rPr>
        <w:t xml:space="preserve">The required Protected Area Management Effectiveness Tracking Tool (METTs) have been prepared and the scores include in the GEF Core Indicators. </w:t>
      </w:r>
    </w:p>
    <w:p w14:paraId="545436CF" w14:textId="7415D63E" w:rsidR="006D725D" w:rsidRPr="003B6A69" w:rsidRDefault="00943D17" w:rsidP="004052EA">
      <w:pPr>
        <w:pStyle w:val="CommentSubject"/>
        <w:keepNext/>
        <w:spacing w:before="240" w:after="240"/>
        <w:rPr>
          <w:rFonts w:cs="Calibri"/>
          <w:b w:val="0"/>
          <w:u w:val="single"/>
          <w:lang w:val="en-GB"/>
        </w:rPr>
      </w:pPr>
      <w:r w:rsidRPr="003B6A69">
        <w:rPr>
          <w:rFonts w:cs="Calibri"/>
          <w:b w:val="0"/>
          <w:u w:val="single"/>
          <w:lang w:val="en-GB"/>
        </w:rPr>
        <w:t>Independent Mid-term Review (MTR)</w:t>
      </w:r>
      <w:r w:rsidR="00C51BC6" w:rsidRPr="003B6A69">
        <w:rPr>
          <w:rFonts w:cs="Calibri"/>
          <w:b w:val="0"/>
          <w:lang w:val="en-GB"/>
        </w:rPr>
        <w:t xml:space="preserve">   </w:t>
      </w:r>
    </w:p>
    <w:p w14:paraId="4ADC46DC" w14:textId="7F974EF8" w:rsidR="004052EA" w:rsidRPr="003B6A69" w:rsidRDefault="004052EA" w:rsidP="003C6B7B">
      <w:pPr>
        <w:numPr>
          <w:ilvl w:val="0"/>
          <w:numId w:val="41"/>
        </w:numPr>
        <w:tabs>
          <w:tab w:val="left" w:pos="426"/>
        </w:tabs>
        <w:spacing w:after="120"/>
        <w:ind w:left="0" w:firstLine="0"/>
        <w:rPr>
          <w:rFonts w:cs="Calibri"/>
          <w:szCs w:val="20"/>
          <w:lang w:val="en-GB"/>
        </w:rPr>
      </w:pPr>
      <w:r w:rsidRPr="003B6A69">
        <w:rPr>
          <w:rFonts w:cs="Calibri"/>
          <w:szCs w:val="20"/>
        </w:rPr>
        <w:t xml:space="preserve">The terms of reference, the review process and the final MTR report will follow the standard templates and guidance for GEF-financed projects available on the </w:t>
      </w:r>
      <w:hyperlink r:id="rId27" w:anchor="gef" w:history="1">
        <w:r w:rsidRPr="003B6A69">
          <w:rPr>
            <w:rStyle w:val="Hyperlink"/>
            <w:rFonts w:cs="Calibri"/>
            <w:szCs w:val="20"/>
          </w:rPr>
          <w:t>UNDP Evaluation Resource Center</w:t>
        </w:r>
      </w:hyperlink>
      <w:r w:rsidRPr="003B6A69">
        <w:rPr>
          <w:rStyle w:val="Hyperlink"/>
          <w:rFonts w:cs="Calibri"/>
          <w:szCs w:val="20"/>
        </w:rPr>
        <w:t xml:space="preserve"> (ERC).</w:t>
      </w:r>
    </w:p>
    <w:p w14:paraId="4870EE2D" w14:textId="2F6E1B60" w:rsidR="004052EA" w:rsidRPr="003B6A69" w:rsidRDefault="004052EA" w:rsidP="003C6B7B">
      <w:pPr>
        <w:numPr>
          <w:ilvl w:val="0"/>
          <w:numId w:val="41"/>
        </w:numPr>
        <w:tabs>
          <w:tab w:val="left" w:pos="426"/>
        </w:tabs>
        <w:spacing w:after="120"/>
        <w:ind w:left="0" w:firstLine="0"/>
        <w:rPr>
          <w:lang w:val="en-GB"/>
        </w:rPr>
      </w:pPr>
      <w:r w:rsidRPr="003B6A69">
        <w:t xml:space="preserve">The evaluation will be ‘independent, impartial and </w:t>
      </w:r>
      <w:proofErr w:type="gramStart"/>
      <w:r w:rsidRPr="003B6A69">
        <w:t>rigorous’</w:t>
      </w:r>
      <w:proofErr w:type="gramEnd"/>
      <w:r w:rsidRPr="003B6A69">
        <w:t xml:space="preserve">. The evaluators that will be hired to undertake the assignment will be independent from organizations that were involved in designing, </w:t>
      </w:r>
      <w:proofErr w:type="gramStart"/>
      <w:r w:rsidRPr="003B6A69">
        <w:t>executing</w:t>
      </w:r>
      <w:proofErr w:type="gramEnd"/>
      <w:r w:rsidRPr="003B6A69">
        <w:t xml:space="preserve"> or advising on the project to be evaluated. Equally, the evaluators should not be in a position where there may be the possibility of future contracts regarding the project under review.</w:t>
      </w:r>
    </w:p>
    <w:p w14:paraId="3681FDFA" w14:textId="57531043" w:rsidR="00267FED" w:rsidRPr="003B6A69" w:rsidRDefault="004052EA" w:rsidP="003C6B7B">
      <w:pPr>
        <w:numPr>
          <w:ilvl w:val="0"/>
          <w:numId w:val="41"/>
        </w:numPr>
        <w:tabs>
          <w:tab w:val="left" w:pos="426"/>
        </w:tabs>
        <w:spacing w:after="120"/>
        <w:ind w:left="0" w:firstLine="0"/>
        <w:rPr>
          <w:rFonts w:cs="Calibri"/>
          <w:szCs w:val="20"/>
          <w:lang w:val="en-GB"/>
        </w:rPr>
      </w:pPr>
      <w:r w:rsidRPr="003B6A69">
        <w:t xml:space="preserve">The GEF Operational Focal Point and other stakeholders will be actively involved and consulted during the evaluation process. </w:t>
      </w:r>
      <w:r w:rsidRPr="003B6A69">
        <w:rPr>
          <w:rFonts w:cs="Calibri"/>
          <w:szCs w:val="20"/>
        </w:rPr>
        <w:t>Additional quality assurance support is available from the BPPS/GEF Directorate.</w:t>
      </w:r>
    </w:p>
    <w:p w14:paraId="0EDA5D03" w14:textId="1A0D14EA" w:rsidR="00267FED" w:rsidRPr="003B6A69" w:rsidRDefault="004052EA" w:rsidP="003C6B7B">
      <w:pPr>
        <w:numPr>
          <w:ilvl w:val="0"/>
          <w:numId w:val="41"/>
        </w:numPr>
        <w:tabs>
          <w:tab w:val="left" w:pos="426"/>
        </w:tabs>
        <w:spacing w:after="120"/>
        <w:ind w:left="0" w:firstLine="0"/>
        <w:rPr>
          <w:rFonts w:cs="Calibri"/>
          <w:szCs w:val="20"/>
          <w:lang w:val="en-GB"/>
        </w:rPr>
      </w:pPr>
      <w:r w:rsidRPr="003B6A69">
        <w:rPr>
          <w:rFonts w:cs="Calibri"/>
          <w:szCs w:val="20"/>
        </w:rPr>
        <w:t xml:space="preserve">The final MTR report and MTR TOR will be publicly available in English and will be posted on the UNDP ERC by </w:t>
      </w:r>
      <w:r w:rsidR="00F070C2" w:rsidRPr="003B6A69">
        <w:rPr>
          <w:rFonts w:cs="Calibri"/>
          <w:szCs w:val="20"/>
        </w:rPr>
        <w:t>September 30, 2024</w:t>
      </w:r>
      <w:r w:rsidRPr="003B6A69">
        <w:rPr>
          <w:rFonts w:cs="Calibri"/>
          <w:szCs w:val="20"/>
        </w:rPr>
        <w:t>. A management response to MTR recommendations will be posted in the ERC within six weeks of the MTR report’s completion.</w:t>
      </w:r>
    </w:p>
    <w:p w14:paraId="6714EC62" w14:textId="5DD0E99F" w:rsidR="00943D17" w:rsidRPr="003B6A69" w:rsidRDefault="00943D17" w:rsidP="00267FED">
      <w:pPr>
        <w:tabs>
          <w:tab w:val="left" w:pos="426"/>
        </w:tabs>
        <w:spacing w:after="120"/>
        <w:rPr>
          <w:rFonts w:cs="Calibri"/>
          <w:szCs w:val="20"/>
          <w:lang w:val="en-GB"/>
        </w:rPr>
      </w:pPr>
      <w:r w:rsidRPr="003B6A69">
        <w:rPr>
          <w:rFonts w:cs="Calibri"/>
          <w:u w:val="single"/>
          <w:lang w:val="en-GB"/>
        </w:rPr>
        <w:t>Terminal Evaluation (TE)</w:t>
      </w:r>
      <w:r w:rsidR="00C51BC6" w:rsidRPr="003B6A69">
        <w:rPr>
          <w:rFonts w:cs="Calibri"/>
          <w:lang w:val="en-GB"/>
        </w:rPr>
        <w:t xml:space="preserve">     </w:t>
      </w:r>
    </w:p>
    <w:p w14:paraId="024898C4" w14:textId="33E8042D" w:rsidR="00943D17" w:rsidRPr="003B6A69" w:rsidRDefault="004052EA" w:rsidP="003C6B7B">
      <w:pPr>
        <w:numPr>
          <w:ilvl w:val="0"/>
          <w:numId w:val="41"/>
        </w:numPr>
        <w:tabs>
          <w:tab w:val="left" w:pos="426"/>
        </w:tabs>
        <w:spacing w:after="120"/>
        <w:ind w:left="0" w:firstLine="0"/>
        <w:rPr>
          <w:rFonts w:cs="Calibri"/>
          <w:szCs w:val="20"/>
          <w:lang w:val="en-GB"/>
        </w:rPr>
      </w:pPr>
      <w:r w:rsidRPr="003B6A69">
        <w:rPr>
          <w:rFonts w:cs="Calibri"/>
          <w:szCs w:val="20"/>
        </w:rPr>
        <w:t xml:space="preserve">An independent terminal evaluation (TE) will take place upon completion of all major project outputs and activities. The terms of reference, the evaluation process and the final TE report will follow the standard templates and guidance for GEF-financed projects available on the </w:t>
      </w:r>
      <w:hyperlink r:id="rId28" w:anchor="gef" w:history="1">
        <w:r w:rsidRPr="003B6A69">
          <w:rPr>
            <w:rStyle w:val="Hyperlink"/>
            <w:rFonts w:cs="Calibri"/>
            <w:szCs w:val="20"/>
          </w:rPr>
          <w:t>UNDP Evaluation Resource Center</w:t>
        </w:r>
      </w:hyperlink>
      <w:r w:rsidRPr="003B6A69">
        <w:rPr>
          <w:rStyle w:val="Hyperlink"/>
          <w:rFonts w:cs="Calibri"/>
          <w:szCs w:val="20"/>
        </w:rPr>
        <w:t>.</w:t>
      </w:r>
    </w:p>
    <w:p w14:paraId="5D2F1C5F" w14:textId="6FAD0401" w:rsidR="009265DF" w:rsidRPr="003B6A69" w:rsidRDefault="00974B82" w:rsidP="003C6B7B">
      <w:pPr>
        <w:numPr>
          <w:ilvl w:val="0"/>
          <w:numId w:val="41"/>
        </w:numPr>
        <w:tabs>
          <w:tab w:val="left" w:pos="426"/>
        </w:tabs>
        <w:spacing w:after="120"/>
        <w:ind w:left="0" w:firstLine="0"/>
        <w:rPr>
          <w:lang w:val="en-GB"/>
        </w:rPr>
      </w:pPr>
      <w:r w:rsidRPr="003B6A69">
        <w:t xml:space="preserve">The evaluation will be ‘independent, impartial and </w:t>
      </w:r>
      <w:proofErr w:type="gramStart"/>
      <w:r w:rsidRPr="003B6A69">
        <w:t>rigorous’</w:t>
      </w:r>
      <w:proofErr w:type="gramEnd"/>
      <w:r w:rsidRPr="003B6A69">
        <w:t xml:space="preserve">. The evaluators that will be hired to undertake the assignment will be independent from organizations that were involved in designing, </w:t>
      </w:r>
      <w:proofErr w:type="gramStart"/>
      <w:r w:rsidRPr="003B6A69">
        <w:t>executing</w:t>
      </w:r>
      <w:proofErr w:type="gramEnd"/>
      <w:r w:rsidRPr="003B6A69">
        <w:t xml:space="preserve"> or advising on the project to be evaluated. Equally, the evaluators should not be in a position where there may be the possibility of future contracts regarding the project being evaluated.</w:t>
      </w:r>
    </w:p>
    <w:p w14:paraId="74E76D1F" w14:textId="0030C6F2" w:rsidR="009265DF" w:rsidRPr="003B6A69" w:rsidRDefault="00974B82" w:rsidP="003C6B7B">
      <w:pPr>
        <w:numPr>
          <w:ilvl w:val="0"/>
          <w:numId w:val="41"/>
        </w:numPr>
        <w:tabs>
          <w:tab w:val="left" w:pos="426"/>
        </w:tabs>
        <w:spacing w:after="120"/>
        <w:ind w:left="0" w:firstLine="0"/>
        <w:rPr>
          <w:rFonts w:cs="Calibri"/>
          <w:szCs w:val="20"/>
          <w:lang w:val="en-GB"/>
        </w:rPr>
      </w:pPr>
      <w:r w:rsidRPr="003B6A69">
        <w:t xml:space="preserve">The GEF Operational Focal Point and other stakeholders will be actively involved and consulted during the terminal evaluation process. </w:t>
      </w:r>
      <w:r w:rsidRPr="003B6A69">
        <w:rPr>
          <w:rFonts w:cs="Calibri"/>
          <w:szCs w:val="20"/>
        </w:rPr>
        <w:t xml:space="preserve">Additional quality assurance support is available from the BPPS/GEF Directorate. </w:t>
      </w:r>
    </w:p>
    <w:p w14:paraId="4539AF02" w14:textId="5B8C695A" w:rsidR="009265DF" w:rsidRPr="003B6A69" w:rsidRDefault="00974B82" w:rsidP="003C6B7B">
      <w:pPr>
        <w:numPr>
          <w:ilvl w:val="0"/>
          <w:numId w:val="41"/>
        </w:numPr>
        <w:tabs>
          <w:tab w:val="left" w:pos="426"/>
        </w:tabs>
        <w:spacing w:after="120"/>
        <w:ind w:left="0" w:firstLine="0"/>
        <w:rPr>
          <w:rFonts w:cs="Calibri"/>
          <w:szCs w:val="20"/>
          <w:lang w:val="en-GB"/>
        </w:rPr>
      </w:pPr>
      <w:r w:rsidRPr="003B6A69">
        <w:rPr>
          <w:rFonts w:cs="Calibri"/>
          <w:szCs w:val="20"/>
        </w:rPr>
        <w:t xml:space="preserve">The final TE report and TE TOR will be publicly available in English and posted on the UNDP ERC by </w:t>
      </w:r>
      <w:r w:rsidR="00F070C2" w:rsidRPr="003B6A69">
        <w:rPr>
          <w:rFonts w:cs="Calibri"/>
          <w:szCs w:val="20"/>
        </w:rPr>
        <w:t>November 30, 2026</w:t>
      </w:r>
      <w:r w:rsidRPr="003B6A69">
        <w:rPr>
          <w:rFonts w:cs="Calibri"/>
          <w:szCs w:val="20"/>
        </w:rPr>
        <w:t>.  A management response to the TE recommendations will be posted to the ERC within six weeks of the TE report’s completion.</w:t>
      </w:r>
    </w:p>
    <w:p w14:paraId="0FB608DF" w14:textId="047B8F4D" w:rsidR="00C51BC6" w:rsidRPr="003B6A69" w:rsidRDefault="00943D17" w:rsidP="00254DE3">
      <w:pPr>
        <w:pStyle w:val="CommentSubject"/>
        <w:keepNext/>
        <w:spacing w:before="240" w:after="240"/>
        <w:rPr>
          <w:b w:val="0"/>
          <w:i/>
          <w:lang w:val="en-GB"/>
        </w:rPr>
      </w:pPr>
      <w:r w:rsidRPr="003B6A69">
        <w:rPr>
          <w:rFonts w:cs="Calibri"/>
          <w:b w:val="0"/>
          <w:u w:val="single"/>
          <w:lang w:val="en-GB"/>
        </w:rPr>
        <w:t>Final Report</w:t>
      </w:r>
      <w:r w:rsidR="00C51BC6" w:rsidRPr="003B6A69">
        <w:rPr>
          <w:rFonts w:cs="Calibri"/>
          <w:b w:val="0"/>
          <w:lang w:val="en-GB"/>
        </w:rPr>
        <w:t xml:space="preserve">     </w:t>
      </w:r>
      <w:r w:rsidRPr="003B6A69">
        <w:rPr>
          <w:rFonts w:cs="Calibri"/>
          <w:b w:val="0"/>
          <w:lang w:val="en-GB"/>
        </w:rPr>
        <w:t xml:space="preserve"> </w:t>
      </w:r>
    </w:p>
    <w:p w14:paraId="64E272A8" w14:textId="54381941" w:rsidR="00943D17" w:rsidRPr="003B6A69" w:rsidRDefault="00986A54" w:rsidP="003C6B7B">
      <w:pPr>
        <w:numPr>
          <w:ilvl w:val="0"/>
          <w:numId w:val="41"/>
        </w:numPr>
        <w:tabs>
          <w:tab w:val="left" w:pos="426"/>
        </w:tabs>
        <w:spacing w:after="120"/>
        <w:ind w:left="0" w:firstLine="0"/>
        <w:rPr>
          <w:rFonts w:cs="Calibri"/>
          <w:szCs w:val="20"/>
          <w:lang w:val="en-GB"/>
        </w:rPr>
      </w:pPr>
      <w:r w:rsidRPr="003B6A69">
        <w:rPr>
          <w:rFonts w:cs="Calibri"/>
          <w:szCs w:val="20"/>
        </w:rPr>
        <w:t>The project’s terminal GEF PIR along with the terminal evaluation (TE) report and corresponding management response will serve as the final project report package. The final project report package shall be discussed with the Project Board during an end-of-project review meeting to discuss lesson learned and opportunities for scaling up.</w:t>
      </w:r>
    </w:p>
    <w:p w14:paraId="44EB8A92" w14:textId="21A722EB" w:rsidR="00C51BC6" w:rsidRPr="003B6A69" w:rsidRDefault="00943D17" w:rsidP="00254DE3">
      <w:pPr>
        <w:pStyle w:val="CommentSubject"/>
        <w:keepNext/>
        <w:spacing w:before="240" w:after="240"/>
        <w:rPr>
          <w:b w:val="0"/>
          <w:u w:val="single"/>
          <w:lang w:val="en-GB"/>
        </w:rPr>
      </w:pPr>
      <w:r w:rsidRPr="003B6A69">
        <w:rPr>
          <w:rFonts w:cs="Calibri"/>
          <w:b w:val="0"/>
          <w:u w:val="single"/>
          <w:lang w:val="en-GB"/>
        </w:rPr>
        <w:t>Agreement</w:t>
      </w:r>
      <w:r w:rsidRPr="003B6A69">
        <w:rPr>
          <w:b w:val="0"/>
          <w:u w:val="single"/>
          <w:lang w:val="en-GB"/>
        </w:rPr>
        <w:t xml:space="preserve"> on intellectual property rights and use of logo on the project’s deliverables and disclosure of information</w:t>
      </w:r>
    </w:p>
    <w:p w14:paraId="31C531F1" w14:textId="2DD165CC" w:rsidR="00986A54" w:rsidRPr="003B6A69" w:rsidRDefault="00986A54" w:rsidP="003C6B7B">
      <w:pPr>
        <w:numPr>
          <w:ilvl w:val="0"/>
          <w:numId w:val="41"/>
        </w:numPr>
        <w:tabs>
          <w:tab w:val="left" w:pos="426"/>
        </w:tabs>
        <w:spacing w:after="120"/>
        <w:ind w:left="0" w:firstLine="0"/>
        <w:rPr>
          <w:szCs w:val="20"/>
          <w:lang w:val="en-GB"/>
        </w:rPr>
      </w:pPr>
      <w:r w:rsidRPr="003B6A69">
        <w:rPr>
          <w:szCs w:val="20"/>
        </w:rPr>
        <w:t>T</w:t>
      </w:r>
      <w:r w:rsidRPr="003B6A69">
        <w:rPr>
          <w:rFonts w:cs="Calibri"/>
          <w:szCs w:val="20"/>
        </w:rPr>
        <w:t>o accord proper acknowledgement to the GEF for providing grant funding, the GEF logo will appear together with the UNDP logo on all promotional materials, other written materials like publications developed by the project, and project hardware. Any citation on publications regarding projects funded by the GEF will also accord proper acknowledgement to the GEF. Information will be disclosed in accordance with relevant policies notably the UNDP Disclosure Policy</w:t>
      </w:r>
      <w:r w:rsidRPr="003B6A69">
        <w:rPr>
          <w:rStyle w:val="FootnoteReference"/>
          <w:szCs w:val="20"/>
        </w:rPr>
        <w:footnoteReference w:id="13"/>
      </w:r>
      <w:r w:rsidRPr="003B6A69">
        <w:rPr>
          <w:rFonts w:cs="Calibri"/>
          <w:szCs w:val="20"/>
        </w:rPr>
        <w:t xml:space="preserve"> and</w:t>
      </w:r>
      <w:r w:rsidRPr="003B6A69">
        <w:rPr>
          <w:rFonts w:cs="Segoe UI"/>
          <w:color w:val="000000"/>
          <w:szCs w:val="20"/>
        </w:rPr>
        <w:t xml:space="preserve"> the GEF policy on public involvement</w:t>
      </w:r>
      <w:r w:rsidRPr="003B6A69">
        <w:rPr>
          <w:rStyle w:val="FootnoteReference"/>
          <w:color w:val="000000"/>
          <w:szCs w:val="20"/>
        </w:rPr>
        <w:footnoteReference w:id="14"/>
      </w:r>
      <w:r w:rsidRPr="003B6A69">
        <w:rPr>
          <w:rFonts w:cs="Segoe UI"/>
          <w:color w:val="000000"/>
          <w:szCs w:val="20"/>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10"/>
        <w:gridCol w:w="2790"/>
        <w:gridCol w:w="2698"/>
      </w:tblGrid>
      <w:tr w:rsidR="00862DB0" w:rsidRPr="003B6A69" w14:paraId="0D82A6E9" w14:textId="77777777" w:rsidTr="00862DB0">
        <w:trPr>
          <w:trHeight w:val="512"/>
          <w:tblHeader/>
          <w:jc w:val="center"/>
        </w:trPr>
        <w:tc>
          <w:tcPr>
            <w:tcW w:w="3510" w:type="dxa"/>
            <w:shd w:val="clear" w:color="auto" w:fill="BFBFBF"/>
          </w:tcPr>
          <w:p w14:paraId="2A115337" w14:textId="77777777" w:rsidR="00862DB0" w:rsidRPr="003B6A69" w:rsidRDefault="00862DB0" w:rsidP="00D5549F">
            <w:pPr>
              <w:jc w:val="left"/>
              <w:rPr>
                <w:rFonts w:cs="Calibri"/>
                <w:b/>
                <w:sz w:val="18"/>
                <w:szCs w:val="18"/>
              </w:rPr>
            </w:pPr>
            <w:r w:rsidRPr="003B6A69">
              <w:rPr>
                <w:rFonts w:cs="Calibri"/>
                <w:b/>
                <w:sz w:val="18"/>
                <w:szCs w:val="18"/>
              </w:rPr>
              <w:lastRenderedPageBreak/>
              <w:t>GEF M&amp;E requirements</w:t>
            </w:r>
          </w:p>
          <w:p w14:paraId="75B238AC" w14:textId="77777777" w:rsidR="00862DB0" w:rsidRPr="003B6A69" w:rsidRDefault="00862DB0" w:rsidP="00D5549F">
            <w:pPr>
              <w:jc w:val="left"/>
              <w:rPr>
                <w:rFonts w:cs="Calibri"/>
                <w:b/>
                <w:sz w:val="18"/>
                <w:szCs w:val="18"/>
              </w:rPr>
            </w:pPr>
          </w:p>
        </w:tc>
        <w:tc>
          <w:tcPr>
            <w:tcW w:w="2790" w:type="dxa"/>
            <w:shd w:val="clear" w:color="auto" w:fill="BFBFBF"/>
          </w:tcPr>
          <w:p w14:paraId="7460D512" w14:textId="26C6A699" w:rsidR="00862DB0" w:rsidRPr="003B6A69" w:rsidRDefault="00862DB0" w:rsidP="00D5549F">
            <w:pPr>
              <w:jc w:val="left"/>
              <w:rPr>
                <w:rFonts w:cs="Calibri"/>
                <w:b/>
                <w:sz w:val="18"/>
                <w:szCs w:val="18"/>
              </w:rPr>
            </w:pPr>
            <w:r w:rsidRPr="003B6A69">
              <w:rPr>
                <w:rFonts w:cs="Calibri"/>
                <w:b/>
                <w:sz w:val="18"/>
                <w:szCs w:val="18"/>
              </w:rPr>
              <w:t>Indicative costs (US$)</w:t>
            </w:r>
          </w:p>
        </w:tc>
        <w:tc>
          <w:tcPr>
            <w:tcW w:w="2698" w:type="dxa"/>
            <w:shd w:val="clear" w:color="auto" w:fill="BFBFBF"/>
          </w:tcPr>
          <w:p w14:paraId="41DB1A09" w14:textId="77777777" w:rsidR="00862DB0" w:rsidRPr="003B6A69" w:rsidRDefault="00862DB0" w:rsidP="00D5549F">
            <w:pPr>
              <w:jc w:val="left"/>
              <w:rPr>
                <w:rFonts w:cs="Calibri"/>
                <w:b/>
                <w:sz w:val="18"/>
                <w:szCs w:val="18"/>
              </w:rPr>
            </w:pPr>
            <w:r w:rsidRPr="003B6A69">
              <w:rPr>
                <w:rFonts w:cs="Calibri"/>
                <w:b/>
                <w:sz w:val="18"/>
                <w:szCs w:val="18"/>
              </w:rPr>
              <w:t>Time frame</w:t>
            </w:r>
          </w:p>
        </w:tc>
      </w:tr>
      <w:tr w:rsidR="00862DB0" w:rsidRPr="003B6A69" w14:paraId="4539EBB0" w14:textId="77777777" w:rsidTr="00862DB0">
        <w:trPr>
          <w:trHeight w:val="548"/>
          <w:jc w:val="center"/>
        </w:trPr>
        <w:tc>
          <w:tcPr>
            <w:tcW w:w="3510" w:type="dxa"/>
          </w:tcPr>
          <w:p w14:paraId="6849F1BD" w14:textId="77777777" w:rsidR="00862DB0" w:rsidRPr="003B6A69" w:rsidRDefault="00862DB0" w:rsidP="00D5549F">
            <w:pPr>
              <w:jc w:val="left"/>
              <w:rPr>
                <w:rFonts w:cs="Calibri"/>
                <w:b/>
                <w:sz w:val="18"/>
                <w:szCs w:val="18"/>
              </w:rPr>
            </w:pPr>
            <w:r w:rsidRPr="003B6A69">
              <w:rPr>
                <w:rFonts w:cs="Calibri"/>
                <w:b/>
                <w:sz w:val="18"/>
                <w:szCs w:val="18"/>
              </w:rPr>
              <w:t xml:space="preserve">Inception Workshop </w:t>
            </w:r>
          </w:p>
        </w:tc>
        <w:tc>
          <w:tcPr>
            <w:tcW w:w="2790" w:type="dxa"/>
          </w:tcPr>
          <w:p w14:paraId="28FF8F6A" w14:textId="17894ECD" w:rsidR="00862DB0" w:rsidRPr="003B6A69" w:rsidRDefault="00F864E1" w:rsidP="00D5549F">
            <w:pPr>
              <w:jc w:val="left"/>
              <w:rPr>
                <w:rFonts w:cs="Calibri"/>
                <w:sz w:val="18"/>
                <w:szCs w:val="18"/>
              </w:rPr>
            </w:pPr>
            <w:r w:rsidRPr="003B6A69">
              <w:rPr>
                <w:rFonts w:cs="Calibri"/>
                <w:sz w:val="18"/>
                <w:szCs w:val="18"/>
              </w:rPr>
              <w:t>3</w:t>
            </w:r>
            <w:r w:rsidR="00862DB0" w:rsidRPr="003B6A69">
              <w:rPr>
                <w:rFonts w:cs="Calibri"/>
                <w:sz w:val="18"/>
                <w:szCs w:val="18"/>
              </w:rPr>
              <w:t>,000</w:t>
            </w:r>
          </w:p>
        </w:tc>
        <w:tc>
          <w:tcPr>
            <w:tcW w:w="2698" w:type="dxa"/>
          </w:tcPr>
          <w:p w14:paraId="6F2DA5AE" w14:textId="77777777" w:rsidR="00862DB0" w:rsidRPr="003B6A69" w:rsidRDefault="00862DB0" w:rsidP="00D5549F">
            <w:pPr>
              <w:jc w:val="left"/>
              <w:rPr>
                <w:rFonts w:cs="Calibri"/>
                <w:sz w:val="18"/>
                <w:szCs w:val="18"/>
              </w:rPr>
            </w:pPr>
            <w:r w:rsidRPr="003B6A69">
              <w:rPr>
                <w:rFonts w:cs="Calibri"/>
                <w:sz w:val="18"/>
                <w:szCs w:val="18"/>
              </w:rPr>
              <w:t>Within 60 days of CEO endorsement of this project.</w:t>
            </w:r>
          </w:p>
        </w:tc>
      </w:tr>
      <w:tr w:rsidR="00862DB0" w:rsidRPr="003B6A69" w14:paraId="2C2A7B62" w14:textId="77777777" w:rsidTr="00862DB0">
        <w:trPr>
          <w:jc w:val="center"/>
        </w:trPr>
        <w:tc>
          <w:tcPr>
            <w:tcW w:w="3510" w:type="dxa"/>
          </w:tcPr>
          <w:p w14:paraId="5A1392EE" w14:textId="77777777" w:rsidR="00862DB0" w:rsidRPr="003B6A69" w:rsidRDefault="00862DB0" w:rsidP="00D5549F">
            <w:pPr>
              <w:jc w:val="left"/>
              <w:rPr>
                <w:rFonts w:cs="Calibri"/>
                <w:b/>
                <w:sz w:val="18"/>
                <w:szCs w:val="18"/>
              </w:rPr>
            </w:pPr>
            <w:r w:rsidRPr="003B6A69">
              <w:rPr>
                <w:rFonts w:cs="Calibri"/>
                <w:b/>
                <w:sz w:val="18"/>
                <w:szCs w:val="18"/>
              </w:rPr>
              <w:t>Inception Report</w:t>
            </w:r>
          </w:p>
        </w:tc>
        <w:tc>
          <w:tcPr>
            <w:tcW w:w="2790" w:type="dxa"/>
          </w:tcPr>
          <w:p w14:paraId="4D0728A6" w14:textId="77777777" w:rsidR="00862DB0" w:rsidRPr="003B6A69" w:rsidRDefault="00862DB0" w:rsidP="00D5549F">
            <w:pPr>
              <w:jc w:val="left"/>
              <w:rPr>
                <w:rFonts w:cs="Calibri"/>
                <w:sz w:val="18"/>
                <w:szCs w:val="18"/>
              </w:rPr>
            </w:pPr>
            <w:r w:rsidRPr="003B6A69">
              <w:rPr>
                <w:rFonts w:cs="Calibri"/>
                <w:sz w:val="18"/>
                <w:szCs w:val="18"/>
              </w:rPr>
              <w:t>None</w:t>
            </w:r>
          </w:p>
        </w:tc>
        <w:tc>
          <w:tcPr>
            <w:tcW w:w="2698" w:type="dxa"/>
          </w:tcPr>
          <w:p w14:paraId="26AF3FAC" w14:textId="77777777" w:rsidR="00862DB0" w:rsidRPr="003B6A69" w:rsidRDefault="00862DB0" w:rsidP="00D5549F">
            <w:pPr>
              <w:jc w:val="left"/>
              <w:rPr>
                <w:rFonts w:cs="Calibri"/>
                <w:sz w:val="18"/>
                <w:szCs w:val="18"/>
              </w:rPr>
            </w:pPr>
            <w:r w:rsidRPr="003B6A69">
              <w:rPr>
                <w:rFonts w:cs="Calibri"/>
                <w:sz w:val="18"/>
                <w:szCs w:val="18"/>
              </w:rPr>
              <w:t>Within 90 days of CEO endorsement of this project.</w:t>
            </w:r>
          </w:p>
        </w:tc>
      </w:tr>
      <w:tr w:rsidR="00862DB0" w:rsidRPr="003B6A69" w14:paraId="428132A7" w14:textId="77777777" w:rsidTr="00862DB0">
        <w:trPr>
          <w:jc w:val="center"/>
        </w:trPr>
        <w:tc>
          <w:tcPr>
            <w:tcW w:w="3510" w:type="dxa"/>
          </w:tcPr>
          <w:p w14:paraId="74CC2688" w14:textId="7AC3F056" w:rsidR="00862DB0" w:rsidRPr="003B6A69" w:rsidRDefault="00F864E1" w:rsidP="00D5549F">
            <w:pPr>
              <w:jc w:val="left"/>
              <w:rPr>
                <w:rFonts w:cs="Calibri"/>
                <w:b/>
                <w:sz w:val="18"/>
                <w:szCs w:val="18"/>
              </w:rPr>
            </w:pPr>
            <w:r w:rsidRPr="003B6A69">
              <w:rPr>
                <w:rFonts w:cs="Calibri"/>
                <w:b/>
                <w:sz w:val="18"/>
                <w:szCs w:val="18"/>
              </w:rPr>
              <w:t>M&amp;E of</w:t>
            </w:r>
            <w:r w:rsidR="00862DB0" w:rsidRPr="003B6A69">
              <w:rPr>
                <w:rFonts w:cs="Calibri"/>
                <w:b/>
                <w:sz w:val="18"/>
                <w:szCs w:val="18"/>
              </w:rPr>
              <w:t xml:space="preserve"> GEF core indicators </w:t>
            </w:r>
            <w:proofErr w:type="gramStart"/>
            <w:r w:rsidR="00862DB0" w:rsidRPr="003B6A69">
              <w:rPr>
                <w:rFonts w:cs="Calibri"/>
                <w:b/>
                <w:sz w:val="18"/>
                <w:szCs w:val="18"/>
              </w:rPr>
              <w:t>and  project</w:t>
            </w:r>
            <w:proofErr w:type="gramEnd"/>
            <w:r w:rsidR="00862DB0" w:rsidRPr="003B6A69">
              <w:rPr>
                <w:rFonts w:cs="Calibri"/>
                <w:b/>
                <w:sz w:val="18"/>
                <w:szCs w:val="18"/>
              </w:rPr>
              <w:t xml:space="preserve"> results framework </w:t>
            </w:r>
          </w:p>
        </w:tc>
        <w:tc>
          <w:tcPr>
            <w:tcW w:w="2790" w:type="dxa"/>
          </w:tcPr>
          <w:p w14:paraId="2D6A6ECE" w14:textId="0672AC6B" w:rsidR="00862DB0" w:rsidRPr="003B6A69" w:rsidRDefault="00883708" w:rsidP="00883708">
            <w:pPr>
              <w:pStyle w:val="BodyText23"/>
              <w:widowControl/>
              <w:tabs>
                <w:tab w:val="clear" w:pos="547"/>
              </w:tabs>
              <w:spacing w:after="60"/>
              <w:rPr>
                <w:rFonts w:ascii="Calibri" w:hAnsi="Calibri" w:cs="Calibri"/>
                <w:i/>
                <w:snapToGrid/>
                <w:sz w:val="18"/>
                <w:szCs w:val="18"/>
                <w:lang w:val="en-GB"/>
              </w:rPr>
            </w:pPr>
            <w:r w:rsidRPr="003B6A69">
              <w:rPr>
                <w:rFonts w:asciiTheme="minorHAnsi" w:hAnsiTheme="minorHAnsi" w:cs="Calibri"/>
                <w:snapToGrid/>
                <w:sz w:val="18"/>
                <w:szCs w:val="18"/>
              </w:rPr>
              <w:t>3</w:t>
            </w:r>
            <w:r w:rsidR="00862DB0" w:rsidRPr="003B6A69">
              <w:rPr>
                <w:rFonts w:asciiTheme="minorHAnsi" w:hAnsiTheme="minorHAnsi" w:cs="Calibri"/>
                <w:snapToGrid/>
                <w:sz w:val="18"/>
                <w:szCs w:val="18"/>
              </w:rPr>
              <w:t>,000</w:t>
            </w:r>
          </w:p>
        </w:tc>
        <w:tc>
          <w:tcPr>
            <w:tcW w:w="2698" w:type="dxa"/>
          </w:tcPr>
          <w:p w14:paraId="67299D37" w14:textId="5A0157CD" w:rsidR="00862DB0" w:rsidRPr="003B6A69" w:rsidRDefault="00862DB0" w:rsidP="00D5549F">
            <w:pPr>
              <w:jc w:val="left"/>
              <w:rPr>
                <w:rFonts w:cs="Calibri"/>
                <w:sz w:val="18"/>
                <w:szCs w:val="18"/>
              </w:rPr>
            </w:pPr>
            <w:r w:rsidRPr="003B6A69">
              <w:rPr>
                <w:rFonts w:cs="Calibri"/>
                <w:sz w:val="18"/>
                <w:szCs w:val="18"/>
              </w:rPr>
              <w:t>Annuall</w:t>
            </w:r>
            <w:r w:rsidR="008974AE" w:rsidRPr="003B6A69">
              <w:rPr>
                <w:rFonts w:cs="Calibri"/>
                <w:sz w:val="18"/>
                <w:szCs w:val="18"/>
              </w:rPr>
              <w:t>y and at mid-point and closure.</w:t>
            </w:r>
          </w:p>
        </w:tc>
      </w:tr>
      <w:tr w:rsidR="00862DB0" w:rsidRPr="003B6A69" w14:paraId="736F01CA" w14:textId="77777777" w:rsidTr="00862DB0">
        <w:trPr>
          <w:jc w:val="center"/>
        </w:trPr>
        <w:tc>
          <w:tcPr>
            <w:tcW w:w="3510" w:type="dxa"/>
          </w:tcPr>
          <w:p w14:paraId="71810B2E" w14:textId="77777777" w:rsidR="00862DB0" w:rsidRPr="003B6A69" w:rsidRDefault="00862DB0" w:rsidP="00D5549F">
            <w:pPr>
              <w:jc w:val="left"/>
              <w:rPr>
                <w:rFonts w:cs="Calibri"/>
                <w:b/>
                <w:sz w:val="18"/>
                <w:szCs w:val="18"/>
              </w:rPr>
            </w:pPr>
            <w:r w:rsidRPr="003B6A69">
              <w:rPr>
                <w:rFonts w:cs="Calibri"/>
                <w:b/>
                <w:sz w:val="18"/>
                <w:szCs w:val="18"/>
              </w:rPr>
              <w:t xml:space="preserve">GEF Project Implementation Report (PIR) </w:t>
            </w:r>
          </w:p>
        </w:tc>
        <w:tc>
          <w:tcPr>
            <w:tcW w:w="2790" w:type="dxa"/>
          </w:tcPr>
          <w:p w14:paraId="21190CFD" w14:textId="63622798" w:rsidR="00862DB0" w:rsidRPr="003B6A69" w:rsidRDefault="00862DB0" w:rsidP="00D5549F">
            <w:pPr>
              <w:pStyle w:val="BodyText23"/>
              <w:widowControl/>
              <w:tabs>
                <w:tab w:val="clear" w:pos="547"/>
              </w:tabs>
              <w:spacing w:after="60"/>
              <w:rPr>
                <w:rFonts w:ascii="Calibri" w:hAnsi="Calibri" w:cs="Calibri"/>
                <w:i/>
                <w:snapToGrid/>
                <w:sz w:val="18"/>
                <w:szCs w:val="18"/>
                <w:lang w:val="en-GB"/>
              </w:rPr>
            </w:pPr>
            <w:r w:rsidRPr="003B6A69">
              <w:rPr>
                <w:rFonts w:asciiTheme="minorHAnsi" w:hAnsiTheme="minorHAnsi" w:cs="Calibri"/>
                <w:snapToGrid/>
                <w:sz w:val="18"/>
                <w:szCs w:val="18"/>
              </w:rPr>
              <w:t>None</w:t>
            </w:r>
          </w:p>
        </w:tc>
        <w:tc>
          <w:tcPr>
            <w:tcW w:w="2698" w:type="dxa"/>
          </w:tcPr>
          <w:p w14:paraId="59141B7A" w14:textId="77777777" w:rsidR="00862DB0" w:rsidRPr="003B6A69" w:rsidRDefault="00862DB0" w:rsidP="00D5549F">
            <w:pPr>
              <w:jc w:val="left"/>
              <w:rPr>
                <w:rFonts w:cs="Calibri"/>
                <w:sz w:val="18"/>
                <w:szCs w:val="18"/>
              </w:rPr>
            </w:pPr>
            <w:r w:rsidRPr="003B6A69">
              <w:rPr>
                <w:rFonts w:cs="Calibri"/>
                <w:sz w:val="18"/>
                <w:szCs w:val="18"/>
              </w:rPr>
              <w:t>Annually typically between June-August</w:t>
            </w:r>
          </w:p>
        </w:tc>
      </w:tr>
      <w:tr w:rsidR="00862DB0" w:rsidRPr="003B6A69" w14:paraId="70194FB9" w14:textId="77777777" w:rsidTr="00862DB0">
        <w:trPr>
          <w:jc w:val="center"/>
        </w:trPr>
        <w:tc>
          <w:tcPr>
            <w:tcW w:w="3510" w:type="dxa"/>
          </w:tcPr>
          <w:p w14:paraId="73365356" w14:textId="5AB003DA" w:rsidR="00862DB0" w:rsidRPr="003B6A69" w:rsidRDefault="00862DB0" w:rsidP="00D5549F">
            <w:pPr>
              <w:jc w:val="left"/>
              <w:rPr>
                <w:rFonts w:cs="Calibri"/>
                <w:b/>
                <w:sz w:val="18"/>
                <w:szCs w:val="18"/>
              </w:rPr>
            </w:pPr>
            <w:r w:rsidRPr="003B6A69">
              <w:rPr>
                <w:rFonts w:cs="Calibri"/>
                <w:b/>
                <w:sz w:val="18"/>
                <w:szCs w:val="18"/>
              </w:rPr>
              <w:t>Lessons learned and knowledge generation</w:t>
            </w:r>
          </w:p>
        </w:tc>
        <w:tc>
          <w:tcPr>
            <w:tcW w:w="2790" w:type="dxa"/>
          </w:tcPr>
          <w:p w14:paraId="45EF6E26" w14:textId="365F2DD2" w:rsidR="00862DB0" w:rsidRPr="003B6A69" w:rsidRDefault="00883708" w:rsidP="00D5549F">
            <w:pPr>
              <w:jc w:val="left"/>
              <w:rPr>
                <w:rFonts w:cs="Calibri"/>
                <w:sz w:val="18"/>
                <w:szCs w:val="18"/>
              </w:rPr>
            </w:pPr>
            <w:r w:rsidRPr="003B6A69">
              <w:rPr>
                <w:rFonts w:cs="Calibri"/>
                <w:sz w:val="18"/>
                <w:szCs w:val="18"/>
              </w:rPr>
              <w:t>2</w:t>
            </w:r>
            <w:r w:rsidR="00862DB0" w:rsidRPr="003B6A69">
              <w:rPr>
                <w:rFonts w:cs="Calibri"/>
                <w:sz w:val="18"/>
                <w:szCs w:val="18"/>
              </w:rPr>
              <w:t>,000</w:t>
            </w:r>
          </w:p>
        </w:tc>
        <w:tc>
          <w:tcPr>
            <w:tcW w:w="2698" w:type="dxa"/>
          </w:tcPr>
          <w:p w14:paraId="75CDA8B5" w14:textId="77777777" w:rsidR="008974AE" w:rsidRPr="003B6A69" w:rsidRDefault="008974AE" w:rsidP="008974AE">
            <w:pPr>
              <w:jc w:val="left"/>
              <w:rPr>
                <w:rFonts w:cs="Calibri"/>
                <w:sz w:val="18"/>
                <w:szCs w:val="18"/>
              </w:rPr>
            </w:pPr>
            <w:r w:rsidRPr="003B6A69">
              <w:rPr>
                <w:rFonts w:cs="Calibri"/>
                <w:sz w:val="18"/>
                <w:szCs w:val="18"/>
              </w:rPr>
              <w:t>On-going</w:t>
            </w:r>
          </w:p>
          <w:p w14:paraId="0D617D87" w14:textId="77777777" w:rsidR="00862DB0" w:rsidRPr="003B6A69" w:rsidRDefault="00862DB0" w:rsidP="00D5549F">
            <w:pPr>
              <w:jc w:val="left"/>
              <w:rPr>
                <w:rFonts w:cs="Calibri"/>
                <w:sz w:val="18"/>
                <w:szCs w:val="18"/>
              </w:rPr>
            </w:pPr>
          </w:p>
        </w:tc>
      </w:tr>
      <w:tr w:rsidR="00862DB0" w:rsidRPr="003B6A69" w14:paraId="16CF701F" w14:textId="77777777" w:rsidTr="00862DB0">
        <w:trPr>
          <w:jc w:val="center"/>
        </w:trPr>
        <w:tc>
          <w:tcPr>
            <w:tcW w:w="3510" w:type="dxa"/>
          </w:tcPr>
          <w:p w14:paraId="4B8D91B3" w14:textId="7A6F726C" w:rsidR="00862DB0" w:rsidRPr="003B6A69" w:rsidRDefault="00862DB0" w:rsidP="00D5549F">
            <w:pPr>
              <w:jc w:val="left"/>
              <w:rPr>
                <w:rFonts w:cs="Calibri"/>
                <w:b/>
                <w:sz w:val="18"/>
                <w:szCs w:val="18"/>
              </w:rPr>
            </w:pPr>
            <w:r w:rsidRPr="003B6A69">
              <w:rPr>
                <w:rFonts w:cs="Calibri"/>
                <w:b/>
                <w:sz w:val="18"/>
                <w:szCs w:val="18"/>
              </w:rPr>
              <w:t xml:space="preserve">Monitoring of </w:t>
            </w:r>
            <w:r w:rsidRPr="003B6A69">
              <w:rPr>
                <w:rFonts w:asciiTheme="minorHAnsi" w:hAnsiTheme="minorHAnsi" w:cs="Calibri"/>
                <w:b/>
                <w:sz w:val="18"/>
                <w:szCs w:val="18"/>
              </w:rPr>
              <w:t>indicators in project results framework</w:t>
            </w:r>
          </w:p>
        </w:tc>
        <w:tc>
          <w:tcPr>
            <w:tcW w:w="2790" w:type="dxa"/>
          </w:tcPr>
          <w:p w14:paraId="5F98BF3C" w14:textId="784D3BCA" w:rsidR="00862DB0" w:rsidRPr="003B6A69" w:rsidRDefault="00883708" w:rsidP="00883708">
            <w:pPr>
              <w:jc w:val="left"/>
              <w:rPr>
                <w:rFonts w:cs="Calibri"/>
                <w:i/>
                <w:sz w:val="18"/>
                <w:szCs w:val="18"/>
              </w:rPr>
            </w:pPr>
            <w:r w:rsidRPr="003B6A69">
              <w:rPr>
                <w:rFonts w:asciiTheme="minorHAnsi" w:hAnsiTheme="minorHAnsi" w:cs="Calibri"/>
                <w:sz w:val="18"/>
                <w:szCs w:val="18"/>
              </w:rPr>
              <w:t>3,000</w:t>
            </w:r>
          </w:p>
        </w:tc>
        <w:tc>
          <w:tcPr>
            <w:tcW w:w="2698" w:type="dxa"/>
          </w:tcPr>
          <w:p w14:paraId="01ED4F05" w14:textId="5FC6247D" w:rsidR="00862DB0" w:rsidRPr="003B6A69" w:rsidRDefault="008974AE" w:rsidP="00D5549F">
            <w:pPr>
              <w:jc w:val="left"/>
              <w:rPr>
                <w:rFonts w:cs="Calibri"/>
                <w:sz w:val="18"/>
                <w:szCs w:val="18"/>
              </w:rPr>
            </w:pPr>
            <w:r w:rsidRPr="003B6A69">
              <w:rPr>
                <w:rFonts w:cs="Calibri"/>
                <w:sz w:val="18"/>
                <w:szCs w:val="18"/>
              </w:rPr>
              <w:t>On-going</w:t>
            </w:r>
          </w:p>
          <w:p w14:paraId="07FD2DB7" w14:textId="77777777" w:rsidR="00862DB0" w:rsidRPr="003B6A69" w:rsidRDefault="00862DB0" w:rsidP="00D5549F">
            <w:pPr>
              <w:jc w:val="left"/>
              <w:rPr>
                <w:rFonts w:cs="Calibri"/>
                <w:sz w:val="18"/>
                <w:szCs w:val="18"/>
              </w:rPr>
            </w:pPr>
          </w:p>
        </w:tc>
      </w:tr>
      <w:tr w:rsidR="008974AE" w:rsidRPr="003B6A69" w14:paraId="2D2A9A91" w14:textId="77777777" w:rsidTr="00862DB0">
        <w:trPr>
          <w:trHeight w:val="305"/>
          <w:jc w:val="center"/>
        </w:trPr>
        <w:tc>
          <w:tcPr>
            <w:tcW w:w="3510" w:type="dxa"/>
          </w:tcPr>
          <w:p w14:paraId="60BB6E8A" w14:textId="0E12DFE8" w:rsidR="008974AE" w:rsidRPr="003B6A69" w:rsidRDefault="002F23FE" w:rsidP="002F23FE">
            <w:pPr>
              <w:jc w:val="left"/>
              <w:rPr>
                <w:rFonts w:cs="Calibri"/>
                <w:b/>
                <w:sz w:val="18"/>
                <w:szCs w:val="18"/>
              </w:rPr>
            </w:pPr>
            <w:r w:rsidRPr="003B6A69">
              <w:rPr>
                <w:rFonts w:cs="Calibri"/>
                <w:b/>
                <w:sz w:val="18"/>
                <w:szCs w:val="18"/>
              </w:rPr>
              <w:t xml:space="preserve">Risk monitoring, including SESP risks, </w:t>
            </w:r>
            <w:r w:rsidRPr="003B6A69">
              <w:rPr>
                <w:rFonts w:asciiTheme="minorHAnsi" w:hAnsiTheme="minorHAnsi" w:cs="Calibri"/>
                <w:b/>
                <w:sz w:val="18"/>
                <w:szCs w:val="18"/>
              </w:rPr>
              <w:t xml:space="preserve">SES screening, ESMP development and monitoring </w:t>
            </w:r>
          </w:p>
        </w:tc>
        <w:tc>
          <w:tcPr>
            <w:tcW w:w="2790" w:type="dxa"/>
          </w:tcPr>
          <w:p w14:paraId="118C9D5F" w14:textId="45FBBA0E" w:rsidR="008974AE" w:rsidRPr="003B6A69" w:rsidRDefault="00883708" w:rsidP="00883708">
            <w:pPr>
              <w:pStyle w:val="BodyText23"/>
              <w:widowControl/>
              <w:tabs>
                <w:tab w:val="clear" w:pos="547"/>
              </w:tabs>
              <w:spacing w:after="60"/>
              <w:rPr>
                <w:rFonts w:ascii="Calibri" w:hAnsi="Calibri" w:cs="Calibri"/>
                <w:snapToGrid/>
                <w:sz w:val="18"/>
                <w:szCs w:val="18"/>
                <w:lang w:val="en-GB"/>
              </w:rPr>
            </w:pPr>
            <w:r w:rsidRPr="003B6A69">
              <w:rPr>
                <w:rFonts w:asciiTheme="minorHAnsi" w:hAnsiTheme="minorHAnsi" w:cs="Calibri"/>
                <w:snapToGrid/>
                <w:sz w:val="18"/>
                <w:szCs w:val="18"/>
              </w:rPr>
              <w:t>3,000</w:t>
            </w:r>
          </w:p>
        </w:tc>
        <w:tc>
          <w:tcPr>
            <w:tcW w:w="2698" w:type="dxa"/>
          </w:tcPr>
          <w:p w14:paraId="4BF3492F" w14:textId="77777777" w:rsidR="005A58A4" w:rsidRPr="003B6A69" w:rsidRDefault="005A58A4" w:rsidP="005A58A4">
            <w:pPr>
              <w:jc w:val="left"/>
              <w:rPr>
                <w:rFonts w:cs="Calibri"/>
                <w:sz w:val="18"/>
                <w:szCs w:val="18"/>
              </w:rPr>
            </w:pPr>
            <w:r w:rsidRPr="003B6A69">
              <w:rPr>
                <w:rFonts w:cs="Calibri"/>
                <w:sz w:val="18"/>
                <w:szCs w:val="18"/>
              </w:rPr>
              <w:t>On-going</w:t>
            </w:r>
          </w:p>
          <w:p w14:paraId="5A7DF4F1" w14:textId="77777777" w:rsidR="008974AE" w:rsidRPr="003B6A69" w:rsidRDefault="008974AE" w:rsidP="00D5549F">
            <w:pPr>
              <w:jc w:val="left"/>
              <w:rPr>
                <w:rFonts w:cs="Calibri"/>
                <w:sz w:val="18"/>
                <w:szCs w:val="18"/>
              </w:rPr>
            </w:pPr>
          </w:p>
        </w:tc>
      </w:tr>
      <w:tr w:rsidR="002F23FE" w:rsidRPr="003B6A69" w14:paraId="41B9F74B" w14:textId="77777777" w:rsidTr="002F23FE">
        <w:trPr>
          <w:trHeight w:val="305"/>
          <w:jc w:val="center"/>
        </w:trPr>
        <w:tc>
          <w:tcPr>
            <w:tcW w:w="3510" w:type="dxa"/>
            <w:tcBorders>
              <w:top w:val="single" w:sz="4" w:space="0" w:color="auto"/>
              <w:left w:val="single" w:sz="4" w:space="0" w:color="auto"/>
              <w:bottom w:val="single" w:sz="4" w:space="0" w:color="auto"/>
              <w:right w:val="single" w:sz="4" w:space="0" w:color="auto"/>
            </w:tcBorders>
          </w:tcPr>
          <w:p w14:paraId="31D8F888" w14:textId="77777777" w:rsidR="002F23FE" w:rsidRPr="003B6A69" w:rsidRDefault="002F23FE" w:rsidP="003B6A69">
            <w:pPr>
              <w:jc w:val="left"/>
              <w:rPr>
                <w:rFonts w:cs="Calibri"/>
                <w:b/>
                <w:sz w:val="18"/>
                <w:szCs w:val="18"/>
              </w:rPr>
            </w:pPr>
            <w:r w:rsidRPr="003B6A69">
              <w:rPr>
                <w:rFonts w:cs="Calibri"/>
                <w:b/>
                <w:sz w:val="18"/>
                <w:szCs w:val="18"/>
              </w:rPr>
              <w:t>Monitoring of Gender Action Plan indicators</w:t>
            </w:r>
          </w:p>
        </w:tc>
        <w:tc>
          <w:tcPr>
            <w:tcW w:w="2790" w:type="dxa"/>
            <w:tcBorders>
              <w:top w:val="single" w:sz="4" w:space="0" w:color="auto"/>
              <w:left w:val="single" w:sz="4" w:space="0" w:color="auto"/>
              <w:bottom w:val="single" w:sz="4" w:space="0" w:color="auto"/>
              <w:right w:val="single" w:sz="4" w:space="0" w:color="auto"/>
            </w:tcBorders>
          </w:tcPr>
          <w:p w14:paraId="1F3CCD03" w14:textId="651D86B9" w:rsidR="002F23FE" w:rsidRPr="003B6A69" w:rsidRDefault="00883708" w:rsidP="00883708">
            <w:pPr>
              <w:pStyle w:val="BodyText23"/>
              <w:widowControl/>
              <w:tabs>
                <w:tab w:val="clear" w:pos="547"/>
              </w:tabs>
              <w:rPr>
                <w:rFonts w:asciiTheme="minorHAnsi" w:hAnsiTheme="minorHAnsi" w:cs="Calibri"/>
                <w:snapToGrid/>
                <w:sz w:val="18"/>
                <w:szCs w:val="18"/>
              </w:rPr>
            </w:pPr>
            <w:r w:rsidRPr="003B6A69">
              <w:rPr>
                <w:rFonts w:asciiTheme="minorHAnsi" w:hAnsiTheme="minorHAnsi" w:cs="Calibri"/>
                <w:snapToGrid/>
                <w:sz w:val="18"/>
                <w:szCs w:val="18"/>
              </w:rPr>
              <w:t>3,000</w:t>
            </w:r>
          </w:p>
        </w:tc>
        <w:tc>
          <w:tcPr>
            <w:tcW w:w="2698" w:type="dxa"/>
            <w:tcBorders>
              <w:top w:val="single" w:sz="4" w:space="0" w:color="auto"/>
              <w:left w:val="single" w:sz="4" w:space="0" w:color="auto"/>
              <w:bottom w:val="single" w:sz="4" w:space="0" w:color="auto"/>
              <w:right w:val="single" w:sz="4" w:space="0" w:color="auto"/>
            </w:tcBorders>
          </w:tcPr>
          <w:p w14:paraId="4F4B6711" w14:textId="77777777" w:rsidR="005A58A4" w:rsidRPr="003B6A69" w:rsidRDefault="005A58A4" w:rsidP="005A58A4">
            <w:pPr>
              <w:jc w:val="left"/>
              <w:rPr>
                <w:rFonts w:cs="Calibri"/>
                <w:sz w:val="18"/>
                <w:szCs w:val="18"/>
              </w:rPr>
            </w:pPr>
            <w:r w:rsidRPr="003B6A69">
              <w:rPr>
                <w:rFonts w:cs="Calibri"/>
                <w:sz w:val="18"/>
                <w:szCs w:val="18"/>
              </w:rPr>
              <w:t>On-going</w:t>
            </w:r>
          </w:p>
          <w:p w14:paraId="7A91AD80" w14:textId="77777777" w:rsidR="002F23FE" w:rsidRPr="003B6A69" w:rsidRDefault="002F23FE" w:rsidP="003B6A69">
            <w:pPr>
              <w:jc w:val="left"/>
              <w:rPr>
                <w:rFonts w:cs="Calibri"/>
                <w:sz w:val="18"/>
                <w:szCs w:val="18"/>
              </w:rPr>
            </w:pPr>
          </w:p>
        </w:tc>
      </w:tr>
      <w:tr w:rsidR="00862DB0" w:rsidRPr="003B6A69" w14:paraId="471DBA49" w14:textId="77777777" w:rsidTr="00862DB0">
        <w:trPr>
          <w:trHeight w:val="305"/>
          <w:jc w:val="center"/>
        </w:trPr>
        <w:tc>
          <w:tcPr>
            <w:tcW w:w="3510" w:type="dxa"/>
          </w:tcPr>
          <w:p w14:paraId="2F0D06EE" w14:textId="77777777" w:rsidR="00862DB0" w:rsidRPr="003B6A69" w:rsidRDefault="00862DB0" w:rsidP="00D5549F">
            <w:pPr>
              <w:jc w:val="left"/>
              <w:rPr>
                <w:rFonts w:cs="Calibri"/>
                <w:b/>
                <w:sz w:val="18"/>
                <w:szCs w:val="18"/>
              </w:rPr>
            </w:pPr>
            <w:r w:rsidRPr="003B6A69">
              <w:rPr>
                <w:rFonts w:cs="Calibri"/>
                <w:b/>
                <w:sz w:val="18"/>
                <w:szCs w:val="18"/>
              </w:rPr>
              <w:t>Supervision missions</w:t>
            </w:r>
          </w:p>
        </w:tc>
        <w:tc>
          <w:tcPr>
            <w:tcW w:w="2790" w:type="dxa"/>
          </w:tcPr>
          <w:p w14:paraId="382493A4" w14:textId="24A44FEC" w:rsidR="00862DB0" w:rsidRPr="003B6A69" w:rsidRDefault="00862DB0" w:rsidP="00D5549F">
            <w:pPr>
              <w:pStyle w:val="BodyText23"/>
              <w:widowControl/>
              <w:tabs>
                <w:tab w:val="clear" w:pos="547"/>
              </w:tabs>
              <w:spacing w:after="60"/>
              <w:rPr>
                <w:rFonts w:ascii="Calibri" w:hAnsi="Calibri" w:cs="Calibri"/>
                <w:snapToGrid/>
                <w:sz w:val="18"/>
                <w:szCs w:val="18"/>
                <w:lang w:val="en-GB"/>
              </w:rPr>
            </w:pPr>
            <w:r w:rsidRPr="003B6A69">
              <w:rPr>
                <w:rFonts w:ascii="Calibri" w:hAnsi="Calibri" w:cs="Calibri"/>
                <w:snapToGrid/>
                <w:sz w:val="18"/>
                <w:szCs w:val="18"/>
                <w:lang w:val="en-GB"/>
              </w:rPr>
              <w:t>None</w:t>
            </w:r>
          </w:p>
        </w:tc>
        <w:tc>
          <w:tcPr>
            <w:tcW w:w="2698" w:type="dxa"/>
          </w:tcPr>
          <w:p w14:paraId="6E40CDA2" w14:textId="77777777" w:rsidR="00862DB0" w:rsidRPr="003B6A69" w:rsidRDefault="00862DB0" w:rsidP="00D5549F">
            <w:pPr>
              <w:jc w:val="left"/>
              <w:rPr>
                <w:rFonts w:cs="Calibri"/>
                <w:sz w:val="18"/>
                <w:szCs w:val="18"/>
              </w:rPr>
            </w:pPr>
            <w:r w:rsidRPr="003B6A69">
              <w:rPr>
                <w:rFonts w:cs="Calibri"/>
                <w:sz w:val="18"/>
                <w:szCs w:val="18"/>
              </w:rPr>
              <w:t>Annually</w:t>
            </w:r>
          </w:p>
        </w:tc>
      </w:tr>
      <w:tr w:rsidR="00862DB0" w:rsidRPr="003B6A69" w14:paraId="6863F2E8" w14:textId="77777777" w:rsidTr="00862DB0">
        <w:trPr>
          <w:trHeight w:val="755"/>
          <w:jc w:val="center"/>
        </w:trPr>
        <w:tc>
          <w:tcPr>
            <w:tcW w:w="3510" w:type="dxa"/>
          </w:tcPr>
          <w:p w14:paraId="6C31D652" w14:textId="29497692" w:rsidR="00862DB0" w:rsidRPr="003B6A69" w:rsidRDefault="00862DB0" w:rsidP="00D5549F">
            <w:pPr>
              <w:jc w:val="left"/>
              <w:rPr>
                <w:rFonts w:cs="Calibri"/>
                <w:b/>
                <w:sz w:val="18"/>
                <w:szCs w:val="18"/>
              </w:rPr>
            </w:pPr>
            <w:r w:rsidRPr="003B6A69">
              <w:rPr>
                <w:rFonts w:cs="Calibri"/>
                <w:b/>
                <w:sz w:val="18"/>
                <w:szCs w:val="18"/>
              </w:rPr>
              <w:t xml:space="preserve">Mid-term and Terminal GEF Tracking Tool (an independent assessor) </w:t>
            </w:r>
          </w:p>
        </w:tc>
        <w:tc>
          <w:tcPr>
            <w:tcW w:w="2790" w:type="dxa"/>
          </w:tcPr>
          <w:p w14:paraId="1BC1F3BF" w14:textId="058F622A" w:rsidR="00862DB0" w:rsidRPr="003B6A69" w:rsidRDefault="00F864E1" w:rsidP="00D5549F">
            <w:pPr>
              <w:jc w:val="left"/>
              <w:rPr>
                <w:rFonts w:cs="Calibri"/>
                <w:sz w:val="18"/>
                <w:szCs w:val="18"/>
              </w:rPr>
            </w:pPr>
            <w:r w:rsidRPr="003B6A69">
              <w:rPr>
                <w:rFonts w:cs="Calibri"/>
                <w:sz w:val="18"/>
                <w:szCs w:val="18"/>
              </w:rPr>
              <w:t>4</w:t>
            </w:r>
            <w:r w:rsidR="00862DB0" w:rsidRPr="003B6A69">
              <w:rPr>
                <w:rFonts w:cs="Calibri"/>
                <w:sz w:val="18"/>
                <w:szCs w:val="18"/>
              </w:rPr>
              <w:t>,000</w:t>
            </w:r>
          </w:p>
        </w:tc>
        <w:tc>
          <w:tcPr>
            <w:tcW w:w="2698" w:type="dxa"/>
          </w:tcPr>
          <w:p w14:paraId="7AB0B6DB" w14:textId="1E1A55CB" w:rsidR="00862DB0" w:rsidRPr="003B6A69" w:rsidRDefault="008974AE" w:rsidP="00D5549F">
            <w:pPr>
              <w:jc w:val="left"/>
              <w:rPr>
                <w:rFonts w:cs="Calibri"/>
                <w:sz w:val="18"/>
                <w:szCs w:val="18"/>
              </w:rPr>
            </w:pPr>
            <w:r w:rsidRPr="003B6A69">
              <w:rPr>
                <w:rFonts w:cs="Calibri"/>
                <w:sz w:val="18"/>
                <w:szCs w:val="18"/>
              </w:rPr>
              <w:t>Prior to MTE PIR and TE PIR</w:t>
            </w:r>
          </w:p>
        </w:tc>
      </w:tr>
      <w:tr w:rsidR="00862DB0" w:rsidRPr="003B6A69" w14:paraId="7E4F1D8E" w14:textId="77777777" w:rsidTr="00862DB0">
        <w:trPr>
          <w:trHeight w:val="755"/>
          <w:jc w:val="center"/>
        </w:trPr>
        <w:tc>
          <w:tcPr>
            <w:tcW w:w="3510" w:type="dxa"/>
          </w:tcPr>
          <w:p w14:paraId="2D9B6CA0" w14:textId="68E0443D" w:rsidR="00862DB0" w:rsidRPr="003B6A69" w:rsidRDefault="00862DB0" w:rsidP="00D5549F">
            <w:pPr>
              <w:jc w:val="left"/>
              <w:rPr>
                <w:rFonts w:cs="Calibri"/>
                <w:b/>
                <w:sz w:val="18"/>
                <w:szCs w:val="18"/>
              </w:rPr>
            </w:pPr>
            <w:r w:rsidRPr="003B6A69">
              <w:rPr>
                <w:rFonts w:cs="Calibri"/>
                <w:b/>
                <w:sz w:val="18"/>
                <w:szCs w:val="18"/>
              </w:rPr>
              <w:t>Independent Mid-term Review (MTR)</w:t>
            </w:r>
          </w:p>
        </w:tc>
        <w:tc>
          <w:tcPr>
            <w:tcW w:w="2790" w:type="dxa"/>
          </w:tcPr>
          <w:p w14:paraId="0F9174F3" w14:textId="38C646AB" w:rsidR="00862DB0" w:rsidRPr="003B6A69" w:rsidRDefault="00862DB0" w:rsidP="00883708">
            <w:pPr>
              <w:jc w:val="left"/>
              <w:rPr>
                <w:rFonts w:cs="Calibri"/>
                <w:i/>
                <w:sz w:val="18"/>
                <w:szCs w:val="18"/>
              </w:rPr>
            </w:pPr>
            <w:r w:rsidRPr="003B6A69">
              <w:rPr>
                <w:rFonts w:asciiTheme="minorHAnsi" w:hAnsiTheme="minorHAnsi" w:cs="Calibri"/>
                <w:sz w:val="18"/>
                <w:szCs w:val="18"/>
              </w:rPr>
              <w:t>4</w:t>
            </w:r>
            <w:r w:rsidR="00883708" w:rsidRPr="003B6A69">
              <w:rPr>
                <w:rFonts w:asciiTheme="minorHAnsi" w:hAnsiTheme="minorHAnsi" w:cs="Calibri"/>
                <w:sz w:val="18"/>
                <w:szCs w:val="18"/>
              </w:rPr>
              <w:t>0</w:t>
            </w:r>
            <w:r w:rsidRPr="003B6A69">
              <w:rPr>
                <w:rFonts w:asciiTheme="minorHAnsi" w:hAnsiTheme="minorHAnsi" w:cs="Calibri"/>
                <w:sz w:val="18"/>
                <w:szCs w:val="18"/>
              </w:rPr>
              <w:t>,000</w:t>
            </w:r>
          </w:p>
        </w:tc>
        <w:tc>
          <w:tcPr>
            <w:tcW w:w="2698" w:type="dxa"/>
          </w:tcPr>
          <w:p w14:paraId="5A405169" w14:textId="4BB84286" w:rsidR="00862DB0" w:rsidRPr="003B6A69" w:rsidRDefault="00F070C2" w:rsidP="00D5549F">
            <w:pPr>
              <w:jc w:val="left"/>
              <w:rPr>
                <w:rFonts w:cs="Calibri"/>
                <w:sz w:val="18"/>
                <w:szCs w:val="18"/>
              </w:rPr>
            </w:pPr>
            <w:r w:rsidRPr="003B6A69">
              <w:rPr>
                <w:rFonts w:cs="Calibri"/>
                <w:sz w:val="18"/>
                <w:szCs w:val="18"/>
              </w:rPr>
              <w:t>September 30, 2024</w:t>
            </w:r>
          </w:p>
          <w:p w14:paraId="70801FC1" w14:textId="77777777" w:rsidR="00862DB0" w:rsidRPr="003B6A69" w:rsidRDefault="00862DB0" w:rsidP="00D5549F">
            <w:pPr>
              <w:jc w:val="left"/>
              <w:rPr>
                <w:rFonts w:cs="Calibri"/>
                <w:sz w:val="18"/>
                <w:szCs w:val="18"/>
              </w:rPr>
            </w:pPr>
          </w:p>
        </w:tc>
      </w:tr>
      <w:tr w:rsidR="00862DB0" w:rsidRPr="003B6A69" w14:paraId="28F4C9AD" w14:textId="77777777" w:rsidTr="00862DB0">
        <w:trPr>
          <w:jc w:val="center"/>
        </w:trPr>
        <w:tc>
          <w:tcPr>
            <w:tcW w:w="3510" w:type="dxa"/>
          </w:tcPr>
          <w:p w14:paraId="0895BA7E" w14:textId="77777777" w:rsidR="00862DB0" w:rsidRPr="003B6A69" w:rsidRDefault="00862DB0" w:rsidP="00D5549F">
            <w:pPr>
              <w:jc w:val="left"/>
              <w:rPr>
                <w:rFonts w:cs="Calibri"/>
                <w:b/>
                <w:sz w:val="18"/>
                <w:szCs w:val="18"/>
              </w:rPr>
            </w:pPr>
            <w:r w:rsidRPr="003B6A69">
              <w:rPr>
                <w:rFonts w:cs="Calibri"/>
                <w:b/>
                <w:sz w:val="18"/>
                <w:szCs w:val="18"/>
              </w:rPr>
              <w:t xml:space="preserve">Independent Terminal Evaluation (TE) </w:t>
            </w:r>
          </w:p>
        </w:tc>
        <w:tc>
          <w:tcPr>
            <w:tcW w:w="2790" w:type="dxa"/>
          </w:tcPr>
          <w:p w14:paraId="3668B313" w14:textId="2991D155" w:rsidR="00862DB0" w:rsidRPr="003B6A69" w:rsidRDefault="00862DB0" w:rsidP="00883708">
            <w:pPr>
              <w:tabs>
                <w:tab w:val="center" w:pos="1216"/>
              </w:tabs>
              <w:jc w:val="left"/>
              <w:rPr>
                <w:rFonts w:cs="Calibri"/>
                <w:sz w:val="18"/>
                <w:szCs w:val="18"/>
              </w:rPr>
            </w:pPr>
            <w:r w:rsidRPr="003B6A69">
              <w:rPr>
                <w:rFonts w:asciiTheme="minorHAnsi" w:hAnsiTheme="minorHAnsi" w:cs="Calibri"/>
                <w:sz w:val="18"/>
                <w:szCs w:val="18"/>
              </w:rPr>
              <w:t>4</w:t>
            </w:r>
            <w:r w:rsidR="00883708" w:rsidRPr="003B6A69">
              <w:rPr>
                <w:rFonts w:asciiTheme="minorHAnsi" w:hAnsiTheme="minorHAnsi" w:cs="Calibri"/>
                <w:sz w:val="18"/>
                <w:szCs w:val="18"/>
              </w:rPr>
              <w:t>0</w:t>
            </w:r>
            <w:r w:rsidRPr="003B6A69">
              <w:rPr>
                <w:rFonts w:asciiTheme="minorHAnsi" w:hAnsiTheme="minorHAnsi" w:cs="Calibri"/>
                <w:sz w:val="18"/>
                <w:szCs w:val="18"/>
              </w:rPr>
              <w:t>,000</w:t>
            </w:r>
          </w:p>
        </w:tc>
        <w:tc>
          <w:tcPr>
            <w:tcW w:w="2698" w:type="dxa"/>
          </w:tcPr>
          <w:p w14:paraId="171B4219" w14:textId="72CB91DB" w:rsidR="00F070C2" w:rsidRPr="003B6A69" w:rsidRDefault="00F070C2" w:rsidP="00F070C2">
            <w:pPr>
              <w:jc w:val="left"/>
              <w:rPr>
                <w:rFonts w:cs="Calibri"/>
                <w:sz w:val="18"/>
                <w:szCs w:val="18"/>
              </w:rPr>
            </w:pPr>
            <w:r w:rsidRPr="003B6A69">
              <w:rPr>
                <w:rFonts w:cs="Calibri"/>
                <w:sz w:val="18"/>
                <w:szCs w:val="18"/>
              </w:rPr>
              <w:t>November 30, 2026</w:t>
            </w:r>
          </w:p>
          <w:p w14:paraId="53EF935A" w14:textId="77777777" w:rsidR="00862DB0" w:rsidRPr="003B6A69" w:rsidRDefault="00862DB0" w:rsidP="00D5549F">
            <w:pPr>
              <w:jc w:val="left"/>
              <w:rPr>
                <w:rFonts w:cs="Calibri"/>
                <w:sz w:val="18"/>
                <w:szCs w:val="18"/>
              </w:rPr>
            </w:pPr>
          </w:p>
        </w:tc>
      </w:tr>
      <w:tr w:rsidR="00883708" w:rsidRPr="003B6A69" w14:paraId="5521983E" w14:textId="77777777" w:rsidTr="00883708">
        <w:trPr>
          <w:jc w:val="center"/>
        </w:trPr>
        <w:tc>
          <w:tcPr>
            <w:tcW w:w="3510" w:type="dxa"/>
            <w:tcBorders>
              <w:top w:val="single" w:sz="4" w:space="0" w:color="auto"/>
              <w:left w:val="single" w:sz="4" w:space="0" w:color="auto"/>
              <w:bottom w:val="single" w:sz="4" w:space="0" w:color="auto"/>
              <w:right w:val="single" w:sz="4" w:space="0" w:color="auto"/>
            </w:tcBorders>
          </w:tcPr>
          <w:p w14:paraId="4B508B66" w14:textId="106E125F" w:rsidR="00883708" w:rsidRPr="003B6A69" w:rsidRDefault="00883708" w:rsidP="00883708">
            <w:pPr>
              <w:jc w:val="left"/>
              <w:rPr>
                <w:rFonts w:cs="Calibri"/>
                <w:b/>
                <w:sz w:val="18"/>
                <w:szCs w:val="18"/>
              </w:rPr>
            </w:pPr>
            <w:r w:rsidRPr="003B6A69">
              <w:rPr>
                <w:rFonts w:cs="Calibri"/>
                <w:b/>
                <w:sz w:val="18"/>
                <w:szCs w:val="18"/>
              </w:rPr>
              <w:t xml:space="preserve">Translation cost associated with M&amp;E </w:t>
            </w:r>
          </w:p>
        </w:tc>
        <w:tc>
          <w:tcPr>
            <w:tcW w:w="2790" w:type="dxa"/>
            <w:tcBorders>
              <w:top w:val="single" w:sz="4" w:space="0" w:color="auto"/>
              <w:left w:val="single" w:sz="4" w:space="0" w:color="auto"/>
              <w:bottom w:val="single" w:sz="4" w:space="0" w:color="auto"/>
              <w:right w:val="single" w:sz="4" w:space="0" w:color="auto"/>
            </w:tcBorders>
          </w:tcPr>
          <w:p w14:paraId="6C00A616" w14:textId="76FA562B" w:rsidR="00883708" w:rsidRPr="003B6A69" w:rsidRDefault="00883708" w:rsidP="003B6A69">
            <w:pPr>
              <w:tabs>
                <w:tab w:val="center" w:pos="1216"/>
              </w:tabs>
              <w:jc w:val="left"/>
              <w:rPr>
                <w:rFonts w:asciiTheme="minorHAnsi" w:hAnsiTheme="minorHAnsi" w:cs="Calibri"/>
                <w:sz w:val="18"/>
                <w:szCs w:val="18"/>
              </w:rPr>
            </w:pPr>
            <w:r w:rsidRPr="003B6A69">
              <w:rPr>
                <w:rFonts w:asciiTheme="minorHAnsi" w:hAnsiTheme="minorHAnsi" w:cs="Calibri"/>
                <w:sz w:val="18"/>
                <w:szCs w:val="18"/>
              </w:rPr>
              <w:t>4,000</w:t>
            </w:r>
          </w:p>
        </w:tc>
        <w:tc>
          <w:tcPr>
            <w:tcW w:w="2698" w:type="dxa"/>
            <w:tcBorders>
              <w:top w:val="single" w:sz="4" w:space="0" w:color="auto"/>
              <w:left w:val="single" w:sz="4" w:space="0" w:color="auto"/>
              <w:bottom w:val="single" w:sz="4" w:space="0" w:color="auto"/>
              <w:right w:val="single" w:sz="4" w:space="0" w:color="auto"/>
            </w:tcBorders>
          </w:tcPr>
          <w:p w14:paraId="7C1BE4B3" w14:textId="0EA9A85D" w:rsidR="00883708" w:rsidRPr="003B6A69" w:rsidRDefault="00883708" w:rsidP="00883708">
            <w:pPr>
              <w:jc w:val="left"/>
              <w:rPr>
                <w:rFonts w:cs="Calibri"/>
                <w:sz w:val="18"/>
                <w:szCs w:val="18"/>
              </w:rPr>
            </w:pPr>
            <w:r w:rsidRPr="003B6A69">
              <w:rPr>
                <w:rFonts w:cs="Calibri"/>
                <w:sz w:val="18"/>
                <w:szCs w:val="18"/>
              </w:rPr>
              <w:t>MTR and TE</w:t>
            </w:r>
          </w:p>
        </w:tc>
      </w:tr>
      <w:tr w:rsidR="00862DB0" w:rsidRPr="003B6A69" w14:paraId="3D7C169A" w14:textId="77777777" w:rsidTr="00862DB0">
        <w:trPr>
          <w:cantSplit/>
          <w:trHeight w:val="710"/>
          <w:jc w:val="center"/>
        </w:trPr>
        <w:tc>
          <w:tcPr>
            <w:tcW w:w="3510" w:type="dxa"/>
            <w:shd w:val="clear" w:color="auto" w:fill="E6E6E6"/>
          </w:tcPr>
          <w:p w14:paraId="79C7B084" w14:textId="5FF0DCBD" w:rsidR="00862DB0" w:rsidRPr="003B6A69" w:rsidRDefault="00862DB0" w:rsidP="00AE3EED">
            <w:pPr>
              <w:jc w:val="left"/>
              <w:rPr>
                <w:rFonts w:cs="Calibri"/>
                <w:b/>
                <w:sz w:val="18"/>
                <w:szCs w:val="18"/>
              </w:rPr>
            </w:pPr>
            <w:r w:rsidRPr="003B6A69">
              <w:rPr>
                <w:rFonts w:cs="Calibri"/>
                <w:b/>
                <w:sz w:val="18"/>
                <w:szCs w:val="18"/>
              </w:rPr>
              <w:t xml:space="preserve">TOTAL indicative </w:t>
            </w:r>
            <w:r w:rsidR="008974AE" w:rsidRPr="003B6A69">
              <w:rPr>
                <w:rFonts w:cs="Calibri"/>
                <w:b/>
                <w:sz w:val="18"/>
                <w:szCs w:val="18"/>
              </w:rPr>
              <w:t>cost</w:t>
            </w:r>
          </w:p>
          <w:p w14:paraId="172F190C" w14:textId="77777777" w:rsidR="00862DB0" w:rsidRPr="003B6A69" w:rsidRDefault="00862DB0" w:rsidP="000B36D0">
            <w:pPr>
              <w:jc w:val="left"/>
              <w:rPr>
                <w:rFonts w:cs="Calibri"/>
                <w:sz w:val="18"/>
                <w:szCs w:val="18"/>
              </w:rPr>
            </w:pPr>
          </w:p>
        </w:tc>
        <w:tc>
          <w:tcPr>
            <w:tcW w:w="2790" w:type="dxa"/>
            <w:shd w:val="clear" w:color="auto" w:fill="E6E6E6"/>
          </w:tcPr>
          <w:p w14:paraId="04E0966A" w14:textId="5E48882C" w:rsidR="00862DB0" w:rsidRPr="003B6A69" w:rsidRDefault="00862DB0" w:rsidP="00883708">
            <w:pPr>
              <w:jc w:val="left"/>
              <w:rPr>
                <w:rFonts w:cs="Calibri"/>
                <w:i/>
                <w:sz w:val="18"/>
                <w:szCs w:val="18"/>
              </w:rPr>
            </w:pPr>
            <w:r w:rsidRPr="003B6A69">
              <w:rPr>
                <w:rFonts w:asciiTheme="minorHAnsi" w:hAnsiTheme="minorHAnsi" w:cs="Calibri"/>
                <w:sz w:val="18"/>
                <w:szCs w:val="18"/>
              </w:rPr>
              <w:t>USD 1</w:t>
            </w:r>
            <w:r w:rsidR="00883708" w:rsidRPr="003B6A69">
              <w:rPr>
                <w:rFonts w:asciiTheme="minorHAnsi" w:hAnsiTheme="minorHAnsi" w:cs="Calibri"/>
                <w:sz w:val="18"/>
                <w:szCs w:val="18"/>
              </w:rPr>
              <w:t>05</w:t>
            </w:r>
            <w:r w:rsidRPr="003B6A69">
              <w:rPr>
                <w:rFonts w:asciiTheme="minorHAnsi" w:hAnsiTheme="minorHAnsi" w:cs="Calibri"/>
                <w:sz w:val="18"/>
                <w:szCs w:val="18"/>
              </w:rPr>
              <w:t>,000</w:t>
            </w:r>
          </w:p>
        </w:tc>
        <w:tc>
          <w:tcPr>
            <w:tcW w:w="2698" w:type="dxa"/>
            <w:shd w:val="clear" w:color="auto" w:fill="E6E6E6"/>
          </w:tcPr>
          <w:p w14:paraId="36F704B3" w14:textId="06A778B2" w:rsidR="00862DB0" w:rsidRPr="003B6A69" w:rsidRDefault="00862DB0" w:rsidP="00AE3EED">
            <w:pPr>
              <w:jc w:val="left"/>
              <w:rPr>
                <w:rFonts w:cs="Calibri"/>
                <w:i/>
                <w:sz w:val="18"/>
                <w:szCs w:val="18"/>
              </w:rPr>
            </w:pPr>
          </w:p>
        </w:tc>
      </w:tr>
    </w:tbl>
    <w:p w14:paraId="091DDF42" w14:textId="77777777" w:rsidR="003E3ABA" w:rsidRPr="003B6A69" w:rsidRDefault="003E3ABA" w:rsidP="00506CA1">
      <w:pPr>
        <w:pStyle w:val="Heading1"/>
        <w:spacing w:before="240" w:after="240"/>
        <w:rPr>
          <w:rFonts w:asciiTheme="minorHAnsi" w:hAnsiTheme="minorHAnsi" w:cstheme="minorHAnsi"/>
          <w:lang w:val="en-GB"/>
        </w:rPr>
      </w:pPr>
      <w:bookmarkStart w:id="55" w:name="_Governance_and_Management"/>
      <w:bookmarkStart w:id="56" w:name="_Toc82018268"/>
      <w:bookmarkEnd w:id="55"/>
      <w:r w:rsidRPr="003B6A69">
        <w:rPr>
          <w:rFonts w:asciiTheme="minorHAnsi" w:hAnsiTheme="minorHAnsi" w:cstheme="minorHAnsi"/>
          <w:lang w:val="en-GB"/>
        </w:rPr>
        <w:t>Governance and Management Arrangements</w:t>
      </w:r>
      <w:bookmarkEnd w:id="56"/>
      <w:r w:rsidRPr="003B6A69">
        <w:rPr>
          <w:rFonts w:asciiTheme="minorHAnsi" w:hAnsiTheme="minorHAnsi" w:cstheme="minorHAnsi"/>
          <w:lang w:val="en-GB"/>
        </w:rPr>
        <w:t xml:space="preserve"> </w:t>
      </w:r>
    </w:p>
    <w:p w14:paraId="1043B0BD" w14:textId="77777777" w:rsidR="00907A6E" w:rsidRPr="003B6A69" w:rsidRDefault="00907A6E" w:rsidP="00907A6E">
      <w:pPr>
        <w:keepNext/>
        <w:spacing w:before="120" w:after="120"/>
        <w:rPr>
          <w:rFonts w:cs="Arial"/>
          <w:bCs/>
          <w:szCs w:val="20"/>
          <w:lang w:eastAsia="zh-CN"/>
        </w:rPr>
      </w:pPr>
      <w:r w:rsidRPr="003B6A69">
        <w:rPr>
          <w:rFonts w:cs="Calibri"/>
          <w:bCs/>
          <w:szCs w:val="20"/>
          <w:u w:val="single"/>
        </w:rPr>
        <w:t>Implementing</w:t>
      </w:r>
      <w:r w:rsidRPr="003B6A69">
        <w:rPr>
          <w:rFonts w:cs="Arial"/>
          <w:bCs/>
          <w:szCs w:val="20"/>
          <w:u w:val="single"/>
          <w:lang w:eastAsia="zh-CN"/>
        </w:rPr>
        <w:t xml:space="preserve"> Partner</w:t>
      </w:r>
    </w:p>
    <w:p w14:paraId="2A22487F" w14:textId="40F7F126" w:rsidR="00AE6C8E" w:rsidRPr="003B6A69" w:rsidRDefault="00907A6E" w:rsidP="003C6B7B">
      <w:pPr>
        <w:numPr>
          <w:ilvl w:val="0"/>
          <w:numId w:val="41"/>
        </w:numPr>
        <w:tabs>
          <w:tab w:val="left" w:pos="426"/>
        </w:tabs>
        <w:spacing w:after="120"/>
        <w:ind w:left="0" w:firstLine="0"/>
        <w:rPr>
          <w:rFonts w:cs="Calibri"/>
          <w:color w:val="000000" w:themeColor="text1"/>
          <w:szCs w:val="20"/>
        </w:rPr>
      </w:pPr>
      <w:r w:rsidRPr="003B6A69">
        <w:rPr>
          <w:rFonts w:cs="Arial"/>
          <w:noProof/>
          <w:szCs w:val="20"/>
          <w:lang w:eastAsia="zh-CN"/>
        </w:rPr>
        <w:t xml:space="preserve">The Implementing Partner for this </w:t>
      </w:r>
      <w:r w:rsidRPr="003B6A69">
        <w:rPr>
          <w:rFonts w:cs="Arial"/>
          <w:noProof/>
          <w:color w:val="000000" w:themeColor="text1"/>
          <w:szCs w:val="20"/>
          <w:lang w:eastAsia="zh-CN"/>
        </w:rPr>
        <w:t xml:space="preserve">project is </w:t>
      </w:r>
      <w:r w:rsidRPr="003B6A69">
        <w:rPr>
          <w:rFonts w:cs="Calibri"/>
          <w:color w:val="000000" w:themeColor="text1"/>
          <w:szCs w:val="20"/>
        </w:rPr>
        <w:t xml:space="preserve">the Ministry of Ecology, Spatial Planning and Urbanism (former Ministry of Sustainable Development and Tourism) of Montenegro. </w:t>
      </w:r>
      <w:r w:rsidR="00AE6C8E" w:rsidRPr="003B6A69">
        <w:rPr>
          <w:rFonts w:cs="Calibri"/>
          <w:color w:val="000000" w:themeColor="text1"/>
          <w:szCs w:val="20"/>
          <w:lang w:val="en-GB"/>
        </w:rPr>
        <w:t>The IPs capacity to act as IP is confirmed by the micro-HACT assessment and Partner Capacity Assessment (PCAT) presented as a separate annex to this Project Document package</w:t>
      </w:r>
      <w:r w:rsidR="00AE6C8E" w:rsidRPr="003B6A69">
        <w:rPr>
          <w:rFonts w:cs="Calibri"/>
          <w:color w:val="000000" w:themeColor="text1"/>
          <w:szCs w:val="20"/>
        </w:rPr>
        <w:t>.</w:t>
      </w:r>
    </w:p>
    <w:p w14:paraId="5069C57B" w14:textId="5B43E9B1" w:rsidR="00AE6C8E" w:rsidRPr="003B6A69" w:rsidRDefault="00AE6C8E" w:rsidP="003C6B7B">
      <w:pPr>
        <w:numPr>
          <w:ilvl w:val="0"/>
          <w:numId w:val="41"/>
        </w:numPr>
        <w:tabs>
          <w:tab w:val="left" w:pos="426"/>
        </w:tabs>
        <w:spacing w:after="120"/>
        <w:ind w:left="0" w:firstLine="0"/>
        <w:rPr>
          <w:rFonts w:cs="Calibri"/>
          <w:color w:val="000000" w:themeColor="text1"/>
          <w:szCs w:val="20"/>
        </w:rPr>
      </w:pPr>
      <w:r w:rsidRPr="003B6A69">
        <w:rPr>
          <w:rFonts w:cs="Arial"/>
          <w:noProof/>
          <w:szCs w:val="20"/>
          <w:lang w:eastAsia="zh-CN"/>
        </w:rPr>
        <w:t>UNDP execution (DIM) modality has been used exclusively in the previous 15-year record of UNDP (including GEF-funded) project implementation in the country. This project was re-programmed from DIM to NIM at the final PIF stage as was requested by the GEF Secretariat. Being one of the first two projects in the country with the NIM management arrangements, the project is very likely to face operational difficulties and delays associated with a rapid switch to a testing of a new execution modality.</w:t>
      </w:r>
      <w:r w:rsidR="00907A6E" w:rsidRPr="003B6A69">
        <w:rPr>
          <w:rFonts w:cs="Calibri"/>
          <w:color w:val="000000" w:themeColor="text1"/>
          <w:szCs w:val="20"/>
        </w:rPr>
        <w:t xml:space="preserve"> </w:t>
      </w:r>
      <w:r w:rsidRPr="003B6A69">
        <w:rPr>
          <w:rFonts w:cs="Calibri"/>
          <w:color w:val="000000" w:themeColor="text1"/>
          <w:szCs w:val="20"/>
        </w:rPr>
        <w:t xml:space="preserve">Several risk/concern areas in the future NIM implementation modality have been identified by the IP HACT micro-assessment and during stakeholder consultations at the PPG phase, as follows: </w:t>
      </w:r>
    </w:p>
    <w:p w14:paraId="04C9EEF5" w14:textId="61224DAD" w:rsidR="00AE6C8E" w:rsidRPr="003B6A69" w:rsidRDefault="00AE6C8E" w:rsidP="00AE6C8E">
      <w:pPr>
        <w:tabs>
          <w:tab w:val="left" w:pos="426"/>
        </w:tabs>
        <w:spacing w:after="120"/>
        <w:rPr>
          <w:rFonts w:cs="Calibri"/>
          <w:color w:val="000000" w:themeColor="text1"/>
          <w:szCs w:val="20"/>
        </w:rPr>
      </w:pPr>
      <w:r w:rsidRPr="003B6A69">
        <w:rPr>
          <w:rFonts w:cs="Calibri"/>
          <w:color w:val="000000" w:themeColor="text1"/>
          <w:szCs w:val="20"/>
        </w:rPr>
        <w:t xml:space="preserve">- The HACT confirmed no annual audit requirements of the IP. During the project inception phase, the IP will be provided with the NIM audit requirements that should be </w:t>
      </w:r>
      <w:proofErr w:type="gramStart"/>
      <w:r w:rsidRPr="003B6A69">
        <w:rPr>
          <w:rFonts w:cs="Calibri"/>
          <w:color w:val="000000" w:themeColor="text1"/>
          <w:szCs w:val="20"/>
        </w:rPr>
        <w:t>observed;</w:t>
      </w:r>
      <w:proofErr w:type="gramEnd"/>
      <w:r w:rsidRPr="003B6A69">
        <w:rPr>
          <w:rFonts w:cs="Calibri"/>
          <w:color w:val="000000" w:themeColor="text1"/>
          <w:szCs w:val="20"/>
        </w:rPr>
        <w:t xml:space="preserve"> </w:t>
      </w:r>
    </w:p>
    <w:p w14:paraId="715C759C" w14:textId="77777777" w:rsidR="00AE6C8E" w:rsidRPr="003B6A69" w:rsidRDefault="00AE6C8E" w:rsidP="00AE6C8E">
      <w:pPr>
        <w:tabs>
          <w:tab w:val="left" w:pos="426"/>
        </w:tabs>
        <w:spacing w:after="120"/>
        <w:rPr>
          <w:rFonts w:cs="Calibri"/>
          <w:color w:val="000000" w:themeColor="text1"/>
          <w:szCs w:val="20"/>
        </w:rPr>
      </w:pPr>
      <w:r w:rsidRPr="003B6A69">
        <w:rPr>
          <w:rFonts w:cs="Calibri"/>
          <w:color w:val="000000" w:themeColor="text1"/>
          <w:szCs w:val="20"/>
        </w:rPr>
        <w:t>- According to micro-HACT, no regular reconciliation of bank balances takes place, no reconciliation statement is available for audits. The IP should be made aware of the risks associated with the lack of regular reconciliation of bank balances and the problems this will create for the annual NIM audit.</w:t>
      </w:r>
    </w:p>
    <w:p w14:paraId="765DF946" w14:textId="21C762F6" w:rsidR="00AE6C8E" w:rsidRPr="003B6A69" w:rsidRDefault="00AE6C8E" w:rsidP="00AE6C8E">
      <w:pPr>
        <w:tabs>
          <w:tab w:val="left" w:pos="426"/>
        </w:tabs>
        <w:spacing w:after="120"/>
        <w:rPr>
          <w:rFonts w:cs="Calibri"/>
          <w:color w:val="000000" w:themeColor="text1"/>
          <w:szCs w:val="20"/>
        </w:rPr>
      </w:pPr>
      <w:r w:rsidRPr="003B6A69">
        <w:rPr>
          <w:rFonts w:cs="Calibri"/>
          <w:color w:val="000000" w:themeColor="text1"/>
          <w:szCs w:val="20"/>
        </w:rPr>
        <w:lastRenderedPageBreak/>
        <w:t xml:space="preserve">- A comprehensive analysis </w:t>
      </w:r>
      <w:r w:rsidR="00B404E3" w:rsidRPr="003B6A69">
        <w:rPr>
          <w:rFonts w:cs="Calibri"/>
          <w:color w:val="000000" w:themeColor="text1"/>
          <w:szCs w:val="20"/>
        </w:rPr>
        <w:t>of the</w:t>
      </w:r>
      <w:r w:rsidRPr="003B6A69">
        <w:rPr>
          <w:rFonts w:cs="Calibri"/>
          <w:color w:val="000000" w:themeColor="text1"/>
          <w:szCs w:val="20"/>
        </w:rPr>
        <w:t xml:space="preserve"> national procurement procedures and the UNDP regulations for compliance will be performed during the project inception phase. </w:t>
      </w:r>
    </w:p>
    <w:p w14:paraId="398C91D1" w14:textId="4F4902BE" w:rsidR="00AE6C8E" w:rsidRPr="003B6A69" w:rsidRDefault="00AE6C8E" w:rsidP="00AE6C8E">
      <w:pPr>
        <w:tabs>
          <w:tab w:val="left" w:pos="426"/>
        </w:tabs>
        <w:spacing w:after="120"/>
        <w:rPr>
          <w:rFonts w:cs="Calibri"/>
          <w:color w:val="000000" w:themeColor="text1"/>
          <w:szCs w:val="20"/>
        </w:rPr>
      </w:pPr>
      <w:r w:rsidRPr="003B6A69">
        <w:rPr>
          <w:rFonts w:cs="Calibri"/>
          <w:color w:val="000000" w:themeColor="text1"/>
          <w:szCs w:val="20"/>
        </w:rPr>
        <w:t xml:space="preserve">- </w:t>
      </w:r>
      <w:proofErr w:type="gramStart"/>
      <w:r w:rsidRPr="003B6A69">
        <w:rPr>
          <w:rFonts w:cs="Calibri"/>
          <w:color w:val="000000" w:themeColor="text1"/>
          <w:szCs w:val="20"/>
        </w:rPr>
        <w:t>Also</w:t>
      </w:r>
      <w:proofErr w:type="gramEnd"/>
      <w:r w:rsidRPr="003B6A69">
        <w:rPr>
          <w:rFonts w:cs="Calibri"/>
          <w:color w:val="000000" w:themeColor="text1"/>
          <w:szCs w:val="20"/>
        </w:rPr>
        <w:t xml:space="preserve"> in the inception phase, the IP will be made aware of the NIM requirements for transparency of project finance management and availability of accounting records, bank balances, cash flow statements, original invoices and payment orders, for the annual NIM audits and other check-ups as necessary. </w:t>
      </w:r>
    </w:p>
    <w:p w14:paraId="273F0B14" w14:textId="5B5A7BD6" w:rsidR="00AE6C8E" w:rsidRPr="003B6A69" w:rsidRDefault="00AE6C8E" w:rsidP="003C6B7B">
      <w:pPr>
        <w:numPr>
          <w:ilvl w:val="0"/>
          <w:numId w:val="41"/>
        </w:numPr>
        <w:tabs>
          <w:tab w:val="left" w:pos="426"/>
        </w:tabs>
        <w:spacing w:after="120"/>
        <w:ind w:left="0" w:firstLine="0"/>
        <w:rPr>
          <w:rFonts w:cs="Calibri"/>
          <w:color w:val="000000" w:themeColor="text1"/>
          <w:szCs w:val="20"/>
        </w:rPr>
      </w:pPr>
      <w:r w:rsidRPr="003B6A69">
        <w:rPr>
          <w:rFonts w:cs="Calibri"/>
          <w:color w:val="000000" w:themeColor="text1"/>
          <w:szCs w:val="20"/>
        </w:rPr>
        <w:t xml:space="preserve">Both HACT and PCAT assess the project implementation risks as low and moderate (respectively). The PCAT assessment concludes that the IP has overall initial capacity for implementation of the GEF </w:t>
      </w:r>
      <w:proofErr w:type="spellStart"/>
      <w:r w:rsidRPr="003B6A69">
        <w:rPr>
          <w:rFonts w:cs="Calibri"/>
          <w:color w:val="000000" w:themeColor="text1"/>
          <w:szCs w:val="20"/>
        </w:rPr>
        <w:t>programme</w:t>
      </w:r>
      <w:proofErr w:type="spellEnd"/>
      <w:r w:rsidRPr="003B6A69">
        <w:rPr>
          <w:rFonts w:cs="Calibri"/>
          <w:color w:val="000000" w:themeColor="text1"/>
          <w:szCs w:val="20"/>
        </w:rPr>
        <w:t xml:space="preserve">, although there are certain outstanding and underdressed issues remain that might hamper proper execution of the GEF </w:t>
      </w:r>
      <w:proofErr w:type="spellStart"/>
      <w:r w:rsidRPr="003B6A69">
        <w:rPr>
          <w:rFonts w:cs="Calibri"/>
          <w:color w:val="000000" w:themeColor="text1"/>
          <w:szCs w:val="20"/>
        </w:rPr>
        <w:t>programme</w:t>
      </w:r>
      <w:proofErr w:type="spellEnd"/>
      <w:r w:rsidRPr="003B6A69">
        <w:rPr>
          <w:rFonts w:cs="Calibri"/>
          <w:color w:val="000000" w:themeColor="text1"/>
          <w:szCs w:val="20"/>
        </w:rPr>
        <w:t xml:space="preserve"> (technical capacity and enabling environment). The IP will be building the internal capacity to respond to the internal control/procedural issues flagged by the HACT assessment. A Capacity development strategy has been prepared by an independent consultant for the IP to reflect on the HACT and PCAT findings.</w:t>
      </w:r>
    </w:p>
    <w:p w14:paraId="1EAA661D" w14:textId="77777777" w:rsidR="00907A6E" w:rsidRPr="003B6A69" w:rsidRDefault="00907A6E" w:rsidP="003C6B7B">
      <w:pPr>
        <w:numPr>
          <w:ilvl w:val="0"/>
          <w:numId w:val="41"/>
        </w:numPr>
        <w:tabs>
          <w:tab w:val="left" w:pos="426"/>
        </w:tabs>
        <w:spacing w:after="120"/>
        <w:ind w:left="0" w:firstLine="0"/>
        <w:rPr>
          <w:rFonts w:cs="Calibri"/>
          <w:color w:val="000000" w:themeColor="text1"/>
          <w:szCs w:val="20"/>
        </w:rPr>
      </w:pPr>
      <w:r w:rsidRPr="003B6A69">
        <w:rPr>
          <w:rFonts w:cs="Arial"/>
          <w:szCs w:val="20"/>
          <w:lang w:eastAsia="zh-CN"/>
        </w:rPr>
        <w:t>The Implementing Partner is the entity to which the UNDP Administrator has entrusted the implementation of UNDP assistance specified in this signed project document along with the assumption of full responsibility and accountability for the effective use of UNDP resources and the delivery of outputs, as set forth in this document.</w:t>
      </w:r>
    </w:p>
    <w:p w14:paraId="0A1C1E5C" w14:textId="77777777" w:rsidR="00907A6E" w:rsidRPr="003B6A69" w:rsidRDefault="00907A6E" w:rsidP="003C6B7B">
      <w:pPr>
        <w:numPr>
          <w:ilvl w:val="0"/>
          <w:numId w:val="41"/>
        </w:numPr>
        <w:tabs>
          <w:tab w:val="left" w:pos="426"/>
        </w:tabs>
        <w:spacing w:after="120"/>
        <w:ind w:left="0" w:firstLine="0"/>
        <w:rPr>
          <w:rFonts w:cs="Calibri"/>
          <w:color w:val="000000" w:themeColor="text1"/>
          <w:szCs w:val="20"/>
        </w:rPr>
      </w:pPr>
      <w:r w:rsidRPr="003B6A69">
        <w:rPr>
          <w:rFonts w:cs="Arial"/>
          <w:szCs w:val="20"/>
          <w:lang w:eastAsia="zh-CN"/>
        </w:rPr>
        <w:t>The Implementing Partner is responsible for executing this project. Specific tasks include:</w:t>
      </w:r>
    </w:p>
    <w:p w14:paraId="73C56F42" w14:textId="77777777" w:rsidR="00907A6E" w:rsidRPr="003B6A69" w:rsidRDefault="00907A6E" w:rsidP="003C6B7B">
      <w:pPr>
        <w:numPr>
          <w:ilvl w:val="1"/>
          <w:numId w:val="41"/>
        </w:numPr>
        <w:spacing w:after="0"/>
        <w:ind w:left="720" w:hanging="294"/>
        <w:rPr>
          <w:rFonts w:cs="Calibri"/>
          <w:szCs w:val="20"/>
        </w:rPr>
      </w:pPr>
      <w:r w:rsidRPr="003B6A69">
        <w:rPr>
          <w:rFonts w:cs="Calibri"/>
          <w:szCs w:val="20"/>
        </w:rPr>
        <w:t xml:space="preserve">Project planning, coordination, management, monitoring, </w:t>
      </w:r>
      <w:proofErr w:type="gramStart"/>
      <w:r w:rsidRPr="003B6A69">
        <w:rPr>
          <w:rFonts w:cs="Calibri"/>
          <w:szCs w:val="20"/>
        </w:rPr>
        <w:t>evaluation</w:t>
      </w:r>
      <w:proofErr w:type="gramEnd"/>
      <w:r w:rsidRPr="003B6A69">
        <w:rPr>
          <w:rFonts w:cs="Calibri"/>
          <w:szCs w:val="20"/>
        </w:rPr>
        <w:t xml:space="preserve"> and reporting.  This includes providing all required information and data necessary for timely, </w:t>
      </w:r>
      <w:proofErr w:type="gramStart"/>
      <w:r w:rsidRPr="003B6A69">
        <w:rPr>
          <w:rFonts w:cs="Calibri"/>
          <w:szCs w:val="20"/>
        </w:rPr>
        <w:t>comprehensive</w:t>
      </w:r>
      <w:proofErr w:type="gramEnd"/>
      <w:r w:rsidRPr="003B6A69">
        <w:rPr>
          <w:rFonts w:cs="Calibri"/>
          <w:szCs w:val="20"/>
        </w:rPr>
        <w:t xml:space="preserve"> and evidence-based project reporting, including results and financial data, as necessary. </w:t>
      </w:r>
    </w:p>
    <w:p w14:paraId="784A2DE2" w14:textId="77777777" w:rsidR="00907A6E" w:rsidRPr="003B6A69" w:rsidRDefault="00907A6E" w:rsidP="003C6B7B">
      <w:pPr>
        <w:numPr>
          <w:ilvl w:val="1"/>
          <w:numId w:val="41"/>
        </w:numPr>
        <w:spacing w:after="0"/>
        <w:ind w:left="709" w:hanging="283"/>
        <w:rPr>
          <w:rFonts w:cs="Calibri"/>
          <w:szCs w:val="20"/>
        </w:rPr>
      </w:pPr>
      <w:r w:rsidRPr="003B6A69">
        <w:rPr>
          <w:rFonts w:cs="Calibri"/>
          <w:szCs w:val="20"/>
        </w:rPr>
        <w:t xml:space="preserve">Risk management as outlined in this Project </w:t>
      </w:r>
      <w:proofErr w:type="gramStart"/>
      <w:r w:rsidRPr="003B6A69">
        <w:rPr>
          <w:rFonts w:cs="Calibri"/>
          <w:szCs w:val="20"/>
        </w:rPr>
        <w:t>Document;</w:t>
      </w:r>
      <w:proofErr w:type="gramEnd"/>
    </w:p>
    <w:p w14:paraId="35863FED" w14:textId="1A026EFA" w:rsidR="00C41C26" w:rsidRPr="003B6A69" w:rsidRDefault="00C41C26" w:rsidP="003C6B7B">
      <w:pPr>
        <w:numPr>
          <w:ilvl w:val="1"/>
          <w:numId w:val="41"/>
        </w:numPr>
        <w:spacing w:after="0"/>
        <w:ind w:left="709" w:hanging="283"/>
        <w:rPr>
          <w:rFonts w:cs="Calibri"/>
          <w:szCs w:val="20"/>
        </w:rPr>
      </w:pPr>
      <w:r w:rsidRPr="003B6A69">
        <w:rPr>
          <w:rFonts w:cs="Calibri"/>
          <w:szCs w:val="20"/>
        </w:rPr>
        <w:t xml:space="preserve">Procurement of goods and services, including human </w:t>
      </w:r>
      <w:proofErr w:type="gramStart"/>
      <w:r w:rsidRPr="003B6A69">
        <w:rPr>
          <w:rFonts w:cs="Calibri"/>
          <w:szCs w:val="20"/>
        </w:rPr>
        <w:t>resources;</w:t>
      </w:r>
      <w:proofErr w:type="gramEnd"/>
    </w:p>
    <w:p w14:paraId="50CF417E" w14:textId="35C1BC87" w:rsidR="00907A6E" w:rsidRPr="003B6A69" w:rsidRDefault="00907A6E" w:rsidP="003C6B7B">
      <w:pPr>
        <w:numPr>
          <w:ilvl w:val="1"/>
          <w:numId w:val="41"/>
        </w:numPr>
        <w:spacing w:after="0"/>
        <w:ind w:left="709" w:hanging="283"/>
        <w:rPr>
          <w:rFonts w:cs="Calibri"/>
          <w:szCs w:val="20"/>
        </w:rPr>
      </w:pPr>
      <w:r w:rsidRPr="003B6A69">
        <w:rPr>
          <w:rFonts w:cs="Calibri"/>
          <w:szCs w:val="20"/>
        </w:rPr>
        <w:t>Project implementation and administration,</w:t>
      </w:r>
      <w:r w:rsidR="00C41C26" w:rsidRPr="003B6A69">
        <w:rPr>
          <w:rFonts w:cs="Calibri"/>
          <w:szCs w:val="20"/>
        </w:rPr>
        <w:t xml:space="preserve"> financial management</w:t>
      </w:r>
      <w:r w:rsidRPr="003B6A69">
        <w:rPr>
          <w:rFonts w:cs="Calibri"/>
          <w:szCs w:val="20"/>
        </w:rPr>
        <w:t xml:space="preserve"> including overseeing financial expenditures against project </w:t>
      </w:r>
      <w:proofErr w:type="gramStart"/>
      <w:r w:rsidRPr="003B6A69">
        <w:rPr>
          <w:rFonts w:cs="Calibri"/>
          <w:szCs w:val="20"/>
        </w:rPr>
        <w:t>budgets;</w:t>
      </w:r>
      <w:proofErr w:type="gramEnd"/>
    </w:p>
    <w:p w14:paraId="3A106B7F" w14:textId="77777777" w:rsidR="00907A6E" w:rsidRPr="003B6A69" w:rsidRDefault="00907A6E" w:rsidP="003C6B7B">
      <w:pPr>
        <w:numPr>
          <w:ilvl w:val="1"/>
          <w:numId w:val="41"/>
        </w:numPr>
        <w:spacing w:after="0"/>
        <w:ind w:left="709" w:hanging="283"/>
        <w:rPr>
          <w:rFonts w:cs="Calibri"/>
          <w:szCs w:val="20"/>
        </w:rPr>
      </w:pPr>
      <w:r w:rsidRPr="003B6A69">
        <w:rPr>
          <w:rFonts w:cs="Calibri"/>
          <w:szCs w:val="20"/>
        </w:rPr>
        <w:t xml:space="preserve">Approving and signing the multiyear </w:t>
      </w:r>
      <w:proofErr w:type="gramStart"/>
      <w:r w:rsidRPr="003B6A69">
        <w:rPr>
          <w:rFonts w:cs="Calibri"/>
          <w:szCs w:val="20"/>
        </w:rPr>
        <w:t>workplan;</w:t>
      </w:r>
      <w:proofErr w:type="gramEnd"/>
    </w:p>
    <w:p w14:paraId="22F8B01E" w14:textId="77777777" w:rsidR="00907A6E" w:rsidRPr="003B6A69" w:rsidRDefault="00907A6E" w:rsidP="003C6B7B">
      <w:pPr>
        <w:numPr>
          <w:ilvl w:val="1"/>
          <w:numId w:val="41"/>
        </w:numPr>
        <w:spacing w:after="0"/>
        <w:ind w:left="709" w:hanging="283"/>
        <w:rPr>
          <w:rFonts w:cs="Calibri"/>
          <w:szCs w:val="20"/>
        </w:rPr>
      </w:pPr>
      <w:r w:rsidRPr="003B6A69">
        <w:rPr>
          <w:rFonts w:cs="Calibri"/>
          <w:szCs w:val="20"/>
        </w:rPr>
        <w:t>Approving and signing the combined delivery report at the end of the year; and,</w:t>
      </w:r>
    </w:p>
    <w:p w14:paraId="39894597" w14:textId="77777777" w:rsidR="00907A6E" w:rsidRPr="003B6A69" w:rsidRDefault="00907A6E" w:rsidP="003C6B7B">
      <w:pPr>
        <w:numPr>
          <w:ilvl w:val="1"/>
          <w:numId w:val="41"/>
        </w:numPr>
        <w:spacing w:after="120"/>
        <w:ind w:left="709" w:hanging="283"/>
        <w:rPr>
          <w:rFonts w:cs="Calibri"/>
          <w:szCs w:val="20"/>
        </w:rPr>
      </w:pPr>
      <w:r w:rsidRPr="003B6A69">
        <w:rPr>
          <w:rFonts w:cs="Calibri"/>
          <w:szCs w:val="20"/>
        </w:rPr>
        <w:t>Signing the financial report or the funding authorization and certificate of expenditures.</w:t>
      </w:r>
    </w:p>
    <w:p w14:paraId="3BC7D2DC" w14:textId="77777777" w:rsidR="00907A6E" w:rsidRPr="003B6A69" w:rsidRDefault="00907A6E" w:rsidP="00907A6E">
      <w:pPr>
        <w:rPr>
          <w:u w:val="single"/>
        </w:rPr>
      </w:pPr>
      <w:r w:rsidRPr="003B6A69">
        <w:rPr>
          <w:u w:val="single"/>
        </w:rPr>
        <w:t>Project stakeholders and target groups</w:t>
      </w:r>
    </w:p>
    <w:p w14:paraId="7BF126C6" w14:textId="0C2A4840" w:rsidR="00907A6E" w:rsidRPr="003B6A69" w:rsidRDefault="00907A6E" w:rsidP="003C6B7B">
      <w:pPr>
        <w:numPr>
          <w:ilvl w:val="0"/>
          <w:numId w:val="41"/>
        </w:numPr>
        <w:spacing w:after="120"/>
        <w:ind w:left="0" w:firstLine="0"/>
        <w:rPr>
          <w:rFonts w:cs="Arial"/>
          <w:szCs w:val="20"/>
          <w:lang w:eastAsia="zh-CN"/>
        </w:rPr>
      </w:pPr>
      <w:r w:rsidRPr="003B6A69">
        <w:rPr>
          <w:rFonts w:cs="Arial"/>
          <w:szCs w:val="20"/>
          <w:lang w:eastAsia="zh-CN"/>
        </w:rPr>
        <w:t>The participation and contribution of stakeholders and key target groups are critical for the success of the project, for stakeholders at both the national and local levels. The project applies multiple strategies and mechanisms to ensure stakeholder engagement. First and foremost is the Project</w:t>
      </w:r>
      <w:r w:rsidR="00862DB0" w:rsidRPr="003B6A69">
        <w:rPr>
          <w:rFonts w:cs="Arial"/>
          <w:szCs w:val="20"/>
          <w:lang w:eastAsia="zh-CN"/>
        </w:rPr>
        <w:t xml:space="preserve"> Steering Committee, or the Project</w:t>
      </w:r>
      <w:r w:rsidRPr="003B6A69">
        <w:rPr>
          <w:rFonts w:cs="Arial"/>
          <w:szCs w:val="20"/>
          <w:lang w:eastAsia="zh-CN"/>
        </w:rPr>
        <w:t xml:space="preserve"> Board (as discussed further below), involving the </w:t>
      </w:r>
      <w:r w:rsidR="00862DB0" w:rsidRPr="003B6A69">
        <w:rPr>
          <w:rFonts w:cs="Calibri"/>
          <w:color w:val="000000" w:themeColor="text1"/>
          <w:szCs w:val="20"/>
        </w:rPr>
        <w:t xml:space="preserve">Ministry of Ecology, Spatial Planning and Urbanism, </w:t>
      </w:r>
      <w:r w:rsidR="008D3523" w:rsidRPr="003B6A69">
        <w:rPr>
          <w:rFonts w:cs="Calibri"/>
          <w:color w:val="000000" w:themeColor="text1"/>
          <w:szCs w:val="20"/>
        </w:rPr>
        <w:t xml:space="preserve">the </w:t>
      </w:r>
      <w:r w:rsidR="00862DB0" w:rsidRPr="003B6A69">
        <w:rPr>
          <w:rFonts w:cs="Calibri"/>
          <w:color w:val="000000" w:themeColor="text1"/>
          <w:szCs w:val="20"/>
        </w:rPr>
        <w:t>Ministry of Economic Development,</w:t>
      </w:r>
      <w:r w:rsidR="008D3523" w:rsidRPr="003B6A69">
        <w:rPr>
          <w:rFonts w:cs="Calibri"/>
          <w:color w:val="000000" w:themeColor="text1"/>
          <w:szCs w:val="20"/>
        </w:rPr>
        <w:t xml:space="preserve"> the</w:t>
      </w:r>
      <w:r w:rsidR="00862DB0" w:rsidRPr="003B6A69">
        <w:rPr>
          <w:rFonts w:cs="Calibri"/>
          <w:color w:val="000000" w:themeColor="text1"/>
          <w:szCs w:val="20"/>
        </w:rPr>
        <w:t xml:space="preserve"> Ministry of Agriculture, and UNDP</w:t>
      </w:r>
      <w:r w:rsidRPr="003B6A69">
        <w:rPr>
          <w:rFonts w:cs="Arial"/>
          <w:szCs w:val="20"/>
          <w:lang w:eastAsia="zh-CN"/>
        </w:rPr>
        <w:t xml:space="preserve">. UNDP and the </w:t>
      </w:r>
      <w:r w:rsidRPr="003B6A69">
        <w:rPr>
          <w:rFonts w:cs="Calibri"/>
          <w:color w:val="000000" w:themeColor="text1"/>
          <w:szCs w:val="20"/>
        </w:rPr>
        <w:t>Ministry of Ecology, Spatial Planning and Urbanism</w:t>
      </w:r>
      <w:r w:rsidRPr="003B6A69">
        <w:rPr>
          <w:rFonts w:cs="Arial"/>
          <w:szCs w:val="20"/>
          <w:lang w:eastAsia="zh-CN"/>
        </w:rPr>
        <w:t xml:space="preserve">, former Ministry of Sustainable Development and Tourism, have a long history of collaboration and successful project completion in </w:t>
      </w:r>
      <w:r w:rsidR="00862DB0" w:rsidRPr="003B6A69">
        <w:rPr>
          <w:rFonts w:cs="Arial"/>
          <w:szCs w:val="20"/>
          <w:lang w:eastAsia="zh-CN"/>
        </w:rPr>
        <w:t>Montenegro</w:t>
      </w:r>
      <w:r w:rsidRPr="003B6A69">
        <w:rPr>
          <w:rFonts w:cs="Arial"/>
          <w:szCs w:val="20"/>
          <w:lang w:eastAsia="zh-CN"/>
        </w:rPr>
        <w:t xml:space="preserve">, including multiple previous GEF-funded projects. The project will ensure gender balance and gender sensitivity are mainstreamed throughout all aspects of the project's stakeholder engagement approach. </w:t>
      </w:r>
    </w:p>
    <w:p w14:paraId="6D696680" w14:textId="2B448294" w:rsidR="00907A6E" w:rsidRPr="003B6A69" w:rsidRDefault="00862DB0" w:rsidP="003C6B7B">
      <w:pPr>
        <w:numPr>
          <w:ilvl w:val="0"/>
          <w:numId w:val="41"/>
        </w:numPr>
        <w:tabs>
          <w:tab w:val="left" w:pos="90"/>
        </w:tabs>
        <w:spacing w:after="120"/>
        <w:ind w:left="0" w:firstLine="0"/>
        <w:rPr>
          <w:rFonts w:cs="Arial"/>
          <w:szCs w:val="20"/>
          <w:lang w:eastAsia="zh-CN"/>
        </w:rPr>
      </w:pPr>
      <w:r w:rsidRPr="003B6A69">
        <w:rPr>
          <w:rFonts w:cs="Calibri"/>
          <w:color w:val="000000" w:themeColor="text1"/>
          <w:szCs w:val="20"/>
        </w:rPr>
        <w:t>T</w:t>
      </w:r>
      <w:r w:rsidR="00907A6E" w:rsidRPr="003B6A69">
        <w:rPr>
          <w:rFonts w:cs="Arial"/>
          <w:szCs w:val="20"/>
          <w:lang w:eastAsia="zh-CN"/>
        </w:rPr>
        <w:t xml:space="preserve">he project will provide for transparent decision-making, facilitate participatory planning </w:t>
      </w:r>
      <w:proofErr w:type="gramStart"/>
      <w:r w:rsidR="00907A6E" w:rsidRPr="003B6A69">
        <w:rPr>
          <w:rFonts w:cs="Arial"/>
          <w:szCs w:val="20"/>
          <w:lang w:eastAsia="zh-CN"/>
        </w:rPr>
        <w:t>processes</w:t>
      </w:r>
      <w:proofErr w:type="gramEnd"/>
      <w:r w:rsidR="00907A6E" w:rsidRPr="003B6A69">
        <w:rPr>
          <w:rFonts w:cs="Arial"/>
          <w:szCs w:val="20"/>
          <w:lang w:eastAsia="zh-CN"/>
        </w:rPr>
        <w:t xml:space="preserve"> and support the capacity development of stakeholders and partners. Formal and informal partnerships will be developed and established with gender balance, and gender mainstreaming approaches in mind. </w:t>
      </w:r>
    </w:p>
    <w:p w14:paraId="7F8E1DFA" w14:textId="77777777" w:rsidR="00907A6E" w:rsidRPr="003B6A69" w:rsidRDefault="00907A6E" w:rsidP="003C6B7B">
      <w:pPr>
        <w:numPr>
          <w:ilvl w:val="0"/>
          <w:numId w:val="41"/>
        </w:numPr>
        <w:tabs>
          <w:tab w:val="left" w:pos="0"/>
        </w:tabs>
        <w:spacing w:after="120"/>
        <w:ind w:left="0" w:firstLine="0"/>
        <w:rPr>
          <w:rFonts w:cs="Arial"/>
          <w:szCs w:val="20"/>
          <w:lang w:eastAsia="zh-CN"/>
        </w:rPr>
      </w:pPr>
      <w:r w:rsidRPr="003B6A69">
        <w:rPr>
          <w:rFonts w:cs="Arial"/>
          <w:szCs w:val="20"/>
          <w:lang w:eastAsia="zh-CN"/>
        </w:rPr>
        <w:t>The project will highlight at various points the mechanisms and channels of communication that stakeholders may employ if they have any grievances related to the social and environmental impacts of the project. For example, this point will be indicated during the project inception workshop, and through the project education and awareness activities.</w:t>
      </w:r>
    </w:p>
    <w:p w14:paraId="0A210C2A" w14:textId="77777777" w:rsidR="00907A6E" w:rsidRPr="003B6A69" w:rsidRDefault="00907A6E" w:rsidP="00907A6E">
      <w:pPr>
        <w:rPr>
          <w:u w:val="single"/>
        </w:rPr>
      </w:pPr>
      <w:bookmarkStart w:id="57" w:name="_Hlk14147815"/>
      <w:r w:rsidRPr="003B6A69">
        <w:rPr>
          <w:u w:val="single"/>
        </w:rPr>
        <w:t>UNDP</w:t>
      </w:r>
    </w:p>
    <w:p w14:paraId="30DC62FA" w14:textId="77777777" w:rsidR="00907A6E" w:rsidRPr="003B6A69" w:rsidRDefault="00907A6E" w:rsidP="003C6B7B">
      <w:pPr>
        <w:numPr>
          <w:ilvl w:val="0"/>
          <w:numId w:val="41"/>
        </w:numPr>
        <w:tabs>
          <w:tab w:val="left" w:pos="90"/>
        </w:tabs>
        <w:spacing w:after="120"/>
        <w:ind w:left="0" w:firstLine="0"/>
        <w:rPr>
          <w:szCs w:val="20"/>
        </w:rPr>
      </w:pPr>
      <w:r w:rsidRPr="003B6A69">
        <w:rPr>
          <w:szCs w:val="20"/>
        </w:rPr>
        <w:t>UNDP is accountable to the GEF for the implementation of this project. This includes oversight of project execution to ensure that the project is being carried out in accordance with the agreed standards and provisions. UNDP is responsible for delivering GEF project cycle management services comprising project approval and start-up, project supervision and oversight, and project completion and evaluation. UNDP is also responsible for the Project Assurance role of the Project Board.</w:t>
      </w:r>
      <w:bookmarkEnd w:id="57"/>
    </w:p>
    <w:p w14:paraId="11CDE1BF" w14:textId="339E8D68" w:rsidR="00907A6E" w:rsidRPr="003B6A69" w:rsidRDefault="00862DB0" w:rsidP="00907A6E">
      <w:pPr>
        <w:tabs>
          <w:tab w:val="left" w:pos="426"/>
        </w:tabs>
        <w:spacing w:after="120"/>
        <w:rPr>
          <w:rFonts w:cs="Arial"/>
          <w:szCs w:val="20"/>
          <w:lang w:eastAsia="zh-CN"/>
        </w:rPr>
      </w:pPr>
      <w:r w:rsidRPr="003B6A69">
        <w:rPr>
          <w:rFonts w:asciiTheme="minorHAnsi" w:eastAsiaTheme="minorHAnsi" w:hAnsiTheme="minorHAnsi" w:cs="Arial"/>
          <w:i/>
          <w:noProof/>
          <w:sz w:val="22"/>
          <w:szCs w:val="20"/>
        </w:rPr>
        <w:lastRenderedPageBreak/>
        <mc:AlternateContent>
          <mc:Choice Requires="wpc">
            <w:drawing>
              <wp:inline distT="0" distB="0" distL="0" distR="0" wp14:anchorId="64A3A83E" wp14:editId="218149B1">
                <wp:extent cx="5179060" cy="3017520"/>
                <wp:effectExtent l="0" t="0" r="21590" b="0"/>
                <wp:docPr id="47" name="Canvas 34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2" name="Rectangle 342"/>
                        <wps:cNvSpPr>
                          <a:spLocks noChangeArrowheads="1"/>
                        </wps:cNvSpPr>
                        <wps:spPr bwMode="auto">
                          <a:xfrm>
                            <a:off x="2072639" y="2036642"/>
                            <a:ext cx="1371600" cy="706558"/>
                          </a:xfrm>
                          <a:prstGeom prst="rect">
                            <a:avLst/>
                          </a:prstGeom>
                          <a:solidFill>
                            <a:srgbClr val="FFCC99"/>
                          </a:solidFill>
                          <a:ln w="9525">
                            <a:solidFill>
                              <a:srgbClr val="000000"/>
                            </a:solidFill>
                            <a:miter lim="800000"/>
                            <a:headEnd/>
                            <a:tailEnd/>
                          </a:ln>
                          <a:effectLst>
                            <a:outerShdw dist="107763" dir="2700000" algn="ctr" rotWithShape="0">
                              <a:srgbClr val="808080">
                                <a:alpha val="50000"/>
                              </a:srgbClr>
                            </a:outerShdw>
                          </a:effectLst>
                        </wps:spPr>
                        <wps:txbx>
                          <w:txbxContent>
                            <w:p w14:paraId="6923FE17" w14:textId="77777777" w:rsidR="00127DDC" w:rsidRPr="00A27858" w:rsidRDefault="00127DDC" w:rsidP="00862DB0">
                              <w:pPr>
                                <w:jc w:val="center"/>
                                <w:rPr>
                                  <w:szCs w:val="20"/>
                                </w:rPr>
                              </w:pPr>
                              <w:r>
                                <w:rPr>
                                  <w:b/>
                                  <w:sz w:val="18"/>
                                  <w:szCs w:val="18"/>
                                </w:rPr>
                                <w:t xml:space="preserve">Implementing Partner: </w:t>
                              </w:r>
                              <w:r w:rsidRPr="008632A9">
                                <w:rPr>
                                  <w:sz w:val="18"/>
                                  <w:szCs w:val="18"/>
                                </w:rPr>
                                <w:t xml:space="preserve">Ministry of </w:t>
                              </w:r>
                              <w:r>
                                <w:rPr>
                                  <w:sz w:val="18"/>
                                  <w:szCs w:val="18"/>
                                </w:rPr>
                                <w:t>Ecology, Spatial Planning and Urbanism</w:t>
                              </w:r>
                            </w:p>
                          </w:txbxContent>
                        </wps:txbx>
                        <wps:bodyPr rot="0" vert="horz" wrap="square" lIns="91440" tIns="45720" rIns="91440" bIns="45720" anchor="t" anchorCtr="0" upright="1">
                          <a:noAutofit/>
                        </wps:bodyPr>
                      </wps:wsp>
                      <wps:wsp>
                        <wps:cNvPr id="36" name="Rectangle 343"/>
                        <wps:cNvSpPr>
                          <a:spLocks noChangeArrowheads="1"/>
                        </wps:cNvSpPr>
                        <wps:spPr bwMode="auto">
                          <a:xfrm>
                            <a:off x="378899" y="493198"/>
                            <a:ext cx="4686300" cy="293300"/>
                          </a:xfrm>
                          <a:prstGeom prst="rect">
                            <a:avLst/>
                          </a:prstGeom>
                          <a:solidFill>
                            <a:srgbClr val="FF9900"/>
                          </a:solidFill>
                          <a:ln w="9525">
                            <a:solidFill>
                              <a:srgbClr val="000000"/>
                            </a:solidFill>
                            <a:miter lim="800000"/>
                            <a:headEnd/>
                            <a:tailEnd/>
                          </a:ln>
                          <a:effectLst>
                            <a:outerShdw dist="107763" dir="2700000" algn="ctr" rotWithShape="0">
                              <a:srgbClr val="808080">
                                <a:alpha val="50000"/>
                              </a:srgbClr>
                            </a:outerShdw>
                          </a:effectLst>
                        </wps:spPr>
                        <wps:txbx>
                          <w:txbxContent>
                            <w:p w14:paraId="24D7A66D" w14:textId="791E8245" w:rsidR="00127DDC" w:rsidRDefault="00127DDC" w:rsidP="00862DB0">
                              <w:pPr>
                                <w:jc w:val="center"/>
                                <w:rPr>
                                  <w:b/>
                                </w:rPr>
                              </w:pPr>
                              <w:r>
                                <w:rPr>
                                  <w:b/>
                                </w:rPr>
                                <w:t>Project Steering Committee</w:t>
                              </w:r>
                            </w:p>
                          </w:txbxContent>
                        </wps:txbx>
                        <wps:bodyPr rot="0" vert="horz" wrap="square" lIns="91440" tIns="45720" rIns="91440" bIns="45720" anchor="t" anchorCtr="0" upright="1">
                          <a:noAutofit/>
                        </wps:bodyPr>
                      </wps:wsp>
                      <wps:wsp>
                        <wps:cNvPr id="37" name="Rectangle 344"/>
                        <wps:cNvSpPr>
                          <a:spLocks noChangeArrowheads="1"/>
                        </wps:cNvSpPr>
                        <wps:spPr bwMode="auto">
                          <a:xfrm>
                            <a:off x="348419" y="851338"/>
                            <a:ext cx="1600200" cy="893642"/>
                          </a:xfrm>
                          <a:prstGeom prst="rect">
                            <a:avLst/>
                          </a:prstGeom>
                          <a:solidFill>
                            <a:srgbClr val="FFCC00"/>
                          </a:solidFill>
                          <a:ln w="9525">
                            <a:solidFill>
                              <a:srgbClr val="000000"/>
                            </a:solidFill>
                            <a:miter lim="800000"/>
                            <a:headEnd/>
                            <a:tailEnd/>
                          </a:ln>
                          <a:effectLst>
                            <a:outerShdw dist="107763" dir="2700000" algn="ctr" rotWithShape="0">
                              <a:srgbClr val="808080">
                                <a:alpha val="50000"/>
                              </a:srgbClr>
                            </a:outerShdw>
                          </a:effectLst>
                        </wps:spPr>
                        <wps:txbx>
                          <w:txbxContent>
                            <w:p w14:paraId="001876EC" w14:textId="77777777" w:rsidR="00127DDC" w:rsidRDefault="00127DDC" w:rsidP="00862DB0">
                              <w:pPr>
                                <w:spacing w:after="0"/>
                                <w:jc w:val="center"/>
                                <w:rPr>
                                  <w:b/>
                                  <w:bCs/>
                                  <w:sz w:val="18"/>
                                  <w:szCs w:val="18"/>
                                </w:rPr>
                              </w:pPr>
                              <w:r>
                                <w:rPr>
                                  <w:b/>
                                  <w:bCs/>
                                  <w:sz w:val="18"/>
                                  <w:szCs w:val="18"/>
                                </w:rPr>
                                <w:t xml:space="preserve">Key Development Partners: </w:t>
                              </w:r>
                            </w:p>
                            <w:p w14:paraId="4596EE9C" w14:textId="77777777" w:rsidR="00127DDC" w:rsidRDefault="00127DDC" w:rsidP="00862DB0">
                              <w:pPr>
                                <w:spacing w:after="0"/>
                                <w:jc w:val="center"/>
                                <w:rPr>
                                  <w:bCs/>
                                  <w:sz w:val="16"/>
                                  <w:szCs w:val="16"/>
                                </w:rPr>
                              </w:pPr>
                              <w:r w:rsidRPr="00E6365B">
                                <w:rPr>
                                  <w:bCs/>
                                  <w:sz w:val="16"/>
                                  <w:szCs w:val="16"/>
                                </w:rPr>
                                <w:t xml:space="preserve">Ministry of Ecology, Spatial Planning and Urbanism </w:t>
                              </w:r>
                            </w:p>
                            <w:p w14:paraId="4A4CBD53" w14:textId="6180B2ED" w:rsidR="00127DDC" w:rsidRDefault="00127DDC" w:rsidP="00862DB0">
                              <w:pPr>
                                <w:spacing w:after="0"/>
                                <w:jc w:val="center"/>
                                <w:rPr>
                                  <w:bCs/>
                                  <w:sz w:val="16"/>
                                  <w:szCs w:val="16"/>
                                  <w:lang w:val="en-GB"/>
                                </w:rPr>
                              </w:pPr>
                              <w:r w:rsidRPr="00C41C26">
                                <w:rPr>
                                  <w:bCs/>
                                  <w:sz w:val="16"/>
                                  <w:szCs w:val="16"/>
                                </w:rPr>
                                <w:t xml:space="preserve">Ministry of </w:t>
                              </w:r>
                              <w:r w:rsidRPr="00C41C26">
                                <w:rPr>
                                  <w:bCs/>
                                  <w:sz w:val="16"/>
                                  <w:szCs w:val="16"/>
                                  <w:lang w:val="en-GB"/>
                                </w:rPr>
                                <w:t>Agriculture, Forestry and Water Management</w:t>
                              </w:r>
                            </w:p>
                            <w:p w14:paraId="215D20F7" w14:textId="0CC668AB" w:rsidR="00127DDC" w:rsidRDefault="00127DDC" w:rsidP="00862DB0">
                              <w:pPr>
                                <w:spacing w:after="0"/>
                                <w:jc w:val="center"/>
                                <w:rPr>
                                  <w:bCs/>
                                  <w:sz w:val="16"/>
                                  <w:szCs w:val="16"/>
                                </w:rPr>
                              </w:pPr>
                              <w:r>
                                <w:rPr>
                                  <w:bCs/>
                                  <w:sz w:val="16"/>
                                  <w:szCs w:val="16"/>
                                  <w:lang w:val="en-GB"/>
                                </w:rPr>
                                <w:t>UNDP</w:t>
                              </w:r>
                            </w:p>
                            <w:p w14:paraId="7D07FAC8" w14:textId="77777777" w:rsidR="00127DDC" w:rsidRPr="00FB2197" w:rsidRDefault="00127DDC" w:rsidP="00862DB0">
                              <w:pPr>
                                <w:jc w:val="center"/>
                                <w:rPr>
                                  <w:bCs/>
                                  <w:sz w:val="16"/>
                                  <w:szCs w:val="16"/>
                                </w:rPr>
                              </w:pPr>
                            </w:p>
                          </w:txbxContent>
                        </wps:txbx>
                        <wps:bodyPr rot="0" vert="horz" wrap="square" lIns="91440" tIns="45720" rIns="91440" bIns="45720" anchor="t" anchorCtr="0" upright="1">
                          <a:noAutofit/>
                        </wps:bodyPr>
                      </wps:wsp>
                      <wps:wsp>
                        <wps:cNvPr id="38" name="Rectangle 345"/>
                        <wps:cNvSpPr>
                          <a:spLocks noChangeArrowheads="1"/>
                        </wps:cNvSpPr>
                        <wps:spPr bwMode="auto">
                          <a:xfrm>
                            <a:off x="2004059" y="820858"/>
                            <a:ext cx="1476179" cy="695522"/>
                          </a:xfrm>
                          <a:prstGeom prst="rect">
                            <a:avLst/>
                          </a:prstGeom>
                          <a:solidFill>
                            <a:srgbClr val="FFCC00"/>
                          </a:solidFill>
                          <a:ln w="9525">
                            <a:solidFill>
                              <a:srgbClr val="000000"/>
                            </a:solidFill>
                            <a:miter lim="800000"/>
                            <a:headEnd/>
                            <a:tailEnd/>
                          </a:ln>
                          <a:effectLst>
                            <a:outerShdw dist="107763" dir="2700000" algn="ctr" rotWithShape="0">
                              <a:srgbClr val="808080">
                                <a:alpha val="50000"/>
                              </a:srgbClr>
                            </a:outerShdw>
                          </a:effectLst>
                        </wps:spPr>
                        <wps:txbx>
                          <w:txbxContent>
                            <w:p w14:paraId="362CBE7F" w14:textId="77777777" w:rsidR="00127DDC" w:rsidRPr="00FB2197" w:rsidRDefault="00127DDC" w:rsidP="00862DB0">
                              <w:pPr>
                                <w:spacing w:after="0"/>
                                <w:jc w:val="center"/>
                                <w:rPr>
                                  <w:b/>
                                  <w:sz w:val="16"/>
                                  <w:szCs w:val="16"/>
                                </w:rPr>
                              </w:pPr>
                              <w:r>
                                <w:rPr>
                                  <w:b/>
                                  <w:sz w:val="18"/>
                                  <w:szCs w:val="18"/>
                                </w:rPr>
                                <w:t xml:space="preserve">Project Executive: </w:t>
                              </w:r>
                              <w:r w:rsidRPr="00FB2197">
                                <w:rPr>
                                  <w:sz w:val="16"/>
                                  <w:szCs w:val="16"/>
                                </w:rPr>
                                <w:t xml:space="preserve">Project National Director nominated by the Ministry of </w:t>
                              </w:r>
                              <w:r>
                                <w:rPr>
                                  <w:sz w:val="16"/>
                                  <w:szCs w:val="16"/>
                                </w:rPr>
                                <w:t>Ecology, Spatial Planning and Urbanism</w:t>
                              </w:r>
                            </w:p>
                            <w:p w14:paraId="6D94E114" w14:textId="77777777" w:rsidR="00127DDC" w:rsidRPr="00FB2197" w:rsidRDefault="00127DDC" w:rsidP="00862DB0">
                              <w:pPr>
                                <w:jc w:val="center"/>
                                <w:rPr>
                                  <w:b/>
                                  <w:sz w:val="16"/>
                                  <w:szCs w:val="16"/>
                                </w:rPr>
                              </w:pPr>
                            </w:p>
                          </w:txbxContent>
                        </wps:txbx>
                        <wps:bodyPr rot="0" vert="horz" wrap="square" lIns="91440" tIns="45720" rIns="91440" bIns="45720" anchor="t" anchorCtr="0" upright="1">
                          <a:noAutofit/>
                        </wps:bodyPr>
                      </wps:wsp>
                      <wps:wsp>
                        <wps:cNvPr id="39" name="Rectangle 346"/>
                        <wps:cNvSpPr>
                          <a:spLocks noChangeArrowheads="1"/>
                        </wps:cNvSpPr>
                        <wps:spPr bwMode="auto">
                          <a:xfrm>
                            <a:off x="3503098" y="813238"/>
                            <a:ext cx="1600200" cy="1206062"/>
                          </a:xfrm>
                          <a:prstGeom prst="rect">
                            <a:avLst/>
                          </a:prstGeom>
                          <a:solidFill>
                            <a:srgbClr val="FFCC00"/>
                          </a:solidFill>
                          <a:ln w="9525">
                            <a:solidFill>
                              <a:srgbClr val="000000"/>
                            </a:solidFill>
                            <a:miter lim="800000"/>
                            <a:headEnd/>
                            <a:tailEnd/>
                          </a:ln>
                          <a:effectLst>
                            <a:outerShdw dist="107763" dir="2700000" algn="ctr" rotWithShape="0">
                              <a:srgbClr val="808080">
                                <a:alpha val="50000"/>
                              </a:srgbClr>
                            </a:outerShdw>
                          </a:effectLst>
                        </wps:spPr>
                        <wps:txbx>
                          <w:txbxContent>
                            <w:p w14:paraId="77F4C5E4" w14:textId="3A8BDB8D" w:rsidR="00127DDC" w:rsidRDefault="00127DDC" w:rsidP="00862DB0">
                              <w:pPr>
                                <w:spacing w:after="0"/>
                                <w:jc w:val="center"/>
                                <w:rPr>
                                  <w:sz w:val="16"/>
                                  <w:szCs w:val="16"/>
                                  <w:lang w:val="es-ES"/>
                                </w:rPr>
                              </w:pPr>
                              <w:r>
                                <w:rPr>
                                  <w:sz w:val="16"/>
                                  <w:szCs w:val="16"/>
                                  <w:lang w:val="es-ES"/>
                                </w:rPr>
                                <w:t>Project Partnership Committee as Project beneficiaries and  observers to Project Steering Committee: Sectoral ministires</w:t>
                              </w:r>
                            </w:p>
                            <w:p w14:paraId="038BBF65" w14:textId="0458BDAF" w:rsidR="00127DDC" w:rsidRDefault="00127DDC" w:rsidP="00862DB0">
                              <w:pPr>
                                <w:spacing w:after="0"/>
                                <w:jc w:val="center"/>
                                <w:rPr>
                                  <w:sz w:val="16"/>
                                  <w:szCs w:val="16"/>
                                  <w:lang w:val="es-ES"/>
                                </w:rPr>
                              </w:pPr>
                              <w:r>
                                <w:rPr>
                                  <w:sz w:val="16"/>
                                  <w:szCs w:val="16"/>
                                  <w:lang w:val="es-ES"/>
                                </w:rPr>
                                <w:t>Protected Areas</w:t>
                              </w:r>
                            </w:p>
                            <w:p w14:paraId="233A3460" w14:textId="77777777" w:rsidR="00127DDC" w:rsidRDefault="00127DDC" w:rsidP="00862DB0">
                              <w:pPr>
                                <w:spacing w:after="0"/>
                                <w:jc w:val="center"/>
                                <w:rPr>
                                  <w:sz w:val="16"/>
                                  <w:szCs w:val="16"/>
                                </w:rPr>
                              </w:pPr>
                              <w:r>
                                <w:rPr>
                                  <w:sz w:val="16"/>
                                  <w:szCs w:val="16"/>
                                </w:rPr>
                                <w:t>L</w:t>
                              </w:r>
                              <w:r w:rsidRPr="00E6365B">
                                <w:rPr>
                                  <w:sz w:val="16"/>
                                  <w:szCs w:val="16"/>
                                </w:rPr>
                                <w:t xml:space="preserve">ocal </w:t>
                              </w:r>
                              <w:r>
                                <w:rPr>
                                  <w:sz w:val="16"/>
                                  <w:szCs w:val="16"/>
                                </w:rPr>
                                <w:t xml:space="preserve">sustainable </w:t>
                              </w:r>
                              <w:r w:rsidRPr="00E6365B">
                                <w:rPr>
                                  <w:sz w:val="16"/>
                                  <w:szCs w:val="16"/>
                                </w:rPr>
                                <w:t>tourism busi</w:t>
                              </w:r>
                              <w:r>
                                <w:rPr>
                                  <w:sz w:val="16"/>
                                  <w:szCs w:val="16"/>
                                </w:rPr>
                                <w:t>nesses</w:t>
                              </w:r>
                            </w:p>
                            <w:p w14:paraId="0AF80093" w14:textId="77777777" w:rsidR="00127DDC" w:rsidRDefault="00127DDC" w:rsidP="00862DB0">
                              <w:pPr>
                                <w:spacing w:after="0"/>
                                <w:jc w:val="center"/>
                                <w:rPr>
                                  <w:sz w:val="16"/>
                                  <w:szCs w:val="16"/>
                                </w:rPr>
                              </w:pPr>
                              <w:r>
                                <w:rPr>
                                  <w:sz w:val="16"/>
                                  <w:szCs w:val="16"/>
                                </w:rPr>
                                <w:t>P</w:t>
                              </w:r>
                              <w:r w:rsidRPr="00E6365B">
                                <w:rPr>
                                  <w:sz w:val="16"/>
                                  <w:szCs w:val="16"/>
                                </w:rPr>
                                <w:t>rivate forest o</w:t>
                              </w:r>
                              <w:r>
                                <w:rPr>
                                  <w:sz w:val="16"/>
                                  <w:szCs w:val="16"/>
                                </w:rPr>
                                <w:t>wners</w:t>
                              </w:r>
                              <w:r w:rsidRPr="00E6365B">
                                <w:rPr>
                                  <w:sz w:val="16"/>
                                  <w:szCs w:val="16"/>
                                </w:rPr>
                                <w:t xml:space="preserve"> </w:t>
                              </w:r>
                            </w:p>
                            <w:p w14:paraId="673AB5A2" w14:textId="77777777" w:rsidR="00127DDC" w:rsidRPr="00FB2197" w:rsidRDefault="00127DDC" w:rsidP="00862DB0">
                              <w:pPr>
                                <w:spacing w:after="0"/>
                                <w:jc w:val="center"/>
                                <w:rPr>
                                  <w:sz w:val="16"/>
                                  <w:szCs w:val="16"/>
                                  <w:lang w:val="es-ES"/>
                                </w:rPr>
                              </w:pPr>
                              <w:r>
                                <w:rPr>
                                  <w:sz w:val="16"/>
                                  <w:szCs w:val="16"/>
                                </w:rPr>
                                <w:t>“Green” farmers</w:t>
                              </w:r>
                            </w:p>
                          </w:txbxContent>
                        </wps:txbx>
                        <wps:bodyPr rot="0" vert="horz" wrap="square" lIns="91440" tIns="45720" rIns="91440" bIns="45720" anchor="t" anchorCtr="0" upright="1">
                          <a:noAutofit/>
                        </wps:bodyPr>
                      </wps:wsp>
                      <wps:wsp>
                        <wps:cNvPr id="40" name="AutoShape 347"/>
                        <wps:cNvCnPr>
                          <a:cxnSpLocks noChangeShapeType="1"/>
                          <a:stCxn id="38" idx="2"/>
                        </wps:cNvCnPr>
                        <wps:spPr bwMode="auto">
                          <a:xfrm>
                            <a:off x="2742149" y="1516380"/>
                            <a:ext cx="8671" cy="4800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1" name="Rectangle 348"/>
                        <wps:cNvSpPr>
                          <a:spLocks noChangeArrowheads="1"/>
                        </wps:cNvSpPr>
                        <wps:spPr bwMode="auto">
                          <a:xfrm>
                            <a:off x="264599" y="2036642"/>
                            <a:ext cx="1600200" cy="546538"/>
                          </a:xfrm>
                          <a:prstGeom prst="rect">
                            <a:avLst/>
                          </a:prstGeom>
                          <a:solidFill>
                            <a:srgbClr val="FFCC00"/>
                          </a:solidFill>
                          <a:ln w="9525">
                            <a:solidFill>
                              <a:srgbClr val="000000"/>
                            </a:solidFill>
                            <a:miter lim="800000"/>
                            <a:headEnd/>
                            <a:tailEnd/>
                          </a:ln>
                          <a:effectLst>
                            <a:outerShdw dist="107763" dir="2700000" algn="ctr" rotWithShape="0">
                              <a:srgbClr val="808080">
                                <a:alpha val="50000"/>
                              </a:srgbClr>
                            </a:outerShdw>
                          </a:effectLst>
                        </wps:spPr>
                        <wps:txbx>
                          <w:txbxContent>
                            <w:p w14:paraId="5256E476" w14:textId="77777777" w:rsidR="00127DDC" w:rsidRDefault="00127DDC" w:rsidP="00862DB0">
                              <w:pPr>
                                <w:jc w:val="center"/>
                                <w:rPr>
                                  <w:b/>
                                  <w:sz w:val="18"/>
                                  <w:szCs w:val="18"/>
                                </w:rPr>
                              </w:pPr>
                              <w:r>
                                <w:rPr>
                                  <w:b/>
                                  <w:sz w:val="18"/>
                                  <w:szCs w:val="18"/>
                                </w:rPr>
                                <w:t>Project Assurance</w:t>
                              </w:r>
                            </w:p>
                            <w:p w14:paraId="6A87702F" w14:textId="77777777" w:rsidR="00127DDC" w:rsidRPr="008632A9" w:rsidRDefault="00127DDC" w:rsidP="00862DB0">
                              <w:pPr>
                                <w:jc w:val="center"/>
                                <w:rPr>
                                  <w:bCs/>
                                </w:rPr>
                              </w:pPr>
                              <w:r w:rsidRPr="008632A9">
                                <w:rPr>
                                  <w:bCs/>
                                  <w:i/>
                                  <w:sz w:val="18"/>
                                  <w:szCs w:val="18"/>
                                </w:rPr>
                                <w:t xml:space="preserve">UNDP (UNDP-GEF PTA, RTA, UNDP CO Head of E&amp;E Team) </w:t>
                              </w:r>
                            </w:p>
                          </w:txbxContent>
                        </wps:txbx>
                        <wps:bodyPr rot="0" vert="horz" wrap="square" lIns="91440" tIns="45720" rIns="91440" bIns="45720" anchor="t" anchorCtr="0" upright="1">
                          <a:noAutofit/>
                        </wps:bodyPr>
                      </wps:wsp>
                      <wps:wsp>
                        <wps:cNvPr id="42" name="Rectangle 349"/>
                        <wps:cNvSpPr>
                          <a:spLocks noChangeArrowheads="1"/>
                        </wps:cNvSpPr>
                        <wps:spPr bwMode="auto">
                          <a:xfrm>
                            <a:off x="3733799" y="2103121"/>
                            <a:ext cx="1369499" cy="444062"/>
                          </a:xfrm>
                          <a:prstGeom prst="rect">
                            <a:avLst/>
                          </a:prstGeom>
                          <a:solidFill>
                            <a:srgbClr val="FFCC99"/>
                          </a:solidFill>
                          <a:ln w="9525">
                            <a:solidFill>
                              <a:srgbClr val="000000"/>
                            </a:solidFill>
                            <a:miter lim="800000"/>
                            <a:headEnd/>
                            <a:tailEnd/>
                          </a:ln>
                          <a:effectLst>
                            <a:outerShdw dist="107763" dir="2700000" algn="ctr" rotWithShape="0">
                              <a:srgbClr val="808080">
                                <a:alpha val="50000"/>
                              </a:srgbClr>
                            </a:outerShdw>
                          </a:effectLst>
                        </wps:spPr>
                        <wps:txbx>
                          <w:txbxContent>
                            <w:p w14:paraId="68E7BBCD" w14:textId="77777777" w:rsidR="00127DDC" w:rsidRDefault="00127DDC" w:rsidP="00862DB0">
                              <w:pPr>
                                <w:jc w:val="center"/>
                                <w:rPr>
                                  <w:b/>
                                  <w:sz w:val="18"/>
                                  <w:szCs w:val="18"/>
                                </w:rPr>
                              </w:pPr>
                              <w:r>
                                <w:rPr>
                                  <w:b/>
                                  <w:sz w:val="18"/>
                                  <w:szCs w:val="18"/>
                                </w:rPr>
                                <w:t>Project Support (Project Management Unit)</w:t>
                              </w:r>
                            </w:p>
                            <w:p w14:paraId="1D1C8390" w14:textId="77777777" w:rsidR="00127DDC" w:rsidRDefault="00127DDC" w:rsidP="00862DB0">
                              <w:pPr>
                                <w:spacing w:before="120"/>
                                <w:jc w:val="center"/>
                                <w:rPr>
                                  <w:sz w:val="18"/>
                                  <w:szCs w:val="18"/>
                                </w:rPr>
                              </w:pPr>
                            </w:p>
                          </w:txbxContent>
                        </wps:txbx>
                        <wps:bodyPr rot="0" vert="horz" wrap="square" lIns="91440" tIns="45720" rIns="91440" bIns="45720" anchor="t" anchorCtr="0" upright="1">
                          <a:noAutofit/>
                        </wps:bodyPr>
                      </wps:wsp>
                      <wps:wsp>
                        <wps:cNvPr id="43" name="AutoShape 350"/>
                        <wps:cNvCnPr>
                          <a:cxnSpLocks noChangeShapeType="1"/>
                        </wps:cNvCnPr>
                        <wps:spPr bwMode="auto">
                          <a:xfrm>
                            <a:off x="3438720" y="2293620"/>
                            <a:ext cx="2798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 name="AutoShape 351"/>
                        <wps:cNvSpPr>
                          <a:spLocks noChangeArrowheads="1"/>
                        </wps:cNvSpPr>
                        <wps:spPr bwMode="auto">
                          <a:xfrm>
                            <a:off x="264599" y="35998"/>
                            <a:ext cx="4914900" cy="342900"/>
                          </a:xfrm>
                          <a:prstGeom prst="roundRect">
                            <a:avLst>
                              <a:gd name="adj" fmla="val 16667"/>
                            </a:avLst>
                          </a:prstGeom>
                          <a:solidFill>
                            <a:srgbClr val="99CCFF"/>
                          </a:solidFill>
                          <a:ln w="9525">
                            <a:solidFill>
                              <a:srgbClr val="000000"/>
                            </a:solidFill>
                            <a:round/>
                            <a:headEnd/>
                            <a:tailEnd/>
                          </a:ln>
                        </wps:spPr>
                        <wps:txbx>
                          <w:txbxContent>
                            <w:p w14:paraId="69EFE7DA" w14:textId="77777777" w:rsidR="00127DDC" w:rsidRPr="001D0B24" w:rsidRDefault="00127DDC" w:rsidP="00862DB0">
                              <w:pPr>
                                <w:spacing w:after="0"/>
                                <w:jc w:val="center"/>
                                <w:rPr>
                                  <w:b/>
                                  <w:sz w:val="24"/>
                                </w:rPr>
                              </w:pPr>
                              <w:r w:rsidRPr="001D0B24">
                                <w:rPr>
                                  <w:b/>
                                  <w:sz w:val="24"/>
                                </w:rPr>
                                <w:t>Project Organization Structure</w:t>
                              </w:r>
                            </w:p>
                          </w:txbxContent>
                        </wps:txbx>
                        <wps:bodyPr rot="0" vert="horz" wrap="square" lIns="91440" tIns="45720" rIns="91440" bIns="45720" anchor="t" anchorCtr="0" upright="1">
                          <a:noAutofit/>
                        </wps:bodyPr>
                      </wps:wsp>
                    </wpc:wpc>
                  </a:graphicData>
                </a:graphic>
              </wp:inline>
            </w:drawing>
          </mc:Choice>
          <mc:Fallback>
            <w:pict>
              <v:group w14:anchorId="64A3A83E" id="Canvas 340" o:spid="_x0000_s1026" editas="canvas" style="width:407.8pt;height:237.6pt;mso-position-horizontal-relative:char;mso-position-vertical-relative:line" coordsize="51790,30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1790;height:30175;visibility:visible;mso-wrap-style:square">
                  <v:fill o:detectmouseclick="t"/>
                  <v:path o:connecttype="none"/>
                </v:shape>
                <v:rect id="Rectangle 342" o:spid="_x0000_s1028" style="position:absolute;left:20726;top:20366;width:13716;height:70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" fillcolor="#fc9">
                  <v:shadow on="t" opacity=".5" offset="6pt,6pt"/>
                  <v:textbox>
                    <w:txbxContent>
                      <w:p w14:paraId="6923FE17" w14:textId="77777777" w:rsidR="00127DDC" w:rsidRPr="00A27858" w:rsidRDefault="00127DDC" w:rsidP="00862DB0">
                        <w:pPr>
                          <w:jc w:val="center"/>
                          <w:rPr>
                            <w:szCs w:val="20"/>
                          </w:rPr>
                        </w:pPr>
                        <w:r>
                          <w:rPr>
                            <w:b/>
                            <w:sz w:val="18"/>
                            <w:szCs w:val="18"/>
                          </w:rPr>
                          <w:t xml:space="preserve">Implementing Partner: </w:t>
                        </w:r>
                        <w:r w:rsidRPr="008632A9">
                          <w:rPr>
                            <w:sz w:val="18"/>
                            <w:szCs w:val="18"/>
                          </w:rPr>
                          <w:t xml:space="preserve">Ministry of </w:t>
                        </w:r>
                        <w:r>
                          <w:rPr>
                            <w:sz w:val="18"/>
                            <w:szCs w:val="18"/>
                          </w:rPr>
                          <w:t>Ecology, Spatial Planning and Urbanism</w:t>
                        </w:r>
                      </w:p>
                    </w:txbxContent>
                  </v:textbox>
                </v:rect>
                <v:rect id="Rectangle 343" o:spid="_x0000_s1029" style="position:absolute;left:3788;top:4931;width:46863;height:29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" fillcolor="#f90">
                  <v:shadow on="t" opacity=".5" offset="6pt,6pt"/>
                  <v:textbox>
                    <w:txbxContent>
                      <w:p w14:paraId="24D7A66D" w14:textId="791E8245" w:rsidR="00127DDC" w:rsidRDefault="00127DDC" w:rsidP="00862DB0">
                        <w:pPr>
                          <w:jc w:val="center"/>
                          <w:rPr>
                            <w:b/>
                          </w:rPr>
                        </w:pPr>
                        <w:r>
                          <w:rPr>
                            <w:b/>
                          </w:rPr>
                          <w:t>Project Steering Committee</w:t>
                        </w:r>
                      </w:p>
                    </w:txbxContent>
                  </v:textbox>
                </v:rect>
                <v:rect id="Rectangle 344" o:spid="_x0000_s1030" style="position:absolute;left:3484;top:8513;width:16002;height:89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" fillcolor="#fc0">
                  <v:shadow on="t" opacity=".5" offset="6pt,6pt"/>
                  <v:textbox>
                    <w:txbxContent>
                      <w:p w14:paraId="001876EC" w14:textId="77777777" w:rsidR="00127DDC" w:rsidRDefault="00127DDC" w:rsidP="00862DB0">
                        <w:pPr>
                          <w:spacing w:after="0"/>
                          <w:jc w:val="center"/>
                          <w:rPr>
                            <w:b/>
                            <w:bCs/>
                            <w:sz w:val="18"/>
                            <w:szCs w:val="18"/>
                          </w:rPr>
                        </w:pPr>
                        <w:r>
                          <w:rPr>
                            <w:b/>
                            <w:bCs/>
                            <w:sz w:val="18"/>
                            <w:szCs w:val="18"/>
                          </w:rPr>
                          <w:t xml:space="preserve">Key Development Partners: </w:t>
                        </w:r>
                      </w:p>
                      <w:p w14:paraId="4596EE9C" w14:textId="77777777" w:rsidR="00127DDC" w:rsidRDefault="00127DDC" w:rsidP="00862DB0">
                        <w:pPr>
                          <w:spacing w:after="0"/>
                          <w:jc w:val="center"/>
                          <w:rPr>
                            <w:bCs/>
                            <w:sz w:val="16"/>
                            <w:szCs w:val="16"/>
                          </w:rPr>
                        </w:pPr>
                        <w:r w:rsidRPr="00E6365B">
                          <w:rPr>
                            <w:bCs/>
                            <w:sz w:val="16"/>
                            <w:szCs w:val="16"/>
                          </w:rPr>
                          <w:t xml:space="preserve">Ministry of Ecology, Spatial Planning and Urbanism </w:t>
                        </w:r>
                      </w:p>
                      <w:p w14:paraId="4A4CBD53" w14:textId="6180B2ED" w:rsidR="00127DDC" w:rsidRDefault="00127DDC" w:rsidP="00862DB0">
                        <w:pPr>
                          <w:spacing w:after="0"/>
                          <w:jc w:val="center"/>
                          <w:rPr>
                            <w:bCs/>
                            <w:sz w:val="16"/>
                            <w:szCs w:val="16"/>
                            <w:lang w:val="en-GB"/>
                          </w:rPr>
                        </w:pPr>
                        <w:r w:rsidRPr="00C41C26">
                          <w:rPr>
                            <w:bCs/>
                            <w:sz w:val="16"/>
                            <w:szCs w:val="16"/>
                          </w:rPr>
                          <w:t xml:space="preserve">Ministry of </w:t>
                        </w:r>
                        <w:r w:rsidRPr="00C41C26">
                          <w:rPr>
                            <w:bCs/>
                            <w:sz w:val="16"/>
                            <w:szCs w:val="16"/>
                            <w:lang w:val="en-GB"/>
                          </w:rPr>
                          <w:t>Agriculture, Forestry and Water Management</w:t>
                        </w:r>
                      </w:p>
                      <w:p w14:paraId="215D20F7" w14:textId="0CC668AB" w:rsidR="00127DDC" w:rsidRDefault="00127DDC" w:rsidP="00862DB0">
                        <w:pPr>
                          <w:spacing w:after="0"/>
                          <w:jc w:val="center"/>
                          <w:rPr>
                            <w:bCs/>
                            <w:sz w:val="16"/>
                            <w:szCs w:val="16"/>
                          </w:rPr>
                        </w:pPr>
                        <w:r>
                          <w:rPr>
                            <w:bCs/>
                            <w:sz w:val="16"/>
                            <w:szCs w:val="16"/>
                            <w:lang w:val="en-GB"/>
                          </w:rPr>
                          <w:t>UNDP</w:t>
                        </w:r>
                      </w:p>
                      <w:p w14:paraId="7D07FAC8" w14:textId="77777777" w:rsidR="00127DDC" w:rsidRPr="00FB2197" w:rsidRDefault="00127DDC" w:rsidP="00862DB0">
                        <w:pPr>
                          <w:jc w:val="center"/>
                          <w:rPr>
                            <w:bCs/>
                            <w:sz w:val="16"/>
                            <w:szCs w:val="16"/>
                          </w:rPr>
                        </w:pPr>
                      </w:p>
                    </w:txbxContent>
                  </v:textbox>
                </v:rect>
                <v:rect id="Rectangle 345" o:spid="_x0000_s1031" style="position:absolute;left:20040;top:8208;width:14762;height:69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" fillcolor="#fc0">
                  <v:shadow on="t" opacity=".5" offset="6pt,6pt"/>
                  <v:textbox>
                    <w:txbxContent>
                      <w:p w14:paraId="362CBE7F" w14:textId="77777777" w:rsidR="00127DDC" w:rsidRPr="00FB2197" w:rsidRDefault="00127DDC" w:rsidP="00862DB0">
                        <w:pPr>
                          <w:spacing w:after="0"/>
                          <w:jc w:val="center"/>
                          <w:rPr>
                            <w:b/>
                            <w:sz w:val="16"/>
                            <w:szCs w:val="16"/>
                          </w:rPr>
                        </w:pPr>
                        <w:r>
                          <w:rPr>
                            <w:b/>
                            <w:sz w:val="18"/>
                            <w:szCs w:val="18"/>
                          </w:rPr>
                          <w:t xml:space="preserve">Project Executive: </w:t>
                        </w:r>
                        <w:r w:rsidRPr="00FB2197">
                          <w:rPr>
                            <w:sz w:val="16"/>
                            <w:szCs w:val="16"/>
                          </w:rPr>
                          <w:t xml:space="preserve">Project National Director nominated by the Ministry of </w:t>
                        </w:r>
                        <w:r>
                          <w:rPr>
                            <w:sz w:val="16"/>
                            <w:szCs w:val="16"/>
                          </w:rPr>
                          <w:t>Ecology, Spatial Planning and Urbanism</w:t>
                        </w:r>
                      </w:p>
                      <w:p w14:paraId="6D94E114" w14:textId="77777777" w:rsidR="00127DDC" w:rsidRPr="00FB2197" w:rsidRDefault="00127DDC" w:rsidP="00862DB0">
                        <w:pPr>
                          <w:jc w:val="center"/>
                          <w:rPr>
                            <w:b/>
                            <w:sz w:val="16"/>
                            <w:szCs w:val="16"/>
                          </w:rPr>
                        </w:pPr>
                      </w:p>
                    </w:txbxContent>
                  </v:textbox>
                </v:rect>
                <v:rect id="Rectangle 346" o:spid="_x0000_s1032" style="position:absolute;left:35030;top:8132;width:16002;height:120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" fillcolor="#fc0">
                  <v:shadow on="t" opacity=".5" offset="6pt,6pt"/>
                  <v:textbox>
                    <w:txbxContent>
                      <w:p w14:paraId="77F4C5E4" w14:textId="3A8BDB8D" w:rsidR="00127DDC" w:rsidRDefault="00127DDC" w:rsidP="00862DB0">
                        <w:pPr>
                          <w:spacing w:after="0"/>
                          <w:jc w:val="center"/>
                          <w:rPr>
                            <w:sz w:val="16"/>
                            <w:szCs w:val="16"/>
                            <w:lang w:val="es-ES"/>
                          </w:rPr>
                        </w:pPr>
                        <w:r>
                          <w:rPr>
                            <w:sz w:val="16"/>
                            <w:szCs w:val="16"/>
                            <w:lang w:val="es-ES"/>
                          </w:rPr>
                          <w:t>Project Partnership Committee as Project beneficiaries and  observers to Project Steering Committee: Sectoral ministires</w:t>
                        </w:r>
                      </w:p>
                      <w:p w14:paraId="038BBF65" w14:textId="0458BDAF" w:rsidR="00127DDC" w:rsidRDefault="00127DDC" w:rsidP="00862DB0">
                        <w:pPr>
                          <w:spacing w:after="0"/>
                          <w:jc w:val="center"/>
                          <w:rPr>
                            <w:sz w:val="16"/>
                            <w:szCs w:val="16"/>
                            <w:lang w:val="es-ES"/>
                          </w:rPr>
                        </w:pPr>
                        <w:r>
                          <w:rPr>
                            <w:sz w:val="16"/>
                            <w:szCs w:val="16"/>
                            <w:lang w:val="es-ES"/>
                          </w:rPr>
                          <w:t>Protected Areas</w:t>
                        </w:r>
                      </w:p>
                      <w:p w14:paraId="233A3460" w14:textId="77777777" w:rsidR="00127DDC" w:rsidRDefault="00127DDC" w:rsidP="00862DB0">
                        <w:pPr>
                          <w:spacing w:after="0"/>
                          <w:jc w:val="center"/>
                          <w:rPr>
                            <w:sz w:val="16"/>
                            <w:szCs w:val="16"/>
                          </w:rPr>
                        </w:pPr>
                        <w:r>
                          <w:rPr>
                            <w:sz w:val="16"/>
                            <w:szCs w:val="16"/>
                          </w:rPr>
                          <w:t>L</w:t>
                        </w:r>
                        <w:r w:rsidRPr="00E6365B">
                          <w:rPr>
                            <w:sz w:val="16"/>
                            <w:szCs w:val="16"/>
                          </w:rPr>
                          <w:t xml:space="preserve">ocal </w:t>
                        </w:r>
                        <w:r>
                          <w:rPr>
                            <w:sz w:val="16"/>
                            <w:szCs w:val="16"/>
                          </w:rPr>
                          <w:t xml:space="preserve">sustainable </w:t>
                        </w:r>
                        <w:r w:rsidRPr="00E6365B">
                          <w:rPr>
                            <w:sz w:val="16"/>
                            <w:szCs w:val="16"/>
                          </w:rPr>
                          <w:t>tourism busi</w:t>
                        </w:r>
                        <w:r>
                          <w:rPr>
                            <w:sz w:val="16"/>
                            <w:szCs w:val="16"/>
                          </w:rPr>
                          <w:t>nesses</w:t>
                        </w:r>
                      </w:p>
                      <w:p w14:paraId="0AF80093" w14:textId="77777777" w:rsidR="00127DDC" w:rsidRDefault="00127DDC" w:rsidP="00862DB0">
                        <w:pPr>
                          <w:spacing w:after="0"/>
                          <w:jc w:val="center"/>
                          <w:rPr>
                            <w:sz w:val="16"/>
                            <w:szCs w:val="16"/>
                          </w:rPr>
                        </w:pPr>
                        <w:r>
                          <w:rPr>
                            <w:sz w:val="16"/>
                            <w:szCs w:val="16"/>
                          </w:rPr>
                          <w:t>P</w:t>
                        </w:r>
                        <w:r w:rsidRPr="00E6365B">
                          <w:rPr>
                            <w:sz w:val="16"/>
                            <w:szCs w:val="16"/>
                          </w:rPr>
                          <w:t>rivate forest o</w:t>
                        </w:r>
                        <w:r>
                          <w:rPr>
                            <w:sz w:val="16"/>
                            <w:szCs w:val="16"/>
                          </w:rPr>
                          <w:t>wners</w:t>
                        </w:r>
                        <w:r w:rsidRPr="00E6365B">
                          <w:rPr>
                            <w:sz w:val="16"/>
                            <w:szCs w:val="16"/>
                          </w:rPr>
                          <w:t xml:space="preserve"> </w:t>
                        </w:r>
                      </w:p>
                      <w:p w14:paraId="673AB5A2" w14:textId="77777777" w:rsidR="00127DDC" w:rsidRPr="00FB2197" w:rsidRDefault="00127DDC" w:rsidP="00862DB0">
                        <w:pPr>
                          <w:spacing w:after="0"/>
                          <w:jc w:val="center"/>
                          <w:rPr>
                            <w:sz w:val="16"/>
                            <w:szCs w:val="16"/>
                            <w:lang w:val="es-ES"/>
                          </w:rPr>
                        </w:pPr>
                        <w:r>
                          <w:rPr>
                            <w:sz w:val="16"/>
                            <w:szCs w:val="16"/>
                          </w:rPr>
                          <w:t>“Green” farmers</w:t>
                        </w:r>
                      </w:p>
                    </w:txbxContent>
                  </v:textbox>
                </v:rect>
                <v:shapetype id="_x0000_t32" coordsize="21600,21600" o:spt="32" o:oned="t" path="m,l21600,21600e" filled="f">
                  <v:path arrowok="t" fillok="f" o:connecttype="none"/>
                  <o:lock v:ext="edit" shapetype="t"/>
                </v:shapetype>
                <v:shape id="AutoShape 347" o:spid="_x0000_s1033" type="#_x0000_t32" style="position:absolute;left:27421;top:15163;width:87;height:480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"/>
                <v:rect id="Rectangle 348" o:spid="_x0000_s1034" style="position:absolute;left:2645;top:20366;width:16002;height:5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" fillcolor="#fc0">
                  <v:shadow on="t" opacity=".5" offset="6pt,6pt"/>
                  <v:textbox>
                    <w:txbxContent>
                      <w:p w14:paraId="5256E476" w14:textId="77777777" w:rsidR="00127DDC" w:rsidRDefault="00127DDC" w:rsidP="00862DB0">
                        <w:pPr>
                          <w:jc w:val="center"/>
                          <w:rPr>
                            <w:b/>
                            <w:sz w:val="18"/>
                            <w:szCs w:val="18"/>
                          </w:rPr>
                        </w:pPr>
                        <w:r>
                          <w:rPr>
                            <w:b/>
                            <w:sz w:val="18"/>
                            <w:szCs w:val="18"/>
                          </w:rPr>
                          <w:t>Project Assurance</w:t>
                        </w:r>
                      </w:p>
                      <w:p w14:paraId="6A87702F" w14:textId="77777777" w:rsidR="00127DDC" w:rsidRPr="008632A9" w:rsidRDefault="00127DDC" w:rsidP="00862DB0">
                        <w:pPr>
                          <w:jc w:val="center"/>
                          <w:rPr>
                            <w:bCs/>
                          </w:rPr>
                        </w:pPr>
                        <w:r w:rsidRPr="008632A9">
                          <w:rPr>
                            <w:bCs/>
                            <w:i/>
                            <w:sz w:val="18"/>
                            <w:szCs w:val="18"/>
                          </w:rPr>
                          <w:t xml:space="preserve">UNDP (UNDP-GEF PTA, RTA, UNDP CO Head of E&amp;E Team) </w:t>
                        </w:r>
                      </w:p>
                    </w:txbxContent>
                  </v:textbox>
                </v:rect>
                <v:rect id="Rectangle 349" o:spid="_x0000_s1035" style="position:absolute;left:37337;top:21031;width:13695;height:4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" fillcolor="#fc9">
                  <v:shadow on="t" opacity=".5" offset="6pt,6pt"/>
                  <v:textbox>
                    <w:txbxContent>
                      <w:p w14:paraId="68E7BBCD" w14:textId="77777777" w:rsidR="00127DDC" w:rsidRDefault="00127DDC" w:rsidP="00862DB0">
                        <w:pPr>
                          <w:jc w:val="center"/>
                          <w:rPr>
                            <w:b/>
                            <w:sz w:val="18"/>
                            <w:szCs w:val="18"/>
                          </w:rPr>
                        </w:pPr>
                        <w:r>
                          <w:rPr>
                            <w:b/>
                            <w:sz w:val="18"/>
                            <w:szCs w:val="18"/>
                          </w:rPr>
                          <w:t>Project Support (Project Management Unit)</w:t>
                        </w:r>
                      </w:p>
                      <w:p w14:paraId="1D1C8390" w14:textId="77777777" w:rsidR="00127DDC" w:rsidRDefault="00127DDC" w:rsidP="00862DB0">
                        <w:pPr>
                          <w:spacing w:before="120"/>
                          <w:jc w:val="center"/>
                          <w:rPr>
                            <w:sz w:val="18"/>
                            <w:szCs w:val="18"/>
                          </w:rPr>
                        </w:pPr>
                      </w:p>
                    </w:txbxContent>
                  </v:textbox>
                </v:rect>
                <v:shape id="AutoShape 350" o:spid="_x0000_s1036" type="#_x0000_t32" style="position:absolute;left:34387;top:22936;width:279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"/>
                <v:roundrect id="AutoShape 351" o:spid="_x0000_s1037" style="position:absolute;left:2645;top:359;width:49149;height:342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" fillcolor="#9cf">
                  <v:textbox>
                    <w:txbxContent>
                      <w:p w14:paraId="69EFE7DA" w14:textId="77777777" w:rsidR="00127DDC" w:rsidRPr="001D0B24" w:rsidRDefault="00127DDC" w:rsidP="00862DB0">
                        <w:pPr>
                          <w:spacing w:after="0"/>
                          <w:jc w:val="center"/>
                          <w:rPr>
                            <w:b/>
                            <w:sz w:val="24"/>
                          </w:rPr>
                        </w:pPr>
                        <w:r w:rsidRPr="001D0B24">
                          <w:rPr>
                            <w:b/>
                            <w:sz w:val="24"/>
                          </w:rPr>
                          <w:t>Project Organization Structure</w:t>
                        </w:r>
                      </w:p>
                    </w:txbxContent>
                  </v:textbox>
                </v:roundrect>
                <w10:anchorlock/>
              </v:group>
            </w:pict>
          </mc:Fallback>
        </mc:AlternateContent>
      </w:r>
    </w:p>
    <w:p w14:paraId="225A1675" w14:textId="77777777" w:rsidR="00907A6E" w:rsidRPr="003B6A69" w:rsidRDefault="00907A6E" w:rsidP="00907A6E">
      <w:pPr>
        <w:rPr>
          <w:u w:val="single"/>
        </w:rPr>
      </w:pPr>
      <w:r w:rsidRPr="003B6A69">
        <w:rPr>
          <w:u w:val="single"/>
        </w:rPr>
        <w:t>Project Board</w:t>
      </w:r>
    </w:p>
    <w:p w14:paraId="751C5793" w14:textId="77777777" w:rsidR="00907A6E" w:rsidRPr="003B6A69" w:rsidRDefault="00907A6E" w:rsidP="003C6B7B">
      <w:pPr>
        <w:numPr>
          <w:ilvl w:val="0"/>
          <w:numId w:val="41"/>
        </w:numPr>
        <w:tabs>
          <w:tab w:val="left" w:pos="426"/>
        </w:tabs>
        <w:spacing w:after="120"/>
        <w:ind w:left="450"/>
        <w:rPr>
          <w:szCs w:val="20"/>
        </w:rPr>
      </w:pPr>
      <w:r w:rsidRPr="003B6A69">
        <w:rPr>
          <w:rFonts w:cs="Arial"/>
          <w:noProof/>
          <w:szCs w:val="20"/>
          <w:lang w:eastAsia="zh-CN"/>
        </w:rPr>
        <w:t xml:space="preserve">The Project Board (also called Project Steering Committee) is responsible for taking </w:t>
      </w:r>
      <w:r w:rsidRPr="003B6A69">
        <w:rPr>
          <w:rFonts w:cs="Calibri"/>
          <w:szCs w:val="20"/>
        </w:rPr>
        <w:t xml:space="preserve">corrective action as needed to ensure the project achieves the desired results. </w:t>
      </w:r>
      <w:r w:rsidRPr="003B6A69">
        <w:rPr>
          <w:rFonts w:cs="Arial"/>
          <w:noProof/>
          <w:szCs w:val="20"/>
          <w:lang w:eastAsia="zh-CN"/>
        </w:rPr>
        <w:t xml:space="preserve">In order to ensure UNDP’s ultimate accountability, Project Board decisions should be made in accordance with standards that shall ensure management for development results, best value money, fairness, integrity, transparency, and effective international competition. </w:t>
      </w:r>
    </w:p>
    <w:p w14:paraId="5B5890C5" w14:textId="77777777" w:rsidR="00907A6E" w:rsidRPr="003B6A69" w:rsidRDefault="00907A6E" w:rsidP="003C6B7B">
      <w:pPr>
        <w:numPr>
          <w:ilvl w:val="0"/>
          <w:numId w:val="41"/>
        </w:numPr>
        <w:tabs>
          <w:tab w:val="left" w:pos="426"/>
        </w:tabs>
        <w:spacing w:after="120"/>
        <w:ind w:left="450"/>
        <w:rPr>
          <w:szCs w:val="20"/>
        </w:rPr>
      </w:pPr>
      <w:r w:rsidRPr="003B6A69">
        <w:rPr>
          <w:rFonts w:cs="Arial"/>
          <w:noProof/>
          <w:szCs w:val="20"/>
          <w:lang w:eastAsia="zh-CN"/>
        </w:rPr>
        <w:t xml:space="preserve">In case consensus cannot be reached within the Project Board, the UNDP </w:t>
      </w:r>
      <w:r w:rsidRPr="003B6A69">
        <w:rPr>
          <w:rFonts w:eastAsia="Times New Roman" w:cstheme="minorHAnsi"/>
        </w:rPr>
        <w:t xml:space="preserve">Resident Representative (or their designate) will mediate to find consensus and, if this cannot be found, will take the final decision to ensure project implementation is not unduly delayed. </w:t>
      </w:r>
    </w:p>
    <w:p w14:paraId="6FB6C4D5" w14:textId="77777777" w:rsidR="00907A6E" w:rsidRPr="003B6A69" w:rsidRDefault="00907A6E" w:rsidP="003C6B7B">
      <w:pPr>
        <w:numPr>
          <w:ilvl w:val="0"/>
          <w:numId w:val="41"/>
        </w:numPr>
        <w:tabs>
          <w:tab w:val="left" w:pos="426"/>
        </w:tabs>
        <w:spacing w:after="120"/>
        <w:ind w:left="450"/>
        <w:rPr>
          <w:szCs w:val="20"/>
        </w:rPr>
      </w:pPr>
      <w:r w:rsidRPr="003B6A69">
        <w:rPr>
          <w:szCs w:val="20"/>
        </w:rPr>
        <w:t>Specific responsibilities of the Project Board include:</w:t>
      </w:r>
    </w:p>
    <w:p w14:paraId="51AA1577" w14:textId="77777777" w:rsidR="00907A6E" w:rsidRPr="003B6A69" w:rsidRDefault="00907A6E" w:rsidP="003C6B7B">
      <w:pPr>
        <w:numPr>
          <w:ilvl w:val="1"/>
          <w:numId w:val="41"/>
        </w:numPr>
        <w:spacing w:after="0"/>
        <w:ind w:left="709" w:hanging="283"/>
        <w:rPr>
          <w:rFonts w:cs="Calibri"/>
          <w:szCs w:val="20"/>
        </w:rPr>
      </w:pPr>
      <w:r w:rsidRPr="003B6A69">
        <w:rPr>
          <w:rFonts w:cs="Calibri"/>
          <w:szCs w:val="20"/>
        </w:rPr>
        <w:t xml:space="preserve">Provide overall guidance and direction to the project, ensuring it remains within any specified </w:t>
      </w:r>
      <w:proofErr w:type="gramStart"/>
      <w:r w:rsidRPr="003B6A69">
        <w:rPr>
          <w:rFonts w:cs="Calibri"/>
          <w:szCs w:val="20"/>
        </w:rPr>
        <w:t>constraints;</w:t>
      </w:r>
      <w:proofErr w:type="gramEnd"/>
    </w:p>
    <w:p w14:paraId="05065A43" w14:textId="31DA5CB6" w:rsidR="00907A6E" w:rsidRPr="003B6A69" w:rsidRDefault="00907A6E" w:rsidP="003C6B7B">
      <w:pPr>
        <w:numPr>
          <w:ilvl w:val="1"/>
          <w:numId w:val="41"/>
        </w:numPr>
        <w:spacing w:after="0"/>
        <w:ind w:left="709" w:hanging="283"/>
        <w:rPr>
          <w:rFonts w:cs="Calibri"/>
          <w:szCs w:val="20"/>
        </w:rPr>
      </w:pPr>
      <w:r w:rsidRPr="003B6A69">
        <w:rPr>
          <w:rFonts w:cs="Calibri"/>
          <w:szCs w:val="20"/>
        </w:rPr>
        <w:t xml:space="preserve">Address project issues as raised by the </w:t>
      </w:r>
      <w:r w:rsidR="00127DDC" w:rsidRPr="003E6B19">
        <w:rPr>
          <w:highlight w:val="yellow"/>
          <w:lang w:val="en-GB" w:eastAsia="ja-JP"/>
        </w:rPr>
        <w:t xml:space="preserve">project coordinator / principle </w:t>
      </w:r>
      <w:proofErr w:type="gramStart"/>
      <w:r w:rsidR="00127DDC" w:rsidRPr="003E6B19">
        <w:rPr>
          <w:highlight w:val="yellow"/>
          <w:lang w:val="en-GB" w:eastAsia="ja-JP"/>
        </w:rPr>
        <w:t>manager</w:t>
      </w:r>
      <w:r w:rsidRPr="003B6A69">
        <w:rPr>
          <w:rFonts w:cs="Calibri"/>
          <w:szCs w:val="20"/>
        </w:rPr>
        <w:t>;</w:t>
      </w:r>
      <w:proofErr w:type="gramEnd"/>
    </w:p>
    <w:p w14:paraId="5FC1829F" w14:textId="77777777" w:rsidR="00907A6E" w:rsidRPr="003B6A69" w:rsidRDefault="00907A6E" w:rsidP="003C6B7B">
      <w:pPr>
        <w:numPr>
          <w:ilvl w:val="1"/>
          <w:numId w:val="41"/>
        </w:numPr>
        <w:spacing w:after="0"/>
        <w:ind w:left="709" w:hanging="283"/>
        <w:rPr>
          <w:rFonts w:cs="Calibri"/>
          <w:szCs w:val="20"/>
        </w:rPr>
      </w:pPr>
      <w:r w:rsidRPr="003B6A69">
        <w:rPr>
          <w:rFonts w:cs="Calibri"/>
          <w:szCs w:val="20"/>
        </w:rPr>
        <w:t xml:space="preserve">Provide guidance on new project risks, and agree on possible mitigation and management actions to address specific </w:t>
      </w:r>
      <w:proofErr w:type="gramStart"/>
      <w:r w:rsidRPr="003B6A69">
        <w:rPr>
          <w:rFonts w:cs="Calibri"/>
          <w:szCs w:val="20"/>
        </w:rPr>
        <w:t>risks;</w:t>
      </w:r>
      <w:proofErr w:type="gramEnd"/>
      <w:r w:rsidRPr="003B6A69">
        <w:rPr>
          <w:rFonts w:cs="Calibri"/>
          <w:szCs w:val="20"/>
        </w:rPr>
        <w:t xml:space="preserve"> </w:t>
      </w:r>
    </w:p>
    <w:p w14:paraId="1DBCF624" w14:textId="0E2F79B0" w:rsidR="00907A6E" w:rsidRPr="003B6A69" w:rsidRDefault="00907A6E" w:rsidP="003C6B7B">
      <w:pPr>
        <w:numPr>
          <w:ilvl w:val="1"/>
          <w:numId w:val="41"/>
        </w:numPr>
        <w:spacing w:after="0"/>
        <w:ind w:left="709" w:hanging="283"/>
        <w:rPr>
          <w:rFonts w:cs="Calibri"/>
          <w:szCs w:val="20"/>
        </w:rPr>
      </w:pPr>
      <w:r w:rsidRPr="003B6A69">
        <w:rPr>
          <w:rFonts w:cs="Calibri"/>
          <w:szCs w:val="20"/>
        </w:rPr>
        <w:t xml:space="preserve">Agree on </w:t>
      </w:r>
      <w:r w:rsidR="00127DDC" w:rsidRPr="00127DDC">
        <w:rPr>
          <w:highlight w:val="yellow"/>
          <w:lang w:val="en-GB" w:eastAsia="ja-JP"/>
        </w:rPr>
        <w:t xml:space="preserve">project </w:t>
      </w:r>
      <w:r w:rsidR="00127DDC">
        <w:rPr>
          <w:highlight w:val="yellow"/>
          <w:lang w:val="en-GB" w:eastAsia="ja-JP"/>
        </w:rPr>
        <w:t>c</w:t>
      </w:r>
      <w:r w:rsidR="00127DDC" w:rsidRPr="00127DDC">
        <w:rPr>
          <w:highlight w:val="yellow"/>
          <w:lang w:val="en-GB" w:eastAsia="ja-JP"/>
        </w:rPr>
        <w:t xml:space="preserve">oordinator / </w:t>
      </w:r>
      <w:proofErr w:type="gramStart"/>
      <w:r w:rsidR="00127DDC" w:rsidRPr="00127DDC">
        <w:rPr>
          <w:highlight w:val="yellow"/>
          <w:lang w:val="en-GB" w:eastAsia="ja-JP"/>
        </w:rPr>
        <w:t>principle</w:t>
      </w:r>
      <w:proofErr w:type="gramEnd"/>
      <w:r w:rsidR="00127DDC" w:rsidRPr="00127DDC">
        <w:rPr>
          <w:highlight w:val="yellow"/>
          <w:lang w:val="en-GB" w:eastAsia="ja-JP"/>
        </w:rPr>
        <w:t xml:space="preserve"> </w:t>
      </w:r>
      <w:r w:rsidR="00127DDC">
        <w:rPr>
          <w:highlight w:val="yellow"/>
          <w:lang w:val="en-GB" w:eastAsia="ja-JP"/>
        </w:rPr>
        <w:t>m</w:t>
      </w:r>
      <w:r w:rsidR="00127DDC" w:rsidRPr="00127DDC">
        <w:rPr>
          <w:highlight w:val="yellow"/>
          <w:lang w:val="en-GB" w:eastAsia="ja-JP"/>
        </w:rPr>
        <w:t>anager</w:t>
      </w:r>
      <w:r w:rsidRPr="00127DDC">
        <w:rPr>
          <w:rFonts w:cs="Calibri"/>
          <w:szCs w:val="20"/>
          <w:highlight w:val="yellow"/>
        </w:rPr>
        <w:t>’s</w:t>
      </w:r>
      <w:r w:rsidRPr="003B6A69">
        <w:rPr>
          <w:rFonts w:cs="Calibri"/>
          <w:szCs w:val="20"/>
        </w:rPr>
        <w:t xml:space="preserve"> tolerances as required, within the parameters set by UNDP-GEF, and provide direction and advice for exceptional situations when the </w:t>
      </w:r>
      <w:r w:rsidR="00127DDC" w:rsidRPr="00127DDC">
        <w:rPr>
          <w:highlight w:val="yellow"/>
          <w:lang w:val="en-GB" w:eastAsia="ja-JP"/>
        </w:rPr>
        <w:t xml:space="preserve">project </w:t>
      </w:r>
      <w:r w:rsidR="00127DDC">
        <w:rPr>
          <w:highlight w:val="yellow"/>
          <w:lang w:val="en-GB" w:eastAsia="ja-JP"/>
        </w:rPr>
        <w:t>c</w:t>
      </w:r>
      <w:r w:rsidR="00127DDC" w:rsidRPr="00127DDC">
        <w:rPr>
          <w:highlight w:val="yellow"/>
          <w:lang w:val="en-GB" w:eastAsia="ja-JP"/>
        </w:rPr>
        <w:t xml:space="preserve">oordinator / principle </w:t>
      </w:r>
      <w:r w:rsidR="00127DDC">
        <w:rPr>
          <w:highlight w:val="yellow"/>
          <w:lang w:val="en-GB" w:eastAsia="ja-JP"/>
        </w:rPr>
        <w:t>m</w:t>
      </w:r>
      <w:r w:rsidR="00127DDC" w:rsidRPr="00127DDC">
        <w:rPr>
          <w:highlight w:val="yellow"/>
          <w:lang w:val="en-GB" w:eastAsia="ja-JP"/>
        </w:rPr>
        <w:t>anager</w:t>
      </w:r>
      <w:r w:rsidRPr="00127DDC">
        <w:rPr>
          <w:rFonts w:cs="Calibri"/>
          <w:szCs w:val="20"/>
          <w:highlight w:val="yellow"/>
        </w:rPr>
        <w:t>’s</w:t>
      </w:r>
      <w:r w:rsidRPr="003B6A69">
        <w:rPr>
          <w:rFonts w:cs="Calibri"/>
          <w:szCs w:val="20"/>
        </w:rPr>
        <w:t xml:space="preserve"> tolerances are exceeded;</w:t>
      </w:r>
    </w:p>
    <w:p w14:paraId="753B7786" w14:textId="77777777" w:rsidR="00907A6E" w:rsidRPr="003B6A69" w:rsidRDefault="00907A6E" w:rsidP="003C6B7B">
      <w:pPr>
        <w:numPr>
          <w:ilvl w:val="1"/>
          <w:numId w:val="41"/>
        </w:numPr>
        <w:spacing w:after="0"/>
        <w:ind w:left="709" w:hanging="283"/>
        <w:rPr>
          <w:rFonts w:cs="Calibri"/>
          <w:szCs w:val="20"/>
        </w:rPr>
      </w:pPr>
      <w:r w:rsidRPr="003B6A69">
        <w:rPr>
          <w:rFonts w:cs="Calibri"/>
          <w:szCs w:val="20"/>
        </w:rPr>
        <w:t>Advise on major and minor amendments to the project within the parameters set by UNDP-</w:t>
      </w:r>
      <w:proofErr w:type="gramStart"/>
      <w:r w:rsidRPr="003B6A69">
        <w:rPr>
          <w:rFonts w:cs="Calibri"/>
          <w:szCs w:val="20"/>
        </w:rPr>
        <w:t>GEF;</w:t>
      </w:r>
      <w:proofErr w:type="gramEnd"/>
    </w:p>
    <w:p w14:paraId="05655595" w14:textId="77777777" w:rsidR="00907A6E" w:rsidRPr="003B6A69" w:rsidRDefault="00907A6E" w:rsidP="003C6B7B">
      <w:pPr>
        <w:numPr>
          <w:ilvl w:val="1"/>
          <w:numId w:val="41"/>
        </w:numPr>
        <w:spacing w:after="0"/>
        <w:ind w:left="709" w:hanging="283"/>
        <w:rPr>
          <w:rFonts w:cs="Calibri"/>
          <w:szCs w:val="20"/>
        </w:rPr>
      </w:pPr>
      <w:r w:rsidRPr="003B6A69">
        <w:rPr>
          <w:rFonts w:cs="Calibri"/>
          <w:szCs w:val="20"/>
        </w:rPr>
        <w:t xml:space="preserve">Ensure coordination between various donor and government-funded projects and </w:t>
      </w:r>
      <w:proofErr w:type="spellStart"/>
      <w:proofErr w:type="gramStart"/>
      <w:r w:rsidRPr="003B6A69">
        <w:rPr>
          <w:rFonts w:cs="Calibri"/>
          <w:szCs w:val="20"/>
        </w:rPr>
        <w:t>programmes</w:t>
      </w:r>
      <w:proofErr w:type="spellEnd"/>
      <w:r w:rsidRPr="003B6A69">
        <w:rPr>
          <w:rFonts w:cs="Calibri"/>
          <w:szCs w:val="20"/>
        </w:rPr>
        <w:t>;</w:t>
      </w:r>
      <w:proofErr w:type="gramEnd"/>
      <w:r w:rsidRPr="003B6A69">
        <w:rPr>
          <w:rFonts w:cs="Calibri"/>
          <w:szCs w:val="20"/>
        </w:rPr>
        <w:t xml:space="preserve"> </w:t>
      </w:r>
    </w:p>
    <w:p w14:paraId="1B90D906" w14:textId="77777777" w:rsidR="00907A6E" w:rsidRPr="003B6A69" w:rsidRDefault="00907A6E" w:rsidP="003C6B7B">
      <w:pPr>
        <w:numPr>
          <w:ilvl w:val="1"/>
          <w:numId w:val="41"/>
        </w:numPr>
        <w:spacing w:after="0"/>
        <w:ind w:left="709" w:hanging="283"/>
        <w:rPr>
          <w:rFonts w:cs="Calibri"/>
          <w:szCs w:val="20"/>
        </w:rPr>
      </w:pPr>
      <w:r w:rsidRPr="003B6A69">
        <w:rPr>
          <w:rFonts w:cs="Calibri"/>
          <w:szCs w:val="20"/>
        </w:rPr>
        <w:t xml:space="preserve">Ensure coordination with various government agencies and their participation in project </w:t>
      </w:r>
      <w:proofErr w:type="gramStart"/>
      <w:r w:rsidRPr="003B6A69">
        <w:rPr>
          <w:rFonts w:cs="Calibri"/>
          <w:szCs w:val="20"/>
        </w:rPr>
        <w:t>activities;</w:t>
      </w:r>
      <w:proofErr w:type="gramEnd"/>
      <w:r w:rsidRPr="003B6A69">
        <w:rPr>
          <w:rFonts w:cs="Calibri"/>
          <w:szCs w:val="20"/>
        </w:rPr>
        <w:t xml:space="preserve"> </w:t>
      </w:r>
    </w:p>
    <w:p w14:paraId="1EE26EE2" w14:textId="77777777" w:rsidR="00907A6E" w:rsidRPr="003B6A69" w:rsidRDefault="00907A6E" w:rsidP="003C6B7B">
      <w:pPr>
        <w:numPr>
          <w:ilvl w:val="1"/>
          <w:numId w:val="41"/>
        </w:numPr>
        <w:spacing w:after="0"/>
        <w:ind w:left="709" w:hanging="283"/>
        <w:rPr>
          <w:rFonts w:cs="Calibri"/>
          <w:szCs w:val="20"/>
        </w:rPr>
      </w:pPr>
      <w:r w:rsidRPr="003B6A69">
        <w:rPr>
          <w:rFonts w:cs="Calibri"/>
          <w:szCs w:val="20"/>
        </w:rPr>
        <w:t xml:space="preserve">Track and monitor co-financing for this </w:t>
      </w:r>
      <w:proofErr w:type="gramStart"/>
      <w:r w:rsidRPr="003B6A69">
        <w:rPr>
          <w:rFonts w:cs="Calibri"/>
          <w:szCs w:val="20"/>
        </w:rPr>
        <w:t>project;</w:t>
      </w:r>
      <w:proofErr w:type="gramEnd"/>
      <w:r w:rsidRPr="003B6A69">
        <w:rPr>
          <w:rFonts w:cs="Calibri"/>
          <w:szCs w:val="20"/>
        </w:rPr>
        <w:t xml:space="preserve"> </w:t>
      </w:r>
    </w:p>
    <w:p w14:paraId="6FC49450" w14:textId="77777777" w:rsidR="00907A6E" w:rsidRPr="003B6A69" w:rsidRDefault="00907A6E" w:rsidP="003C6B7B">
      <w:pPr>
        <w:numPr>
          <w:ilvl w:val="1"/>
          <w:numId w:val="41"/>
        </w:numPr>
        <w:spacing w:after="0"/>
        <w:ind w:left="709" w:hanging="283"/>
        <w:rPr>
          <w:rFonts w:cs="Calibri"/>
          <w:szCs w:val="20"/>
        </w:rPr>
      </w:pPr>
      <w:r w:rsidRPr="003B6A69">
        <w:rPr>
          <w:rFonts w:cs="Calibri"/>
          <w:szCs w:val="20"/>
        </w:rPr>
        <w:t xml:space="preserve">Review the project progress, assess performance, and appraise the Annual Work Plan for the following </w:t>
      </w:r>
      <w:proofErr w:type="gramStart"/>
      <w:r w:rsidRPr="003B6A69">
        <w:rPr>
          <w:rFonts w:cs="Calibri"/>
          <w:szCs w:val="20"/>
        </w:rPr>
        <w:t>year;</w:t>
      </w:r>
      <w:proofErr w:type="gramEnd"/>
      <w:r w:rsidRPr="003B6A69">
        <w:rPr>
          <w:rFonts w:cs="Calibri"/>
          <w:szCs w:val="20"/>
        </w:rPr>
        <w:t xml:space="preserve"> </w:t>
      </w:r>
    </w:p>
    <w:p w14:paraId="637AB473" w14:textId="77777777" w:rsidR="00907A6E" w:rsidRPr="003B6A69" w:rsidRDefault="00907A6E" w:rsidP="003C6B7B">
      <w:pPr>
        <w:numPr>
          <w:ilvl w:val="1"/>
          <w:numId w:val="41"/>
        </w:numPr>
        <w:spacing w:after="0"/>
        <w:ind w:left="709" w:hanging="283"/>
        <w:rPr>
          <w:rFonts w:cs="Calibri"/>
          <w:szCs w:val="20"/>
        </w:rPr>
      </w:pPr>
      <w:r w:rsidRPr="003B6A69">
        <w:rPr>
          <w:rFonts w:cs="Calibri"/>
          <w:szCs w:val="20"/>
        </w:rPr>
        <w:t xml:space="preserve">Appraise the annual project implementation report, including the quality assessment rating </w:t>
      </w:r>
      <w:proofErr w:type="gramStart"/>
      <w:r w:rsidRPr="003B6A69">
        <w:rPr>
          <w:rFonts w:cs="Calibri"/>
          <w:szCs w:val="20"/>
        </w:rPr>
        <w:t>report;</w:t>
      </w:r>
      <w:proofErr w:type="gramEnd"/>
      <w:r w:rsidRPr="003B6A69">
        <w:rPr>
          <w:rFonts w:cs="Calibri"/>
          <w:szCs w:val="20"/>
        </w:rPr>
        <w:t xml:space="preserve"> </w:t>
      </w:r>
    </w:p>
    <w:p w14:paraId="7569957D" w14:textId="77777777" w:rsidR="00907A6E" w:rsidRPr="003B6A69" w:rsidRDefault="00907A6E" w:rsidP="003C6B7B">
      <w:pPr>
        <w:numPr>
          <w:ilvl w:val="1"/>
          <w:numId w:val="41"/>
        </w:numPr>
        <w:spacing w:after="0"/>
        <w:ind w:left="709" w:hanging="283"/>
        <w:rPr>
          <w:rFonts w:cs="Calibri"/>
          <w:szCs w:val="20"/>
        </w:rPr>
      </w:pPr>
      <w:r w:rsidRPr="003B6A69">
        <w:rPr>
          <w:rFonts w:cs="Calibri"/>
          <w:szCs w:val="20"/>
        </w:rPr>
        <w:t xml:space="preserve">Ensure commitment of human resources to support project implementation, arbitrating any issues within the </w:t>
      </w:r>
      <w:proofErr w:type="gramStart"/>
      <w:r w:rsidRPr="003B6A69">
        <w:rPr>
          <w:rFonts w:cs="Calibri"/>
          <w:szCs w:val="20"/>
        </w:rPr>
        <w:t>project;</w:t>
      </w:r>
      <w:proofErr w:type="gramEnd"/>
      <w:r w:rsidRPr="003B6A69">
        <w:rPr>
          <w:rFonts w:cs="Calibri"/>
          <w:szCs w:val="20"/>
        </w:rPr>
        <w:t xml:space="preserve"> </w:t>
      </w:r>
    </w:p>
    <w:p w14:paraId="6E98C3F5" w14:textId="77777777" w:rsidR="00907A6E" w:rsidRPr="003B6A69" w:rsidRDefault="00907A6E" w:rsidP="003C6B7B">
      <w:pPr>
        <w:numPr>
          <w:ilvl w:val="1"/>
          <w:numId w:val="41"/>
        </w:numPr>
        <w:spacing w:after="0"/>
        <w:ind w:left="709" w:hanging="283"/>
        <w:rPr>
          <w:rFonts w:cs="Calibri"/>
          <w:szCs w:val="20"/>
        </w:rPr>
      </w:pPr>
      <w:r w:rsidRPr="003B6A69">
        <w:rPr>
          <w:rFonts w:cs="Calibri"/>
          <w:szCs w:val="20"/>
        </w:rPr>
        <w:t xml:space="preserve">Review combined delivery reports prior to certification by the implementing </w:t>
      </w:r>
      <w:proofErr w:type="gramStart"/>
      <w:r w:rsidRPr="003B6A69">
        <w:rPr>
          <w:rFonts w:cs="Calibri"/>
          <w:szCs w:val="20"/>
        </w:rPr>
        <w:t>partner;</w:t>
      </w:r>
      <w:proofErr w:type="gramEnd"/>
    </w:p>
    <w:p w14:paraId="75A28F67" w14:textId="77777777" w:rsidR="00907A6E" w:rsidRPr="003B6A69" w:rsidRDefault="00907A6E" w:rsidP="003C6B7B">
      <w:pPr>
        <w:numPr>
          <w:ilvl w:val="1"/>
          <w:numId w:val="41"/>
        </w:numPr>
        <w:spacing w:after="0"/>
        <w:ind w:left="709" w:hanging="283"/>
        <w:rPr>
          <w:rFonts w:cs="Calibri"/>
          <w:szCs w:val="20"/>
        </w:rPr>
      </w:pPr>
      <w:r w:rsidRPr="003B6A69">
        <w:rPr>
          <w:rFonts w:cs="Calibri"/>
          <w:szCs w:val="20"/>
        </w:rPr>
        <w:t xml:space="preserve">Provide direction and recommendations to ensure that the agreed deliverables are produced satisfactorily according to </w:t>
      </w:r>
      <w:proofErr w:type="gramStart"/>
      <w:r w:rsidRPr="003B6A69">
        <w:rPr>
          <w:rFonts w:cs="Calibri"/>
          <w:szCs w:val="20"/>
        </w:rPr>
        <w:t>plans;</w:t>
      </w:r>
      <w:proofErr w:type="gramEnd"/>
    </w:p>
    <w:p w14:paraId="786456EE" w14:textId="77777777" w:rsidR="00907A6E" w:rsidRPr="003B6A69" w:rsidRDefault="00907A6E" w:rsidP="003C6B7B">
      <w:pPr>
        <w:numPr>
          <w:ilvl w:val="1"/>
          <w:numId w:val="41"/>
        </w:numPr>
        <w:spacing w:after="0"/>
        <w:ind w:left="709" w:hanging="283"/>
        <w:rPr>
          <w:rFonts w:cs="Calibri"/>
          <w:szCs w:val="20"/>
        </w:rPr>
      </w:pPr>
      <w:r w:rsidRPr="003B6A69">
        <w:rPr>
          <w:rFonts w:cs="Calibri"/>
          <w:szCs w:val="20"/>
        </w:rPr>
        <w:t xml:space="preserve">Address project-level </w:t>
      </w:r>
      <w:proofErr w:type="gramStart"/>
      <w:r w:rsidRPr="003B6A69">
        <w:rPr>
          <w:rFonts w:cs="Calibri"/>
          <w:szCs w:val="20"/>
        </w:rPr>
        <w:t>grievances;</w:t>
      </w:r>
      <w:proofErr w:type="gramEnd"/>
    </w:p>
    <w:p w14:paraId="3C67D3AF" w14:textId="77777777" w:rsidR="00907A6E" w:rsidRPr="003B6A69" w:rsidRDefault="00907A6E" w:rsidP="003C6B7B">
      <w:pPr>
        <w:numPr>
          <w:ilvl w:val="1"/>
          <w:numId w:val="41"/>
        </w:numPr>
        <w:spacing w:after="0"/>
        <w:ind w:left="709" w:hanging="283"/>
        <w:rPr>
          <w:rFonts w:cs="Calibri"/>
          <w:szCs w:val="20"/>
        </w:rPr>
      </w:pPr>
      <w:r w:rsidRPr="003B6A69">
        <w:rPr>
          <w:rFonts w:cs="Calibri"/>
          <w:szCs w:val="20"/>
        </w:rPr>
        <w:t xml:space="preserve">Approve the project Inception Report, MTR and TE reports and corresponding management </w:t>
      </w:r>
      <w:proofErr w:type="gramStart"/>
      <w:r w:rsidRPr="003B6A69">
        <w:rPr>
          <w:rFonts w:cs="Calibri"/>
          <w:szCs w:val="20"/>
        </w:rPr>
        <w:t>responses;</w:t>
      </w:r>
      <w:proofErr w:type="gramEnd"/>
    </w:p>
    <w:p w14:paraId="7630B7B6" w14:textId="77777777" w:rsidR="00907A6E" w:rsidRPr="003B6A69" w:rsidRDefault="00907A6E" w:rsidP="003C6B7B">
      <w:pPr>
        <w:numPr>
          <w:ilvl w:val="1"/>
          <w:numId w:val="41"/>
        </w:numPr>
        <w:spacing w:after="0"/>
        <w:ind w:left="720" w:hanging="288"/>
        <w:rPr>
          <w:rFonts w:cs="Calibri"/>
          <w:szCs w:val="20"/>
        </w:rPr>
      </w:pPr>
      <w:r w:rsidRPr="003B6A69">
        <w:rPr>
          <w:rFonts w:cs="Calibri"/>
          <w:szCs w:val="20"/>
        </w:rPr>
        <w:t xml:space="preserve">Review the final project report package during an end-of-project review meeting to discuss lesson learned and opportunities </w:t>
      </w:r>
      <w:r w:rsidRPr="003B6A69">
        <w:rPr>
          <w:szCs w:val="20"/>
        </w:rPr>
        <w:t>for</w:t>
      </w:r>
      <w:r w:rsidRPr="003B6A69">
        <w:rPr>
          <w:rFonts w:cs="Calibri"/>
          <w:szCs w:val="20"/>
        </w:rPr>
        <w:t xml:space="preserve"> scaling </w:t>
      </w:r>
      <w:proofErr w:type="gramStart"/>
      <w:r w:rsidRPr="003B6A69">
        <w:rPr>
          <w:rFonts w:cs="Calibri"/>
          <w:szCs w:val="20"/>
        </w:rPr>
        <w:t>up;</w:t>
      </w:r>
      <w:proofErr w:type="gramEnd"/>
    </w:p>
    <w:p w14:paraId="4604CAD6" w14:textId="77777777" w:rsidR="00907A6E" w:rsidRPr="003B6A69" w:rsidRDefault="00907A6E" w:rsidP="003C6B7B">
      <w:pPr>
        <w:numPr>
          <w:ilvl w:val="1"/>
          <w:numId w:val="41"/>
        </w:numPr>
        <w:spacing w:after="120"/>
        <w:ind w:left="720" w:hanging="288"/>
        <w:rPr>
          <w:rFonts w:cs="Calibri"/>
          <w:szCs w:val="20"/>
        </w:rPr>
      </w:pPr>
      <w:r w:rsidRPr="003B6A69">
        <w:rPr>
          <w:rFonts w:cs="Calibri"/>
          <w:szCs w:val="20"/>
        </w:rPr>
        <w:t xml:space="preserve">Ensure highest levels of transparency and take all measures to avoid any real or perceived conflicts of interest.    </w:t>
      </w:r>
    </w:p>
    <w:p w14:paraId="40E64830" w14:textId="77777777" w:rsidR="00907A6E" w:rsidRPr="003B6A69" w:rsidRDefault="00907A6E" w:rsidP="00907A6E">
      <w:pPr>
        <w:spacing w:after="120"/>
        <w:rPr>
          <w:rFonts w:cs="Calibri"/>
          <w:szCs w:val="20"/>
        </w:rPr>
      </w:pPr>
    </w:p>
    <w:p w14:paraId="5D6C281C" w14:textId="77777777" w:rsidR="00907A6E" w:rsidRPr="003B6A69" w:rsidRDefault="00907A6E" w:rsidP="003C6B7B">
      <w:pPr>
        <w:numPr>
          <w:ilvl w:val="0"/>
          <w:numId w:val="41"/>
        </w:numPr>
        <w:tabs>
          <w:tab w:val="left" w:pos="426"/>
        </w:tabs>
        <w:spacing w:after="120"/>
        <w:ind w:left="450"/>
        <w:rPr>
          <w:szCs w:val="20"/>
        </w:rPr>
      </w:pPr>
      <w:r w:rsidRPr="003B6A69">
        <w:rPr>
          <w:szCs w:val="20"/>
        </w:rPr>
        <w:lastRenderedPageBreak/>
        <w:t xml:space="preserve">The composition of the Project Board must include the following roles: </w:t>
      </w:r>
    </w:p>
    <w:p w14:paraId="194BAFBD" w14:textId="515ED97F" w:rsidR="00907A6E" w:rsidRPr="003B6A69" w:rsidRDefault="00907A6E" w:rsidP="003C6B7B">
      <w:pPr>
        <w:numPr>
          <w:ilvl w:val="1"/>
          <w:numId w:val="41"/>
        </w:numPr>
        <w:spacing w:after="120"/>
        <w:ind w:left="709" w:hanging="283"/>
        <w:rPr>
          <w:szCs w:val="20"/>
        </w:rPr>
      </w:pPr>
      <w:r w:rsidRPr="003B6A69">
        <w:rPr>
          <w:i/>
          <w:iCs/>
          <w:szCs w:val="20"/>
        </w:rPr>
        <w:t>Project Executive</w:t>
      </w:r>
      <w:r w:rsidRPr="003B6A69">
        <w:rPr>
          <w:szCs w:val="20"/>
        </w:rPr>
        <w:t>: Is an individual who represents ownership of the project</w:t>
      </w:r>
      <w:r w:rsidRPr="003B6A69">
        <w:rPr>
          <w:rFonts w:eastAsia="Times New Roman" w:cstheme="minorHAnsi"/>
          <w:szCs w:val="20"/>
        </w:rPr>
        <w:t xml:space="preserve"> and chairs the Project Board. The Executive is normally the national counterpart for nationally implemented projects. </w:t>
      </w:r>
      <w:r w:rsidR="00D518B9" w:rsidRPr="003B6A69">
        <w:rPr>
          <w:szCs w:val="20"/>
        </w:rPr>
        <w:t>The Project Executive is</w:t>
      </w:r>
      <w:r w:rsidRPr="003B6A69">
        <w:rPr>
          <w:szCs w:val="20"/>
        </w:rPr>
        <w:t xml:space="preserve"> the designated representative from the </w:t>
      </w:r>
      <w:r w:rsidRPr="003B6A69">
        <w:rPr>
          <w:rFonts w:cs="Calibri"/>
          <w:color w:val="000000" w:themeColor="text1"/>
          <w:szCs w:val="20"/>
        </w:rPr>
        <w:t>Ministry of Ecology, Spatial Planning and Urbanism</w:t>
      </w:r>
      <w:r w:rsidRPr="003B6A69">
        <w:rPr>
          <w:iCs/>
          <w:szCs w:val="20"/>
        </w:rPr>
        <w:t>.</w:t>
      </w:r>
    </w:p>
    <w:p w14:paraId="07A198EA" w14:textId="232476F4" w:rsidR="00907A6E" w:rsidRPr="003B6A69" w:rsidRDefault="00907A6E" w:rsidP="003C6B7B">
      <w:pPr>
        <w:numPr>
          <w:ilvl w:val="1"/>
          <w:numId w:val="41"/>
        </w:numPr>
        <w:spacing w:after="120"/>
        <w:ind w:left="709" w:hanging="283"/>
        <w:rPr>
          <w:szCs w:val="20"/>
        </w:rPr>
      </w:pPr>
      <w:r w:rsidRPr="003B6A69">
        <w:rPr>
          <w:i/>
          <w:szCs w:val="20"/>
        </w:rPr>
        <w:t>Beneficiary Representative</w:t>
      </w:r>
      <w:r w:rsidRPr="003B6A69">
        <w:rPr>
          <w:szCs w:val="20"/>
        </w:rPr>
        <w:t xml:space="preserve">: </w:t>
      </w:r>
      <w:r w:rsidRPr="003B6A69">
        <w:rPr>
          <w:rFonts w:eastAsia="Times New Roman" w:cstheme="minorHAnsi"/>
          <w:szCs w:val="20"/>
        </w:rPr>
        <w:t>Individuals or groups representing the interests of those who will ultimately benefit from the project. Their primary function within the board is to ensure the realization of project results from the perspective of project beneficiaries. Often civil society representative(s) can fulfi</w:t>
      </w:r>
      <w:r w:rsidR="00A571D9" w:rsidRPr="003B6A69">
        <w:rPr>
          <w:rFonts w:eastAsia="Times New Roman" w:cstheme="minorHAnsi"/>
          <w:szCs w:val="20"/>
        </w:rPr>
        <w:t>l</w:t>
      </w:r>
      <w:r w:rsidRPr="003B6A69">
        <w:rPr>
          <w:rFonts w:eastAsia="Times New Roman" w:cstheme="minorHAnsi"/>
          <w:szCs w:val="20"/>
        </w:rPr>
        <w:t>l this role.</w:t>
      </w:r>
      <w:r w:rsidRPr="003B6A69">
        <w:rPr>
          <w:rFonts w:cstheme="minorHAnsi"/>
          <w:szCs w:val="20"/>
        </w:rPr>
        <w:t xml:space="preserve"> </w:t>
      </w:r>
      <w:r w:rsidRPr="003B6A69">
        <w:rPr>
          <w:szCs w:val="20"/>
        </w:rPr>
        <w:t>The Beneficiary representative</w:t>
      </w:r>
      <w:r w:rsidR="00862DB0" w:rsidRPr="003B6A69">
        <w:rPr>
          <w:szCs w:val="20"/>
        </w:rPr>
        <w:t>s will be gathered within the Project Partnership Committee</w:t>
      </w:r>
      <w:r w:rsidR="00D518B9" w:rsidRPr="003B6A69">
        <w:rPr>
          <w:szCs w:val="20"/>
        </w:rPr>
        <w:t xml:space="preserve"> </w:t>
      </w:r>
      <w:r w:rsidR="00862DB0" w:rsidRPr="003B6A69">
        <w:rPr>
          <w:szCs w:val="20"/>
        </w:rPr>
        <w:t xml:space="preserve">(below). </w:t>
      </w:r>
      <w:r w:rsidRPr="003B6A69">
        <w:rPr>
          <w:szCs w:val="20"/>
        </w:rPr>
        <w:t xml:space="preserve"> </w:t>
      </w:r>
      <w:r w:rsidR="00862DB0" w:rsidRPr="003B6A69">
        <w:rPr>
          <w:szCs w:val="20"/>
        </w:rPr>
        <w:t xml:space="preserve">One representative from the Partnership committee will be elected, during the Inception phase, as </w:t>
      </w:r>
      <w:r w:rsidR="00A571D9" w:rsidRPr="003B6A69">
        <w:rPr>
          <w:szCs w:val="20"/>
        </w:rPr>
        <w:t xml:space="preserve">a </w:t>
      </w:r>
      <w:r w:rsidR="00862DB0" w:rsidRPr="003B6A69">
        <w:rPr>
          <w:szCs w:val="20"/>
        </w:rPr>
        <w:t xml:space="preserve">member of the Project Steering Committee (performing on </w:t>
      </w:r>
      <w:r w:rsidR="00A571D9" w:rsidRPr="003B6A69">
        <w:rPr>
          <w:szCs w:val="20"/>
        </w:rPr>
        <w:t xml:space="preserve">a </w:t>
      </w:r>
      <w:r w:rsidR="00862DB0" w:rsidRPr="003B6A69">
        <w:rPr>
          <w:szCs w:val="20"/>
        </w:rPr>
        <w:t>rotational basis).</w:t>
      </w:r>
    </w:p>
    <w:p w14:paraId="5D7405C6" w14:textId="1F593B74" w:rsidR="00907A6E" w:rsidRPr="003B6A69" w:rsidRDefault="00907A6E" w:rsidP="003C6B7B">
      <w:pPr>
        <w:numPr>
          <w:ilvl w:val="1"/>
          <w:numId w:val="41"/>
        </w:numPr>
        <w:spacing w:after="120"/>
        <w:ind w:left="709" w:hanging="283"/>
        <w:rPr>
          <w:szCs w:val="20"/>
        </w:rPr>
      </w:pPr>
      <w:r w:rsidRPr="003B6A69">
        <w:rPr>
          <w:i/>
          <w:szCs w:val="20"/>
        </w:rPr>
        <w:t>Development Partner(s)</w:t>
      </w:r>
      <w:r w:rsidRPr="003B6A69">
        <w:rPr>
          <w:szCs w:val="20"/>
        </w:rPr>
        <w:t xml:space="preserve">: </w:t>
      </w:r>
      <w:r w:rsidRPr="003B6A69">
        <w:rPr>
          <w:rFonts w:eastAsia="Times New Roman" w:cstheme="minorHAnsi"/>
          <w:szCs w:val="20"/>
        </w:rPr>
        <w:t xml:space="preserve">Individuals or groups representing the interests of the parties concerned that provide funding and/or technical expertise to the project. </w:t>
      </w:r>
      <w:r w:rsidRPr="003B6A69">
        <w:rPr>
          <w:szCs w:val="20"/>
        </w:rPr>
        <w:t xml:space="preserve">The Development Partner(s) is/are the </w:t>
      </w:r>
      <w:r w:rsidR="00862DB0" w:rsidRPr="003B6A69">
        <w:rPr>
          <w:rFonts w:cs="Calibri"/>
          <w:color w:val="000000" w:themeColor="text1"/>
          <w:szCs w:val="20"/>
        </w:rPr>
        <w:t xml:space="preserve">Ministry of Ecology, Spatial Planning and Urbanism, Ministry of Economic Development, Ministry of </w:t>
      </w:r>
      <w:r w:rsidR="00862DB0" w:rsidRPr="003B6A69">
        <w:rPr>
          <w:szCs w:val="20"/>
        </w:rPr>
        <w:t>Agriculture, Forestry and Water Management</w:t>
      </w:r>
      <w:r w:rsidRPr="003B6A69">
        <w:rPr>
          <w:szCs w:val="20"/>
        </w:rPr>
        <w:t xml:space="preserve">. </w:t>
      </w:r>
    </w:p>
    <w:p w14:paraId="470E62AF" w14:textId="62E6A0D2" w:rsidR="00907A6E" w:rsidRPr="003B6A69" w:rsidRDefault="00907A6E" w:rsidP="003C6B7B">
      <w:pPr>
        <w:numPr>
          <w:ilvl w:val="1"/>
          <w:numId w:val="41"/>
        </w:numPr>
        <w:spacing w:after="120"/>
        <w:ind w:left="709" w:hanging="283"/>
        <w:rPr>
          <w:szCs w:val="20"/>
        </w:rPr>
      </w:pPr>
      <w:r w:rsidRPr="003B6A69">
        <w:rPr>
          <w:rFonts w:cs="Calibri"/>
          <w:i/>
        </w:rPr>
        <w:t>Project Assurance</w:t>
      </w:r>
      <w:r w:rsidRPr="003B6A69">
        <w:rPr>
          <w:i/>
          <w:szCs w:val="20"/>
        </w:rPr>
        <w:t>:</w:t>
      </w:r>
      <w:r w:rsidRPr="003B6A69">
        <w:rPr>
          <w:szCs w:val="20"/>
        </w:rPr>
        <w:t xml:space="preserve"> UNDP performs the quality assurance and supports the Project Board and Project Management Unit by carrying out objective and independent project oversight and monitoring functions. This role ensures appropriate project management milestones are managed and completed. The Project Board cannot delegate any of its quality assurance responsibilities to the </w:t>
      </w:r>
      <w:r w:rsidR="00127DDC" w:rsidRPr="00127DDC">
        <w:rPr>
          <w:highlight w:val="yellow"/>
          <w:lang w:val="en-GB" w:eastAsia="ja-JP"/>
        </w:rPr>
        <w:t xml:space="preserve">Project Coordinator / </w:t>
      </w:r>
      <w:proofErr w:type="gramStart"/>
      <w:r w:rsidR="00127DDC" w:rsidRPr="00127DDC">
        <w:rPr>
          <w:highlight w:val="yellow"/>
          <w:lang w:val="en-GB" w:eastAsia="ja-JP"/>
        </w:rPr>
        <w:t>Principle</w:t>
      </w:r>
      <w:proofErr w:type="gramEnd"/>
      <w:r w:rsidR="00127DDC" w:rsidRPr="00127DDC">
        <w:rPr>
          <w:highlight w:val="yellow"/>
          <w:lang w:val="en-GB" w:eastAsia="ja-JP"/>
        </w:rPr>
        <w:t xml:space="preserve"> Manager</w:t>
      </w:r>
      <w:r w:rsidRPr="00127DDC">
        <w:rPr>
          <w:szCs w:val="20"/>
          <w:highlight w:val="yellow"/>
        </w:rPr>
        <w:t>.</w:t>
      </w:r>
      <w:r w:rsidRPr="003B6A69">
        <w:rPr>
          <w:szCs w:val="20"/>
        </w:rPr>
        <w:t xml:space="preserve"> UNDP provides a three – tier oversight services involving the UNDP Country Offices and UNDP at regional and headquarters levels. Project assurance is totally independent of the Project Management function.</w:t>
      </w:r>
    </w:p>
    <w:p w14:paraId="51E03443" w14:textId="48F42F3B" w:rsidR="00D518B9" w:rsidRPr="003B6A69" w:rsidRDefault="00D518B9" w:rsidP="00D518B9">
      <w:pPr>
        <w:spacing w:after="120"/>
        <w:rPr>
          <w:szCs w:val="20"/>
        </w:rPr>
      </w:pPr>
      <w:r w:rsidRPr="003B6A69">
        <w:rPr>
          <w:rFonts w:cs="Calibri"/>
        </w:rPr>
        <w:t xml:space="preserve">Thus, the Project Board or Steering Committee includes the designated representatives from the </w:t>
      </w:r>
      <w:r w:rsidRPr="003B6A69">
        <w:rPr>
          <w:rFonts w:cs="Calibri"/>
          <w:color w:val="000000" w:themeColor="text1"/>
          <w:szCs w:val="20"/>
        </w:rPr>
        <w:t xml:space="preserve">Ministry of Ecology, Spatial Planning and Urbanism (Project National Director), the representatives nominated by the Ministry of Economic Development and the Ministry of </w:t>
      </w:r>
      <w:r w:rsidRPr="003B6A69">
        <w:rPr>
          <w:szCs w:val="20"/>
        </w:rPr>
        <w:t xml:space="preserve">Agriculture, Forestry and Water Management, UNDP representative, and the representative of project beneficiaries proposed by the Project Partnership Committee (below) on </w:t>
      </w:r>
      <w:r w:rsidR="00A571D9" w:rsidRPr="003B6A69">
        <w:rPr>
          <w:szCs w:val="20"/>
        </w:rPr>
        <w:t xml:space="preserve">a </w:t>
      </w:r>
      <w:r w:rsidRPr="003B6A69">
        <w:rPr>
          <w:szCs w:val="20"/>
        </w:rPr>
        <w:t xml:space="preserve">rotational basis. </w:t>
      </w:r>
    </w:p>
    <w:p w14:paraId="0C855BA0" w14:textId="6FEBC824" w:rsidR="00862DB0" w:rsidRPr="003B6A69" w:rsidRDefault="00862DB0" w:rsidP="003C6B7B">
      <w:pPr>
        <w:numPr>
          <w:ilvl w:val="0"/>
          <w:numId w:val="41"/>
        </w:numPr>
        <w:tabs>
          <w:tab w:val="left" w:pos="426"/>
          <w:tab w:val="left" w:pos="540"/>
        </w:tabs>
        <w:spacing w:after="120"/>
        <w:ind w:left="0" w:firstLine="0"/>
        <w:rPr>
          <w:rFonts w:cs="Arial"/>
          <w:noProof/>
          <w:szCs w:val="20"/>
          <w:lang w:eastAsia="zh-CN"/>
        </w:rPr>
      </w:pPr>
      <w:r w:rsidRPr="003B6A69">
        <w:rPr>
          <w:rFonts w:cs="Arial"/>
          <w:noProof/>
          <w:szCs w:val="20"/>
          <w:lang w:eastAsia="zh-CN"/>
        </w:rPr>
        <w:t xml:space="preserve">Due to the </w:t>
      </w:r>
      <w:r w:rsidR="009579C8" w:rsidRPr="003B6A69">
        <w:rPr>
          <w:rFonts w:cs="Arial"/>
          <w:noProof/>
          <w:szCs w:val="20"/>
          <w:lang w:eastAsia="zh-CN"/>
        </w:rPr>
        <w:t xml:space="preserve">multi-sectoral and </w:t>
      </w:r>
      <w:r w:rsidRPr="003B6A69">
        <w:rPr>
          <w:rFonts w:cs="Arial"/>
          <w:noProof/>
          <w:szCs w:val="20"/>
          <w:lang w:eastAsia="zh-CN"/>
        </w:rPr>
        <w:t xml:space="preserve">multi-stakeholder nature of the project, geographical scope, and diversity of planned activities, the work of the Project Steering Committee will be supported by an advisory panel to ensure </w:t>
      </w:r>
      <w:r w:rsidRPr="003B6A69">
        <w:rPr>
          <w:rFonts w:eastAsia="Times New Roman" w:cstheme="minorHAnsi"/>
          <w:szCs w:val="20"/>
        </w:rPr>
        <w:t>the realization of project results from the perspective of project beneficiaries. This advisory panel, or Partnership Committee, will be formed of project beneficiaries</w:t>
      </w:r>
      <w:r w:rsidRPr="003B6A69">
        <w:rPr>
          <w:rFonts w:cs="Arial"/>
          <w:noProof/>
          <w:szCs w:val="20"/>
          <w:lang w:eastAsia="zh-CN"/>
        </w:rPr>
        <w:t>, directly or indirectly affected, either positively or negatively, by the project decisions or actions, due to available expertise and possible benefits to the implementation. The Partnership Committee will serve as a platform for coordination between complementary projects and initiatives, current and future, information exchange, coordination and co-financing monitoring</w:t>
      </w:r>
      <w:r w:rsidR="008D3523" w:rsidRPr="003B6A69">
        <w:rPr>
          <w:rFonts w:cs="Arial"/>
          <w:noProof/>
          <w:szCs w:val="20"/>
          <w:lang w:eastAsia="zh-CN"/>
        </w:rPr>
        <w:t>.</w:t>
      </w:r>
      <w:r w:rsidRPr="003B6A69">
        <w:rPr>
          <w:szCs w:val="20"/>
        </w:rPr>
        <w:t xml:space="preserve"> The Partnership Committee will include representatives of the key project beneficiaries, as follows: the Directorates for Environment and for Special Planning within the Ministry of Ecology, Spatial Planning and Urbanism; Directorates for Payments, for Forestry and for Agriculture within the Ministry of Agriculture, Forestry and Water Management; Forestry Administration; Tourism Directorate within the Ministry of Economic Development; Nature and Environment Protection Agency; Public Enterprise National Parks; Public enterprise </w:t>
      </w:r>
      <w:proofErr w:type="spellStart"/>
      <w:r w:rsidRPr="003B6A69">
        <w:rPr>
          <w:szCs w:val="20"/>
        </w:rPr>
        <w:t>Morsko</w:t>
      </w:r>
      <w:proofErr w:type="spellEnd"/>
      <w:r w:rsidRPr="003B6A69">
        <w:rPr>
          <w:szCs w:val="20"/>
        </w:rPr>
        <w:t xml:space="preserve"> Dobro; Managers of Protected Areas; Investment and Development Fund of Montenegro; Eco Fund; , Local tourism </w:t>
      </w:r>
      <w:proofErr w:type="spellStart"/>
      <w:r w:rsidRPr="003B6A69">
        <w:rPr>
          <w:szCs w:val="20"/>
        </w:rPr>
        <w:t>organisation</w:t>
      </w:r>
      <w:proofErr w:type="spellEnd"/>
      <w:r w:rsidRPr="003B6A69">
        <w:rPr>
          <w:szCs w:val="20"/>
        </w:rPr>
        <w:t xml:space="preserve">, University of Montenegro, Natural History Museum, UN agencies and GIZ and other international </w:t>
      </w:r>
      <w:proofErr w:type="spellStart"/>
      <w:r w:rsidRPr="003B6A69">
        <w:rPr>
          <w:szCs w:val="20"/>
        </w:rPr>
        <w:t>organisations</w:t>
      </w:r>
      <w:proofErr w:type="spellEnd"/>
      <w:r w:rsidRPr="003B6A69">
        <w:rPr>
          <w:szCs w:val="20"/>
        </w:rPr>
        <w:t xml:space="preserve"> in Montenegro implementing projects in the area of biodiversity protection, agriculture, tourism and forestry, Office for Cooperation with NGOs, Community of Municipalities of Montenegro, representative of civil society (elected on the basis of a public call), local sustainable tourism businesses, local farmers applying “green” technologies and principles and eligible for green subsidies stimulated by the project, private forest owners supported by the project-driven incentives etc.</w:t>
      </w:r>
    </w:p>
    <w:p w14:paraId="0DECA0AE" w14:textId="77777777" w:rsidR="00907A6E" w:rsidRPr="003B6A69" w:rsidRDefault="00907A6E" w:rsidP="00907A6E">
      <w:pPr>
        <w:rPr>
          <w:u w:val="single"/>
        </w:rPr>
      </w:pPr>
      <w:r w:rsidRPr="003B6A69">
        <w:rPr>
          <w:u w:val="single"/>
        </w:rPr>
        <w:t>Project extensions</w:t>
      </w:r>
    </w:p>
    <w:p w14:paraId="49DCE32A" w14:textId="77777777" w:rsidR="00907A6E" w:rsidRPr="003B6A69" w:rsidRDefault="00907A6E" w:rsidP="003C6B7B">
      <w:pPr>
        <w:numPr>
          <w:ilvl w:val="0"/>
          <w:numId w:val="41"/>
        </w:numPr>
        <w:tabs>
          <w:tab w:val="left" w:pos="0"/>
        </w:tabs>
        <w:spacing w:after="120"/>
        <w:ind w:left="0" w:firstLine="0"/>
        <w:rPr>
          <w:rFonts w:cs="Arial"/>
          <w:noProof/>
          <w:szCs w:val="20"/>
          <w:lang w:eastAsia="zh-CN"/>
        </w:rPr>
      </w:pPr>
      <w:r w:rsidRPr="003B6A69">
        <w:rPr>
          <w:rFonts w:cs="Arial"/>
          <w:noProof/>
          <w:szCs w:val="20"/>
          <w:lang w:eastAsia="zh-CN"/>
        </w:rPr>
        <w:t>The UNDP-GEF Executive Coordinator must approve all project extension requests. Note that all extensions incur costs and the GEF project budget cannot be increased. A single extension may be granted on an exceptional basis and only if the following conditions are met: one extension only for a project for a maximum of six months; the project management costs during the extension period must remain within the originally approved amount, and any increase in Project Management Costs (PMC) will be covered by non-GEF resources; the UNDP Country Office oversight costs during the extension period must be covered by non-GEF resources.</w:t>
      </w:r>
    </w:p>
    <w:p w14:paraId="3A03A5B0" w14:textId="77777777" w:rsidR="00907A6E" w:rsidRPr="003B6A69" w:rsidRDefault="00907A6E" w:rsidP="00907A6E"/>
    <w:p w14:paraId="7AE3DC39" w14:textId="77777777" w:rsidR="003E3ABA" w:rsidRPr="003B6A69" w:rsidRDefault="003E3ABA" w:rsidP="00506CA1">
      <w:pPr>
        <w:pStyle w:val="Heading1"/>
        <w:spacing w:before="240" w:after="240"/>
        <w:rPr>
          <w:rFonts w:asciiTheme="minorHAnsi" w:hAnsiTheme="minorHAnsi" w:cstheme="minorHAnsi"/>
          <w:lang w:val="en-GB"/>
        </w:rPr>
      </w:pPr>
      <w:bookmarkStart w:id="58" w:name="_Toc82018269"/>
      <w:r w:rsidRPr="003B6A69">
        <w:rPr>
          <w:rFonts w:asciiTheme="minorHAnsi" w:hAnsiTheme="minorHAnsi" w:cstheme="minorHAnsi"/>
          <w:lang w:val="en-GB"/>
        </w:rPr>
        <w:lastRenderedPageBreak/>
        <w:t>Financial Planning and Management</w:t>
      </w:r>
      <w:bookmarkEnd w:id="58"/>
      <w:r w:rsidRPr="003B6A69">
        <w:rPr>
          <w:rFonts w:asciiTheme="minorHAnsi" w:hAnsiTheme="minorHAnsi" w:cstheme="minorHAnsi"/>
          <w:lang w:val="en-GB"/>
        </w:rPr>
        <w:t xml:space="preserve"> </w:t>
      </w:r>
    </w:p>
    <w:p w14:paraId="31695BE1" w14:textId="0B520AC1" w:rsidR="00994ED4" w:rsidRPr="003B6A69" w:rsidRDefault="001F3696" w:rsidP="003C6B7B">
      <w:pPr>
        <w:numPr>
          <w:ilvl w:val="0"/>
          <w:numId w:val="41"/>
        </w:numPr>
        <w:tabs>
          <w:tab w:val="left" w:pos="426"/>
        </w:tabs>
        <w:spacing w:after="120"/>
        <w:ind w:left="0" w:firstLine="0"/>
        <w:rPr>
          <w:lang w:val="en-GB"/>
        </w:rPr>
      </w:pPr>
      <w:r w:rsidRPr="003B6A69">
        <w:rPr>
          <w:color w:val="000000"/>
          <w:szCs w:val="20"/>
        </w:rPr>
        <w:t xml:space="preserve">The </w:t>
      </w:r>
      <w:r w:rsidR="00907A6E" w:rsidRPr="003B6A69">
        <w:rPr>
          <w:color w:val="000000"/>
          <w:szCs w:val="20"/>
        </w:rPr>
        <w:t>total cost of the project is</w:t>
      </w:r>
      <w:r w:rsidR="005F4DFD" w:rsidRPr="003B6A69">
        <w:rPr>
          <w:color w:val="000000"/>
          <w:szCs w:val="20"/>
        </w:rPr>
        <w:t xml:space="preserve"> USD 36,054,479</w:t>
      </w:r>
      <w:r w:rsidR="00907A6E" w:rsidRPr="003B6A69">
        <w:rPr>
          <w:i/>
          <w:color w:val="000000"/>
          <w:szCs w:val="20"/>
        </w:rPr>
        <w:t xml:space="preserve">.  </w:t>
      </w:r>
      <w:r w:rsidR="00907A6E" w:rsidRPr="003B6A69">
        <w:rPr>
          <w:color w:val="000000"/>
          <w:szCs w:val="20"/>
        </w:rPr>
        <w:t xml:space="preserve">This is financed through a GEF grant of </w:t>
      </w:r>
      <w:r w:rsidR="00907A6E" w:rsidRPr="003B6A69">
        <w:rPr>
          <w:i/>
          <w:color w:val="000000"/>
          <w:szCs w:val="20"/>
        </w:rPr>
        <w:t xml:space="preserve">USD </w:t>
      </w:r>
      <w:r w:rsidR="005F4DFD" w:rsidRPr="003B6A69">
        <w:rPr>
          <w:color w:val="000000"/>
          <w:szCs w:val="20"/>
        </w:rPr>
        <w:t>3,278,995</w:t>
      </w:r>
      <w:r w:rsidR="00907A6E" w:rsidRPr="003B6A69">
        <w:rPr>
          <w:color w:val="000000"/>
          <w:szCs w:val="20"/>
        </w:rPr>
        <w:t xml:space="preserve"> administered by UNDP, </w:t>
      </w:r>
      <w:r w:rsidR="005F4DFD" w:rsidRPr="003B6A69">
        <w:rPr>
          <w:color w:val="000000"/>
          <w:szCs w:val="20"/>
        </w:rPr>
        <w:t xml:space="preserve">and </w:t>
      </w:r>
      <w:r w:rsidR="00907A6E" w:rsidRPr="003B6A69">
        <w:rPr>
          <w:color w:val="000000"/>
          <w:szCs w:val="20"/>
        </w:rPr>
        <w:t xml:space="preserve">USD </w:t>
      </w:r>
      <w:r w:rsidR="002720C6" w:rsidRPr="003B6A69">
        <w:rPr>
          <w:color w:val="000000"/>
          <w:szCs w:val="20"/>
        </w:rPr>
        <w:t>32,775,484</w:t>
      </w:r>
      <w:r w:rsidR="002720C6" w:rsidRPr="003B6A69">
        <w:rPr>
          <w:i/>
          <w:color w:val="000000"/>
          <w:szCs w:val="20"/>
        </w:rPr>
        <w:t xml:space="preserve"> </w:t>
      </w:r>
      <w:r w:rsidR="002720C6" w:rsidRPr="003B6A69">
        <w:rPr>
          <w:color w:val="000000"/>
          <w:szCs w:val="20"/>
        </w:rPr>
        <w:t>in</w:t>
      </w:r>
      <w:r w:rsidR="00907A6E" w:rsidRPr="003B6A69">
        <w:rPr>
          <w:color w:val="000000"/>
          <w:szCs w:val="20"/>
        </w:rPr>
        <w:t xml:space="preserve"> </w:t>
      </w:r>
      <w:r w:rsidR="005F4DFD" w:rsidRPr="003B6A69">
        <w:rPr>
          <w:color w:val="000000"/>
          <w:szCs w:val="20"/>
        </w:rPr>
        <w:t>parallel</w:t>
      </w:r>
      <w:r w:rsidR="00907A6E" w:rsidRPr="003B6A69">
        <w:rPr>
          <w:color w:val="000000"/>
          <w:szCs w:val="20"/>
        </w:rPr>
        <w:t xml:space="preserve"> co-financing </w:t>
      </w:r>
      <w:proofErr w:type="gramStart"/>
      <w:r w:rsidR="005F4DFD" w:rsidRPr="003B6A69">
        <w:rPr>
          <w:color w:val="000000"/>
          <w:szCs w:val="20"/>
        </w:rPr>
        <w:t>not  administered</w:t>
      </w:r>
      <w:proofErr w:type="gramEnd"/>
      <w:r w:rsidR="005F4DFD" w:rsidRPr="003B6A69">
        <w:rPr>
          <w:color w:val="000000"/>
          <w:szCs w:val="20"/>
        </w:rPr>
        <w:t xml:space="preserve"> by UNDP. </w:t>
      </w:r>
      <w:r w:rsidR="00907A6E" w:rsidRPr="003B6A69">
        <w:rPr>
          <w:color w:val="000000"/>
          <w:szCs w:val="20"/>
        </w:rPr>
        <w:t xml:space="preserve">UNDP, as the GEF Implementing Agency, is responsible for the oversight of the GEF resources and the </w:t>
      </w:r>
      <w:r w:rsidR="00907A6E" w:rsidRPr="003B6A69">
        <w:rPr>
          <w:color w:val="000000"/>
          <w:szCs w:val="20"/>
          <w:lang w:eastAsia="zh-CN"/>
        </w:rPr>
        <w:t>cash co-financing transferred to UNDP bank account only</w:t>
      </w:r>
      <w:r w:rsidRPr="003B6A69">
        <w:rPr>
          <w:color w:val="000000"/>
          <w:szCs w:val="20"/>
        </w:rPr>
        <w:t xml:space="preserve">.   </w:t>
      </w:r>
    </w:p>
    <w:p w14:paraId="7A360C7C" w14:textId="3C2B96A8" w:rsidR="00994ED4" w:rsidRPr="003B6A69" w:rsidRDefault="00994ED4" w:rsidP="003C6B7B">
      <w:pPr>
        <w:numPr>
          <w:ilvl w:val="0"/>
          <w:numId w:val="41"/>
        </w:numPr>
        <w:tabs>
          <w:tab w:val="left" w:pos="426"/>
        </w:tabs>
        <w:spacing w:after="120"/>
        <w:ind w:left="0" w:firstLine="0"/>
        <w:rPr>
          <w:lang w:val="en-GB"/>
        </w:rPr>
      </w:pPr>
      <w:r w:rsidRPr="003B6A69">
        <w:rPr>
          <w:color w:val="000000"/>
          <w:szCs w:val="20"/>
          <w:u w:val="single"/>
          <w:lang w:val="en-GB"/>
        </w:rPr>
        <w:t>Confirmed Co-financing</w:t>
      </w:r>
      <w:r w:rsidRPr="003B6A69">
        <w:rPr>
          <w:color w:val="000000"/>
          <w:szCs w:val="20"/>
          <w:lang w:val="en-GB"/>
        </w:rPr>
        <w:t xml:space="preserve">: </w:t>
      </w:r>
      <w:r w:rsidR="001F3696" w:rsidRPr="003B6A69">
        <w:rPr>
          <w:color w:val="000000"/>
          <w:szCs w:val="20"/>
        </w:rPr>
        <w:t xml:space="preserve">The actual realization of project co-financing will be monitored during the mid-term review and terminal evaluation process and will be reported to the GEF. </w:t>
      </w:r>
      <w:r w:rsidR="00907A6E" w:rsidRPr="003B6A69">
        <w:rPr>
          <w:color w:val="000000"/>
          <w:szCs w:val="20"/>
        </w:rPr>
        <w:t xml:space="preserve">Note that all project activities included in the project results framework that will be delivered by co-financing partners (even if the funds do not </w:t>
      </w:r>
      <w:proofErr w:type="gramStart"/>
      <w:r w:rsidR="00907A6E" w:rsidRPr="003B6A69">
        <w:rPr>
          <w:color w:val="000000"/>
          <w:szCs w:val="20"/>
        </w:rPr>
        <w:t>pass through</w:t>
      </w:r>
      <w:proofErr w:type="gramEnd"/>
      <w:r w:rsidR="00907A6E" w:rsidRPr="003B6A69">
        <w:rPr>
          <w:color w:val="000000"/>
          <w:szCs w:val="20"/>
        </w:rPr>
        <w:t xml:space="preserve"> UNDP accounts) must comply with UNDP’s social and environmental standards. </w:t>
      </w:r>
      <w:hyperlink w:anchor="_Annex_20:_Project" w:history="1">
        <w:r w:rsidR="00862DB0" w:rsidRPr="003B6A69">
          <w:rPr>
            <w:rStyle w:val="Hyperlink"/>
            <w:szCs w:val="20"/>
          </w:rPr>
          <w:t>Annex 20</w:t>
        </w:r>
      </w:hyperlink>
      <w:r w:rsidR="00862DB0" w:rsidRPr="003B6A69">
        <w:rPr>
          <w:color w:val="000000"/>
          <w:szCs w:val="20"/>
        </w:rPr>
        <w:t xml:space="preserve"> provides detailed information on project </w:t>
      </w:r>
      <w:proofErr w:type="spellStart"/>
      <w:r w:rsidR="00862DB0" w:rsidRPr="003B6A69">
        <w:rPr>
          <w:color w:val="000000"/>
          <w:szCs w:val="20"/>
        </w:rPr>
        <w:t>cofinancing</w:t>
      </w:r>
      <w:proofErr w:type="spellEnd"/>
      <w:r w:rsidR="00862DB0" w:rsidRPr="003B6A69">
        <w:rPr>
          <w:color w:val="000000"/>
          <w:szCs w:val="20"/>
        </w:rPr>
        <w:t xml:space="preserve"> sources, amounts, and planned project </w:t>
      </w:r>
      <w:r w:rsidR="001F3696" w:rsidRPr="003B6A69">
        <w:rPr>
          <w:color w:val="000000"/>
          <w:szCs w:val="20"/>
        </w:rPr>
        <w:t>activities/outputs</w:t>
      </w:r>
      <w:r w:rsidR="00862DB0" w:rsidRPr="003B6A69">
        <w:rPr>
          <w:color w:val="000000"/>
          <w:szCs w:val="20"/>
        </w:rPr>
        <w:t xml:space="preserve"> where co-financing will be used. </w:t>
      </w:r>
    </w:p>
    <w:p w14:paraId="7420B229" w14:textId="5CC80031" w:rsidR="00352862" w:rsidRPr="003B6A69" w:rsidRDefault="00460FF5" w:rsidP="003C6B7B">
      <w:pPr>
        <w:numPr>
          <w:ilvl w:val="0"/>
          <w:numId w:val="41"/>
        </w:numPr>
        <w:tabs>
          <w:tab w:val="left" w:pos="426"/>
        </w:tabs>
        <w:spacing w:after="120"/>
        <w:ind w:left="0" w:firstLine="0"/>
        <w:rPr>
          <w:rFonts w:asciiTheme="minorHAnsi" w:eastAsia="Times New Roman" w:hAnsiTheme="minorHAnsi" w:cs="Calibri"/>
          <w:color w:val="000000"/>
          <w:szCs w:val="20"/>
          <w:lang w:val="en-GB"/>
        </w:rPr>
      </w:pPr>
      <w:r w:rsidRPr="003B6A69">
        <w:rPr>
          <w:rFonts w:asciiTheme="minorHAnsi" w:hAnsiTheme="minorHAnsi"/>
          <w:szCs w:val="20"/>
          <w:u w:val="single"/>
          <w:lang w:val="en-GB"/>
        </w:rPr>
        <w:t>Budget Revision and Tolerance</w:t>
      </w:r>
      <w:r w:rsidRPr="003B6A69">
        <w:rPr>
          <w:rFonts w:asciiTheme="minorHAnsi" w:hAnsiTheme="minorHAnsi"/>
          <w:szCs w:val="20"/>
          <w:lang w:val="en-GB"/>
        </w:rPr>
        <w:t xml:space="preserve">: </w:t>
      </w:r>
      <w:r w:rsidR="00352862" w:rsidRPr="003B6A69">
        <w:rPr>
          <w:rFonts w:asciiTheme="minorHAnsi" w:hAnsiTheme="minorHAnsi"/>
          <w:szCs w:val="20"/>
        </w:rPr>
        <w:t xml:space="preserve">As per UNDP requirements outlined in the UNDP POPP, the project board will agree on a budget tolerance level for each plan under the overall annual work plan allowing the </w:t>
      </w:r>
      <w:r w:rsidR="00127DDC" w:rsidRPr="00127DDC">
        <w:rPr>
          <w:highlight w:val="yellow"/>
          <w:lang w:val="en-GB" w:eastAsia="ja-JP"/>
        </w:rPr>
        <w:t xml:space="preserve">project </w:t>
      </w:r>
      <w:r w:rsidR="003E6B19">
        <w:rPr>
          <w:highlight w:val="yellow"/>
          <w:lang w:val="en-GB" w:eastAsia="ja-JP"/>
        </w:rPr>
        <w:t>c</w:t>
      </w:r>
      <w:r w:rsidR="00127DDC" w:rsidRPr="00127DDC">
        <w:rPr>
          <w:highlight w:val="yellow"/>
          <w:lang w:val="en-GB" w:eastAsia="ja-JP"/>
        </w:rPr>
        <w:t xml:space="preserve">oordinator / </w:t>
      </w:r>
      <w:proofErr w:type="gramStart"/>
      <w:r w:rsidR="00127DDC" w:rsidRPr="00127DDC">
        <w:rPr>
          <w:highlight w:val="yellow"/>
          <w:lang w:val="en-GB" w:eastAsia="ja-JP"/>
        </w:rPr>
        <w:t>principle</w:t>
      </w:r>
      <w:proofErr w:type="gramEnd"/>
      <w:r w:rsidR="00127DDC" w:rsidRPr="00127DDC">
        <w:rPr>
          <w:highlight w:val="yellow"/>
          <w:lang w:val="en-GB" w:eastAsia="ja-JP"/>
        </w:rPr>
        <w:t xml:space="preserve"> </w:t>
      </w:r>
      <w:r w:rsidR="00127DDC">
        <w:rPr>
          <w:highlight w:val="yellow"/>
          <w:lang w:val="en-GB" w:eastAsia="ja-JP"/>
        </w:rPr>
        <w:t>m</w:t>
      </w:r>
      <w:r w:rsidR="00127DDC" w:rsidRPr="00127DDC">
        <w:rPr>
          <w:highlight w:val="yellow"/>
          <w:lang w:val="en-GB" w:eastAsia="ja-JP"/>
        </w:rPr>
        <w:t>anager</w:t>
      </w:r>
      <w:r w:rsidR="00127DDC" w:rsidRPr="003B6A69">
        <w:rPr>
          <w:rFonts w:asciiTheme="minorHAnsi" w:hAnsiTheme="minorHAnsi"/>
          <w:szCs w:val="20"/>
        </w:rPr>
        <w:t xml:space="preserve"> </w:t>
      </w:r>
      <w:r w:rsidR="00352862" w:rsidRPr="003B6A69">
        <w:rPr>
          <w:rFonts w:asciiTheme="minorHAnsi" w:hAnsiTheme="minorHAnsi"/>
          <w:szCs w:val="20"/>
        </w:rPr>
        <w:t xml:space="preserve">to expend up to the tolerance level beyond the approved project budget amount for the year without requiring a revision from the Project Board. Should the following deviations occur, the </w:t>
      </w:r>
      <w:r w:rsidR="003E6B19">
        <w:rPr>
          <w:highlight w:val="yellow"/>
          <w:lang w:val="en-GB" w:eastAsia="ja-JP"/>
        </w:rPr>
        <w:t>pr</w:t>
      </w:r>
      <w:r w:rsidR="00127DDC" w:rsidRPr="00127DDC">
        <w:rPr>
          <w:highlight w:val="yellow"/>
          <w:lang w:val="en-GB" w:eastAsia="ja-JP"/>
        </w:rPr>
        <w:t xml:space="preserve">oject </w:t>
      </w:r>
      <w:r w:rsidR="003E6B19">
        <w:rPr>
          <w:highlight w:val="yellow"/>
          <w:lang w:val="en-GB" w:eastAsia="ja-JP"/>
        </w:rPr>
        <w:t>c</w:t>
      </w:r>
      <w:r w:rsidR="00127DDC" w:rsidRPr="00127DDC">
        <w:rPr>
          <w:highlight w:val="yellow"/>
          <w:lang w:val="en-GB" w:eastAsia="ja-JP"/>
        </w:rPr>
        <w:t xml:space="preserve">oordinator / </w:t>
      </w:r>
      <w:proofErr w:type="gramStart"/>
      <w:r w:rsidR="003E6B19">
        <w:rPr>
          <w:highlight w:val="yellow"/>
          <w:lang w:val="en-GB" w:eastAsia="ja-JP"/>
        </w:rPr>
        <w:t>p</w:t>
      </w:r>
      <w:r w:rsidR="00127DDC" w:rsidRPr="00127DDC">
        <w:rPr>
          <w:highlight w:val="yellow"/>
          <w:lang w:val="en-GB" w:eastAsia="ja-JP"/>
        </w:rPr>
        <w:t>rinciple</w:t>
      </w:r>
      <w:proofErr w:type="gramEnd"/>
      <w:r w:rsidR="00127DDC" w:rsidRPr="00127DDC">
        <w:rPr>
          <w:highlight w:val="yellow"/>
          <w:lang w:val="en-GB" w:eastAsia="ja-JP"/>
        </w:rPr>
        <w:t xml:space="preserve"> </w:t>
      </w:r>
      <w:r w:rsidR="003E6B19">
        <w:rPr>
          <w:highlight w:val="yellow"/>
          <w:lang w:val="en-GB" w:eastAsia="ja-JP"/>
        </w:rPr>
        <w:t>m</w:t>
      </w:r>
      <w:r w:rsidR="00127DDC" w:rsidRPr="00127DDC">
        <w:rPr>
          <w:highlight w:val="yellow"/>
          <w:lang w:val="en-GB" w:eastAsia="ja-JP"/>
        </w:rPr>
        <w:t>anager</w:t>
      </w:r>
      <w:r w:rsidR="00127DDC" w:rsidRPr="003B6A69">
        <w:rPr>
          <w:szCs w:val="20"/>
        </w:rPr>
        <w:t xml:space="preserve"> </w:t>
      </w:r>
      <w:r w:rsidR="00352862" w:rsidRPr="003B6A69">
        <w:rPr>
          <w:rFonts w:asciiTheme="minorHAnsi" w:hAnsiTheme="minorHAnsi"/>
          <w:szCs w:val="20"/>
        </w:rPr>
        <w:t xml:space="preserve">and UNDP Country Office will seek the approval of the BPPS/GEF team to ensure accurate reporting to the GEF: a) Budget re-allocations among components in the project budget with amounts involving 10% of the total project grant or more; b) Introduction of new budget items that exceed 5% of original GEF allocation. </w:t>
      </w:r>
    </w:p>
    <w:p w14:paraId="7AEF3E62" w14:textId="34AC5E40" w:rsidR="001B2F6C" w:rsidRPr="003B6A69" w:rsidRDefault="00352862" w:rsidP="003C6B7B">
      <w:pPr>
        <w:numPr>
          <w:ilvl w:val="0"/>
          <w:numId w:val="41"/>
        </w:numPr>
        <w:tabs>
          <w:tab w:val="left" w:pos="426"/>
        </w:tabs>
        <w:spacing w:after="120"/>
        <w:ind w:left="0" w:firstLine="0"/>
        <w:rPr>
          <w:szCs w:val="20"/>
          <w:lang w:val="en-GB"/>
        </w:rPr>
      </w:pPr>
      <w:r w:rsidRPr="003B6A69">
        <w:rPr>
          <w:rFonts w:asciiTheme="minorHAnsi" w:hAnsiTheme="minorHAnsi"/>
          <w:szCs w:val="20"/>
        </w:rPr>
        <w:t>Any over expenditure incurred beyond the available GEF grant amount will be absorbed by non-GEF resources (</w:t>
      </w:r>
      <w:proofErr w:type="gramStart"/>
      <w:r w:rsidRPr="003B6A69">
        <w:rPr>
          <w:rFonts w:asciiTheme="minorHAnsi" w:hAnsiTheme="minorHAnsi"/>
          <w:szCs w:val="20"/>
        </w:rPr>
        <w:t>e.g.</w:t>
      </w:r>
      <w:proofErr w:type="gramEnd"/>
      <w:r w:rsidRPr="003B6A69">
        <w:rPr>
          <w:rFonts w:asciiTheme="minorHAnsi" w:hAnsiTheme="minorHAnsi"/>
          <w:szCs w:val="20"/>
        </w:rPr>
        <w:t xml:space="preserve"> UNDP TRAC or cash co-financing).</w:t>
      </w:r>
      <w:r w:rsidRPr="003B6A69">
        <w:rPr>
          <w:rFonts w:asciiTheme="minorHAnsi" w:hAnsiTheme="minorHAnsi"/>
          <w:szCs w:val="20"/>
          <w:u w:val="single"/>
        </w:rPr>
        <w:t xml:space="preserve"> </w:t>
      </w:r>
    </w:p>
    <w:p w14:paraId="1C54F573" w14:textId="1D9AAB55" w:rsidR="001B2F6C" w:rsidRPr="003B6A69" w:rsidRDefault="001B2F6C" w:rsidP="003C6B7B">
      <w:pPr>
        <w:numPr>
          <w:ilvl w:val="0"/>
          <w:numId w:val="41"/>
        </w:numPr>
        <w:tabs>
          <w:tab w:val="left" w:pos="426"/>
        </w:tabs>
        <w:spacing w:after="120"/>
        <w:ind w:left="0" w:firstLine="0"/>
        <w:rPr>
          <w:szCs w:val="20"/>
          <w:lang w:val="en-GB"/>
        </w:rPr>
      </w:pPr>
      <w:r w:rsidRPr="003B6A69">
        <w:rPr>
          <w:rFonts w:cs="Calibri"/>
          <w:szCs w:val="20"/>
          <w:u w:val="single"/>
          <w:lang w:val="en-GB"/>
        </w:rPr>
        <w:t>Audit</w:t>
      </w:r>
      <w:r w:rsidRPr="003B6A69">
        <w:rPr>
          <w:rFonts w:cs="Calibri"/>
          <w:szCs w:val="20"/>
          <w:lang w:val="en-GB"/>
        </w:rPr>
        <w:t xml:space="preserve">: </w:t>
      </w:r>
      <w:r w:rsidR="00352862" w:rsidRPr="003B6A69">
        <w:rPr>
          <w:rFonts w:asciiTheme="minorHAnsi" w:hAnsiTheme="minorHAnsi" w:cs="Calibri"/>
          <w:szCs w:val="20"/>
        </w:rPr>
        <w:t xml:space="preserve">The project will be audited as per UNDP Financial Regulations and Rules and applicable audit policies. Audit cycle and process must be discussed during the Inception workshop. </w:t>
      </w:r>
    </w:p>
    <w:p w14:paraId="27FE58AF" w14:textId="02D579B1" w:rsidR="001B2F6C" w:rsidRPr="003B6A69" w:rsidRDefault="001B2F6C" w:rsidP="003C6B7B">
      <w:pPr>
        <w:numPr>
          <w:ilvl w:val="0"/>
          <w:numId w:val="41"/>
        </w:numPr>
        <w:tabs>
          <w:tab w:val="left" w:pos="426"/>
        </w:tabs>
        <w:spacing w:after="120"/>
        <w:ind w:left="0" w:firstLine="0"/>
        <w:rPr>
          <w:szCs w:val="20"/>
          <w:lang w:val="en-GB"/>
        </w:rPr>
      </w:pPr>
      <w:r w:rsidRPr="003B6A69">
        <w:rPr>
          <w:szCs w:val="20"/>
          <w:u w:val="single"/>
          <w:lang w:val="en-GB"/>
        </w:rPr>
        <w:t>Project Closure</w:t>
      </w:r>
      <w:r w:rsidRPr="003B6A69">
        <w:rPr>
          <w:szCs w:val="20"/>
          <w:lang w:val="en-GB"/>
        </w:rPr>
        <w:t xml:space="preserve">: </w:t>
      </w:r>
      <w:r w:rsidR="00352862" w:rsidRPr="003B6A69">
        <w:rPr>
          <w:rFonts w:asciiTheme="minorHAnsi" w:hAnsiTheme="minorHAnsi"/>
          <w:szCs w:val="20"/>
        </w:rPr>
        <w:t>Project closure will be conducted as per UNDP requirements outlined in the UNDP POPP. All c</w:t>
      </w:r>
      <w:r w:rsidR="00352862" w:rsidRPr="003B6A69">
        <w:rPr>
          <w:rFonts w:asciiTheme="minorHAnsi" w:hAnsiTheme="minorHAnsi" w:cstheme="minorHAnsi"/>
          <w:szCs w:val="20"/>
        </w:rPr>
        <w:t xml:space="preserve">osts incurred to close the project must be included in the project closure budget and reported as final project commitments presented to the Project Board during the final project review. The only costs a project may incur following the final project review are those included in the project closure budget. </w:t>
      </w:r>
    </w:p>
    <w:p w14:paraId="2545304F" w14:textId="1542D803" w:rsidR="008C17E2" w:rsidRPr="003B6A69" w:rsidRDefault="001B2F6C" w:rsidP="003C6B7B">
      <w:pPr>
        <w:numPr>
          <w:ilvl w:val="0"/>
          <w:numId w:val="41"/>
        </w:numPr>
        <w:tabs>
          <w:tab w:val="left" w:pos="426"/>
        </w:tabs>
        <w:spacing w:after="120"/>
        <w:ind w:left="0" w:firstLine="0"/>
        <w:rPr>
          <w:szCs w:val="20"/>
          <w:lang w:val="en-GB"/>
        </w:rPr>
      </w:pPr>
      <w:r w:rsidRPr="003B6A69">
        <w:rPr>
          <w:szCs w:val="20"/>
          <w:u w:val="single"/>
          <w:lang w:val="en-GB"/>
        </w:rPr>
        <w:t>Operational completion</w:t>
      </w:r>
      <w:r w:rsidRPr="003B6A69">
        <w:rPr>
          <w:szCs w:val="20"/>
          <w:lang w:val="en-GB"/>
        </w:rPr>
        <w:t xml:space="preserve">: </w:t>
      </w:r>
      <w:r w:rsidR="00352862" w:rsidRPr="003B6A69">
        <w:rPr>
          <w:rFonts w:asciiTheme="minorHAnsi" w:hAnsiTheme="minorHAnsi"/>
          <w:szCs w:val="20"/>
        </w:rPr>
        <w:t xml:space="preserve">The project will be operationally completed when the last UNDP-financed inputs have been provided and the related activities have been completed. This includes the final clearance of the Terminal Evaluation Report (that will be available in English) and the corresponding management response, and the end-of-project review Project Board meeting. </w:t>
      </w:r>
      <w:r w:rsidR="00352862" w:rsidRPr="003B6A69">
        <w:rPr>
          <w:rFonts w:asciiTheme="minorHAnsi" w:hAnsiTheme="minorHAnsi"/>
          <w:b/>
          <w:szCs w:val="20"/>
        </w:rPr>
        <w:t xml:space="preserve">Operational closure must happen with 3 months </w:t>
      </w:r>
      <w:r w:rsidR="00907A6E" w:rsidRPr="003B6A69">
        <w:rPr>
          <w:rFonts w:asciiTheme="minorHAnsi" w:hAnsiTheme="minorHAnsi"/>
          <w:b/>
          <w:szCs w:val="20"/>
        </w:rPr>
        <w:t>after</w:t>
      </w:r>
      <w:r w:rsidR="00352862" w:rsidRPr="003B6A69">
        <w:rPr>
          <w:rFonts w:asciiTheme="minorHAnsi" w:hAnsiTheme="minorHAnsi"/>
          <w:b/>
          <w:szCs w:val="20"/>
        </w:rPr>
        <w:t xml:space="preserve"> posting the TE report to the UNDP ERC</w:t>
      </w:r>
      <w:r w:rsidR="00352862" w:rsidRPr="003B6A69">
        <w:rPr>
          <w:rFonts w:asciiTheme="minorHAnsi" w:hAnsiTheme="minorHAnsi"/>
          <w:szCs w:val="20"/>
        </w:rPr>
        <w:t>. The Implementing Partner through a Project Board decision will notify the UNDP Country Office when operational closure has been completed. At this time, the relevant parties will have already agreed and confirmed in writing on the arrangements for the disposal of any equipment that is still the property of UNDP.</w:t>
      </w:r>
    </w:p>
    <w:p w14:paraId="073F97C5" w14:textId="2D1458BC" w:rsidR="008C17E2" w:rsidRPr="003B6A69" w:rsidRDefault="001B2F6C" w:rsidP="003C6B7B">
      <w:pPr>
        <w:numPr>
          <w:ilvl w:val="0"/>
          <w:numId w:val="41"/>
        </w:numPr>
        <w:tabs>
          <w:tab w:val="left" w:pos="426"/>
        </w:tabs>
        <w:spacing w:after="120"/>
        <w:ind w:left="0" w:firstLine="0"/>
        <w:rPr>
          <w:szCs w:val="20"/>
          <w:lang w:val="en-GB"/>
        </w:rPr>
      </w:pPr>
      <w:r w:rsidRPr="003B6A69">
        <w:rPr>
          <w:szCs w:val="20"/>
          <w:u w:val="single"/>
          <w:lang w:val="en-GB"/>
        </w:rPr>
        <w:t>Transfer or disposal of assets</w:t>
      </w:r>
      <w:r w:rsidRPr="003B6A69">
        <w:rPr>
          <w:szCs w:val="20"/>
          <w:lang w:val="en-GB"/>
        </w:rPr>
        <w:t>:</w:t>
      </w:r>
      <w:r w:rsidRPr="003B6A69">
        <w:rPr>
          <w:lang w:val="en-GB"/>
        </w:rPr>
        <w:t xml:space="preserve"> </w:t>
      </w:r>
      <w:r w:rsidR="0068607B" w:rsidRPr="003B6A69">
        <w:rPr>
          <w:rFonts w:asciiTheme="minorHAnsi" w:hAnsiTheme="minorHAnsi"/>
          <w:szCs w:val="20"/>
        </w:rPr>
        <w:t>In consultation with the Implementing Partner and other parties of the project, UNDP is responsible for deciding on the transfer or other disposal of assets. Transfer or disposal of assets is recommended to be reviewed and endorsed by the project board following UNDP rules and regulations. Assets may be transferred to the government for project activities managed by a national institution at any time during the life of a project. In all cases of transfer, a transfer document must be prepared and kept on file</w:t>
      </w:r>
      <w:r w:rsidR="0068607B" w:rsidRPr="003B6A69">
        <w:rPr>
          <w:rStyle w:val="FootnoteReference"/>
          <w:rFonts w:asciiTheme="minorHAnsi" w:hAnsiTheme="minorHAnsi"/>
          <w:sz w:val="20"/>
          <w:szCs w:val="20"/>
        </w:rPr>
        <w:footnoteReference w:id="15"/>
      </w:r>
      <w:r w:rsidR="0068607B" w:rsidRPr="003B6A69">
        <w:rPr>
          <w:rFonts w:asciiTheme="minorHAnsi" w:hAnsiTheme="minorHAnsi"/>
          <w:szCs w:val="20"/>
        </w:rPr>
        <w:t>. The transfer should be done before Project Management Unit complete their assignments.</w:t>
      </w:r>
    </w:p>
    <w:p w14:paraId="2F835724" w14:textId="41AC387F" w:rsidR="008C17E2" w:rsidRPr="003B6A69" w:rsidRDefault="001B2F6C" w:rsidP="003C6B7B">
      <w:pPr>
        <w:numPr>
          <w:ilvl w:val="0"/>
          <w:numId w:val="41"/>
        </w:numPr>
        <w:tabs>
          <w:tab w:val="left" w:pos="426"/>
        </w:tabs>
        <w:spacing w:after="120"/>
        <w:ind w:left="0" w:firstLine="0"/>
        <w:rPr>
          <w:szCs w:val="20"/>
          <w:lang w:val="en-GB"/>
        </w:rPr>
      </w:pPr>
      <w:r w:rsidRPr="003B6A69">
        <w:rPr>
          <w:szCs w:val="20"/>
          <w:u w:val="single"/>
          <w:lang w:val="en-GB"/>
        </w:rPr>
        <w:t>Financial completion (closure)</w:t>
      </w:r>
      <w:r w:rsidRPr="003B6A69">
        <w:rPr>
          <w:szCs w:val="20"/>
          <w:lang w:val="en-GB"/>
        </w:rPr>
        <w:t xml:space="preserve">:  </w:t>
      </w:r>
      <w:r w:rsidR="0068607B" w:rsidRPr="003B6A69">
        <w:rPr>
          <w:rFonts w:asciiTheme="minorHAnsi" w:hAnsiTheme="minorHAnsi"/>
          <w:szCs w:val="20"/>
        </w:rPr>
        <w:t xml:space="preserve">The project will be financially closed when the following conditions have been </w:t>
      </w:r>
      <w:proofErr w:type="gramStart"/>
      <w:r w:rsidR="0068607B" w:rsidRPr="003B6A69">
        <w:rPr>
          <w:rFonts w:asciiTheme="minorHAnsi" w:hAnsiTheme="minorHAnsi"/>
          <w:szCs w:val="20"/>
        </w:rPr>
        <w:t>met:</w:t>
      </w:r>
      <w:proofErr w:type="gramEnd"/>
      <w:r w:rsidR="0068607B" w:rsidRPr="003B6A69">
        <w:rPr>
          <w:rFonts w:asciiTheme="minorHAnsi" w:hAnsiTheme="minorHAnsi"/>
          <w:szCs w:val="20"/>
        </w:rPr>
        <w:t xml:space="preserve"> a) the project is operationally completed or has been cancelled; b) the Implementing Partner has reported all financial transactions to UNDP; c) UNDP has closed the accounts for the project; d) UNDP and the Implementing Partner have certified a final Combined Delivery Report (which serves as final budget revision). </w:t>
      </w:r>
    </w:p>
    <w:p w14:paraId="12460F69" w14:textId="10C65CB6" w:rsidR="008C17E2" w:rsidRPr="003B6A69" w:rsidRDefault="0068607B" w:rsidP="003C6B7B">
      <w:pPr>
        <w:numPr>
          <w:ilvl w:val="0"/>
          <w:numId w:val="41"/>
        </w:numPr>
        <w:tabs>
          <w:tab w:val="left" w:pos="426"/>
        </w:tabs>
        <w:spacing w:after="120"/>
        <w:ind w:left="0" w:firstLine="0"/>
        <w:rPr>
          <w:szCs w:val="20"/>
          <w:lang w:val="en-GB"/>
        </w:rPr>
      </w:pPr>
      <w:r w:rsidRPr="003B6A69">
        <w:rPr>
          <w:rFonts w:asciiTheme="minorHAnsi" w:hAnsiTheme="minorHAnsi"/>
          <w:szCs w:val="20"/>
        </w:rPr>
        <w:t xml:space="preserve">The project will be financially completed </w:t>
      </w:r>
      <w:r w:rsidRPr="003B6A69">
        <w:rPr>
          <w:rFonts w:asciiTheme="minorHAnsi" w:hAnsiTheme="minorHAnsi"/>
          <w:b/>
          <w:szCs w:val="20"/>
        </w:rPr>
        <w:t>within 6 months of operational closure or after the date of cancellation</w:t>
      </w:r>
      <w:r w:rsidRPr="003B6A69">
        <w:rPr>
          <w:rFonts w:asciiTheme="minorHAnsi" w:hAnsiTheme="minorHAnsi"/>
          <w:szCs w:val="20"/>
        </w:rPr>
        <w:t xml:space="preserve">. Between operational and financial closure, the implementing partner will identify and settle all financial obligations and prepare a final expenditure report. The UNDP Country Office will send the final signed closure documents including </w:t>
      </w:r>
      <w:r w:rsidRPr="003B6A69">
        <w:rPr>
          <w:rFonts w:asciiTheme="minorHAnsi" w:hAnsiTheme="minorHAnsi"/>
          <w:szCs w:val="20"/>
        </w:rPr>
        <w:lastRenderedPageBreak/>
        <w:t>confirmation of final cumulative expenditure and unspent balance to the BPPS/GEF Unit for confirmation before the project will be financially closed in Atlas by the UNDP Country Office.</w:t>
      </w:r>
    </w:p>
    <w:p w14:paraId="0911B887" w14:textId="22497CDB" w:rsidR="008C17E2" w:rsidRPr="003B6A69" w:rsidRDefault="001B2F6C" w:rsidP="003C6B7B">
      <w:pPr>
        <w:numPr>
          <w:ilvl w:val="0"/>
          <w:numId w:val="41"/>
        </w:numPr>
        <w:tabs>
          <w:tab w:val="left" w:pos="426"/>
        </w:tabs>
        <w:spacing w:after="120"/>
        <w:ind w:left="0" w:firstLine="0"/>
        <w:rPr>
          <w:szCs w:val="20"/>
          <w:lang w:val="en-GB"/>
        </w:rPr>
      </w:pPr>
      <w:r w:rsidRPr="003B6A69">
        <w:rPr>
          <w:szCs w:val="20"/>
          <w:u w:val="single"/>
          <w:lang w:val="en-GB"/>
        </w:rPr>
        <w:t>Refund to GEF:</w:t>
      </w:r>
      <w:r w:rsidRPr="003B6A69">
        <w:rPr>
          <w:szCs w:val="20"/>
          <w:lang w:val="en-GB"/>
        </w:rPr>
        <w:t xml:space="preserve">  </w:t>
      </w:r>
      <w:r w:rsidR="0068607B" w:rsidRPr="003B6A69">
        <w:rPr>
          <w:rFonts w:asciiTheme="minorHAnsi" w:hAnsiTheme="minorHAnsi"/>
          <w:szCs w:val="20"/>
        </w:rPr>
        <w:t>Should a refund of unspent funds to the GEF be necessary, this will be managed directly by the BPPS/GEF Directorate in New York. No action is required by the UNDP Country Office on the actual refund from UNDP project to the GEF Trustee.</w:t>
      </w:r>
    </w:p>
    <w:p w14:paraId="29D86732" w14:textId="77777777" w:rsidR="002E1D39" w:rsidRPr="003B6A69" w:rsidRDefault="002E1D39" w:rsidP="00506CA1">
      <w:pPr>
        <w:pStyle w:val="Heading1"/>
        <w:spacing w:before="240" w:after="240"/>
        <w:rPr>
          <w:rFonts w:asciiTheme="minorHAnsi" w:hAnsiTheme="minorHAnsi" w:cstheme="minorHAnsi"/>
          <w:lang w:val="en-GB"/>
        </w:rPr>
        <w:sectPr w:rsidR="002E1D39" w:rsidRPr="003B6A69" w:rsidSect="00F164CA">
          <w:headerReference w:type="default" r:id="rId29"/>
          <w:pgSz w:w="12240" w:h="15840" w:code="1"/>
          <w:pgMar w:top="1134" w:right="1134" w:bottom="1134" w:left="1134" w:header="720" w:footer="720" w:gutter="0"/>
          <w:cols w:space="720"/>
          <w:docGrid w:linePitch="360"/>
        </w:sectPr>
      </w:pPr>
    </w:p>
    <w:p w14:paraId="0E8C1600" w14:textId="7E5F51F7" w:rsidR="003E3ABA" w:rsidRPr="003B6A69" w:rsidRDefault="003E3ABA" w:rsidP="00506CA1">
      <w:pPr>
        <w:pStyle w:val="Heading1"/>
        <w:spacing w:before="240" w:after="240"/>
        <w:rPr>
          <w:rFonts w:asciiTheme="minorHAnsi" w:hAnsiTheme="minorHAnsi" w:cstheme="minorHAnsi"/>
          <w:lang w:val="en-GB"/>
        </w:rPr>
      </w:pPr>
      <w:bookmarkStart w:id="59" w:name="_Toc82018270"/>
      <w:r w:rsidRPr="003B6A69">
        <w:rPr>
          <w:rFonts w:asciiTheme="minorHAnsi" w:hAnsiTheme="minorHAnsi" w:cstheme="minorHAnsi"/>
          <w:lang w:val="en-GB"/>
        </w:rPr>
        <w:lastRenderedPageBreak/>
        <w:t>Total Budget and Work Plan</w:t>
      </w:r>
      <w:bookmarkEnd w:id="59"/>
    </w:p>
    <w:p w14:paraId="7CC5C923" w14:textId="70F586C3" w:rsidR="00116F7A" w:rsidRDefault="00035218" w:rsidP="00116F7A">
      <w:r w:rsidRPr="003B6A69">
        <w:rPr>
          <w:noProof/>
        </w:rPr>
        <w:drawing>
          <wp:inline distT="0" distB="0" distL="0" distR="0" wp14:anchorId="33BC2EA5" wp14:editId="37B062FB">
            <wp:extent cx="8887460" cy="1339850"/>
            <wp:effectExtent l="0" t="0" r="889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8887460" cy="1339850"/>
                    </a:xfrm>
                    <a:prstGeom prst="rect">
                      <a:avLst/>
                    </a:prstGeom>
                    <a:noFill/>
                    <a:ln>
                      <a:noFill/>
                    </a:ln>
                  </pic:spPr>
                </pic:pic>
              </a:graphicData>
            </a:graphic>
          </wp:inline>
        </w:drawing>
      </w:r>
    </w:p>
    <w:p w14:paraId="163FDC08" w14:textId="77777777" w:rsidR="00343E01" w:rsidRPr="003B6A69" w:rsidRDefault="00343E01" w:rsidP="00116F7A"/>
    <w:p w14:paraId="4A04E1CB" w14:textId="1499E2A3" w:rsidR="00035218" w:rsidRPr="003B6A69" w:rsidRDefault="006C2B6C" w:rsidP="00116F7A">
      <w:r w:rsidRPr="006C2B6C">
        <w:rPr>
          <w:noProof/>
        </w:rPr>
        <w:drawing>
          <wp:inline distT="0" distB="0" distL="0" distR="0" wp14:anchorId="4E62B1D8" wp14:editId="7EDF0EE8">
            <wp:extent cx="8888095" cy="4060825"/>
            <wp:effectExtent l="0" t="0" r="825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888095" cy="4060825"/>
                    </a:xfrm>
                    <a:prstGeom prst="rect">
                      <a:avLst/>
                    </a:prstGeom>
                    <a:noFill/>
                    <a:ln>
                      <a:noFill/>
                    </a:ln>
                  </pic:spPr>
                </pic:pic>
              </a:graphicData>
            </a:graphic>
          </wp:inline>
        </w:drawing>
      </w:r>
    </w:p>
    <w:p w14:paraId="20D6C0DD" w14:textId="77777777" w:rsidR="00E21A05" w:rsidRPr="003B6A69" w:rsidRDefault="00E21A05" w:rsidP="00116F7A"/>
    <w:p w14:paraId="0E3D7322" w14:textId="57C8AF05" w:rsidR="00E21A05" w:rsidRPr="003B6A69" w:rsidRDefault="00E21A05" w:rsidP="00116F7A"/>
    <w:p w14:paraId="6D47C80E" w14:textId="62EFFBD7" w:rsidR="00E21A05" w:rsidRPr="003B6A69" w:rsidRDefault="00E21A05" w:rsidP="00116F7A"/>
    <w:p w14:paraId="1C6546AE" w14:textId="382F7E08" w:rsidR="00580FAC" w:rsidRDefault="006C2B6C" w:rsidP="00116F7A">
      <w:pPr>
        <w:rPr>
          <w:rFonts w:asciiTheme="minorHAnsi" w:hAnsiTheme="minorHAnsi" w:cstheme="minorHAnsi"/>
          <w:b/>
          <w:sz w:val="18"/>
          <w:szCs w:val="18"/>
        </w:rPr>
      </w:pPr>
      <w:r w:rsidRPr="006C2B6C">
        <w:rPr>
          <w:noProof/>
        </w:rPr>
        <w:drawing>
          <wp:inline distT="0" distB="0" distL="0" distR="0" wp14:anchorId="7B047105" wp14:editId="6B0EF73B">
            <wp:extent cx="8888095" cy="2694305"/>
            <wp:effectExtent l="0" t="0" r="825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888095" cy="2694305"/>
                    </a:xfrm>
                    <a:prstGeom prst="rect">
                      <a:avLst/>
                    </a:prstGeom>
                    <a:noFill/>
                    <a:ln>
                      <a:noFill/>
                    </a:ln>
                  </pic:spPr>
                </pic:pic>
              </a:graphicData>
            </a:graphic>
          </wp:inline>
        </w:drawing>
      </w:r>
    </w:p>
    <w:p w14:paraId="1102CC74" w14:textId="7243404C" w:rsidR="006C2B6C" w:rsidRDefault="006C2B6C" w:rsidP="00116F7A">
      <w:pPr>
        <w:rPr>
          <w:rFonts w:asciiTheme="minorHAnsi" w:hAnsiTheme="minorHAnsi" w:cstheme="minorHAnsi"/>
          <w:b/>
          <w:sz w:val="18"/>
          <w:szCs w:val="18"/>
        </w:rPr>
      </w:pPr>
    </w:p>
    <w:p w14:paraId="19068AA3" w14:textId="77777777" w:rsidR="006C2B6C" w:rsidRPr="003B6A69" w:rsidRDefault="006C2B6C" w:rsidP="00116F7A">
      <w:pPr>
        <w:rPr>
          <w:rFonts w:asciiTheme="minorHAnsi" w:hAnsiTheme="minorHAnsi" w:cstheme="minorHAnsi"/>
          <w:b/>
          <w:sz w:val="18"/>
          <w:szCs w:val="18"/>
        </w:rPr>
      </w:pPr>
    </w:p>
    <w:p w14:paraId="637387EF" w14:textId="50A4896A" w:rsidR="00035218" w:rsidRPr="003B6A69" w:rsidRDefault="00035218" w:rsidP="00116F7A">
      <w:pPr>
        <w:rPr>
          <w:rFonts w:asciiTheme="minorHAnsi" w:hAnsiTheme="minorHAnsi" w:cstheme="minorHAnsi"/>
          <w:b/>
          <w:sz w:val="18"/>
          <w:szCs w:val="18"/>
        </w:rPr>
      </w:pPr>
      <w:r w:rsidRPr="003B6A69">
        <w:rPr>
          <w:rFonts w:asciiTheme="minorHAnsi" w:hAnsiTheme="minorHAnsi" w:cstheme="minorHAnsi"/>
          <w:b/>
          <w:sz w:val="18"/>
          <w:szCs w:val="18"/>
        </w:rPr>
        <w:t>Summary of Funds:</w:t>
      </w:r>
    </w:p>
    <w:p w14:paraId="533879C7" w14:textId="77777777" w:rsidR="00035218" w:rsidRPr="003B6A69" w:rsidRDefault="00035218" w:rsidP="00116F7A"/>
    <w:tbl>
      <w:tblPr>
        <w:tblW w:w="14040" w:type="dxa"/>
        <w:tblInd w:w="-72" w:type="dxa"/>
        <w:tblLayout w:type="fixed"/>
        <w:tblLook w:val="0000" w:firstRow="0" w:lastRow="0" w:firstColumn="0" w:lastColumn="0" w:noHBand="0" w:noVBand="0"/>
      </w:tblPr>
      <w:tblGrid>
        <w:gridCol w:w="1546"/>
        <w:gridCol w:w="243"/>
        <w:gridCol w:w="551"/>
        <w:gridCol w:w="282"/>
        <w:gridCol w:w="3686"/>
        <w:gridCol w:w="1419"/>
        <w:gridCol w:w="1417"/>
        <w:gridCol w:w="1276"/>
        <w:gridCol w:w="1300"/>
        <w:gridCol w:w="1160"/>
        <w:gridCol w:w="1160"/>
      </w:tblGrid>
      <w:tr w:rsidR="000B6322" w:rsidRPr="003B6A69" w14:paraId="3F54A8AE" w14:textId="77777777" w:rsidTr="00895448">
        <w:trPr>
          <w:cantSplit/>
          <w:trHeight w:val="746"/>
        </w:trPr>
        <w:tc>
          <w:tcPr>
            <w:tcW w:w="1546" w:type="dxa"/>
            <w:shd w:val="clear" w:color="auto" w:fill="auto"/>
            <w:noWrap/>
            <w:vAlign w:val="bottom"/>
          </w:tcPr>
          <w:p w14:paraId="432ECB7F" w14:textId="77777777" w:rsidR="000B6322" w:rsidRPr="003B6A69" w:rsidRDefault="000B6322" w:rsidP="00116F7A">
            <w:pPr>
              <w:rPr>
                <w:rFonts w:asciiTheme="minorHAnsi" w:hAnsiTheme="minorHAnsi" w:cstheme="minorHAnsi"/>
                <w:sz w:val="18"/>
                <w:szCs w:val="18"/>
              </w:rPr>
            </w:pPr>
          </w:p>
        </w:tc>
        <w:tc>
          <w:tcPr>
            <w:tcW w:w="243" w:type="dxa"/>
          </w:tcPr>
          <w:p w14:paraId="7541AA44" w14:textId="77777777" w:rsidR="000B6322" w:rsidRPr="003B6A69" w:rsidRDefault="000B6322" w:rsidP="00116F7A">
            <w:pPr>
              <w:rPr>
                <w:rFonts w:asciiTheme="minorHAnsi" w:hAnsiTheme="minorHAnsi" w:cstheme="minorHAnsi"/>
                <w:sz w:val="18"/>
                <w:szCs w:val="18"/>
              </w:rPr>
            </w:pPr>
          </w:p>
        </w:tc>
        <w:tc>
          <w:tcPr>
            <w:tcW w:w="551" w:type="dxa"/>
            <w:shd w:val="clear" w:color="auto" w:fill="auto"/>
            <w:noWrap/>
            <w:vAlign w:val="bottom"/>
          </w:tcPr>
          <w:p w14:paraId="732DD874" w14:textId="77777777" w:rsidR="000B6322" w:rsidRPr="003B6A69" w:rsidRDefault="000B6322" w:rsidP="00116F7A">
            <w:pPr>
              <w:rPr>
                <w:rFonts w:asciiTheme="minorHAnsi" w:hAnsiTheme="minorHAnsi" w:cstheme="minorHAnsi"/>
                <w:sz w:val="18"/>
                <w:szCs w:val="18"/>
              </w:rPr>
            </w:pPr>
          </w:p>
        </w:tc>
        <w:tc>
          <w:tcPr>
            <w:tcW w:w="282" w:type="dxa"/>
            <w:tcBorders>
              <w:right w:val="single" w:sz="4" w:space="0" w:color="auto"/>
            </w:tcBorders>
            <w:shd w:val="clear" w:color="auto" w:fill="auto"/>
            <w:noWrap/>
            <w:vAlign w:val="bottom"/>
          </w:tcPr>
          <w:p w14:paraId="40D5CDC1" w14:textId="77777777" w:rsidR="000B6322" w:rsidRPr="003B6A69" w:rsidRDefault="000B6322" w:rsidP="00116F7A">
            <w:pPr>
              <w:rPr>
                <w:rFonts w:asciiTheme="minorHAnsi" w:hAnsiTheme="minorHAnsi" w:cstheme="minorHAnsi"/>
                <w:sz w:val="18"/>
                <w:szCs w:val="18"/>
              </w:rPr>
            </w:pPr>
          </w:p>
        </w:tc>
        <w:tc>
          <w:tcPr>
            <w:tcW w:w="368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5434971" w14:textId="7501F3CE" w:rsidR="000B6322" w:rsidRPr="003B6A69" w:rsidRDefault="000B6322" w:rsidP="00035218">
            <w:pPr>
              <w:spacing w:after="240"/>
              <w:rPr>
                <w:rFonts w:asciiTheme="minorHAnsi" w:hAnsiTheme="minorHAnsi" w:cstheme="minorHAnsi"/>
                <w:sz w:val="18"/>
                <w:szCs w:val="18"/>
              </w:rPr>
            </w:pPr>
            <w:r w:rsidRPr="003B6A69">
              <w:rPr>
                <w:rFonts w:asciiTheme="minorHAnsi" w:hAnsiTheme="minorHAnsi" w:cstheme="minorHAnsi"/>
                <w:b/>
                <w:sz w:val="18"/>
                <w:szCs w:val="18"/>
              </w:rPr>
              <w:t>Summary of Funds:</w:t>
            </w:r>
          </w:p>
        </w:tc>
        <w:tc>
          <w:tcPr>
            <w:tcW w:w="1419" w:type="dxa"/>
            <w:tcBorders>
              <w:top w:val="single" w:sz="4" w:space="0" w:color="auto"/>
              <w:left w:val="single" w:sz="4" w:space="0" w:color="auto"/>
              <w:bottom w:val="single" w:sz="4" w:space="0" w:color="auto"/>
              <w:right w:val="single" w:sz="4" w:space="0" w:color="auto"/>
            </w:tcBorders>
            <w:shd w:val="clear" w:color="auto" w:fill="auto"/>
            <w:noWrap/>
          </w:tcPr>
          <w:p w14:paraId="61655635" w14:textId="77777777" w:rsidR="000B6322" w:rsidRPr="003B6A69" w:rsidRDefault="000B6322" w:rsidP="00116F7A">
            <w:pPr>
              <w:jc w:val="center"/>
              <w:rPr>
                <w:rFonts w:asciiTheme="minorHAnsi" w:hAnsiTheme="minorHAnsi" w:cstheme="minorHAnsi"/>
                <w:sz w:val="18"/>
                <w:szCs w:val="18"/>
              </w:rPr>
            </w:pPr>
            <w:r w:rsidRPr="003B6A69">
              <w:rPr>
                <w:rFonts w:asciiTheme="minorHAnsi" w:hAnsiTheme="minorHAnsi" w:cstheme="minorHAnsi"/>
                <w:sz w:val="18"/>
                <w:szCs w:val="18"/>
              </w:rPr>
              <w:t>Amount</w:t>
            </w:r>
          </w:p>
          <w:p w14:paraId="07A90726" w14:textId="71780101" w:rsidR="000B6322" w:rsidRPr="003B6A69" w:rsidRDefault="000B6322" w:rsidP="00116F7A">
            <w:pPr>
              <w:jc w:val="center"/>
              <w:rPr>
                <w:rFonts w:asciiTheme="minorHAnsi" w:hAnsiTheme="minorHAnsi" w:cstheme="minorHAnsi"/>
                <w:sz w:val="18"/>
                <w:szCs w:val="18"/>
              </w:rPr>
            </w:pPr>
            <w:r w:rsidRPr="003B6A69">
              <w:rPr>
                <w:rFonts w:asciiTheme="minorHAnsi" w:hAnsiTheme="minorHAnsi" w:cstheme="minorHAnsi"/>
                <w:sz w:val="18"/>
                <w:szCs w:val="18"/>
              </w:rPr>
              <w:t>Year 1, $</w:t>
            </w:r>
          </w:p>
        </w:tc>
        <w:tc>
          <w:tcPr>
            <w:tcW w:w="1417" w:type="dxa"/>
            <w:tcBorders>
              <w:top w:val="single" w:sz="4" w:space="0" w:color="auto"/>
              <w:left w:val="single" w:sz="4" w:space="0" w:color="auto"/>
              <w:bottom w:val="single" w:sz="4" w:space="0" w:color="auto"/>
              <w:right w:val="single" w:sz="4" w:space="0" w:color="auto"/>
            </w:tcBorders>
            <w:shd w:val="clear" w:color="auto" w:fill="auto"/>
            <w:noWrap/>
          </w:tcPr>
          <w:p w14:paraId="7A83F2C0" w14:textId="77777777" w:rsidR="000B6322" w:rsidRPr="003B6A69" w:rsidRDefault="000B6322" w:rsidP="00116F7A">
            <w:pPr>
              <w:jc w:val="center"/>
              <w:rPr>
                <w:rFonts w:asciiTheme="minorHAnsi" w:hAnsiTheme="minorHAnsi" w:cstheme="minorHAnsi"/>
                <w:sz w:val="18"/>
                <w:szCs w:val="18"/>
              </w:rPr>
            </w:pPr>
            <w:r w:rsidRPr="003B6A69">
              <w:rPr>
                <w:rFonts w:asciiTheme="minorHAnsi" w:hAnsiTheme="minorHAnsi" w:cstheme="minorHAnsi"/>
                <w:sz w:val="18"/>
                <w:szCs w:val="18"/>
              </w:rPr>
              <w:t>Amount</w:t>
            </w:r>
          </w:p>
          <w:p w14:paraId="3304A790" w14:textId="0DFF301B" w:rsidR="000B6322" w:rsidRPr="003B6A69" w:rsidRDefault="000B6322" w:rsidP="00116F7A">
            <w:pPr>
              <w:jc w:val="center"/>
              <w:rPr>
                <w:rFonts w:asciiTheme="minorHAnsi" w:hAnsiTheme="minorHAnsi" w:cstheme="minorHAnsi"/>
                <w:sz w:val="18"/>
                <w:szCs w:val="18"/>
              </w:rPr>
            </w:pPr>
            <w:r w:rsidRPr="003B6A69">
              <w:rPr>
                <w:rFonts w:asciiTheme="minorHAnsi" w:hAnsiTheme="minorHAnsi" w:cstheme="minorHAnsi"/>
                <w:sz w:val="18"/>
                <w:szCs w:val="18"/>
              </w:rPr>
              <w:t>Year 2, $</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14:paraId="549D03DF" w14:textId="77777777" w:rsidR="000B6322" w:rsidRPr="003B6A69" w:rsidRDefault="000B6322" w:rsidP="00116F7A">
            <w:pPr>
              <w:jc w:val="center"/>
              <w:rPr>
                <w:rFonts w:asciiTheme="minorHAnsi" w:hAnsiTheme="minorHAnsi" w:cstheme="minorHAnsi"/>
                <w:sz w:val="18"/>
                <w:szCs w:val="18"/>
              </w:rPr>
            </w:pPr>
            <w:r w:rsidRPr="003B6A69">
              <w:rPr>
                <w:rFonts w:asciiTheme="minorHAnsi" w:hAnsiTheme="minorHAnsi" w:cstheme="minorHAnsi"/>
                <w:sz w:val="18"/>
                <w:szCs w:val="18"/>
              </w:rPr>
              <w:t>Amount</w:t>
            </w:r>
          </w:p>
          <w:p w14:paraId="26AA6392" w14:textId="11E52B3E" w:rsidR="000B6322" w:rsidRPr="003B6A69" w:rsidRDefault="000B6322" w:rsidP="00116F7A">
            <w:pPr>
              <w:jc w:val="center"/>
              <w:rPr>
                <w:rFonts w:asciiTheme="minorHAnsi" w:hAnsiTheme="minorHAnsi" w:cstheme="minorHAnsi"/>
                <w:sz w:val="18"/>
                <w:szCs w:val="18"/>
              </w:rPr>
            </w:pPr>
            <w:r w:rsidRPr="003B6A69">
              <w:rPr>
                <w:rFonts w:asciiTheme="minorHAnsi" w:hAnsiTheme="minorHAnsi" w:cstheme="minorHAnsi"/>
                <w:sz w:val="18"/>
                <w:szCs w:val="18"/>
              </w:rPr>
              <w:t>Year 3, $</w:t>
            </w:r>
          </w:p>
        </w:tc>
        <w:tc>
          <w:tcPr>
            <w:tcW w:w="1300" w:type="dxa"/>
            <w:tcBorders>
              <w:top w:val="single" w:sz="4" w:space="0" w:color="auto"/>
              <w:left w:val="single" w:sz="4" w:space="0" w:color="auto"/>
              <w:bottom w:val="single" w:sz="4" w:space="0" w:color="auto"/>
              <w:right w:val="single" w:sz="4" w:space="0" w:color="auto"/>
            </w:tcBorders>
            <w:shd w:val="clear" w:color="auto" w:fill="auto"/>
            <w:noWrap/>
          </w:tcPr>
          <w:p w14:paraId="71BA9E8B" w14:textId="77777777" w:rsidR="000B6322" w:rsidRPr="003B6A69" w:rsidRDefault="000B6322" w:rsidP="00116F7A">
            <w:pPr>
              <w:jc w:val="center"/>
              <w:rPr>
                <w:rFonts w:asciiTheme="minorHAnsi" w:hAnsiTheme="minorHAnsi" w:cstheme="minorHAnsi"/>
                <w:sz w:val="18"/>
                <w:szCs w:val="18"/>
              </w:rPr>
            </w:pPr>
            <w:r w:rsidRPr="003B6A69">
              <w:rPr>
                <w:rFonts w:asciiTheme="minorHAnsi" w:hAnsiTheme="minorHAnsi" w:cstheme="minorHAnsi"/>
                <w:sz w:val="18"/>
                <w:szCs w:val="18"/>
              </w:rPr>
              <w:t>Amount</w:t>
            </w:r>
          </w:p>
          <w:p w14:paraId="1F6137C7" w14:textId="1FB89C2D" w:rsidR="000B6322" w:rsidRPr="003B6A69" w:rsidRDefault="000B6322" w:rsidP="00116F7A">
            <w:pPr>
              <w:jc w:val="center"/>
              <w:rPr>
                <w:rFonts w:asciiTheme="minorHAnsi" w:hAnsiTheme="minorHAnsi" w:cstheme="minorHAnsi"/>
                <w:sz w:val="18"/>
                <w:szCs w:val="18"/>
              </w:rPr>
            </w:pPr>
            <w:r w:rsidRPr="003B6A69">
              <w:rPr>
                <w:rFonts w:asciiTheme="minorHAnsi" w:hAnsiTheme="minorHAnsi" w:cstheme="minorHAnsi"/>
                <w:sz w:val="18"/>
                <w:szCs w:val="18"/>
              </w:rPr>
              <w:t>Year 4, $</w:t>
            </w:r>
          </w:p>
        </w:tc>
        <w:tc>
          <w:tcPr>
            <w:tcW w:w="1160" w:type="dxa"/>
            <w:tcBorders>
              <w:top w:val="single" w:sz="4" w:space="0" w:color="auto"/>
              <w:left w:val="single" w:sz="4" w:space="0" w:color="auto"/>
              <w:bottom w:val="single" w:sz="4" w:space="0" w:color="auto"/>
              <w:right w:val="single" w:sz="4" w:space="0" w:color="auto"/>
            </w:tcBorders>
          </w:tcPr>
          <w:p w14:paraId="2612DAE5" w14:textId="77777777" w:rsidR="000B6322" w:rsidRPr="003B6A69" w:rsidRDefault="000B6322" w:rsidP="000B6322">
            <w:pPr>
              <w:jc w:val="center"/>
              <w:rPr>
                <w:rFonts w:asciiTheme="minorHAnsi" w:hAnsiTheme="minorHAnsi" w:cstheme="minorHAnsi"/>
                <w:sz w:val="18"/>
                <w:szCs w:val="18"/>
              </w:rPr>
            </w:pPr>
            <w:r w:rsidRPr="003B6A69">
              <w:rPr>
                <w:rFonts w:asciiTheme="minorHAnsi" w:hAnsiTheme="minorHAnsi" w:cstheme="minorHAnsi"/>
                <w:sz w:val="18"/>
                <w:szCs w:val="18"/>
              </w:rPr>
              <w:t>Amount</w:t>
            </w:r>
          </w:p>
          <w:p w14:paraId="1C928DF5" w14:textId="3C643EFC" w:rsidR="000B6322" w:rsidRPr="003B6A69" w:rsidRDefault="000B6322" w:rsidP="000B6322">
            <w:pPr>
              <w:jc w:val="center"/>
              <w:rPr>
                <w:rFonts w:asciiTheme="minorHAnsi" w:hAnsiTheme="minorHAnsi" w:cstheme="minorHAnsi"/>
                <w:sz w:val="18"/>
                <w:szCs w:val="18"/>
              </w:rPr>
            </w:pPr>
            <w:r w:rsidRPr="003B6A69">
              <w:rPr>
                <w:rFonts w:asciiTheme="minorHAnsi" w:hAnsiTheme="minorHAnsi" w:cstheme="minorHAnsi"/>
                <w:sz w:val="18"/>
                <w:szCs w:val="18"/>
              </w:rPr>
              <w:t>Year 4, $</w:t>
            </w:r>
          </w:p>
        </w:tc>
        <w:tc>
          <w:tcPr>
            <w:tcW w:w="1160" w:type="dxa"/>
            <w:tcBorders>
              <w:top w:val="single" w:sz="4" w:space="0" w:color="auto"/>
              <w:left w:val="single" w:sz="4" w:space="0" w:color="auto"/>
              <w:bottom w:val="single" w:sz="4" w:space="0" w:color="auto"/>
              <w:right w:val="single" w:sz="4" w:space="0" w:color="auto"/>
            </w:tcBorders>
            <w:shd w:val="clear" w:color="auto" w:fill="auto"/>
            <w:noWrap/>
          </w:tcPr>
          <w:p w14:paraId="6FA59BBE" w14:textId="140846D8" w:rsidR="000B6322" w:rsidRPr="003B6A69" w:rsidRDefault="000B6322" w:rsidP="00116F7A">
            <w:pPr>
              <w:jc w:val="center"/>
              <w:rPr>
                <w:rFonts w:asciiTheme="minorHAnsi" w:hAnsiTheme="minorHAnsi" w:cstheme="minorHAnsi"/>
                <w:sz w:val="18"/>
                <w:szCs w:val="18"/>
              </w:rPr>
            </w:pPr>
            <w:r w:rsidRPr="003B6A69">
              <w:rPr>
                <w:rFonts w:asciiTheme="minorHAnsi" w:hAnsiTheme="minorHAnsi" w:cstheme="minorHAnsi"/>
                <w:sz w:val="18"/>
                <w:szCs w:val="18"/>
              </w:rPr>
              <w:t>Total, $</w:t>
            </w:r>
          </w:p>
        </w:tc>
      </w:tr>
      <w:tr w:rsidR="000B6322" w:rsidRPr="003B6A69" w14:paraId="0F72090D" w14:textId="77777777" w:rsidTr="000B6322">
        <w:trPr>
          <w:cantSplit/>
          <w:trHeight w:val="364"/>
        </w:trPr>
        <w:tc>
          <w:tcPr>
            <w:tcW w:w="1546" w:type="dxa"/>
            <w:shd w:val="clear" w:color="auto" w:fill="auto"/>
            <w:noWrap/>
            <w:vAlign w:val="bottom"/>
          </w:tcPr>
          <w:p w14:paraId="2DD80157" w14:textId="77777777" w:rsidR="000B6322" w:rsidRPr="003B6A69" w:rsidRDefault="000B6322" w:rsidP="008B62FD">
            <w:pPr>
              <w:rPr>
                <w:rFonts w:asciiTheme="minorHAnsi" w:hAnsiTheme="minorHAnsi" w:cstheme="minorHAnsi"/>
                <w:sz w:val="18"/>
                <w:szCs w:val="18"/>
              </w:rPr>
            </w:pPr>
          </w:p>
        </w:tc>
        <w:tc>
          <w:tcPr>
            <w:tcW w:w="243" w:type="dxa"/>
          </w:tcPr>
          <w:p w14:paraId="52B8302F" w14:textId="77777777" w:rsidR="000B6322" w:rsidRPr="003B6A69" w:rsidRDefault="000B6322" w:rsidP="008B62FD">
            <w:pPr>
              <w:rPr>
                <w:rFonts w:asciiTheme="minorHAnsi" w:hAnsiTheme="minorHAnsi" w:cstheme="minorHAnsi"/>
                <w:sz w:val="18"/>
                <w:szCs w:val="18"/>
              </w:rPr>
            </w:pPr>
          </w:p>
        </w:tc>
        <w:tc>
          <w:tcPr>
            <w:tcW w:w="551" w:type="dxa"/>
            <w:shd w:val="clear" w:color="auto" w:fill="auto"/>
            <w:noWrap/>
            <w:vAlign w:val="bottom"/>
          </w:tcPr>
          <w:p w14:paraId="7F1D6325" w14:textId="77777777" w:rsidR="000B6322" w:rsidRPr="003B6A69" w:rsidRDefault="000B6322" w:rsidP="008B62FD">
            <w:pPr>
              <w:rPr>
                <w:rFonts w:asciiTheme="minorHAnsi" w:hAnsiTheme="minorHAnsi" w:cstheme="minorHAnsi"/>
                <w:sz w:val="18"/>
                <w:szCs w:val="18"/>
              </w:rPr>
            </w:pPr>
          </w:p>
        </w:tc>
        <w:tc>
          <w:tcPr>
            <w:tcW w:w="282" w:type="dxa"/>
            <w:tcBorders>
              <w:right w:val="single" w:sz="4" w:space="0" w:color="auto"/>
            </w:tcBorders>
            <w:shd w:val="clear" w:color="auto" w:fill="auto"/>
            <w:noWrap/>
            <w:vAlign w:val="bottom"/>
          </w:tcPr>
          <w:p w14:paraId="25718E1C" w14:textId="77777777" w:rsidR="000B6322" w:rsidRPr="003B6A69" w:rsidRDefault="000B6322" w:rsidP="008B62FD">
            <w:pPr>
              <w:rPr>
                <w:rFonts w:asciiTheme="minorHAnsi" w:hAnsiTheme="minorHAnsi" w:cstheme="minorHAnsi"/>
                <w:sz w:val="18"/>
                <w:szCs w:val="18"/>
              </w:rPr>
            </w:pPr>
          </w:p>
        </w:tc>
        <w:tc>
          <w:tcPr>
            <w:tcW w:w="368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06591D4" w14:textId="77777777" w:rsidR="000B6322" w:rsidRPr="003B6A69" w:rsidRDefault="000B6322" w:rsidP="008B62FD">
            <w:pPr>
              <w:jc w:val="right"/>
              <w:rPr>
                <w:rFonts w:asciiTheme="minorHAnsi" w:hAnsiTheme="minorHAnsi" w:cstheme="minorHAnsi"/>
                <w:sz w:val="18"/>
                <w:szCs w:val="18"/>
              </w:rPr>
            </w:pPr>
            <w:r w:rsidRPr="003B6A69">
              <w:rPr>
                <w:rFonts w:asciiTheme="minorHAnsi" w:hAnsiTheme="minorHAnsi" w:cstheme="minorHAnsi"/>
                <w:b/>
                <w:bCs/>
                <w:sz w:val="18"/>
                <w:szCs w:val="18"/>
              </w:rPr>
              <w:t xml:space="preserve">GEF grant administered by UNDP </w:t>
            </w:r>
          </w:p>
        </w:tc>
        <w:tc>
          <w:tcPr>
            <w:tcW w:w="1419" w:type="dxa"/>
            <w:tcBorders>
              <w:top w:val="single" w:sz="4" w:space="0" w:color="auto"/>
              <w:left w:val="single" w:sz="4" w:space="0" w:color="auto"/>
              <w:bottom w:val="single" w:sz="4" w:space="0" w:color="auto"/>
              <w:right w:val="single" w:sz="4" w:space="0" w:color="auto"/>
            </w:tcBorders>
            <w:shd w:val="clear" w:color="auto" w:fill="auto"/>
            <w:noWrap/>
          </w:tcPr>
          <w:p w14:paraId="23983AB3" w14:textId="0C5D03DF" w:rsidR="000B6322" w:rsidRPr="003B6A69" w:rsidRDefault="000B6322" w:rsidP="000B6322">
            <w:pPr>
              <w:jc w:val="center"/>
              <w:rPr>
                <w:rFonts w:asciiTheme="minorHAnsi" w:hAnsiTheme="minorHAnsi" w:cstheme="minorHAnsi"/>
                <w:sz w:val="18"/>
                <w:szCs w:val="18"/>
              </w:rPr>
            </w:pPr>
            <w:r w:rsidRPr="003B6A69">
              <w:rPr>
                <w:sz w:val="18"/>
                <w:szCs w:val="18"/>
              </w:rPr>
              <w:t>39</w:t>
            </w:r>
            <w:r w:rsidR="0024498A">
              <w:rPr>
                <w:sz w:val="18"/>
                <w:szCs w:val="18"/>
              </w:rPr>
              <w:t>1</w:t>
            </w:r>
            <w:r w:rsidRPr="003B6A69">
              <w:rPr>
                <w:sz w:val="18"/>
                <w:szCs w:val="18"/>
              </w:rPr>
              <w:t>,095</w:t>
            </w:r>
          </w:p>
        </w:tc>
        <w:tc>
          <w:tcPr>
            <w:tcW w:w="1417" w:type="dxa"/>
            <w:tcBorders>
              <w:top w:val="single" w:sz="4" w:space="0" w:color="auto"/>
              <w:left w:val="single" w:sz="4" w:space="0" w:color="auto"/>
              <w:bottom w:val="single" w:sz="4" w:space="0" w:color="auto"/>
              <w:right w:val="single" w:sz="4" w:space="0" w:color="auto"/>
            </w:tcBorders>
            <w:shd w:val="clear" w:color="auto" w:fill="auto"/>
            <w:noWrap/>
          </w:tcPr>
          <w:p w14:paraId="22109FD9" w14:textId="5275482B" w:rsidR="000B6322" w:rsidRPr="003B6A69" w:rsidRDefault="000B6322" w:rsidP="000B6322">
            <w:pPr>
              <w:jc w:val="center"/>
              <w:rPr>
                <w:rFonts w:asciiTheme="minorHAnsi" w:hAnsiTheme="minorHAnsi" w:cstheme="minorHAnsi"/>
                <w:sz w:val="18"/>
                <w:szCs w:val="18"/>
              </w:rPr>
            </w:pPr>
            <w:r w:rsidRPr="003B6A69">
              <w:rPr>
                <w:sz w:val="18"/>
                <w:szCs w:val="18"/>
              </w:rPr>
              <w:t>8</w:t>
            </w:r>
            <w:r w:rsidR="0024498A">
              <w:rPr>
                <w:sz w:val="18"/>
                <w:szCs w:val="18"/>
              </w:rPr>
              <w:t>39</w:t>
            </w:r>
            <w:r w:rsidRPr="003B6A69">
              <w:rPr>
                <w:sz w:val="18"/>
                <w:szCs w:val="18"/>
              </w:rPr>
              <w:t>,900</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14:paraId="72D111DC" w14:textId="1CC336F1" w:rsidR="000B6322" w:rsidRPr="003B6A69" w:rsidRDefault="000B6322" w:rsidP="000B6322">
            <w:pPr>
              <w:jc w:val="center"/>
              <w:rPr>
                <w:rFonts w:asciiTheme="minorHAnsi" w:hAnsiTheme="minorHAnsi" w:cstheme="minorHAnsi"/>
                <w:sz w:val="18"/>
                <w:szCs w:val="18"/>
              </w:rPr>
            </w:pPr>
            <w:r w:rsidRPr="003B6A69">
              <w:rPr>
                <w:sz w:val="18"/>
                <w:szCs w:val="18"/>
              </w:rPr>
              <w:t>784,000</w:t>
            </w:r>
          </w:p>
        </w:tc>
        <w:tc>
          <w:tcPr>
            <w:tcW w:w="1300" w:type="dxa"/>
            <w:tcBorders>
              <w:top w:val="single" w:sz="4" w:space="0" w:color="auto"/>
              <w:left w:val="single" w:sz="4" w:space="0" w:color="auto"/>
              <w:bottom w:val="single" w:sz="4" w:space="0" w:color="auto"/>
              <w:right w:val="single" w:sz="4" w:space="0" w:color="auto"/>
            </w:tcBorders>
            <w:shd w:val="clear" w:color="auto" w:fill="auto"/>
            <w:noWrap/>
          </w:tcPr>
          <w:p w14:paraId="59A71071" w14:textId="5904D89C" w:rsidR="000B6322" w:rsidRPr="003B6A69" w:rsidRDefault="000B6322" w:rsidP="000B6322">
            <w:pPr>
              <w:jc w:val="center"/>
              <w:rPr>
                <w:rFonts w:asciiTheme="minorHAnsi" w:hAnsiTheme="minorHAnsi" w:cstheme="minorHAnsi"/>
                <w:sz w:val="18"/>
                <w:szCs w:val="18"/>
              </w:rPr>
            </w:pPr>
            <w:r w:rsidRPr="003B6A69">
              <w:rPr>
                <w:sz w:val="18"/>
                <w:szCs w:val="18"/>
              </w:rPr>
              <w:t>60</w:t>
            </w:r>
            <w:r w:rsidR="0024498A">
              <w:rPr>
                <w:sz w:val="18"/>
                <w:szCs w:val="18"/>
              </w:rPr>
              <w:t>1</w:t>
            </w:r>
            <w:r w:rsidRPr="003B6A69">
              <w:rPr>
                <w:sz w:val="18"/>
                <w:szCs w:val="18"/>
              </w:rPr>
              <w:t>,000</w:t>
            </w:r>
          </w:p>
        </w:tc>
        <w:tc>
          <w:tcPr>
            <w:tcW w:w="1160" w:type="dxa"/>
            <w:tcBorders>
              <w:top w:val="single" w:sz="4" w:space="0" w:color="auto"/>
              <w:left w:val="single" w:sz="4" w:space="0" w:color="auto"/>
              <w:bottom w:val="single" w:sz="4" w:space="0" w:color="auto"/>
              <w:right w:val="single" w:sz="4" w:space="0" w:color="auto"/>
            </w:tcBorders>
          </w:tcPr>
          <w:p w14:paraId="2A4E0570" w14:textId="792811E1" w:rsidR="000B6322" w:rsidRPr="003B6A69" w:rsidRDefault="00895448" w:rsidP="000B6322">
            <w:pPr>
              <w:jc w:val="center"/>
              <w:rPr>
                <w:rFonts w:asciiTheme="minorHAnsi" w:hAnsiTheme="minorHAnsi" w:cstheme="minorHAnsi"/>
                <w:sz w:val="18"/>
                <w:szCs w:val="18"/>
              </w:rPr>
            </w:pPr>
            <w:r w:rsidRPr="003B6A69">
              <w:rPr>
                <w:rFonts w:asciiTheme="minorHAnsi" w:hAnsiTheme="minorHAnsi" w:cstheme="minorHAnsi"/>
                <w:sz w:val="18"/>
                <w:szCs w:val="18"/>
              </w:rPr>
              <w:t>66</w:t>
            </w:r>
            <w:r w:rsidR="0024498A">
              <w:rPr>
                <w:rFonts w:asciiTheme="minorHAnsi" w:hAnsiTheme="minorHAnsi" w:cstheme="minorHAnsi"/>
                <w:sz w:val="18"/>
                <w:szCs w:val="18"/>
              </w:rPr>
              <w:t>3</w:t>
            </w:r>
            <w:r w:rsidRPr="003B6A69">
              <w:rPr>
                <w:rFonts w:asciiTheme="minorHAnsi" w:hAnsiTheme="minorHAnsi" w:cstheme="minorHAnsi"/>
                <w:sz w:val="18"/>
                <w:szCs w:val="18"/>
              </w:rPr>
              <w:t>,000</w:t>
            </w:r>
          </w:p>
        </w:tc>
        <w:tc>
          <w:tcPr>
            <w:tcW w:w="1160" w:type="dxa"/>
            <w:tcBorders>
              <w:top w:val="single" w:sz="4" w:space="0" w:color="auto"/>
              <w:left w:val="single" w:sz="4" w:space="0" w:color="auto"/>
              <w:bottom w:val="single" w:sz="4" w:space="0" w:color="auto"/>
              <w:right w:val="single" w:sz="4" w:space="0" w:color="auto"/>
            </w:tcBorders>
            <w:shd w:val="clear" w:color="auto" w:fill="auto"/>
            <w:noWrap/>
          </w:tcPr>
          <w:p w14:paraId="792EB210" w14:textId="3D5CC067" w:rsidR="000B6322" w:rsidRPr="003B6A69" w:rsidRDefault="000B6322" w:rsidP="000B6322">
            <w:pPr>
              <w:jc w:val="center"/>
              <w:rPr>
                <w:rFonts w:asciiTheme="minorHAnsi" w:hAnsiTheme="minorHAnsi" w:cstheme="minorHAnsi"/>
                <w:sz w:val="18"/>
                <w:szCs w:val="18"/>
              </w:rPr>
            </w:pPr>
            <w:r w:rsidRPr="003B6A69">
              <w:rPr>
                <w:rFonts w:asciiTheme="minorHAnsi" w:hAnsiTheme="minorHAnsi" w:cstheme="minorHAnsi"/>
                <w:sz w:val="18"/>
                <w:szCs w:val="18"/>
              </w:rPr>
              <w:t>3,278,995</w:t>
            </w:r>
          </w:p>
        </w:tc>
      </w:tr>
      <w:tr w:rsidR="000B6322" w:rsidRPr="003B6A69" w14:paraId="15584B4D" w14:textId="77777777" w:rsidTr="000B6322">
        <w:trPr>
          <w:cantSplit/>
          <w:trHeight w:val="382"/>
        </w:trPr>
        <w:tc>
          <w:tcPr>
            <w:tcW w:w="1546" w:type="dxa"/>
            <w:shd w:val="clear" w:color="auto" w:fill="auto"/>
            <w:noWrap/>
            <w:vAlign w:val="bottom"/>
          </w:tcPr>
          <w:p w14:paraId="4607E639" w14:textId="77777777" w:rsidR="000B6322" w:rsidRPr="003B6A69" w:rsidRDefault="000B6322" w:rsidP="003177DD">
            <w:pPr>
              <w:rPr>
                <w:rFonts w:asciiTheme="minorHAnsi" w:hAnsiTheme="minorHAnsi" w:cstheme="minorHAnsi"/>
                <w:sz w:val="18"/>
                <w:szCs w:val="18"/>
              </w:rPr>
            </w:pPr>
          </w:p>
        </w:tc>
        <w:tc>
          <w:tcPr>
            <w:tcW w:w="243" w:type="dxa"/>
          </w:tcPr>
          <w:p w14:paraId="3817FDF0" w14:textId="77777777" w:rsidR="000B6322" w:rsidRPr="003B6A69" w:rsidRDefault="000B6322" w:rsidP="003177DD">
            <w:pPr>
              <w:rPr>
                <w:rFonts w:asciiTheme="minorHAnsi" w:hAnsiTheme="minorHAnsi" w:cstheme="minorHAnsi"/>
                <w:sz w:val="18"/>
                <w:szCs w:val="18"/>
              </w:rPr>
            </w:pPr>
          </w:p>
        </w:tc>
        <w:tc>
          <w:tcPr>
            <w:tcW w:w="551" w:type="dxa"/>
            <w:shd w:val="clear" w:color="auto" w:fill="auto"/>
            <w:noWrap/>
            <w:vAlign w:val="bottom"/>
          </w:tcPr>
          <w:p w14:paraId="0B75A2E1" w14:textId="77777777" w:rsidR="000B6322" w:rsidRPr="003B6A69" w:rsidRDefault="000B6322" w:rsidP="003177DD">
            <w:pPr>
              <w:rPr>
                <w:rFonts w:asciiTheme="minorHAnsi" w:hAnsiTheme="minorHAnsi" w:cstheme="minorHAnsi"/>
                <w:sz w:val="18"/>
                <w:szCs w:val="18"/>
              </w:rPr>
            </w:pPr>
          </w:p>
        </w:tc>
        <w:tc>
          <w:tcPr>
            <w:tcW w:w="282" w:type="dxa"/>
            <w:tcBorders>
              <w:right w:val="single" w:sz="4" w:space="0" w:color="auto"/>
            </w:tcBorders>
            <w:shd w:val="clear" w:color="auto" w:fill="auto"/>
            <w:noWrap/>
            <w:vAlign w:val="bottom"/>
          </w:tcPr>
          <w:p w14:paraId="3AF6382D" w14:textId="77777777" w:rsidR="000B6322" w:rsidRPr="003B6A69" w:rsidRDefault="000B6322" w:rsidP="003177DD">
            <w:pPr>
              <w:rPr>
                <w:rFonts w:asciiTheme="minorHAnsi" w:hAnsiTheme="minorHAnsi" w:cstheme="minorHAnsi"/>
                <w:sz w:val="18"/>
                <w:szCs w:val="18"/>
              </w:rPr>
            </w:pPr>
          </w:p>
        </w:tc>
        <w:tc>
          <w:tcPr>
            <w:tcW w:w="368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2D5F728" w14:textId="34EC0324" w:rsidR="000B6322" w:rsidRPr="003B6A69" w:rsidRDefault="000B6322" w:rsidP="003177DD">
            <w:pPr>
              <w:jc w:val="right"/>
              <w:rPr>
                <w:rFonts w:asciiTheme="minorHAnsi" w:hAnsiTheme="minorHAnsi" w:cstheme="minorHAnsi"/>
                <w:sz w:val="18"/>
                <w:szCs w:val="18"/>
              </w:rPr>
            </w:pPr>
            <w:r w:rsidRPr="003B6A69">
              <w:rPr>
                <w:rFonts w:asciiTheme="minorHAnsi" w:hAnsiTheme="minorHAnsi" w:cstheme="minorHAnsi"/>
                <w:b/>
                <w:bCs/>
                <w:sz w:val="18"/>
                <w:szCs w:val="18"/>
              </w:rPr>
              <w:t>Co-finance</w:t>
            </w:r>
          </w:p>
        </w:tc>
        <w:tc>
          <w:tcPr>
            <w:tcW w:w="1419" w:type="dxa"/>
            <w:tcBorders>
              <w:top w:val="single" w:sz="4" w:space="0" w:color="auto"/>
              <w:left w:val="single" w:sz="4" w:space="0" w:color="auto"/>
              <w:bottom w:val="single" w:sz="4" w:space="0" w:color="auto"/>
              <w:right w:val="single" w:sz="4" w:space="0" w:color="auto"/>
            </w:tcBorders>
            <w:shd w:val="clear" w:color="auto" w:fill="auto"/>
            <w:noWrap/>
          </w:tcPr>
          <w:p w14:paraId="35778715" w14:textId="4F181172" w:rsidR="000B6322" w:rsidRPr="003B6A69" w:rsidRDefault="000B6322" w:rsidP="000B6322">
            <w:pPr>
              <w:jc w:val="center"/>
              <w:rPr>
                <w:rFonts w:asciiTheme="minorHAnsi" w:hAnsiTheme="minorHAnsi" w:cstheme="minorHAnsi"/>
                <w:sz w:val="18"/>
                <w:szCs w:val="18"/>
              </w:rPr>
            </w:pPr>
            <w:r w:rsidRPr="003B6A69">
              <w:rPr>
                <w:sz w:val="18"/>
                <w:szCs w:val="18"/>
              </w:rPr>
              <w:t>5,800,000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tcPr>
          <w:p w14:paraId="45860A65" w14:textId="7421F870" w:rsidR="000B6322" w:rsidRPr="003B6A69" w:rsidRDefault="000B6322" w:rsidP="000B6322">
            <w:pPr>
              <w:jc w:val="center"/>
              <w:rPr>
                <w:rFonts w:asciiTheme="minorHAnsi" w:hAnsiTheme="minorHAnsi" w:cstheme="minorHAnsi"/>
                <w:sz w:val="18"/>
                <w:szCs w:val="18"/>
              </w:rPr>
            </w:pPr>
            <w:r w:rsidRPr="003B6A69">
              <w:rPr>
                <w:sz w:val="18"/>
                <w:szCs w:val="18"/>
              </w:rPr>
              <w:t>7,400,000</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14:paraId="42498F65" w14:textId="294C7568" w:rsidR="000B6322" w:rsidRPr="003B6A69" w:rsidRDefault="000B6322" w:rsidP="000B6322">
            <w:pPr>
              <w:jc w:val="center"/>
              <w:rPr>
                <w:rFonts w:asciiTheme="minorHAnsi" w:hAnsiTheme="minorHAnsi" w:cstheme="minorHAnsi"/>
                <w:sz w:val="18"/>
                <w:szCs w:val="18"/>
              </w:rPr>
            </w:pPr>
            <w:r w:rsidRPr="003B6A69">
              <w:rPr>
                <w:sz w:val="18"/>
                <w:szCs w:val="18"/>
              </w:rPr>
              <w:t>9,200,000</w:t>
            </w:r>
          </w:p>
        </w:tc>
        <w:tc>
          <w:tcPr>
            <w:tcW w:w="1300" w:type="dxa"/>
            <w:tcBorders>
              <w:top w:val="single" w:sz="4" w:space="0" w:color="auto"/>
              <w:left w:val="single" w:sz="4" w:space="0" w:color="auto"/>
              <w:bottom w:val="single" w:sz="4" w:space="0" w:color="auto"/>
              <w:right w:val="single" w:sz="4" w:space="0" w:color="auto"/>
            </w:tcBorders>
            <w:shd w:val="clear" w:color="auto" w:fill="auto"/>
            <w:noWrap/>
          </w:tcPr>
          <w:p w14:paraId="1B0EF334" w14:textId="562E0303" w:rsidR="000B6322" w:rsidRPr="003B6A69" w:rsidRDefault="000B6322" w:rsidP="000B6322">
            <w:pPr>
              <w:jc w:val="center"/>
              <w:rPr>
                <w:rFonts w:asciiTheme="minorHAnsi" w:hAnsiTheme="minorHAnsi" w:cstheme="minorHAnsi"/>
                <w:sz w:val="18"/>
                <w:szCs w:val="18"/>
              </w:rPr>
            </w:pPr>
            <w:r w:rsidRPr="003B6A69">
              <w:rPr>
                <w:sz w:val="18"/>
                <w:szCs w:val="18"/>
              </w:rPr>
              <w:t>6,800,000</w:t>
            </w:r>
          </w:p>
        </w:tc>
        <w:tc>
          <w:tcPr>
            <w:tcW w:w="1160" w:type="dxa"/>
            <w:tcBorders>
              <w:top w:val="single" w:sz="4" w:space="0" w:color="auto"/>
              <w:left w:val="single" w:sz="4" w:space="0" w:color="auto"/>
              <w:bottom w:val="single" w:sz="4" w:space="0" w:color="auto"/>
              <w:right w:val="single" w:sz="4" w:space="0" w:color="auto"/>
            </w:tcBorders>
          </w:tcPr>
          <w:p w14:paraId="64267345" w14:textId="58501A31" w:rsidR="000B6322" w:rsidRPr="003B6A69" w:rsidRDefault="00895448" w:rsidP="000B6322">
            <w:pPr>
              <w:jc w:val="center"/>
              <w:rPr>
                <w:rFonts w:asciiTheme="minorHAnsi" w:hAnsiTheme="minorHAnsi" w:cstheme="minorHAnsi"/>
                <w:sz w:val="18"/>
                <w:szCs w:val="18"/>
              </w:rPr>
            </w:pPr>
            <w:r w:rsidRPr="003B6A69">
              <w:rPr>
                <w:rFonts w:asciiTheme="minorHAnsi" w:hAnsiTheme="minorHAnsi" w:cstheme="minorHAnsi"/>
                <w:sz w:val="18"/>
                <w:szCs w:val="18"/>
              </w:rPr>
              <w:t>3,575,484</w:t>
            </w:r>
          </w:p>
        </w:tc>
        <w:tc>
          <w:tcPr>
            <w:tcW w:w="1160" w:type="dxa"/>
            <w:tcBorders>
              <w:top w:val="single" w:sz="4" w:space="0" w:color="auto"/>
              <w:left w:val="single" w:sz="4" w:space="0" w:color="auto"/>
              <w:bottom w:val="single" w:sz="4" w:space="0" w:color="auto"/>
              <w:right w:val="single" w:sz="4" w:space="0" w:color="auto"/>
            </w:tcBorders>
            <w:shd w:val="clear" w:color="auto" w:fill="auto"/>
            <w:noWrap/>
          </w:tcPr>
          <w:p w14:paraId="2794DFBE" w14:textId="0E33613F" w:rsidR="000B6322" w:rsidRPr="003B6A69" w:rsidRDefault="000B6322" w:rsidP="000B6322">
            <w:pPr>
              <w:jc w:val="center"/>
              <w:rPr>
                <w:rFonts w:asciiTheme="minorHAnsi" w:hAnsiTheme="minorHAnsi" w:cstheme="minorHAnsi"/>
                <w:sz w:val="18"/>
                <w:szCs w:val="18"/>
              </w:rPr>
            </w:pPr>
            <w:r w:rsidRPr="003B6A69">
              <w:rPr>
                <w:rFonts w:asciiTheme="minorHAnsi" w:hAnsiTheme="minorHAnsi" w:cstheme="minorHAnsi"/>
                <w:sz w:val="18"/>
                <w:szCs w:val="18"/>
              </w:rPr>
              <w:t>32,775,484</w:t>
            </w:r>
          </w:p>
        </w:tc>
      </w:tr>
      <w:tr w:rsidR="000B6322" w:rsidRPr="003B6A69" w14:paraId="04F1767C" w14:textId="77777777" w:rsidTr="000B6322">
        <w:trPr>
          <w:cantSplit/>
          <w:trHeight w:val="382"/>
        </w:trPr>
        <w:tc>
          <w:tcPr>
            <w:tcW w:w="1546" w:type="dxa"/>
            <w:shd w:val="clear" w:color="auto" w:fill="auto"/>
            <w:noWrap/>
            <w:vAlign w:val="bottom"/>
          </w:tcPr>
          <w:p w14:paraId="774D8330" w14:textId="77777777" w:rsidR="000B6322" w:rsidRPr="003B6A69" w:rsidRDefault="000B6322" w:rsidP="003177DD">
            <w:pPr>
              <w:rPr>
                <w:rFonts w:asciiTheme="minorHAnsi" w:hAnsiTheme="minorHAnsi" w:cstheme="minorHAnsi"/>
                <w:sz w:val="18"/>
                <w:szCs w:val="18"/>
              </w:rPr>
            </w:pPr>
          </w:p>
        </w:tc>
        <w:tc>
          <w:tcPr>
            <w:tcW w:w="243" w:type="dxa"/>
          </w:tcPr>
          <w:p w14:paraId="73AECDCF" w14:textId="77777777" w:rsidR="000B6322" w:rsidRPr="003B6A69" w:rsidRDefault="000B6322" w:rsidP="003177DD">
            <w:pPr>
              <w:rPr>
                <w:rFonts w:asciiTheme="minorHAnsi" w:hAnsiTheme="minorHAnsi" w:cstheme="minorHAnsi"/>
                <w:sz w:val="18"/>
                <w:szCs w:val="18"/>
              </w:rPr>
            </w:pPr>
          </w:p>
        </w:tc>
        <w:tc>
          <w:tcPr>
            <w:tcW w:w="551" w:type="dxa"/>
            <w:shd w:val="clear" w:color="auto" w:fill="auto"/>
            <w:noWrap/>
            <w:vAlign w:val="bottom"/>
          </w:tcPr>
          <w:p w14:paraId="141A6454" w14:textId="77777777" w:rsidR="000B6322" w:rsidRPr="003B6A69" w:rsidRDefault="000B6322" w:rsidP="003177DD">
            <w:pPr>
              <w:rPr>
                <w:rFonts w:asciiTheme="minorHAnsi" w:hAnsiTheme="minorHAnsi" w:cstheme="minorHAnsi"/>
                <w:sz w:val="18"/>
                <w:szCs w:val="18"/>
              </w:rPr>
            </w:pPr>
          </w:p>
        </w:tc>
        <w:tc>
          <w:tcPr>
            <w:tcW w:w="282" w:type="dxa"/>
            <w:tcBorders>
              <w:right w:val="single" w:sz="4" w:space="0" w:color="auto"/>
            </w:tcBorders>
            <w:shd w:val="clear" w:color="auto" w:fill="auto"/>
            <w:noWrap/>
            <w:vAlign w:val="bottom"/>
          </w:tcPr>
          <w:p w14:paraId="5387B42B" w14:textId="77777777" w:rsidR="000B6322" w:rsidRPr="003B6A69" w:rsidRDefault="000B6322" w:rsidP="003177DD">
            <w:pPr>
              <w:rPr>
                <w:rFonts w:asciiTheme="minorHAnsi" w:hAnsiTheme="minorHAnsi" w:cstheme="minorHAnsi"/>
                <w:sz w:val="18"/>
                <w:szCs w:val="18"/>
              </w:rPr>
            </w:pPr>
          </w:p>
        </w:tc>
        <w:tc>
          <w:tcPr>
            <w:tcW w:w="3686" w:type="dxa"/>
            <w:tcBorders>
              <w:top w:val="double" w:sz="4" w:space="0" w:color="auto"/>
              <w:left w:val="single" w:sz="4" w:space="0" w:color="auto"/>
              <w:bottom w:val="double" w:sz="4" w:space="0" w:color="auto"/>
              <w:right w:val="single" w:sz="4" w:space="0" w:color="auto"/>
            </w:tcBorders>
            <w:shd w:val="clear" w:color="auto" w:fill="auto"/>
            <w:noWrap/>
            <w:vAlign w:val="bottom"/>
          </w:tcPr>
          <w:p w14:paraId="1817C4AB" w14:textId="77777777" w:rsidR="000B6322" w:rsidRPr="003B6A69" w:rsidRDefault="000B6322" w:rsidP="003177DD">
            <w:pPr>
              <w:jc w:val="right"/>
              <w:rPr>
                <w:rFonts w:asciiTheme="minorHAnsi" w:hAnsiTheme="minorHAnsi" w:cstheme="minorHAnsi"/>
                <w:sz w:val="18"/>
                <w:szCs w:val="18"/>
              </w:rPr>
            </w:pPr>
            <w:r w:rsidRPr="003B6A69">
              <w:rPr>
                <w:rFonts w:asciiTheme="minorHAnsi" w:hAnsiTheme="minorHAnsi" w:cstheme="minorHAnsi"/>
                <w:b/>
                <w:bCs/>
                <w:sz w:val="18"/>
                <w:szCs w:val="18"/>
              </w:rPr>
              <w:t>TOTAL</w:t>
            </w:r>
          </w:p>
        </w:tc>
        <w:tc>
          <w:tcPr>
            <w:tcW w:w="1419" w:type="dxa"/>
            <w:tcBorders>
              <w:top w:val="double" w:sz="4" w:space="0" w:color="auto"/>
              <w:left w:val="single" w:sz="4" w:space="0" w:color="auto"/>
              <w:bottom w:val="double" w:sz="4" w:space="0" w:color="auto"/>
              <w:right w:val="single" w:sz="4" w:space="0" w:color="auto"/>
            </w:tcBorders>
            <w:shd w:val="clear" w:color="auto" w:fill="auto"/>
            <w:noWrap/>
          </w:tcPr>
          <w:p w14:paraId="62E08EF0" w14:textId="4BA9A214" w:rsidR="000B6322" w:rsidRPr="003B6A69" w:rsidRDefault="00895448" w:rsidP="000B6322">
            <w:pPr>
              <w:jc w:val="center"/>
              <w:rPr>
                <w:rFonts w:asciiTheme="minorHAnsi" w:hAnsiTheme="minorHAnsi" w:cstheme="minorHAnsi"/>
                <w:sz w:val="18"/>
                <w:szCs w:val="18"/>
              </w:rPr>
            </w:pPr>
            <w:r w:rsidRPr="003B6A69">
              <w:rPr>
                <w:sz w:val="18"/>
                <w:szCs w:val="18"/>
              </w:rPr>
              <w:t>6,19</w:t>
            </w:r>
            <w:r w:rsidR="0024498A">
              <w:rPr>
                <w:sz w:val="18"/>
                <w:szCs w:val="18"/>
              </w:rPr>
              <w:t>1</w:t>
            </w:r>
            <w:r w:rsidRPr="003B6A69">
              <w:rPr>
                <w:sz w:val="18"/>
                <w:szCs w:val="18"/>
              </w:rPr>
              <w:t>,095</w:t>
            </w:r>
          </w:p>
        </w:tc>
        <w:tc>
          <w:tcPr>
            <w:tcW w:w="1417" w:type="dxa"/>
            <w:tcBorders>
              <w:top w:val="double" w:sz="4" w:space="0" w:color="auto"/>
              <w:left w:val="single" w:sz="4" w:space="0" w:color="auto"/>
              <w:bottom w:val="double" w:sz="4" w:space="0" w:color="auto"/>
              <w:right w:val="single" w:sz="4" w:space="0" w:color="auto"/>
            </w:tcBorders>
            <w:shd w:val="clear" w:color="auto" w:fill="auto"/>
            <w:noWrap/>
          </w:tcPr>
          <w:p w14:paraId="5BD87D94" w14:textId="2A7244D6" w:rsidR="000B6322" w:rsidRPr="003B6A69" w:rsidRDefault="00895448" w:rsidP="000B6322">
            <w:pPr>
              <w:jc w:val="center"/>
              <w:rPr>
                <w:rFonts w:asciiTheme="minorHAnsi" w:hAnsiTheme="minorHAnsi" w:cstheme="minorHAnsi"/>
                <w:sz w:val="18"/>
                <w:szCs w:val="18"/>
              </w:rPr>
            </w:pPr>
            <w:r w:rsidRPr="003B6A69">
              <w:rPr>
                <w:sz w:val="18"/>
                <w:szCs w:val="18"/>
              </w:rPr>
              <w:t>8,2</w:t>
            </w:r>
            <w:r w:rsidR="0024498A">
              <w:rPr>
                <w:sz w:val="18"/>
                <w:szCs w:val="18"/>
              </w:rPr>
              <w:t>39</w:t>
            </w:r>
            <w:r w:rsidRPr="003B6A69">
              <w:rPr>
                <w:sz w:val="18"/>
                <w:szCs w:val="18"/>
              </w:rPr>
              <w:t>,900</w:t>
            </w:r>
          </w:p>
        </w:tc>
        <w:tc>
          <w:tcPr>
            <w:tcW w:w="1276" w:type="dxa"/>
            <w:tcBorders>
              <w:top w:val="double" w:sz="4" w:space="0" w:color="auto"/>
              <w:left w:val="single" w:sz="4" w:space="0" w:color="auto"/>
              <w:bottom w:val="double" w:sz="4" w:space="0" w:color="auto"/>
              <w:right w:val="single" w:sz="4" w:space="0" w:color="auto"/>
            </w:tcBorders>
            <w:shd w:val="clear" w:color="auto" w:fill="auto"/>
            <w:noWrap/>
          </w:tcPr>
          <w:p w14:paraId="1B56824A" w14:textId="143AFAA7" w:rsidR="000B6322" w:rsidRPr="003B6A69" w:rsidRDefault="000B6322" w:rsidP="000B6322">
            <w:pPr>
              <w:jc w:val="center"/>
              <w:rPr>
                <w:rFonts w:asciiTheme="minorHAnsi" w:hAnsiTheme="minorHAnsi" w:cstheme="minorHAnsi"/>
                <w:sz w:val="18"/>
                <w:szCs w:val="18"/>
              </w:rPr>
            </w:pPr>
            <w:r w:rsidRPr="003B6A69">
              <w:rPr>
                <w:sz w:val="18"/>
                <w:szCs w:val="18"/>
              </w:rPr>
              <w:t>9,984,500</w:t>
            </w:r>
          </w:p>
        </w:tc>
        <w:tc>
          <w:tcPr>
            <w:tcW w:w="1300" w:type="dxa"/>
            <w:tcBorders>
              <w:top w:val="double" w:sz="4" w:space="0" w:color="auto"/>
              <w:left w:val="single" w:sz="4" w:space="0" w:color="auto"/>
              <w:bottom w:val="double" w:sz="4" w:space="0" w:color="auto"/>
              <w:right w:val="single" w:sz="4" w:space="0" w:color="auto"/>
            </w:tcBorders>
            <w:shd w:val="clear" w:color="auto" w:fill="auto"/>
            <w:noWrap/>
          </w:tcPr>
          <w:p w14:paraId="60D11D75" w14:textId="0DAFD1EE" w:rsidR="000B6322" w:rsidRPr="003B6A69" w:rsidRDefault="00895448" w:rsidP="000B6322">
            <w:pPr>
              <w:jc w:val="center"/>
              <w:rPr>
                <w:rFonts w:asciiTheme="minorHAnsi" w:hAnsiTheme="minorHAnsi" w:cstheme="minorHAnsi"/>
                <w:sz w:val="18"/>
                <w:szCs w:val="18"/>
              </w:rPr>
            </w:pPr>
            <w:r w:rsidRPr="003B6A69">
              <w:rPr>
                <w:sz w:val="18"/>
                <w:szCs w:val="18"/>
              </w:rPr>
              <w:t>7,40</w:t>
            </w:r>
            <w:r w:rsidR="0024498A">
              <w:rPr>
                <w:sz w:val="18"/>
                <w:szCs w:val="18"/>
              </w:rPr>
              <w:t>1</w:t>
            </w:r>
            <w:r w:rsidRPr="003B6A69">
              <w:rPr>
                <w:sz w:val="18"/>
                <w:szCs w:val="18"/>
              </w:rPr>
              <w:t>,000</w:t>
            </w:r>
          </w:p>
        </w:tc>
        <w:tc>
          <w:tcPr>
            <w:tcW w:w="1160" w:type="dxa"/>
            <w:tcBorders>
              <w:top w:val="double" w:sz="4" w:space="0" w:color="auto"/>
              <w:left w:val="single" w:sz="4" w:space="0" w:color="auto"/>
              <w:bottom w:val="double" w:sz="4" w:space="0" w:color="auto"/>
              <w:right w:val="single" w:sz="4" w:space="0" w:color="auto"/>
            </w:tcBorders>
          </w:tcPr>
          <w:p w14:paraId="36F883C3" w14:textId="25C32108" w:rsidR="000B6322" w:rsidRPr="003B6A69" w:rsidRDefault="00895448" w:rsidP="000B6322">
            <w:pPr>
              <w:jc w:val="center"/>
              <w:rPr>
                <w:rFonts w:asciiTheme="minorHAnsi" w:hAnsiTheme="minorHAnsi" w:cstheme="minorHAnsi"/>
                <w:sz w:val="18"/>
                <w:szCs w:val="18"/>
              </w:rPr>
            </w:pPr>
            <w:r w:rsidRPr="003B6A69">
              <w:rPr>
                <w:rFonts w:asciiTheme="minorHAnsi" w:hAnsiTheme="minorHAnsi" w:cstheme="minorHAnsi"/>
                <w:sz w:val="18"/>
                <w:szCs w:val="18"/>
              </w:rPr>
              <w:t>4,23</w:t>
            </w:r>
            <w:r w:rsidR="0024498A">
              <w:rPr>
                <w:rFonts w:asciiTheme="minorHAnsi" w:hAnsiTheme="minorHAnsi" w:cstheme="minorHAnsi"/>
                <w:sz w:val="18"/>
                <w:szCs w:val="18"/>
              </w:rPr>
              <w:t>8</w:t>
            </w:r>
            <w:r w:rsidRPr="003B6A69">
              <w:rPr>
                <w:rFonts w:asciiTheme="minorHAnsi" w:hAnsiTheme="minorHAnsi" w:cstheme="minorHAnsi"/>
                <w:sz w:val="18"/>
                <w:szCs w:val="18"/>
              </w:rPr>
              <w:t>,484</w:t>
            </w:r>
          </w:p>
        </w:tc>
        <w:tc>
          <w:tcPr>
            <w:tcW w:w="1160" w:type="dxa"/>
            <w:tcBorders>
              <w:top w:val="double" w:sz="4" w:space="0" w:color="auto"/>
              <w:left w:val="single" w:sz="4" w:space="0" w:color="auto"/>
              <w:bottom w:val="double" w:sz="4" w:space="0" w:color="auto"/>
              <w:right w:val="single" w:sz="4" w:space="0" w:color="auto"/>
            </w:tcBorders>
            <w:shd w:val="clear" w:color="auto" w:fill="auto"/>
            <w:noWrap/>
          </w:tcPr>
          <w:p w14:paraId="516403C5" w14:textId="3220FF8D" w:rsidR="000B6322" w:rsidRPr="003B6A69" w:rsidRDefault="000B6322" w:rsidP="000B6322">
            <w:pPr>
              <w:jc w:val="center"/>
              <w:rPr>
                <w:rFonts w:asciiTheme="minorHAnsi" w:hAnsiTheme="minorHAnsi" w:cstheme="minorHAnsi"/>
                <w:sz w:val="18"/>
                <w:szCs w:val="18"/>
              </w:rPr>
            </w:pPr>
            <w:r w:rsidRPr="003B6A69">
              <w:rPr>
                <w:rFonts w:asciiTheme="minorHAnsi" w:hAnsiTheme="minorHAnsi" w:cstheme="minorHAnsi"/>
                <w:sz w:val="18"/>
                <w:szCs w:val="18"/>
              </w:rPr>
              <w:t>36,054,479</w:t>
            </w:r>
          </w:p>
        </w:tc>
      </w:tr>
    </w:tbl>
    <w:p w14:paraId="58F9651F" w14:textId="77777777" w:rsidR="00035218" w:rsidRPr="003B6A69" w:rsidRDefault="00035218" w:rsidP="003177DD">
      <w:pPr>
        <w:rPr>
          <w:rFonts w:asciiTheme="minorHAnsi" w:hAnsiTheme="minorHAnsi" w:cstheme="minorHAnsi"/>
          <w:sz w:val="18"/>
          <w:szCs w:val="18"/>
        </w:rPr>
        <w:sectPr w:rsidR="00035218" w:rsidRPr="003B6A69" w:rsidSect="00343E01">
          <w:pgSz w:w="15840" w:h="12240" w:orient="landscape" w:code="1"/>
          <w:pgMar w:top="993" w:right="1134" w:bottom="1134" w:left="709" w:header="720" w:footer="720" w:gutter="0"/>
          <w:cols w:space="720"/>
          <w:docGrid w:linePitch="360"/>
        </w:sectPr>
      </w:pPr>
    </w:p>
    <w:tbl>
      <w:tblPr>
        <w:tblStyle w:val="TableGrid"/>
        <w:tblW w:w="0" w:type="auto"/>
        <w:tblLook w:val="04A0" w:firstRow="1" w:lastRow="0" w:firstColumn="1" w:lastColumn="0" w:noHBand="0" w:noVBand="1"/>
      </w:tblPr>
      <w:tblGrid>
        <w:gridCol w:w="895"/>
        <w:gridCol w:w="9067"/>
      </w:tblGrid>
      <w:tr w:rsidR="00580FAC" w:rsidRPr="003B6A69" w14:paraId="2C8E5681" w14:textId="77777777" w:rsidTr="00593816">
        <w:trPr>
          <w:trHeight w:val="276"/>
        </w:trPr>
        <w:tc>
          <w:tcPr>
            <w:tcW w:w="895" w:type="dxa"/>
            <w:noWrap/>
            <w:hideMark/>
          </w:tcPr>
          <w:p w14:paraId="63361368" w14:textId="77777777" w:rsidR="00580FAC" w:rsidRPr="003B6A69" w:rsidRDefault="00580FAC" w:rsidP="00580FAC">
            <w:pPr>
              <w:rPr>
                <w:b/>
                <w:bCs/>
                <w:sz w:val="16"/>
                <w:szCs w:val="16"/>
              </w:rPr>
            </w:pPr>
            <w:r w:rsidRPr="003B6A69">
              <w:rPr>
                <w:b/>
                <w:bCs/>
                <w:sz w:val="16"/>
                <w:szCs w:val="16"/>
              </w:rPr>
              <w:lastRenderedPageBreak/>
              <w:t>Budget note</w:t>
            </w:r>
          </w:p>
        </w:tc>
        <w:tc>
          <w:tcPr>
            <w:tcW w:w="9067" w:type="dxa"/>
            <w:noWrap/>
            <w:hideMark/>
          </w:tcPr>
          <w:p w14:paraId="2C935E1D" w14:textId="77777777" w:rsidR="00580FAC" w:rsidRPr="003B6A69" w:rsidRDefault="00580FAC">
            <w:pPr>
              <w:rPr>
                <w:b/>
                <w:bCs/>
                <w:sz w:val="16"/>
                <w:szCs w:val="16"/>
              </w:rPr>
            </w:pPr>
            <w:r w:rsidRPr="003B6A69">
              <w:rPr>
                <w:b/>
                <w:bCs/>
                <w:sz w:val="16"/>
                <w:szCs w:val="16"/>
              </w:rPr>
              <w:t xml:space="preserve">Description </w:t>
            </w:r>
          </w:p>
        </w:tc>
      </w:tr>
      <w:tr w:rsidR="00580FAC" w:rsidRPr="003B6A69" w14:paraId="6EAC2067" w14:textId="77777777" w:rsidTr="00593816">
        <w:trPr>
          <w:trHeight w:val="276"/>
        </w:trPr>
        <w:tc>
          <w:tcPr>
            <w:tcW w:w="895" w:type="dxa"/>
            <w:noWrap/>
            <w:hideMark/>
          </w:tcPr>
          <w:p w14:paraId="6B994FC7" w14:textId="77777777" w:rsidR="00580FAC" w:rsidRPr="003B6A69" w:rsidRDefault="00580FAC" w:rsidP="00976CCF">
            <w:pPr>
              <w:spacing w:before="480" w:after="0"/>
              <w:ind w:left="227"/>
              <w:rPr>
                <w:sz w:val="16"/>
                <w:szCs w:val="16"/>
              </w:rPr>
            </w:pPr>
            <w:r w:rsidRPr="003B6A69">
              <w:rPr>
                <w:sz w:val="16"/>
                <w:szCs w:val="16"/>
              </w:rPr>
              <w:t>1</w:t>
            </w:r>
          </w:p>
        </w:tc>
        <w:tc>
          <w:tcPr>
            <w:tcW w:w="9067" w:type="dxa"/>
            <w:noWrap/>
            <w:hideMark/>
          </w:tcPr>
          <w:p w14:paraId="2D55DC26" w14:textId="77777777" w:rsidR="00593816" w:rsidRPr="006C2B6C" w:rsidRDefault="00580FAC" w:rsidP="00593816">
            <w:pPr>
              <w:rPr>
                <w:sz w:val="16"/>
                <w:szCs w:val="16"/>
              </w:rPr>
            </w:pPr>
            <w:r w:rsidRPr="006C2B6C">
              <w:rPr>
                <w:sz w:val="16"/>
                <w:szCs w:val="16"/>
              </w:rPr>
              <w:t xml:space="preserve"> Local Consultants for Output 1.1: Trainers and experts for capacity building for MAB management and best practice presentation $13,000; Development of Amendments of the Action Plan and relevant internal regulations for the Tara River MAB Reserve </w:t>
            </w:r>
            <w:proofErr w:type="gramStart"/>
            <w:r w:rsidRPr="006C2B6C">
              <w:rPr>
                <w:sz w:val="16"/>
                <w:szCs w:val="16"/>
              </w:rPr>
              <w:t>$8,000;</w:t>
            </w:r>
            <w:proofErr w:type="gramEnd"/>
          </w:p>
          <w:p w14:paraId="26131141" w14:textId="77777777" w:rsidR="00593816" w:rsidRPr="006C2B6C" w:rsidRDefault="00580FAC" w:rsidP="00593816">
            <w:pPr>
              <w:rPr>
                <w:sz w:val="16"/>
                <w:szCs w:val="16"/>
              </w:rPr>
            </w:pPr>
            <w:r w:rsidRPr="006C2B6C">
              <w:rPr>
                <w:sz w:val="16"/>
                <w:szCs w:val="16"/>
              </w:rPr>
              <w:t xml:space="preserve">Local Consultants for Output 2.1: Development of Management and/or action plan(s) for the specific areas to ensure protection and </w:t>
            </w:r>
            <w:proofErr w:type="spellStart"/>
            <w:r w:rsidRPr="006C2B6C">
              <w:rPr>
                <w:sz w:val="16"/>
                <w:szCs w:val="16"/>
              </w:rPr>
              <w:t>minimising</w:t>
            </w:r>
            <w:proofErr w:type="spellEnd"/>
            <w:r w:rsidRPr="006C2B6C">
              <w:rPr>
                <w:sz w:val="16"/>
                <w:szCs w:val="16"/>
              </w:rPr>
              <w:t xml:space="preserve"> negative effects of potential development $10,000; development </w:t>
            </w:r>
            <w:proofErr w:type="gramStart"/>
            <w:r w:rsidRPr="006C2B6C">
              <w:rPr>
                <w:sz w:val="16"/>
                <w:szCs w:val="16"/>
              </w:rPr>
              <w:t>of  Restoration</w:t>
            </w:r>
            <w:proofErr w:type="gramEnd"/>
            <w:r w:rsidRPr="006C2B6C">
              <w:rPr>
                <w:sz w:val="16"/>
                <w:szCs w:val="16"/>
              </w:rPr>
              <w:t xml:space="preserve"> plans (Bojana River)  $10,000;</w:t>
            </w:r>
          </w:p>
          <w:p w14:paraId="739678FB" w14:textId="4489A775" w:rsidR="00580FAC" w:rsidRPr="006C2B6C" w:rsidRDefault="00580FAC" w:rsidP="00593816">
            <w:pPr>
              <w:rPr>
                <w:sz w:val="16"/>
                <w:szCs w:val="16"/>
              </w:rPr>
            </w:pPr>
            <w:r w:rsidRPr="006C2B6C">
              <w:rPr>
                <w:sz w:val="16"/>
                <w:szCs w:val="16"/>
              </w:rPr>
              <w:t xml:space="preserve">Local Consultants for Output 2.2:  Baseline studies (former Protection Study) on BD mainstreaming dimension to cover the unprotected KBAs and biodiversity </w:t>
            </w:r>
            <w:proofErr w:type="spellStart"/>
            <w:r w:rsidRPr="006C2B6C">
              <w:rPr>
                <w:sz w:val="16"/>
                <w:szCs w:val="16"/>
              </w:rPr>
              <w:t>centres</w:t>
            </w:r>
            <w:proofErr w:type="spellEnd"/>
            <w:r w:rsidRPr="006C2B6C">
              <w:rPr>
                <w:sz w:val="16"/>
                <w:szCs w:val="16"/>
              </w:rPr>
              <w:t xml:space="preserve"> $35,000; expert input into Spatial Plan content development where it concerns the concept of corridors important for biodiversity </w:t>
            </w:r>
            <w:proofErr w:type="gramStart"/>
            <w:r w:rsidRPr="006C2B6C">
              <w:rPr>
                <w:sz w:val="16"/>
                <w:szCs w:val="16"/>
              </w:rPr>
              <w:t>conservation  $</w:t>
            </w:r>
            <w:proofErr w:type="gramEnd"/>
            <w:r w:rsidRPr="006C2B6C">
              <w:rPr>
                <w:sz w:val="16"/>
                <w:szCs w:val="16"/>
              </w:rPr>
              <w:t>5,000</w:t>
            </w:r>
          </w:p>
        </w:tc>
      </w:tr>
      <w:tr w:rsidR="00580FAC" w:rsidRPr="003B6A69" w14:paraId="00AA2F86" w14:textId="77777777" w:rsidTr="00593816">
        <w:trPr>
          <w:trHeight w:val="276"/>
        </w:trPr>
        <w:tc>
          <w:tcPr>
            <w:tcW w:w="895" w:type="dxa"/>
            <w:noWrap/>
            <w:hideMark/>
          </w:tcPr>
          <w:p w14:paraId="5C640CEC" w14:textId="77777777" w:rsidR="00580FAC" w:rsidRPr="003B6A69" w:rsidRDefault="00580FAC" w:rsidP="00976CCF">
            <w:pPr>
              <w:spacing w:before="120" w:after="0"/>
              <w:ind w:left="227"/>
              <w:rPr>
                <w:sz w:val="16"/>
                <w:szCs w:val="16"/>
              </w:rPr>
            </w:pPr>
            <w:r w:rsidRPr="003B6A69">
              <w:rPr>
                <w:sz w:val="16"/>
                <w:szCs w:val="16"/>
              </w:rPr>
              <w:t>2</w:t>
            </w:r>
          </w:p>
        </w:tc>
        <w:tc>
          <w:tcPr>
            <w:tcW w:w="9067" w:type="dxa"/>
            <w:noWrap/>
            <w:hideMark/>
          </w:tcPr>
          <w:p w14:paraId="05509D2B" w14:textId="4D9CFCAE" w:rsidR="00580FAC" w:rsidRPr="006C2B6C" w:rsidRDefault="00580FAC" w:rsidP="007B2F86">
            <w:pPr>
              <w:rPr>
                <w:sz w:val="16"/>
                <w:szCs w:val="16"/>
              </w:rPr>
            </w:pPr>
            <w:r w:rsidRPr="006C2B6C">
              <w:rPr>
                <w:sz w:val="16"/>
                <w:szCs w:val="16"/>
                <w:highlight w:val="yellow"/>
              </w:rPr>
              <w:t xml:space="preserve">Project </w:t>
            </w:r>
            <w:r w:rsidR="007B2F86" w:rsidRPr="006C2B6C">
              <w:rPr>
                <w:sz w:val="16"/>
                <w:szCs w:val="16"/>
                <w:highlight w:val="yellow"/>
              </w:rPr>
              <w:t>Chief Technical Specialist</w:t>
            </w:r>
            <w:r w:rsidRPr="006C2B6C">
              <w:rPr>
                <w:sz w:val="16"/>
                <w:szCs w:val="16"/>
                <w:highlight w:val="yellow"/>
              </w:rPr>
              <w:t xml:space="preserve"> 40% $</w:t>
            </w:r>
            <w:r w:rsidR="0024498A" w:rsidRPr="006C2B6C">
              <w:rPr>
                <w:sz w:val="16"/>
                <w:szCs w:val="16"/>
                <w:highlight w:val="yellow"/>
              </w:rPr>
              <w:t>34</w:t>
            </w:r>
            <w:r w:rsidRPr="006C2B6C">
              <w:rPr>
                <w:sz w:val="16"/>
                <w:szCs w:val="16"/>
                <w:highlight w:val="yellow"/>
              </w:rPr>
              <w:t xml:space="preserve">,000; PA management planning expert $70,000; Outcome 1 PA capacity </w:t>
            </w:r>
            <w:r w:rsidR="00593816" w:rsidRPr="006C2B6C">
              <w:rPr>
                <w:sz w:val="16"/>
                <w:szCs w:val="16"/>
                <w:highlight w:val="yellow"/>
              </w:rPr>
              <w:t>building</w:t>
            </w:r>
            <w:r w:rsidRPr="006C2B6C">
              <w:rPr>
                <w:sz w:val="16"/>
                <w:szCs w:val="16"/>
                <w:highlight w:val="yellow"/>
              </w:rPr>
              <w:t xml:space="preserve"> coordinator $60,000; Outcome 2 Coordinator for support to KBA protection status $40,000</w:t>
            </w:r>
          </w:p>
        </w:tc>
      </w:tr>
      <w:tr w:rsidR="00580FAC" w:rsidRPr="003B6A69" w14:paraId="36C8A972" w14:textId="77777777" w:rsidTr="00593816">
        <w:trPr>
          <w:trHeight w:val="276"/>
        </w:trPr>
        <w:tc>
          <w:tcPr>
            <w:tcW w:w="895" w:type="dxa"/>
            <w:noWrap/>
            <w:hideMark/>
          </w:tcPr>
          <w:p w14:paraId="1BEDE44D" w14:textId="77777777" w:rsidR="00580FAC" w:rsidRPr="003B6A69" w:rsidRDefault="00580FAC" w:rsidP="00976CCF">
            <w:pPr>
              <w:spacing w:after="0"/>
              <w:ind w:left="227"/>
              <w:rPr>
                <w:sz w:val="16"/>
                <w:szCs w:val="16"/>
              </w:rPr>
            </w:pPr>
            <w:r w:rsidRPr="003B6A69">
              <w:rPr>
                <w:sz w:val="16"/>
                <w:szCs w:val="16"/>
              </w:rPr>
              <w:t>3</w:t>
            </w:r>
          </w:p>
        </w:tc>
        <w:tc>
          <w:tcPr>
            <w:tcW w:w="9067" w:type="dxa"/>
            <w:noWrap/>
            <w:hideMark/>
          </w:tcPr>
          <w:p w14:paraId="105C0F6E" w14:textId="77777777" w:rsidR="00580FAC" w:rsidRPr="006C2B6C" w:rsidRDefault="00580FAC" w:rsidP="00580FAC">
            <w:pPr>
              <w:rPr>
                <w:sz w:val="16"/>
                <w:szCs w:val="16"/>
              </w:rPr>
            </w:pPr>
            <w:r w:rsidRPr="006C2B6C">
              <w:rPr>
                <w:sz w:val="16"/>
                <w:szCs w:val="16"/>
              </w:rPr>
              <w:t>Travel Outcome 1 and Outcome 2</w:t>
            </w:r>
          </w:p>
        </w:tc>
      </w:tr>
      <w:tr w:rsidR="00580FAC" w:rsidRPr="003B6A69" w14:paraId="3DADC2D0" w14:textId="77777777" w:rsidTr="00593816">
        <w:trPr>
          <w:trHeight w:val="276"/>
        </w:trPr>
        <w:tc>
          <w:tcPr>
            <w:tcW w:w="895" w:type="dxa"/>
            <w:noWrap/>
            <w:hideMark/>
          </w:tcPr>
          <w:p w14:paraId="4B193844" w14:textId="77777777" w:rsidR="00580FAC" w:rsidRPr="003B6A69" w:rsidRDefault="00580FAC" w:rsidP="00976CCF">
            <w:pPr>
              <w:spacing w:before="1200" w:after="0"/>
              <w:ind w:left="227"/>
              <w:rPr>
                <w:sz w:val="16"/>
                <w:szCs w:val="16"/>
              </w:rPr>
            </w:pPr>
            <w:r w:rsidRPr="003B6A69">
              <w:rPr>
                <w:sz w:val="16"/>
                <w:szCs w:val="16"/>
              </w:rPr>
              <w:t>4</w:t>
            </w:r>
          </w:p>
        </w:tc>
        <w:tc>
          <w:tcPr>
            <w:tcW w:w="9067" w:type="dxa"/>
            <w:noWrap/>
            <w:hideMark/>
          </w:tcPr>
          <w:p w14:paraId="5698B3D8" w14:textId="5F5DC1BC" w:rsidR="00593816" w:rsidRPr="006C2B6C" w:rsidRDefault="00580FAC" w:rsidP="00593816">
            <w:pPr>
              <w:rPr>
                <w:sz w:val="16"/>
                <w:szCs w:val="16"/>
              </w:rPr>
            </w:pPr>
            <w:r w:rsidRPr="006C2B6C">
              <w:rPr>
                <w:sz w:val="16"/>
                <w:szCs w:val="16"/>
              </w:rPr>
              <w:t xml:space="preserve">Output 1.1. Biodiversity </w:t>
            </w:r>
            <w:proofErr w:type="spellStart"/>
            <w:r w:rsidRPr="006C2B6C">
              <w:rPr>
                <w:sz w:val="16"/>
                <w:szCs w:val="16"/>
              </w:rPr>
              <w:t>threat&amp;value</w:t>
            </w:r>
            <w:proofErr w:type="spellEnd"/>
            <w:r w:rsidRPr="006C2B6C">
              <w:rPr>
                <w:sz w:val="16"/>
                <w:szCs w:val="16"/>
              </w:rPr>
              <w:t xml:space="preserve"> assessment  for the </w:t>
            </w:r>
            <w:proofErr w:type="spellStart"/>
            <w:r w:rsidRPr="006C2B6C">
              <w:rPr>
                <w:sz w:val="16"/>
                <w:szCs w:val="16"/>
              </w:rPr>
              <w:t>Durmitor</w:t>
            </w:r>
            <w:proofErr w:type="spellEnd"/>
            <w:r w:rsidRPr="006C2B6C">
              <w:rPr>
                <w:sz w:val="16"/>
                <w:szCs w:val="16"/>
              </w:rPr>
              <w:t xml:space="preserve"> National Park, Development of scenarios for compensation of WH property, re-assessment of zonation USD 20,000; A Model Protection Study for </w:t>
            </w:r>
            <w:proofErr w:type="spellStart"/>
            <w:r w:rsidRPr="006C2B6C">
              <w:rPr>
                <w:sz w:val="16"/>
                <w:szCs w:val="16"/>
              </w:rPr>
              <w:t>Dragisnica-Komarnica</w:t>
            </w:r>
            <w:proofErr w:type="spellEnd"/>
            <w:r w:rsidRPr="006C2B6C">
              <w:rPr>
                <w:sz w:val="16"/>
                <w:szCs w:val="16"/>
              </w:rPr>
              <w:t xml:space="preserve"> Nature Park $18,000; Revised management planning and proposals for  WH-compliant management arrangements for </w:t>
            </w:r>
            <w:proofErr w:type="spellStart"/>
            <w:r w:rsidRPr="006C2B6C">
              <w:rPr>
                <w:sz w:val="16"/>
                <w:szCs w:val="16"/>
              </w:rPr>
              <w:t>Durmitor</w:t>
            </w:r>
            <w:proofErr w:type="spellEnd"/>
            <w:r w:rsidRPr="006C2B6C">
              <w:rPr>
                <w:sz w:val="16"/>
                <w:szCs w:val="16"/>
              </w:rPr>
              <w:t xml:space="preserve"> and </w:t>
            </w:r>
            <w:proofErr w:type="spellStart"/>
            <w:r w:rsidRPr="006C2B6C">
              <w:rPr>
                <w:sz w:val="16"/>
                <w:szCs w:val="16"/>
              </w:rPr>
              <w:t>Dragisnica-Komarnica</w:t>
            </w:r>
            <w:proofErr w:type="spellEnd"/>
            <w:r w:rsidRPr="006C2B6C">
              <w:rPr>
                <w:sz w:val="16"/>
                <w:szCs w:val="16"/>
              </w:rPr>
              <w:t xml:space="preserve">; Targeted implementation of new management plans USD 39,000; Assessment of acceptable ecological change for sustainable tourism development and carrying capacity for flagship ecosystems in </w:t>
            </w:r>
            <w:proofErr w:type="spellStart"/>
            <w:r w:rsidRPr="006C2B6C">
              <w:rPr>
                <w:sz w:val="16"/>
                <w:szCs w:val="16"/>
              </w:rPr>
              <w:t>Durmitor</w:t>
            </w:r>
            <w:proofErr w:type="spellEnd"/>
            <w:r w:rsidRPr="006C2B6C">
              <w:rPr>
                <w:sz w:val="16"/>
                <w:szCs w:val="16"/>
              </w:rPr>
              <w:t xml:space="preserve"> and </w:t>
            </w:r>
            <w:proofErr w:type="spellStart"/>
            <w:r w:rsidRPr="006C2B6C">
              <w:rPr>
                <w:sz w:val="16"/>
                <w:szCs w:val="16"/>
              </w:rPr>
              <w:t>Dragisnica-Komarnica</w:t>
            </w:r>
            <w:proofErr w:type="spellEnd"/>
            <w:r w:rsidRPr="006C2B6C">
              <w:rPr>
                <w:sz w:val="16"/>
                <w:szCs w:val="16"/>
              </w:rPr>
              <w:t xml:space="preserve"> $ 13,000; Capacity building for implementation of the new management planning and tourism </w:t>
            </w:r>
            <w:proofErr w:type="spellStart"/>
            <w:r w:rsidRPr="006C2B6C">
              <w:rPr>
                <w:sz w:val="16"/>
                <w:szCs w:val="16"/>
              </w:rPr>
              <w:t>devt</w:t>
            </w:r>
            <w:proofErr w:type="spellEnd"/>
            <w:r w:rsidRPr="006C2B6C">
              <w:rPr>
                <w:sz w:val="16"/>
                <w:szCs w:val="16"/>
              </w:rPr>
              <w:t xml:space="preserve"> instruments (</w:t>
            </w:r>
            <w:proofErr w:type="spellStart"/>
            <w:r w:rsidRPr="006C2B6C">
              <w:rPr>
                <w:sz w:val="16"/>
                <w:szCs w:val="16"/>
              </w:rPr>
              <w:t>Durmitor&amp;Dragisnica-Komarnica</w:t>
            </w:r>
            <w:proofErr w:type="spellEnd"/>
            <w:r w:rsidRPr="006C2B6C">
              <w:rPr>
                <w:sz w:val="16"/>
                <w:szCs w:val="16"/>
              </w:rPr>
              <w:t>) with focus on promotion of WH property values,</w:t>
            </w:r>
            <w:r w:rsidR="00E608D8" w:rsidRPr="006C2B6C">
              <w:rPr>
                <w:sz w:val="16"/>
                <w:szCs w:val="16"/>
              </w:rPr>
              <w:t xml:space="preserve"> </w:t>
            </w:r>
            <w:r w:rsidRPr="006C2B6C">
              <w:rPr>
                <w:sz w:val="16"/>
                <w:szCs w:val="16"/>
              </w:rPr>
              <w:t xml:space="preserve">establishment of the visitors’ monitoring and management schemes $20,000; Revised management plans and design of buffer zones for Nature parks </w:t>
            </w:r>
            <w:proofErr w:type="spellStart"/>
            <w:r w:rsidRPr="006C2B6C">
              <w:rPr>
                <w:sz w:val="16"/>
                <w:szCs w:val="16"/>
              </w:rPr>
              <w:t>Piva</w:t>
            </w:r>
            <w:proofErr w:type="spellEnd"/>
            <w:r w:rsidRPr="006C2B6C">
              <w:rPr>
                <w:sz w:val="16"/>
                <w:szCs w:val="16"/>
              </w:rPr>
              <w:t xml:space="preserve"> and </w:t>
            </w:r>
            <w:proofErr w:type="spellStart"/>
            <w:r w:rsidRPr="006C2B6C">
              <w:rPr>
                <w:sz w:val="16"/>
                <w:szCs w:val="16"/>
              </w:rPr>
              <w:t>Komovi</w:t>
            </w:r>
            <w:proofErr w:type="spellEnd"/>
            <w:r w:rsidRPr="006C2B6C">
              <w:rPr>
                <w:sz w:val="16"/>
                <w:szCs w:val="16"/>
              </w:rPr>
              <w:t xml:space="preserve"> and National park </w:t>
            </w:r>
            <w:proofErr w:type="spellStart"/>
            <w:r w:rsidRPr="006C2B6C">
              <w:rPr>
                <w:sz w:val="16"/>
                <w:szCs w:val="16"/>
              </w:rPr>
              <w:t>Biogradska</w:t>
            </w:r>
            <w:proofErr w:type="spellEnd"/>
            <w:r w:rsidRPr="006C2B6C">
              <w:rPr>
                <w:sz w:val="16"/>
                <w:szCs w:val="16"/>
              </w:rPr>
              <w:t xml:space="preserve"> Gora $52,000; </w:t>
            </w:r>
            <w:proofErr w:type="spellStart"/>
            <w:r w:rsidRPr="006C2B6C">
              <w:rPr>
                <w:sz w:val="16"/>
                <w:szCs w:val="16"/>
              </w:rPr>
              <w:t>Skadar</w:t>
            </w:r>
            <w:proofErr w:type="spellEnd"/>
            <w:r w:rsidRPr="006C2B6C">
              <w:rPr>
                <w:sz w:val="16"/>
                <w:szCs w:val="16"/>
              </w:rPr>
              <w:t xml:space="preserve"> Lake National Park:  targeted re-assessment of habitats and BD values,  development of recommendations for spatial planning and zonation, support to Ramsar buffer zone designation, boating regulations, </w:t>
            </w:r>
            <w:proofErr w:type="spellStart"/>
            <w:r w:rsidRPr="006C2B6C">
              <w:rPr>
                <w:sz w:val="16"/>
                <w:szCs w:val="16"/>
              </w:rPr>
              <w:t>valorisation</w:t>
            </w:r>
            <w:proofErr w:type="spellEnd"/>
            <w:r w:rsidRPr="006C2B6C">
              <w:rPr>
                <w:sz w:val="16"/>
                <w:szCs w:val="16"/>
              </w:rPr>
              <w:t xml:space="preserve"> activities $40,000; </w:t>
            </w:r>
            <w:proofErr w:type="spellStart"/>
            <w:r w:rsidRPr="006C2B6C">
              <w:rPr>
                <w:sz w:val="16"/>
                <w:szCs w:val="16"/>
              </w:rPr>
              <w:t>Ulcinjska</w:t>
            </w:r>
            <w:proofErr w:type="spellEnd"/>
            <w:r w:rsidRPr="006C2B6C">
              <w:rPr>
                <w:sz w:val="16"/>
                <w:szCs w:val="16"/>
              </w:rPr>
              <w:t xml:space="preserve"> Solana Nature Park: development and targeted support for implementation of a business plan; revision of </w:t>
            </w:r>
            <w:r w:rsidR="00E608D8" w:rsidRPr="006C2B6C">
              <w:rPr>
                <w:sz w:val="16"/>
                <w:szCs w:val="16"/>
              </w:rPr>
              <w:t>management</w:t>
            </w:r>
            <w:r w:rsidRPr="006C2B6C">
              <w:rPr>
                <w:sz w:val="16"/>
                <w:szCs w:val="16"/>
              </w:rPr>
              <w:t xml:space="preserve"> plan and support to management and operational planning in accordance with Ramsar principles and best practice $70,000</w:t>
            </w:r>
          </w:p>
          <w:p w14:paraId="1E050107" w14:textId="4EA6B094" w:rsidR="00593816" w:rsidRPr="006C2B6C" w:rsidRDefault="00580FAC" w:rsidP="00593816">
            <w:pPr>
              <w:rPr>
                <w:sz w:val="16"/>
                <w:szCs w:val="16"/>
              </w:rPr>
            </w:pPr>
            <w:r w:rsidRPr="006C2B6C">
              <w:rPr>
                <w:sz w:val="16"/>
                <w:szCs w:val="16"/>
              </w:rPr>
              <w:t>Output 1.2: Improved management planning (</w:t>
            </w:r>
            <w:proofErr w:type="spellStart"/>
            <w:r w:rsidRPr="006C2B6C">
              <w:rPr>
                <w:sz w:val="16"/>
                <w:szCs w:val="16"/>
              </w:rPr>
              <w:t>Orjen</w:t>
            </w:r>
            <w:proofErr w:type="spellEnd"/>
            <w:r w:rsidRPr="006C2B6C">
              <w:rPr>
                <w:sz w:val="16"/>
                <w:szCs w:val="16"/>
              </w:rPr>
              <w:t xml:space="preserve">) $20,000; Targeted support to </w:t>
            </w:r>
            <w:proofErr w:type="spellStart"/>
            <w:r w:rsidRPr="006C2B6C">
              <w:rPr>
                <w:sz w:val="16"/>
                <w:szCs w:val="16"/>
              </w:rPr>
              <w:t>valorisation</w:t>
            </w:r>
            <w:proofErr w:type="spellEnd"/>
            <w:r w:rsidRPr="006C2B6C">
              <w:rPr>
                <w:sz w:val="16"/>
                <w:szCs w:val="16"/>
              </w:rPr>
              <w:t xml:space="preserve"> and visitor infrastructure (</w:t>
            </w:r>
            <w:proofErr w:type="spellStart"/>
            <w:r w:rsidRPr="006C2B6C">
              <w:rPr>
                <w:sz w:val="16"/>
                <w:szCs w:val="16"/>
              </w:rPr>
              <w:t>Ulcinjska</w:t>
            </w:r>
            <w:proofErr w:type="spellEnd"/>
            <w:r w:rsidRPr="006C2B6C">
              <w:rPr>
                <w:sz w:val="16"/>
                <w:szCs w:val="16"/>
              </w:rPr>
              <w:t xml:space="preserve"> Solana, </w:t>
            </w:r>
            <w:proofErr w:type="spellStart"/>
            <w:r w:rsidRPr="006C2B6C">
              <w:rPr>
                <w:sz w:val="16"/>
                <w:szCs w:val="16"/>
              </w:rPr>
              <w:t>Orjen</w:t>
            </w:r>
            <w:proofErr w:type="spellEnd"/>
            <w:r w:rsidRPr="006C2B6C">
              <w:rPr>
                <w:sz w:val="16"/>
                <w:szCs w:val="16"/>
              </w:rPr>
              <w:t xml:space="preserve">, </w:t>
            </w:r>
            <w:proofErr w:type="spellStart"/>
            <w:r w:rsidRPr="006C2B6C">
              <w:rPr>
                <w:sz w:val="16"/>
                <w:szCs w:val="16"/>
              </w:rPr>
              <w:t>Komovi</w:t>
            </w:r>
            <w:proofErr w:type="spellEnd"/>
            <w:r w:rsidRPr="006C2B6C">
              <w:rPr>
                <w:sz w:val="16"/>
                <w:szCs w:val="16"/>
              </w:rPr>
              <w:t xml:space="preserve">) $65,000; Pilot </w:t>
            </w:r>
            <w:r w:rsidR="00E608D8" w:rsidRPr="006C2B6C">
              <w:rPr>
                <w:sz w:val="16"/>
                <w:szCs w:val="16"/>
              </w:rPr>
              <w:t>management</w:t>
            </w:r>
            <w:r w:rsidRPr="006C2B6C">
              <w:rPr>
                <w:sz w:val="16"/>
                <w:szCs w:val="16"/>
              </w:rPr>
              <w:t xml:space="preserve"> plan for coastal zone nature monuments; targeted support to implementation of advanced management measures $35,000</w:t>
            </w:r>
          </w:p>
          <w:p w14:paraId="2190738E" w14:textId="41052DCE" w:rsidR="00580FAC" w:rsidRPr="006C2B6C" w:rsidRDefault="00580FAC" w:rsidP="00593816">
            <w:pPr>
              <w:rPr>
                <w:sz w:val="16"/>
                <w:szCs w:val="16"/>
              </w:rPr>
            </w:pPr>
            <w:r w:rsidRPr="006C2B6C">
              <w:rPr>
                <w:sz w:val="16"/>
                <w:szCs w:val="16"/>
              </w:rPr>
              <w:t xml:space="preserve">Output 2.1 Targeted BD assessments $419,000; Output 2.2 Baseline studies (former Protection Study) on BD mainstreaming dimension to cover the unprotected KBAs and biodiversity </w:t>
            </w:r>
            <w:proofErr w:type="spellStart"/>
            <w:r w:rsidRPr="006C2B6C">
              <w:rPr>
                <w:sz w:val="16"/>
                <w:szCs w:val="16"/>
              </w:rPr>
              <w:t>centres</w:t>
            </w:r>
            <w:proofErr w:type="spellEnd"/>
            <w:r w:rsidRPr="006C2B6C">
              <w:rPr>
                <w:sz w:val="16"/>
                <w:szCs w:val="16"/>
              </w:rPr>
              <w:t xml:space="preserve"> $50,000; Output 2.3 Concrete mechanisms for KBA protection outside PAs $30,000</w:t>
            </w:r>
          </w:p>
        </w:tc>
      </w:tr>
      <w:tr w:rsidR="00580FAC" w:rsidRPr="003B6A69" w14:paraId="1E59A7F1" w14:textId="77777777" w:rsidTr="00593816">
        <w:trPr>
          <w:trHeight w:val="276"/>
        </w:trPr>
        <w:tc>
          <w:tcPr>
            <w:tcW w:w="895" w:type="dxa"/>
            <w:noWrap/>
            <w:hideMark/>
          </w:tcPr>
          <w:p w14:paraId="4E177031" w14:textId="77777777" w:rsidR="00580FAC" w:rsidRPr="003B6A69" w:rsidRDefault="00580FAC" w:rsidP="00976CCF">
            <w:pPr>
              <w:spacing w:before="120" w:after="0"/>
              <w:ind w:left="227"/>
              <w:rPr>
                <w:sz w:val="16"/>
                <w:szCs w:val="16"/>
              </w:rPr>
            </w:pPr>
            <w:r w:rsidRPr="003B6A69">
              <w:rPr>
                <w:sz w:val="16"/>
                <w:szCs w:val="16"/>
              </w:rPr>
              <w:t>5</w:t>
            </w:r>
          </w:p>
        </w:tc>
        <w:tc>
          <w:tcPr>
            <w:tcW w:w="9067" w:type="dxa"/>
            <w:noWrap/>
            <w:hideMark/>
          </w:tcPr>
          <w:p w14:paraId="7437DE57" w14:textId="77777777" w:rsidR="00580FAC" w:rsidRPr="006C2B6C" w:rsidRDefault="00580FAC" w:rsidP="00580FAC">
            <w:pPr>
              <w:rPr>
                <w:sz w:val="16"/>
                <w:szCs w:val="16"/>
              </w:rPr>
            </w:pPr>
            <w:r w:rsidRPr="006C2B6C">
              <w:rPr>
                <w:sz w:val="16"/>
                <w:szCs w:val="16"/>
              </w:rPr>
              <w:t xml:space="preserve">Material capacity building (equipment) for patrolling, </w:t>
            </w:r>
            <w:proofErr w:type="gramStart"/>
            <w:r w:rsidRPr="006C2B6C">
              <w:rPr>
                <w:sz w:val="16"/>
                <w:szCs w:val="16"/>
              </w:rPr>
              <w:t>monitoring</w:t>
            </w:r>
            <w:proofErr w:type="gramEnd"/>
            <w:r w:rsidRPr="006C2B6C">
              <w:rPr>
                <w:sz w:val="16"/>
                <w:szCs w:val="16"/>
              </w:rPr>
              <w:t xml:space="preserve"> and research under Output 1.2: Enhanced capacities for patrolling and monitoring (PAs: </w:t>
            </w:r>
            <w:proofErr w:type="spellStart"/>
            <w:r w:rsidRPr="006C2B6C">
              <w:rPr>
                <w:sz w:val="16"/>
                <w:szCs w:val="16"/>
              </w:rPr>
              <w:t>Skadar</w:t>
            </w:r>
            <w:proofErr w:type="spellEnd"/>
            <w:r w:rsidRPr="006C2B6C">
              <w:rPr>
                <w:sz w:val="16"/>
                <w:szCs w:val="16"/>
              </w:rPr>
              <w:t xml:space="preserve"> Lake, </w:t>
            </w:r>
            <w:proofErr w:type="spellStart"/>
            <w:r w:rsidRPr="006C2B6C">
              <w:rPr>
                <w:sz w:val="16"/>
                <w:szCs w:val="16"/>
              </w:rPr>
              <w:t>Durmitor</w:t>
            </w:r>
            <w:proofErr w:type="spellEnd"/>
            <w:r w:rsidRPr="006C2B6C">
              <w:rPr>
                <w:sz w:val="16"/>
                <w:szCs w:val="16"/>
              </w:rPr>
              <w:t xml:space="preserve">, </w:t>
            </w:r>
            <w:proofErr w:type="spellStart"/>
            <w:r w:rsidRPr="006C2B6C">
              <w:rPr>
                <w:sz w:val="16"/>
                <w:szCs w:val="16"/>
              </w:rPr>
              <w:t>Biogradska</w:t>
            </w:r>
            <w:proofErr w:type="spellEnd"/>
            <w:r w:rsidRPr="006C2B6C">
              <w:rPr>
                <w:sz w:val="16"/>
                <w:szCs w:val="16"/>
              </w:rPr>
              <w:t xml:space="preserve"> Gora) $70,000; Monitoring and research for informed management (PAs: </w:t>
            </w:r>
            <w:proofErr w:type="spellStart"/>
            <w:r w:rsidRPr="006C2B6C">
              <w:rPr>
                <w:sz w:val="16"/>
                <w:szCs w:val="16"/>
              </w:rPr>
              <w:t>Orjen</w:t>
            </w:r>
            <w:proofErr w:type="spellEnd"/>
            <w:r w:rsidRPr="006C2B6C">
              <w:rPr>
                <w:sz w:val="16"/>
                <w:szCs w:val="16"/>
              </w:rPr>
              <w:t xml:space="preserve">, </w:t>
            </w:r>
            <w:proofErr w:type="spellStart"/>
            <w:r w:rsidRPr="006C2B6C">
              <w:rPr>
                <w:sz w:val="16"/>
                <w:szCs w:val="16"/>
              </w:rPr>
              <w:t>Piva</w:t>
            </w:r>
            <w:proofErr w:type="spellEnd"/>
            <w:r w:rsidRPr="006C2B6C">
              <w:rPr>
                <w:sz w:val="16"/>
                <w:szCs w:val="16"/>
              </w:rPr>
              <w:t xml:space="preserve">, </w:t>
            </w:r>
            <w:proofErr w:type="spellStart"/>
            <w:r w:rsidRPr="006C2B6C">
              <w:rPr>
                <w:sz w:val="16"/>
                <w:szCs w:val="16"/>
              </w:rPr>
              <w:t>Komovi</w:t>
            </w:r>
            <w:proofErr w:type="spellEnd"/>
            <w:r w:rsidRPr="006C2B6C">
              <w:rPr>
                <w:sz w:val="16"/>
                <w:szCs w:val="16"/>
              </w:rPr>
              <w:t xml:space="preserve">) $20,000; </w:t>
            </w:r>
          </w:p>
        </w:tc>
      </w:tr>
      <w:tr w:rsidR="00580FAC" w:rsidRPr="003B6A69" w14:paraId="1D245149" w14:textId="77777777" w:rsidTr="00593816">
        <w:trPr>
          <w:trHeight w:val="720"/>
        </w:trPr>
        <w:tc>
          <w:tcPr>
            <w:tcW w:w="895" w:type="dxa"/>
            <w:noWrap/>
            <w:hideMark/>
          </w:tcPr>
          <w:p w14:paraId="708C9799" w14:textId="77777777" w:rsidR="00580FAC" w:rsidRPr="003B6A69" w:rsidRDefault="00580FAC" w:rsidP="00976CCF">
            <w:pPr>
              <w:spacing w:before="240" w:after="0"/>
              <w:ind w:left="227"/>
              <w:rPr>
                <w:sz w:val="16"/>
                <w:szCs w:val="16"/>
              </w:rPr>
            </w:pPr>
            <w:r w:rsidRPr="003B6A69">
              <w:rPr>
                <w:sz w:val="16"/>
                <w:szCs w:val="16"/>
              </w:rPr>
              <w:t>6</w:t>
            </w:r>
          </w:p>
        </w:tc>
        <w:tc>
          <w:tcPr>
            <w:tcW w:w="9067" w:type="dxa"/>
            <w:hideMark/>
          </w:tcPr>
          <w:p w14:paraId="5CA0BA9F" w14:textId="18AD9E00" w:rsidR="00580FAC" w:rsidRPr="006C2B6C" w:rsidRDefault="00580FAC" w:rsidP="00580FAC">
            <w:pPr>
              <w:rPr>
                <w:sz w:val="16"/>
                <w:szCs w:val="16"/>
              </w:rPr>
            </w:pPr>
            <w:r w:rsidRPr="006C2B6C">
              <w:rPr>
                <w:sz w:val="16"/>
                <w:szCs w:val="16"/>
              </w:rPr>
              <w:t xml:space="preserve"> </w:t>
            </w:r>
            <w:r w:rsidRPr="006C2B6C">
              <w:rPr>
                <w:sz w:val="16"/>
                <w:szCs w:val="16"/>
                <w:highlight w:val="yellow"/>
              </w:rPr>
              <w:t xml:space="preserve">Output 1.1 Trainings for MAB management (Tara MAB Reserve coordination body, Management of </w:t>
            </w:r>
            <w:proofErr w:type="spellStart"/>
            <w:r w:rsidRPr="006C2B6C">
              <w:rPr>
                <w:sz w:val="16"/>
                <w:szCs w:val="16"/>
                <w:highlight w:val="yellow"/>
              </w:rPr>
              <w:t>Piva</w:t>
            </w:r>
            <w:proofErr w:type="spellEnd"/>
            <w:r w:rsidRPr="006C2B6C">
              <w:rPr>
                <w:sz w:val="16"/>
                <w:szCs w:val="16"/>
                <w:highlight w:val="yellow"/>
              </w:rPr>
              <w:t xml:space="preserve">, </w:t>
            </w:r>
            <w:proofErr w:type="spellStart"/>
            <w:r w:rsidRPr="006C2B6C">
              <w:rPr>
                <w:sz w:val="16"/>
                <w:szCs w:val="16"/>
                <w:highlight w:val="yellow"/>
              </w:rPr>
              <w:t>Komovi</w:t>
            </w:r>
            <w:proofErr w:type="spellEnd"/>
            <w:r w:rsidRPr="006C2B6C">
              <w:rPr>
                <w:sz w:val="16"/>
                <w:szCs w:val="16"/>
                <w:highlight w:val="yellow"/>
              </w:rPr>
              <w:t xml:space="preserve">, </w:t>
            </w:r>
            <w:proofErr w:type="spellStart"/>
            <w:r w:rsidRPr="006C2B6C">
              <w:rPr>
                <w:sz w:val="16"/>
                <w:szCs w:val="16"/>
                <w:highlight w:val="yellow"/>
              </w:rPr>
              <w:t>Biogradska</w:t>
            </w:r>
            <w:proofErr w:type="spellEnd"/>
            <w:r w:rsidRPr="006C2B6C">
              <w:rPr>
                <w:sz w:val="16"/>
                <w:szCs w:val="16"/>
                <w:highlight w:val="yellow"/>
              </w:rPr>
              <w:t xml:space="preserve"> Gora) $15,000; </w:t>
            </w:r>
            <w:r w:rsidRPr="006C2B6C">
              <w:rPr>
                <w:sz w:val="16"/>
                <w:szCs w:val="16"/>
                <w:highlight w:val="yellow"/>
              </w:rPr>
              <w:br/>
              <w:t>Output 1.2 Capacity building for law enforcement (</w:t>
            </w:r>
            <w:proofErr w:type="spellStart"/>
            <w:r w:rsidRPr="006C2B6C">
              <w:rPr>
                <w:sz w:val="16"/>
                <w:szCs w:val="16"/>
                <w:highlight w:val="yellow"/>
              </w:rPr>
              <w:t>Skadar</w:t>
            </w:r>
            <w:proofErr w:type="spellEnd"/>
            <w:r w:rsidRPr="006C2B6C">
              <w:rPr>
                <w:sz w:val="16"/>
                <w:szCs w:val="16"/>
                <w:highlight w:val="yellow"/>
              </w:rPr>
              <w:t xml:space="preserve"> Lake, </w:t>
            </w:r>
            <w:proofErr w:type="spellStart"/>
            <w:r w:rsidRPr="006C2B6C">
              <w:rPr>
                <w:sz w:val="16"/>
                <w:szCs w:val="16"/>
                <w:highlight w:val="yellow"/>
              </w:rPr>
              <w:t>Ulcinjska</w:t>
            </w:r>
            <w:proofErr w:type="spellEnd"/>
            <w:r w:rsidRPr="006C2B6C">
              <w:rPr>
                <w:sz w:val="16"/>
                <w:szCs w:val="16"/>
                <w:highlight w:val="yellow"/>
              </w:rPr>
              <w:t xml:space="preserve"> Solana, </w:t>
            </w:r>
            <w:proofErr w:type="spellStart"/>
            <w:proofErr w:type="gramStart"/>
            <w:r w:rsidRPr="006C2B6C">
              <w:rPr>
                <w:sz w:val="16"/>
                <w:szCs w:val="16"/>
                <w:highlight w:val="yellow"/>
              </w:rPr>
              <w:t>Orijen,Dragisnica</w:t>
            </w:r>
            <w:proofErr w:type="gramEnd"/>
            <w:r w:rsidRPr="006C2B6C">
              <w:rPr>
                <w:sz w:val="16"/>
                <w:szCs w:val="16"/>
                <w:highlight w:val="yellow"/>
              </w:rPr>
              <w:t>-Komarnica</w:t>
            </w:r>
            <w:proofErr w:type="spellEnd"/>
            <w:r w:rsidRPr="006C2B6C">
              <w:rPr>
                <w:sz w:val="16"/>
                <w:szCs w:val="16"/>
                <w:highlight w:val="yellow"/>
              </w:rPr>
              <w:t>) $2</w:t>
            </w:r>
            <w:r w:rsidR="0024498A" w:rsidRPr="006C2B6C">
              <w:rPr>
                <w:sz w:val="16"/>
                <w:szCs w:val="16"/>
                <w:highlight w:val="yellow"/>
              </w:rPr>
              <w:t>3</w:t>
            </w:r>
            <w:r w:rsidRPr="006C2B6C">
              <w:rPr>
                <w:sz w:val="16"/>
                <w:szCs w:val="16"/>
                <w:highlight w:val="yellow"/>
              </w:rPr>
              <w:t>,000; Community engagement training and capacity building (</w:t>
            </w:r>
            <w:proofErr w:type="spellStart"/>
            <w:r w:rsidRPr="006C2B6C">
              <w:rPr>
                <w:sz w:val="16"/>
                <w:szCs w:val="16"/>
                <w:highlight w:val="yellow"/>
              </w:rPr>
              <w:t>Durmitor</w:t>
            </w:r>
            <w:proofErr w:type="spellEnd"/>
            <w:r w:rsidRPr="006C2B6C">
              <w:rPr>
                <w:sz w:val="16"/>
                <w:szCs w:val="16"/>
                <w:highlight w:val="yellow"/>
              </w:rPr>
              <w:t xml:space="preserve">, </w:t>
            </w:r>
            <w:proofErr w:type="spellStart"/>
            <w:r w:rsidRPr="006C2B6C">
              <w:rPr>
                <w:sz w:val="16"/>
                <w:szCs w:val="16"/>
                <w:highlight w:val="yellow"/>
              </w:rPr>
              <w:t>Biogradska</w:t>
            </w:r>
            <w:proofErr w:type="spellEnd"/>
            <w:r w:rsidRPr="006C2B6C">
              <w:rPr>
                <w:sz w:val="16"/>
                <w:szCs w:val="16"/>
                <w:highlight w:val="yellow"/>
              </w:rPr>
              <w:t xml:space="preserve"> Gora, </w:t>
            </w:r>
            <w:proofErr w:type="spellStart"/>
            <w:r w:rsidRPr="006C2B6C">
              <w:rPr>
                <w:sz w:val="16"/>
                <w:szCs w:val="16"/>
                <w:highlight w:val="yellow"/>
              </w:rPr>
              <w:t>Sinjajevina</w:t>
            </w:r>
            <w:proofErr w:type="spellEnd"/>
            <w:r w:rsidRPr="006C2B6C">
              <w:rPr>
                <w:sz w:val="16"/>
                <w:szCs w:val="16"/>
                <w:highlight w:val="yellow"/>
              </w:rPr>
              <w:t xml:space="preserve">, </w:t>
            </w:r>
            <w:proofErr w:type="spellStart"/>
            <w:r w:rsidRPr="006C2B6C">
              <w:rPr>
                <w:sz w:val="16"/>
                <w:szCs w:val="16"/>
                <w:highlight w:val="yellow"/>
              </w:rPr>
              <w:t>Skadar</w:t>
            </w:r>
            <w:proofErr w:type="spellEnd"/>
            <w:r w:rsidRPr="006C2B6C">
              <w:rPr>
                <w:sz w:val="16"/>
                <w:szCs w:val="16"/>
                <w:highlight w:val="yellow"/>
              </w:rPr>
              <w:t xml:space="preserve"> Lake, </w:t>
            </w:r>
            <w:proofErr w:type="spellStart"/>
            <w:r w:rsidRPr="006C2B6C">
              <w:rPr>
                <w:sz w:val="16"/>
                <w:szCs w:val="16"/>
                <w:highlight w:val="yellow"/>
              </w:rPr>
              <w:t>Ulcinjska</w:t>
            </w:r>
            <w:proofErr w:type="spellEnd"/>
            <w:r w:rsidRPr="006C2B6C">
              <w:rPr>
                <w:sz w:val="16"/>
                <w:szCs w:val="16"/>
                <w:highlight w:val="yellow"/>
              </w:rPr>
              <w:t xml:space="preserve"> Solana) $2</w:t>
            </w:r>
            <w:r w:rsidR="0024498A" w:rsidRPr="006C2B6C">
              <w:rPr>
                <w:sz w:val="16"/>
                <w:szCs w:val="16"/>
                <w:highlight w:val="yellow"/>
              </w:rPr>
              <w:t>3</w:t>
            </w:r>
            <w:r w:rsidRPr="006C2B6C">
              <w:rPr>
                <w:sz w:val="16"/>
                <w:szCs w:val="16"/>
                <w:highlight w:val="yellow"/>
              </w:rPr>
              <w:t>,000;</w:t>
            </w:r>
            <w:r w:rsidRPr="006C2B6C">
              <w:rPr>
                <w:sz w:val="16"/>
                <w:szCs w:val="16"/>
              </w:rPr>
              <w:t xml:space="preserve"> </w:t>
            </w:r>
          </w:p>
        </w:tc>
      </w:tr>
      <w:tr w:rsidR="00580FAC" w:rsidRPr="003B6A69" w14:paraId="67DAB975" w14:textId="77777777" w:rsidTr="00593816">
        <w:trPr>
          <w:trHeight w:val="276"/>
        </w:trPr>
        <w:tc>
          <w:tcPr>
            <w:tcW w:w="895" w:type="dxa"/>
            <w:noWrap/>
            <w:hideMark/>
          </w:tcPr>
          <w:p w14:paraId="154F2A19" w14:textId="77777777" w:rsidR="00580FAC" w:rsidRPr="003B6A69" w:rsidRDefault="00580FAC" w:rsidP="00976CCF">
            <w:pPr>
              <w:spacing w:after="0"/>
              <w:ind w:left="227"/>
              <w:rPr>
                <w:sz w:val="16"/>
                <w:szCs w:val="16"/>
              </w:rPr>
            </w:pPr>
            <w:r w:rsidRPr="003B6A69">
              <w:rPr>
                <w:sz w:val="16"/>
                <w:szCs w:val="16"/>
              </w:rPr>
              <w:t>7</w:t>
            </w:r>
          </w:p>
        </w:tc>
        <w:tc>
          <w:tcPr>
            <w:tcW w:w="9067" w:type="dxa"/>
            <w:noWrap/>
            <w:hideMark/>
          </w:tcPr>
          <w:p w14:paraId="190ECCFD" w14:textId="77777777" w:rsidR="00580FAC" w:rsidRPr="006C2B6C" w:rsidRDefault="00580FAC" w:rsidP="00580FAC">
            <w:pPr>
              <w:rPr>
                <w:sz w:val="16"/>
                <w:szCs w:val="16"/>
              </w:rPr>
            </w:pPr>
            <w:r w:rsidRPr="006C2B6C">
              <w:rPr>
                <w:sz w:val="16"/>
                <w:szCs w:val="16"/>
              </w:rPr>
              <w:t>International Consultant for the Green Payment Scheme design, $21,000 (milestone-based IC contract)</w:t>
            </w:r>
          </w:p>
        </w:tc>
      </w:tr>
      <w:tr w:rsidR="00580FAC" w:rsidRPr="003B6A69" w14:paraId="322D82BD" w14:textId="77777777" w:rsidTr="00593816">
        <w:trPr>
          <w:trHeight w:val="276"/>
        </w:trPr>
        <w:tc>
          <w:tcPr>
            <w:tcW w:w="895" w:type="dxa"/>
            <w:noWrap/>
            <w:hideMark/>
          </w:tcPr>
          <w:p w14:paraId="4D09BC82" w14:textId="77777777" w:rsidR="00580FAC" w:rsidRPr="003B6A69" w:rsidRDefault="00580FAC" w:rsidP="00976CCF">
            <w:pPr>
              <w:spacing w:before="480" w:after="0"/>
              <w:ind w:left="227"/>
              <w:rPr>
                <w:sz w:val="16"/>
                <w:szCs w:val="16"/>
              </w:rPr>
            </w:pPr>
            <w:r w:rsidRPr="003B6A69">
              <w:rPr>
                <w:sz w:val="16"/>
                <w:szCs w:val="16"/>
              </w:rPr>
              <w:t>8</w:t>
            </w:r>
          </w:p>
        </w:tc>
        <w:tc>
          <w:tcPr>
            <w:tcW w:w="9067" w:type="dxa"/>
            <w:noWrap/>
            <w:hideMark/>
          </w:tcPr>
          <w:p w14:paraId="31B9FA17" w14:textId="77777777" w:rsidR="00266EEB" w:rsidRPr="006C2B6C" w:rsidRDefault="00580FAC" w:rsidP="00266EEB">
            <w:pPr>
              <w:rPr>
                <w:sz w:val="16"/>
                <w:szCs w:val="16"/>
              </w:rPr>
            </w:pPr>
            <w:r w:rsidRPr="006C2B6C">
              <w:rPr>
                <w:sz w:val="16"/>
                <w:szCs w:val="16"/>
              </w:rPr>
              <w:t xml:space="preserve">Local Consultants for Output 3.1: Expert input </w:t>
            </w:r>
            <w:proofErr w:type="gramStart"/>
            <w:r w:rsidRPr="006C2B6C">
              <w:rPr>
                <w:sz w:val="16"/>
                <w:szCs w:val="16"/>
              </w:rPr>
              <w:t>for  BD</w:t>
            </w:r>
            <w:proofErr w:type="gramEnd"/>
            <w:r w:rsidRPr="006C2B6C">
              <w:rPr>
                <w:sz w:val="16"/>
                <w:szCs w:val="16"/>
              </w:rPr>
              <w:t xml:space="preserve"> conservation dimension in the post-COVID tourism sector recovery plans $10,000;</w:t>
            </w:r>
          </w:p>
          <w:p w14:paraId="25DF2089" w14:textId="77777777" w:rsidR="00266EEB" w:rsidRPr="006C2B6C" w:rsidRDefault="00580FAC" w:rsidP="00266EEB">
            <w:pPr>
              <w:rPr>
                <w:sz w:val="16"/>
                <w:szCs w:val="16"/>
              </w:rPr>
            </w:pPr>
            <w:r w:rsidRPr="006C2B6C">
              <w:rPr>
                <w:sz w:val="16"/>
                <w:szCs w:val="16"/>
              </w:rPr>
              <w:t xml:space="preserve">Local </w:t>
            </w:r>
            <w:proofErr w:type="spellStart"/>
            <w:r w:rsidRPr="006C2B6C">
              <w:rPr>
                <w:sz w:val="16"/>
                <w:szCs w:val="16"/>
              </w:rPr>
              <w:t>Cosultants</w:t>
            </w:r>
            <w:proofErr w:type="spellEnd"/>
            <w:r w:rsidRPr="006C2B6C">
              <w:rPr>
                <w:sz w:val="16"/>
                <w:szCs w:val="16"/>
              </w:rPr>
              <w:t xml:space="preserve"> for Output 4.1: Development of regulations and incentives for increased production of NTFP generating income for local communities $15,000; Development of Amendments to Law on Forests </w:t>
            </w:r>
            <w:r w:rsidR="00266EEB" w:rsidRPr="006C2B6C">
              <w:rPr>
                <w:sz w:val="16"/>
                <w:szCs w:val="16"/>
              </w:rPr>
              <w:t>clarifying</w:t>
            </w:r>
            <w:r w:rsidRPr="006C2B6C">
              <w:rPr>
                <w:sz w:val="16"/>
                <w:szCs w:val="16"/>
              </w:rPr>
              <w:t xml:space="preserve"> the use of NFTP </w:t>
            </w:r>
            <w:proofErr w:type="gramStart"/>
            <w:r w:rsidRPr="006C2B6C">
              <w:rPr>
                <w:sz w:val="16"/>
                <w:szCs w:val="16"/>
              </w:rPr>
              <w:t>$ 8,000;</w:t>
            </w:r>
            <w:proofErr w:type="gramEnd"/>
            <w:r w:rsidRPr="006C2B6C">
              <w:rPr>
                <w:sz w:val="16"/>
                <w:szCs w:val="16"/>
              </w:rPr>
              <w:t xml:space="preserve"> </w:t>
            </w:r>
          </w:p>
          <w:p w14:paraId="1D52AF02" w14:textId="7BEFE429" w:rsidR="00266EEB" w:rsidRPr="006C2B6C" w:rsidRDefault="00580FAC" w:rsidP="00266EEB">
            <w:pPr>
              <w:rPr>
                <w:sz w:val="16"/>
                <w:szCs w:val="16"/>
              </w:rPr>
            </w:pPr>
            <w:r w:rsidRPr="006C2B6C">
              <w:rPr>
                <w:sz w:val="16"/>
                <w:szCs w:val="16"/>
              </w:rPr>
              <w:t xml:space="preserve">Local Consultants for Output 5.1: SWOT analysis of the existing agricultural subsidies $10,000; Support to "green" payment scheme: preparation and dissemination of the information package; consultation with proponents; screening of proposals; M&amp;E of the “green” payment </w:t>
            </w:r>
            <w:proofErr w:type="spellStart"/>
            <w:proofErr w:type="gramStart"/>
            <w:r w:rsidRPr="006C2B6C">
              <w:rPr>
                <w:sz w:val="16"/>
                <w:szCs w:val="16"/>
              </w:rPr>
              <w:t>programme</w:t>
            </w:r>
            <w:proofErr w:type="spellEnd"/>
            <w:r w:rsidRPr="006C2B6C">
              <w:rPr>
                <w:sz w:val="16"/>
                <w:szCs w:val="16"/>
              </w:rPr>
              <w:t xml:space="preserve"> ;</w:t>
            </w:r>
            <w:proofErr w:type="gramEnd"/>
            <w:r w:rsidRPr="006C2B6C">
              <w:rPr>
                <w:sz w:val="16"/>
                <w:szCs w:val="16"/>
              </w:rPr>
              <w:t xml:space="preserve"> results and lessons learned $54,000; </w:t>
            </w:r>
          </w:p>
          <w:p w14:paraId="09919C80" w14:textId="0810B034" w:rsidR="00580FAC" w:rsidRPr="006C2B6C" w:rsidRDefault="00580FAC" w:rsidP="00266EEB">
            <w:pPr>
              <w:rPr>
                <w:sz w:val="16"/>
                <w:szCs w:val="16"/>
              </w:rPr>
            </w:pPr>
            <w:r w:rsidRPr="006C2B6C">
              <w:rPr>
                <w:sz w:val="16"/>
                <w:szCs w:val="16"/>
              </w:rPr>
              <w:t xml:space="preserve">Output 5.2 </w:t>
            </w:r>
            <w:proofErr w:type="spellStart"/>
            <w:r w:rsidRPr="006C2B6C">
              <w:rPr>
                <w:sz w:val="16"/>
                <w:szCs w:val="16"/>
              </w:rPr>
              <w:t>Agro</w:t>
            </w:r>
            <w:proofErr w:type="spellEnd"/>
            <w:r w:rsidRPr="006C2B6C">
              <w:rPr>
                <w:sz w:val="16"/>
                <w:szCs w:val="16"/>
              </w:rPr>
              <w:t>-environmental pilots:  Assessment of results, analysis of effectiveness and efficiency $15,000</w:t>
            </w:r>
          </w:p>
        </w:tc>
      </w:tr>
      <w:tr w:rsidR="00580FAC" w:rsidRPr="003B6A69" w14:paraId="36535312" w14:textId="77777777" w:rsidTr="00593816">
        <w:trPr>
          <w:trHeight w:val="276"/>
        </w:trPr>
        <w:tc>
          <w:tcPr>
            <w:tcW w:w="895" w:type="dxa"/>
            <w:noWrap/>
            <w:hideMark/>
          </w:tcPr>
          <w:p w14:paraId="16FD54E5" w14:textId="77777777" w:rsidR="00580FAC" w:rsidRPr="003B6A69" w:rsidRDefault="00580FAC" w:rsidP="00976CCF">
            <w:pPr>
              <w:spacing w:before="120" w:after="0"/>
              <w:ind w:left="227"/>
              <w:rPr>
                <w:sz w:val="16"/>
                <w:szCs w:val="16"/>
              </w:rPr>
            </w:pPr>
            <w:r w:rsidRPr="003B6A69">
              <w:rPr>
                <w:sz w:val="16"/>
                <w:szCs w:val="16"/>
              </w:rPr>
              <w:t>9</w:t>
            </w:r>
          </w:p>
        </w:tc>
        <w:tc>
          <w:tcPr>
            <w:tcW w:w="9067" w:type="dxa"/>
            <w:noWrap/>
            <w:hideMark/>
          </w:tcPr>
          <w:p w14:paraId="0FAE8C91" w14:textId="10169C27" w:rsidR="00580FAC" w:rsidRPr="006C2B6C" w:rsidRDefault="00580FAC" w:rsidP="007B2F86">
            <w:pPr>
              <w:rPr>
                <w:sz w:val="16"/>
                <w:szCs w:val="16"/>
                <w:highlight w:val="yellow"/>
              </w:rPr>
            </w:pPr>
            <w:r w:rsidRPr="006C2B6C">
              <w:rPr>
                <w:sz w:val="16"/>
                <w:szCs w:val="16"/>
                <w:highlight w:val="yellow"/>
              </w:rPr>
              <w:t xml:space="preserve">Project </w:t>
            </w:r>
            <w:r w:rsidR="007B2F86" w:rsidRPr="006C2B6C">
              <w:rPr>
                <w:sz w:val="16"/>
                <w:szCs w:val="16"/>
                <w:highlight w:val="yellow"/>
              </w:rPr>
              <w:t>Chief Technical Specialist</w:t>
            </w:r>
            <w:r w:rsidRPr="006C2B6C">
              <w:rPr>
                <w:sz w:val="16"/>
                <w:szCs w:val="16"/>
                <w:highlight w:val="yellow"/>
              </w:rPr>
              <w:t xml:space="preserve"> 60% $</w:t>
            </w:r>
            <w:r w:rsidR="0024498A" w:rsidRPr="006C2B6C">
              <w:rPr>
                <w:sz w:val="16"/>
                <w:szCs w:val="16"/>
                <w:highlight w:val="yellow"/>
              </w:rPr>
              <w:t>51</w:t>
            </w:r>
            <w:r w:rsidRPr="006C2B6C">
              <w:rPr>
                <w:sz w:val="16"/>
                <w:szCs w:val="16"/>
                <w:highlight w:val="yellow"/>
              </w:rPr>
              <w:t xml:space="preserve">000; Outcome 3 Individual and corporate tourism business engagement specialist $ 70,000; Outcome 4 HCVF Expert $ 70,000; Outcome </w:t>
            </w:r>
            <w:proofErr w:type="gramStart"/>
            <w:r w:rsidRPr="006C2B6C">
              <w:rPr>
                <w:sz w:val="16"/>
                <w:szCs w:val="16"/>
                <w:highlight w:val="yellow"/>
              </w:rPr>
              <w:t>5  Green</w:t>
            </w:r>
            <w:proofErr w:type="gramEnd"/>
            <w:r w:rsidRPr="006C2B6C">
              <w:rPr>
                <w:sz w:val="16"/>
                <w:szCs w:val="16"/>
                <w:highlight w:val="yellow"/>
              </w:rPr>
              <w:t xml:space="preserve"> payment scheme coordinator $ 60,000;</w:t>
            </w:r>
          </w:p>
        </w:tc>
      </w:tr>
      <w:tr w:rsidR="00580FAC" w:rsidRPr="003B6A69" w14:paraId="725A6E7D" w14:textId="77777777" w:rsidTr="00593816">
        <w:trPr>
          <w:trHeight w:val="276"/>
        </w:trPr>
        <w:tc>
          <w:tcPr>
            <w:tcW w:w="895" w:type="dxa"/>
            <w:noWrap/>
            <w:hideMark/>
          </w:tcPr>
          <w:p w14:paraId="35A69C73" w14:textId="77777777" w:rsidR="00580FAC" w:rsidRPr="003B6A69" w:rsidRDefault="00580FAC" w:rsidP="00976CCF">
            <w:pPr>
              <w:spacing w:after="0"/>
              <w:ind w:left="227"/>
              <w:rPr>
                <w:sz w:val="16"/>
                <w:szCs w:val="16"/>
              </w:rPr>
            </w:pPr>
            <w:r w:rsidRPr="003B6A69">
              <w:rPr>
                <w:sz w:val="16"/>
                <w:szCs w:val="16"/>
              </w:rPr>
              <w:t>10</w:t>
            </w:r>
          </w:p>
        </w:tc>
        <w:tc>
          <w:tcPr>
            <w:tcW w:w="9067" w:type="dxa"/>
            <w:noWrap/>
            <w:hideMark/>
          </w:tcPr>
          <w:p w14:paraId="53CCC97C" w14:textId="77777777" w:rsidR="00580FAC" w:rsidRPr="006C2B6C" w:rsidRDefault="00580FAC" w:rsidP="00580FAC">
            <w:pPr>
              <w:rPr>
                <w:sz w:val="16"/>
                <w:szCs w:val="16"/>
                <w:highlight w:val="yellow"/>
              </w:rPr>
            </w:pPr>
            <w:r w:rsidRPr="006C2B6C">
              <w:rPr>
                <w:sz w:val="16"/>
                <w:szCs w:val="16"/>
                <w:highlight w:val="yellow"/>
              </w:rPr>
              <w:t>Travel Outcomes 3, 4, 5</w:t>
            </w:r>
          </w:p>
        </w:tc>
      </w:tr>
      <w:tr w:rsidR="00580FAC" w:rsidRPr="003B6A69" w14:paraId="7723082C" w14:textId="77777777" w:rsidTr="00593816">
        <w:trPr>
          <w:trHeight w:val="276"/>
        </w:trPr>
        <w:tc>
          <w:tcPr>
            <w:tcW w:w="895" w:type="dxa"/>
            <w:noWrap/>
            <w:hideMark/>
          </w:tcPr>
          <w:p w14:paraId="124DA674" w14:textId="77777777" w:rsidR="00580FAC" w:rsidRPr="003B6A69" w:rsidRDefault="00580FAC" w:rsidP="00976CCF">
            <w:pPr>
              <w:spacing w:before="1200" w:after="0"/>
              <w:ind w:left="227"/>
              <w:rPr>
                <w:sz w:val="16"/>
                <w:szCs w:val="16"/>
              </w:rPr>
            </w:pPr>
            <w:r w:rsidRPr="003B6A69">
              <w:rPr>
                <w:sz w:val="16"/>
                <w:szCs w:val="16"/>
              </w:rPr>
              <w:t>11</w:t>
            </w:r>
          </w:p>
        </w:tc>
        <w:tc>
          <w:tcPr>
            <w:tcW w:w="9067" w:type="dxa"/>
            <w:noWrap/>
            <w:hideMark/>
          </w:tcPr>
          <w:p w14:paraId="36C88E2D" w14:textId="77777777" w:rsidR="00E608D8" w:rsidRPr="006C2B6C" w:rsidRDefault="00580FAC" w:rsidP="00E608D8">
            <w:pPr>
              <w:rPr>
                <w:sz w:val="16"/>
                <w:szCs w:val="16"/>
              </w:rPr>
            </w:pPr>
            <w:r w:rsidRPr="006C2B6C">
              <w:rPr>
                <w:sz w:val="16"/>
                <w:szCs w:val="16"/>
              </w:rPr>
              <w:t>Output 3.1: BD dimension (criteria, verification mechanisms etc.) to the existing</w:t>
            </w:r>
            <w:r w:rsidR="00E608D8" w:rsidRPr="006C2B6C">
              <w:rPr>
                <w:sz w:val="16"/>
                <w:szCs w:val="16"/>
              </w:rPr>
              <w:t xml:space="preserve"> </w:t>
            </w:r>
            <w:r w:rsidRPr="006C2B6C">
              <w:rPr>
                <w:sz w:val="16"/>
                <w:szCs w:val="16"/>
              </w:rPr>
              <w:t xml:space="preserve">national voluntary certification system for hotels and tourism operators. Introduction/testing of a BD-sensitive certification system </w:t>
            </w:r>
            <w:proofErr w:type="gramStart"/>
            <w:r w:rsidRPr="006C2B6C">
              <w:rPr>
                <w:sz w:val="16"/>
                <w:szCs w:val="16"/>
              </w:rPr>
              <w:t>$15,000;</w:t>
            </w:r>
            <w:proofErr w:type="gramEnd"/>
            <w:r w:rsidRPr="006C2B6C">
              <w:rPr>
                <w:sz w:val="16"/>
                <w:szCs w:val="16"/>
              </w:rPr>
              <w:t xml:space="preserve"> </w:t>
            </w:r>
          </w:p>
          <w:p w14:paraId="353A3E0A" w14:textId="77777777" w:rsidR="00E608D8" w:rsidRPr="006C2B6C" w:rsidRDefault="00580FAC" w:rsidP="00E608D8">
            <w:pPr>
              <w:rPr>
                <w:sz w:val="16"/>
                <w:szCs w:val="16"/>
              </w:rPr>
            </w:pPr>
            <w:r w:rsidRPr="006C2B6C">
              <w:rPr>
                <w:sz w:val="16"/>
                <w:szCs w:val="16"/>
              </w:rPr>
              <w:t xml:space="preserve">Output 3.2: Targeted support to pilot tourism businesses with the development/amendment of the Destination Plans/Master Plans/Business recovery models $ 50,000; Targeted support to small-scale tourism business development towards the more offerings of biodiversity-sensitive nature-based tourism products. Access to best practice and guidance for local business actors, municipal tourist </w:t>
            </w:r>
            <w:proofErr w:type="spellStart"/>
            <w:r w:rsidRPr="006C2B6C">
              <w:rPr>
                <w:sz w:val="16"/>
                <w:szCs w:val="16"/>
              </w:rPr>
              <w:t>organisations</w:t>
            </w:r>
            <w:proofErr w:type="spellEnd"/>
            <w:r w:rsidRPr="006C2B6C">
              <w:rPr>
                <w:sz w:val="16"/>
                <w:szCs w:val="16"/>
              </w:rPr>
              <w:t xml:space="preserve"> and local communities wishing to engage in development of biodiversity-sensitive nature-based tourism products. Assessment of potential services and products </w:t>
            </w:r>
            <w:proofErr w:type="gramStart"/>
            <w:r w:rsidRPr="006C2B6C">
              <w:rPr>
                <w:sz w:val="16"/>
                <w:szCs w:val="16"/>
              </w:rPr>
              <w:t>$150,000;</w:t>
            </w:r>
            <w:proofErr w:type="gramEnd"/>
          </w:p>
          <w:p w14:paraId="65026F21" w14:textId="77777777" w:rsidR="00E608D8" w:rsidRPr="006C2B6C" w:rsidRDefault="00580FAC" w:rsidP="00E608D8">
            <w:pPr>
              <w:rPr>
                <w:sz w:val="16"/>
                <w:szCs w:val="16"/>
              </w:rPr>
            </w:pPr>
            <w:r w:rsidRPr="006C2B6C">
              <w:rPr>
                <w:sz w:val="16"/>
                <w:szCs w:val="16"/>
              </w:rPr>
              <w:t>Output 3.3: Action plan for public-private partnership initiatives for responsible tourism recovery $20,000; Support to model partnership(</w:t>
            </w:r>
            <w:proofErr w:type="gramStart"/>
            <w:r w:rsidRPr="006C2B6C">
              <w:rPr>
                <w:sz w:val="16"/>
                <w:szCs w:val="16"/>
              </w:rPr>
              <w:t>s)  -</w:t>
            </w:r>
            <w:proofErr w:type="gramEnd"/>
            <w:r w:rsidRPr="006C2B6C">
              <w:rPr>
                <w:sz w:val="16"/>
                <w:szCs w:val="16"/>
              </w:rPr>
              <w:t xml:space="preserve"> targeted implementation of the Action plan $40,000;</w:t>
            </w:r>
          </w:p>
          <w:p w14:paraId="579C9C8A" w14:textId="77777777" w:rsidR="00E608D8" w:rsidRPr="006C2B6C" w:rsidRDefault="00580FAC" w:rsidP="00E608D8">
            <w:pPr>
              <w:rPr>
                <w:sz w:val="16"/>
                <w:szCs w:val="16"/>
              </w:rPr>
            </w:pPr>
            <w:r w:rsidRPr="006C2B6C">
              <w:rPr>
                <w:sz w:val="16"/>
                <w:szCs w:val="16"/>
              </w:rPr>
              <w:t xml:space="preserve">Output 3.4: Development and packaging of tourism products for targeted PAs $80,000; Targeted investment support for promotion of tourism products and development of marketing </w:t>
            </w:r>
            <w:proofErr w:type="gramStart"/>
            <w:r w:rsidRPr="006C2B6C">
              <w:rPr>
                <w:sz w:val="16"/>
                <w:szCs w:val="16"/>
              </w:rPr>
              <w:t>plans  $</w:t>
            </w:r>
            <w:proofErr w:type="gramEnd"/>
            <w:r w:rsidRPr="006C2B6C">
              <w:rPr>
                <w:sz w:val="16"/>
                <w:szCs w:val="16"/>
              </w:rPr>
              <w:t>50,000; Branding and marketing of products and services in the targeted PAs $40,000;</w:t>
            </w:r>
          </w:p>
          <w:p w14:paraId="1E909D33" w14:textId="77777777" w:rsidR="004C458F" w:rsidRPr="006C2B6C" w:rsidRDefault="004C458F" w:rsidP="004C458F">
            <w:pPr>
              <w:rPr>
                <w:sz w:val="16"/>
                <w:szCs w:val="16"/>
              </w:rPr>
            </w:pPr>
            <w:r w:rsidRPr="006C2B6C">
              <w:rPr>
                <w:sz w:val="16"/>
                <w:szCs w:val="16"/>
              </w:rPr>
              <w:t xml:space="preserve">Output 4.1: Support to associations of NFTP harvesters $40,000; Model Forest Development Plan $10,000; Support to private forest managers with development and targeted implementation </w:t>
            </w:r>
            <w:proofErr w:type="gramStart"/>
            <w:r w:rsidRPr="006C2B6C">
              <w:rPr>
                <w:sz w:val="16"/>
                <w:szCs w:val="16"/>
              </w:rPr>
              <w:t>of  Forest</w:t>
            </w:r>
            <w:proofErr w:type="gramEnd"/>
            <w:r w:rsidRPr="006C2B6C">
              <w:rPr>
                <w:sz w:val="16"/>
                <w:szCs w:val="16"/>
              </w:rPr>
              <w:t xml:space="preserve"> Management Plans, setting out BD-sensitive targets, adaptive </w:t>
            </w:r>
            <w:r w:rsidRPr="006C2B6C">
              <w:rPr>
                <w:sz w:val="16"/>
                <w:szCs w:val="16"/>
              </w:rPr>
              <w:lastRenderedPageBreak/>
              <w:t>management planning and comprehensive reporting $20,000; Incentives for biodiversity-positive entrepreneurship in forestry - development and piloting $70,000;</w:t>
            </w:r>
          </w:p>
          <w:p w14:paraId="6FA030CA" w14:textId="4C6872B3" w:rsidR="00E608D8" w:rsidRPr="006C2B6C" w:rsidRDefault="00580FAC" w:rsidP="00E608D8">
            <w:pPr>
              <w:rPr>
                <w:sz w:val="16"/>
                <w:szCs w:val="16"/>
              </w:rPr>
            </w:pPr>
            <w:r w:rsidRPr="006C2B6C">
              <w:rPr>
                <w:sz w:val="16"/>
                <w:szCs w:val="16"/>
              </w:rPr>
              <w:t>Output 4.2: HCVF management feasibility analysis $7,000; Best practice guide for fire remediation and test the management/finance models for the restoration of privately owned degraded forests $ 10,000; Management/finance models for the restoration of privately owned degraded forests $20,000; Coordination of the wildland fire management activities, support to rapid response community fire-fighting teams $40,000</w:t>
            </w:r>
          </w:p>
          <w:p w14:paraId="47F75920" w14:textId="7FC890D0" w:rsidR="00580FAC" w:rsidRPr="006C2B6C" w:rsidRDefault="00E608D8" w:rsidP="00E608D8">
            <w:pPr>
              <w:rPr>
                <w:sz w:val="16"/>
                <w:szCs w:val="16"/>
              </w:rPr>
            </w:pPr>
            <w:r w:rsidRPr="006C2B6C">
              <w:rPr>
                <w:sz w:val="16"/>
                <w:szCs w:val="16"/>
              </w:rPr>
              <w:t>O</w:t>
            </w:r>
            <w:r w:rsidR="00580FAC" w:rsidRPr="006C2B6C">
              <w:rPr>
                <w:sz w:val="16"/>
                <w:szCs w:val="16"/>
              </w:rPr>
              <w:t xml:space="preserve">utput 5.1: "Green" subsidies </w:t>
            </w:r>
            <w:proofErr w:type="spellStart"/>
            <w:r w:rsidR="00580FAC" w:rsidRPr="006C2B6C">
              <w:rPr>
                <w:sz w:val="16"/>
                <w:szCs w:val="16"/>
              </w:rPr>
              <w:t>programme</w:t>
            </w:r>
            <w:proofErr w:type="spellEnd"/>
            <w:r w:rsidR="00580FAC" w:rsidRPr="006C2B6C">
              <w:rPr>
                <w:sz w:val="16"/>
                <w:szCs w:val="16"/>
              </w:rPr>
              <w:t xml:space="preserve"> design:</w:t>
            </w:r>
            <w:r w:rsidRPr="006C2B6C">
              <w:rPr>
                <w:sz w:val="16"/>
                <w:szCs w:val="16"/>
              </w:rPr>
              <w:t xml:space="preserve"> </w:t>
            </w:r>
            <w:r w:rsidR="00580FAC" w:rsidRPr="006C2B6C">
              <w:rPr>
                <w:sz w:val="16"/>
                <w:szCs w:val="16"/>
              </w:rPr>
              <w:t xml:space="preserve">plan for </w:t>
            </w:r>
            <w:proofErr w:type="spellStart"/>
            <w:r w:rsidR="00580FAC" w:rsidRPr="006C2B6C">
              <w:rPr>
                <w:sz w:val="16"/>
                <w:szCs w:val="16"/>
              </w:rPr>
              <w:t>operationalisation</w:t>
            </w:r>
            <w:proofErr w:type="spellEnd"/>
            <w:r w:rsidR="00580FAC" w:rsidRPr="006C2B6C">
              <w:rPr>
                <w:sz w:val="16"/>
                <w:szCs w:val="16"/>
              </w:rPr>
              <w:t>, an institutional framework, selection criteria for participants and eligibility criteria for farming activities/technologies/equipment, check-up criteria and mechanisms, capacity building activities, administration of the financial resources of the green payments program, reporting, monitoring and evaluation mechanisms $15,000; Output 5.2 Technical/financial support to agricultural producers in a practical application of innovative BD-sensitive trends and techniques (</w:t>
            </w:r>
            <w:proofErr w:type="spellStart"/>
            <w:r w:rsidR="00580FAC" w:rsidRPr="006C2B6C">
              <w:rPr>
                <w:sz w:val="16"/>
                <w:szCs w:val="16"/>
              </w:rPr>
              <w:t>agro</w:t>
            </w:r>
            <w:proofErr w:type="spellEnd"/>
            <w:r w:rsidR="00580FAC" w:rsidRPr="006C2B6C">
              <w:rPr>
                <w:sz w:val="16"/>
                <w:szCs w:val="16"/>
              </w:rPr>
              <w:t>-environmental pilots) $390,000</w:t>
            </w:r>
          </w:p>
        </w:tc>
      </w:tr>
      <w:tr w:rsidR="00580FAC" w:rsidRPr="003B6A69" w14:paraId="5D2E4CE6" w14:textId="77777777" w:rsidTr="00593816">
        <w:trPr>
          <w:trHeight w:val="276"/>
        </w:trPr>
        <w:tc>
          <w:tcPr>
            <w:tcW w:w="895" w:type="dxa"/>
            <w:noWrap/>
            <w:hideMark/>
          </w:tcPr>
          <w:p w14:paraId="15FD813D" w14:textId="77777777" w:rsidR="00580FAC" w:rsidRPr="003B6A69" w:rsidRDefault="00580FAC" w:rsidP="00976CCF">
            <w:pPr>
              <w:spacing w:before="120" w:after="0"/>
              <w:ind w:left="227"/>
              <w:rPr>
                <w:sz w:val="16"/>
                <w:szCs w:val="16"/>
              </w:rPr>
            </w:pPr>
            <w:r w:rsidRPr="003B6A69">
              <w:rPr>
                <w:sz w:val="16"/>
                <w:szCs w:val="16"/>
              </w:rPr>
              <w:lastRenderedPageBreak/>
              <w:t>12</w:t>
            </w:r>
          </w:p>
        </w:tc>
        <w:tc>
          <w:tcPr>
            <w:tcW w:w="9067" w:type="dxa"/>
            <w:noWrap/>
            <w:hideMark/>
          </w:tcPr>
          <w:p w14:paraId="3953C160" w14:textId="77777777" w:rsidR="00580FAC" w:rsidRPr="006C2B6C" w:rsidRDefault="00580FAC" w:rsidP="00580FAC">
            <w:pPr>
              <w:rPr>
                <w:sz w:val="16"/>
                <w:szCs w:val="16"/>
              </w:rPr>
            </w:pPr>
            <w:r w:rsidRPr="006C2B6C">
              <w:rPr>
                <w:sz w:val="16"/>
                <w:szCs w:val="16"/>
              </w:rPr>
              <w:t xml:space="preserve">Procurement of equipment and goods (tbc once the reforestation support details agreed </w:t>
            </w:r>
            <w:proofErr w:type="gramStart"/>
            <w:r w:rsidRPr="006C2B6C">
              <w:rPr>
                <w:sz w:val="16"/>
                <w:szCs w:val="16"/>
              </w:rPr>
              <w:t>upon)  under</w:t>
            </w:r>
            <w:proofErr w:type="gramEnd"/>
            <w:r w:rsidRPr="006C2B6C">
              <w:rPr>
                <w:sz w:val="16"/>
                <w:szCs w:val="16"/>
              </w:rPr>
              <w:t xml:space="preserve"> Output 4.2: Demonstration of best practice for fire remediation and testing of applicable restoration techniques; support to reforestation and  private nurseries $75,000</w:t>
            </w:r>
          </w:p>
        </w:tc>
      </w:tr>
      <w:tr w:rsidR="00580FAC" w:rsidRPr="003B6A69" w14:paraId="30076181" w14:textId="77777777" w:rsidTr="00593816">
        <w:trPr>
          <w:trHeight w:val="276"/>
        </w:trPr>
        <w:tc>
          <w:tcPr>
            <w:tcW w:w="895" w:type="dxa"/>
            <w:noWrap/>
            <w:hideMark/>
          </w:tcPr>
          <w:p w14:paraId="54490944" w14:textId="77777777" w:rsidR="00580FAC" w:rsidRPr="003B6A69" w:rsidRDefault="00580FAC" w:rsidP="00976CCF">
            <w:pPr>
              <w:spacing w:before="120" w:after="0"/>
              <w:ind w:left="227"/>
              <w:rPr>
                <w:sz w:val="16"/>
                <w:szCs w:val="16"/>
              </w:rPr>
            </w:pPr>
            <w:r w:rsidRPr="003B6A69">
              <w:rPr>
                <w:sz w:val="16"/>
                <w:szCs w:val="16"/>
              </w:rPr>
              <w:t>13</w:t>
            </w:r>
          </w:p>
        </w:tc>
        <w:tc>
          <w:tcPr>
            <w:tcW w:w="9067" w:type="dxa"/>
            <w:noWrap/>
            <w:hideMark/>
          </w:tcPr>
          <w:p w14:paraId="10F55D42" w14:textId="77777777" w:rsidR="00580FAC" w:rsidRPr="006C2B6C" w:rsidRDefault="00580FAC" w:rsidP="00580FAC">
            <w:pPr>
              <w:rPr>
                <w:sz w:val="16"/>
                <w:szCs w:val="16"/>
              </w:rPr>
            </w:pPr>
            <w:r w:rsidRPr="006C2B6C">
              <w:rPr>
                <w:sz w:val="16"/>
                <w:szCs w:val="16"/>
              </w:rPr>
              <w:t xml:space="preserve">Output 3.1 Training for the local community to introduce the certification schemes and gain better understanding of their benefits </w:t>
            </w:r>
            <w:proofErr w:type="gramStart"/>
            <w:r w:rsidRPr="006C2B6C">
              <w:rPr>
                <w:sz w:val="16"/>
                <w:szCs w:val="16"/>
              </w:rPr>
              <w:t>$15,000;</w:t>
            </w:r>
            <w:proofErr w:type="gramEnd"/>
            <w:r w:rsidRPr="006C2B6C">
              <w:rPr>
                <w:sz w:val="16"/>
                <w:szCs w:val="16"/>
              </w:rPr>
              <w:t xml:space="preserve"> </w:t>
            </w:r>
          </w:p>
        </w:tc>
      </w:tr>
      <w:tr w:rsidR="00B404E3" w:rsidRPr="003B6A69" w14:paraId="7D223DD6" w14:textId="77777777" w:rsidTr="00593816">
        <w:trPr>
          <w:trHeight w:val="276"/>
        </w:trPr>
        <w:tc>
          <w:tcPr>
            <w:tcW w:w="895" w:type="dxa"/>
            <w:noWrap/>
          </w:tcPr>
          <w:p w14:paraId="3AE377D1" w14:textId="7682AB88" w:rsidR="00B404E3" w:rsidRPr="003B6A69" w:rsidRDefault="00B404E3" w:rsidP="00976CCF">
            <w:pPr>
              <w:spacing w:after="0"/>
              <w:ind w:left="227"/>
              <w:rPr>
                <w:sz w:val="16"/>
                <w:szCs w:val="16"/>
              </w:rPr>
            </w:pPr>
            <w:r w:rsidRPr="003B6A69">
              <w:rPr>
                <w:sz w:val="16"/>
                <w:szCs w:val="16"/>
              </w:rPr>
              <w:t>14</w:t>
            </w:r>
          </w:p>
        </w:tc>
        <w:tc>
          <w:tcPr>
            <w:tcW w:w="9067" w:type="dxa"/>
            <w:noWrap/>
          </w:tcPr>
          <w:p w14:paraId="4378675D" w14:textId="1BC6B9A3" w:rsidR="00B404E3" w:rsidRPr="006C2B6C" w:rsidRDefault="00B404E3" w:rsidP="00B404E3">
            <w:pPr>
              <w:rPr>
                <w:sz w:val="16"/>
                <w:szCs w:val="16"/>
              </w:rPr>
            </w:pPr>
            <w:r w:rsidRPr="006C2B6C">
              <w:rPr>
                <w:sz w:val="16"/>
                <w:szCs w:val="16"/>
              </w:rPr>
              <w:t>KM, M&amp;E &amp; communication consultant 80% $56,000</w:t>
            </w:r>
          </w:p>
        </w:tc>
      </w:tr>
      <w:tr w:rsidR="00B404E3" w:rsidRPr="003B6A69" w14:paraId="2C5514A8" w14:textId="77777777" w:rsidTr="00B404E3">
        <w:trPr>
          <w:trHeight w:val="276"/>
        </w:trPr>
        <w:tc>
          <w:tcPr>
            <w:tcW w:w="895" w:type="dxa"/>
            <w:noWrap/>
            <w:hideMark/>
          </w:tcPr>
          <w:p w14:paraId="211252A4" w14:textId="6F5C0DFB" w:rsidR="00B404E3" w:rsidRPr="003B6A69" w:rsidRDefault="00B404E3" w:rsidP="003B6A69">
            <w:pPr>
              <w:spacing w:after="0"/>
              <w:ind w:left="227"/>
              <w:rPr>
                <w:sz w:val="16"/>
                <w:szCs w:val="16"/>
              </w:rPr>
            </w:pPr>
            <w:r w:rsidRPr="003B6A69">
              <w:rPr>
                <w:sz w:val="16"/>
                <w:szCs w:val="16"/>
              </w:rPr>
              <w:t>15</w:t>
            </w:r>
          </w:p>
        </w:tc>
        <w:tc>
          <w:tcPr>
            <w:tcW w:w="9067" w:type="dxa"/>
            <w:noWrap/>
            <w:hideMark/>
          </w:tcPr>
          <w:p w14:paraId="56F912DA" w14:textId="77777777" w:rsidR="00B404E3" w:rsidRPr="006C2B6C" w:rsidRDefault="00B404E3" w:rsidP="003B6A69">
            <w:pPr>
              <w:rPr>
                <w:sz w:val="16"/>
                <w:szCs w:val="16"/>
              </w:rPr>
            </w:pPr>
            <w:r w:rsidRPr="006C2B6C">
              <w:rPr>
                <w:sz w:val="16"/>
                <w:szCs w:val="16"/>
              </w:rPr>
              <w:t>Travel Outcome 6</w:t>
            </w:r>
          </w:p>
        </w:tc>
      </w:tr>
      <w:tr w:rsidR="00B404E3" w:rsidRPr="003B6A69" w14:paraId="505D9A77" w14:textId="77777777" w:rsidTr="00B404E3">
        <w:trPr>
          <w:trHeight w:val="276"/>
        </w:trPr>
        <w:tc>
          <w:tcPr>
            <w:tcW w:w="895" w:type="dxa"/>
            <w:noWrap/>
            <w:hideMark/>
          </w:tcPr>
          <w:p w14:paraId="0C32AD29" w14:textId="1C482DC2" w:rsidR="00B404E3" w:rsidRPr="003B6A69" w:rsidRDefault="00B404E3" w:rsidP="003B6A69">
            <w:pPr>
              <w:spacing w:after="0"/>
              <w:ind w:left="227"/>
              <w:rPr>
                <w:sz w:val="16"/>
                <w:szCs w:val="16"/>
              </w:rPr>
            </w:pPr>
            <w:r w:rsidRPr="003B6A69">
              <w:rPr>
                <w:sz w:val="16"/>
                <w:szCs w:val="16"/>
              </w:rPr>
              <w:t>16</w:t>
            </w:r>
          </w:p>
        </w:tc>
        <w:tc>
          <w:tcPr>
            <w:tcW w:w="9067" w:type="dxa"/>
            <w:noWrap/>
            <w:hideMark/>
          </w:tcPr>
          <w:p w14:paraId="0F29C455" w14:textId="77777777" w:rsidR="00B404E3" w:rsidRPr="006C2B6C" w:rsidRDefault="00B404E3" w:rsidP="003B6A69">
            <w:pPr>
              <w:rPr>
                <w:sz w:val="16"/>
                <w:szCs w:val="16"/>
              </w:rPr>
            </w:pPr>
            <w:r w:rsidRPr="006C2B6C">
              <w:rPr>
                <w:sz w:val="16"/>
                <w:szCs w:val="16"/>
              </w:rPr>
              <w:t>KM and M&amp;E products not covered under Outcomes 1-5</w:t>
            </w:r>
          </w:p>
        </w:tc>
      </w:tr>
      <w:tr w:rsidR="00B404E3" w:rsidRPr="003B6A69" w14:paraId="14586C58" w14:textId="77777777" w:rsidTr="00B404E3">
        <w:trPr>
          <w:trHeight w:val="276"/>
        </w:trPr>
        <w:tc>
          <w:tcPr>
            <w:tcW w:w="895" w:type="dxa"/>
            <w:noWrap/>
            <w:hideMark/>
          </w:tcPr>
          <w:p w14:paraId="0B15F0BF" w14:textId="229C305A" w:rsidR="00B404E3" w:rsidRPr="003B6A69" w:rsidRDefault="00B404E3" w:rsidP="003B6A69">
            <w:pPr>
              <w:spacing w:after="0"/>
              <w:ind w:left="227"/>
              <w:rPr>
                <w:sz w:val="16"/>
                <w:szCs w:val="16"/>
              </w:rPr>
            </w:pPr>
            <w:r w:rsidRPr="003B6A69">
              <w:rPr>
                <w:sz w:val="16"/>
                <w:szCs w:val="16"/>
              </w:rPr>
              <w:t>17</w:t>
            </w:r>
          </w:p>
        </w:tc>
        <w:tc>
          <w:tcPr>
            <w:tcW w:w="9067" w:type="dxa"/>
            <w:noWrap/>
            <w:hideMark/>
          </w:tcPr>
          <w:p w14:paraId="63C19405" w14:textId="77777777" w:rsidR="00B404E3" w:rsidRPr="006C2B6C" w:rsidRDefault="00B404E3" w:rsidP="003B6A69">
            <w:pPr>
              <w:rPr>
                <w:sz w:val="16"/>
                <w:szCs w:val="16"/>
              </w:rPr>
            </w:pPr>
            <w:r w:rsidRPr="006C2B6C">
              <w:rPr>
                <w:sz w:val="16"/>
                <w:szCs w:val="16"/>
              </w:rPr>
              <w:t>Web design, layout, presentation costs, KM product distribution, connectivity costs and other KM-related costs</w:t>
            </w:r>
          </w:p>
        </w:tc>
      </w:tr>
      <w:tr w:rsidR="00B404E3" w:rsidRPr="003B6A69" w14:paraId="572B5B74" w14:textId="77777777" w:rsidTr="00B404E3">
        <w:trPr>
          <w:trHeight w:val="276"/>
        </w:trPr>
        <w:tc>
          <w:tcPr>
            <w:tcW w:w="895" w:type="dxa"/>
            <w:noWrap/>
            <w:hideMark/>
          </w:tcPr>
          <w:p w14:paraId="38B7CBED" w14:textId="1D0CE6DA" w:rsidR="00B404E3" w:rsidRPr="003B6A69" w:rsidRDefault="00B404E3" w:rsidP="003B6A69">
            <w:pPr>
              <w:spacing w:after="0"/>
              <w:ind w:left="227"/>
              <w:rPr>
                <w:sz w:val="16"/>
                <w:szCs w:val="16"/>
              </w:rPr>
            </w:pPr>
            <w:r w:rsidRPr="003B6A69">
              <w:rPr>
                <w:sz w:val="16"/>
                <w:szCs w:val="16"/>
              </w:rPr>
              <w:t>18</w:t>
            </w:r>
          </w:p>
        </w:tc>
        <w:tc>
          <w:tcPr>
            <w:tcW w:w="9067" w:type="dxa"/>
            <w:noWrap/>
            <w:hideMark/>
          </w:tcPr>
          <w:p w14:paraId="7E17191D" w14:textId="77777777" w:rsidR="00B404E3" w:rsidRPr="006C2B6C" w:rsidRDefault="00B404E3" w:rsidP="003B6A69">
            <w:pPr>
              <w:rPr>
                <w:sz w:val="16"/>
                <w:szCs w:val="16"/>
              </w:rPr>
            </w:pPr>
            <w:r w:rsidRPr="006C2B6C">
              <w:rPr>
                <w:sz w:val="16"/>
                <w:szCs w:val="16"/>
              </w:rPr>
              <w:t>Support to KM events not covered under Outcomes 1-5</w:t>
            </w:r>
          </w:p>
        </w:tc>
      </w:tr>
      <w:tr w:rsidR="00580FAC" w:rsidRPr="003B6A69" w14:paraId="277520B5" w14:textId="77777777" w:rsidTr="00593816">
        <w:trPr>
          <w:trHeight w:val="276"/>
        </w:trPr>
        <w:tc>
          <w:tcPr>
            <w:tcW w:w="895" w:type="dxa"/>
            <w:noWrap/>
            <w:hideMark/>
          </w:tcPr>
          <w:p w14:paraId="26345201" w14:textId="0DC66B2E" w:rsidR="00580FAC" w:rsidRPr="003B6A69" w:rsidRDefault="00B404E3" w:rsidP="00976CCF">
            <w:pPr>
              <w:spacing w:after="0"/>
              <w:ind w:left="227"/>
              <w:rPr>
                <w:sz w:val="16"/>
                <w:szCs w:val="16"/>
              </w:rPr>
            </w:pPr>
            <w:r w:rsidRPr="003B6A69">
              <w:rPr>
                <w:sz w:val="16"/>
                <w:szCs w:val="16"/>
              </w:rPr>
              <w:t>19</w:t>
            </w:r>
          </w:p>
        </w:tc>
        <w:tc>
          <w:tcPr>
            <w:tcW w:w="9067" w:type="dxa"/>
            <w:noWrap/>
            <w:hideMark/>
          </w:tcPr>
          <w:p w14:paraId="403AB66C" w14:textId="7B016FD3" w:rsidR="00580FAC" w:rsidRPr="006C2B6C" w:rsidRDefault="00580FAC" w:rsidP="00B404E3">
            <w:pPr>
              <w:rPr>
                <w:sz w:val="16"/>
                <w:szCs w:val="16"/>
              </w:rPr>
            </w:pPr>
            <w:r w:rsidRPr="006C2B6C">
              <w:rPr>
                <w:sz w:val="16"/>
                <w:szCs w:val="16"/>
              </w:rPr>
              <w:t xml:space="preserve">MTR and Final Evaluation - </w:t>
            </w:r>
            <w:proofErr w:type="spellStart"/>
            <w:r w:rsidRPr="006C2B6C">
              <w:rPr>
                <w:sz w:val="16"/>
                <w:szCs w:val="16"/>
              </w:rPr>
              <w:t>intl</w:t>
            </w:r>
            <w:proofErr w:type="spellEnd"/>
            <w:r w:rsidRPr="006C2B6C">
              <w:rPr>
                <w:sz w:val="16"/>
                <w:szCs w:val="16"/>
              </w:rPr>
              <w:t xml:space="preserve"> team lead $3</w:t>
            </w:r>
            <w:r w:rsidR="00B404E3" w:rsidRPr="006C2B6C">
              <w:rPr>
                <w:sz w:val="16"/>
                <w:szCs w:val="16"/>
              </w:rPr>
              <w:t>2</w:t>
            </w:r>
            <w:r w:rsidRPr="006C2B6C">
              <w:rPr>
                <w:sz w:val="16"/>
                <w:szCs w:val="16"/>
              </w:rPr>
              <w:t>,000 each (milestone-based IC contract)</w:t>
            </w:r>
          </w:p>
        </w:tc>
      </w:tr>
      <w:tr w:rsidR="00580FAC" w:rsidRPr="003B6A69" w14:paraId="225035BD" w14:textId="77777777" w:rsidTr="00593816">
        <w:trPr>
          <w:trHeight w:val="276"/>
        </w:trPr>
        <w:tc>
          <w:tcPr>
            <w:tcW w:w="895" w:type="dxa"/>
            <w:noWrap/>
            <w:hideMark/>
          </w:tcPr>
          <w:p w14:paraId="53748091" w14:textId="60C0AB55" w:rsidR="00580FAC" w:rsidRPr="003B6A69" w:rsidRDefault="00B404E3" w:rsidP="00976CCF">
            <w:pPr>
              <w:spacing w:after="0"/>
              <w:ind w:left="227"/>
              <w:rPr>
                <w:sz w:val="16"/>
                <w:szCs w:val="16"/>
              </w:rPr>
            </w:pPr>
            <w:r w:rsidRPr="003B6A69">
              <w:rPr>
                <w:sz w:val="16"/>
                <w:szCs w:val="16"/>
              </w:rPr>
              <w:t>20</w:t>
            </w:r>
          </w:p>
        </w:tc>
        <w:tc>
          <w:tcPr>
            <w:tcW w:w="9067" w:type="dxa"/>
            <w:noWrap/>
            <w:hideMark/>
          </w:tcPr>
          <w:p w14:paraId="37751916" w14:textId="17261A98" w:rsidR="00580FAC" w:rsidRPr="006C2B6C" w:rsidRDefault="00580FAC" w:rsidP="00580FAC">
            <w:pPr>
              <w:rPr>
                <w:sz w:val="16"/>
                <w:szCs w:val="16"/>
              </w:rPr>
            </w:pPr>
            <w:r w:rsidRPr="006C2B6C">
              <w:rPr>
                <w:sz w:val="16"/>
                <w:szCs w:val="16"/>
              </w:rPr>
              <w:t xml:space="preserve">MTR and Final Evaluation - national consultant $8,000 each; </w:t>
            </w:r>
            <w:r w:rsidR="00B404E3" w:rsidRPr="006C2B6C">
              <w:rPr>
                <w:sz w:val="16"/>
                <w:szCs w:val="16"/>
              </w:rPr>
              <w:t>METT assessment $2,000*2</w:t>
            </w:r>
          </w:p>
        </w:tc>
      </w:tr>
      <w:tr w:rsidR="00B404E3" w:rsidRPr="003B6A69" w14:paraId="56966C26" w14:textId="77777777" w:rsidTr="00B404E3">
        <w:trPr>
          <w:trHeight w:val="276"/>
        </w:trPr>
        <w:tc>
          <w:tcPr>
            <w:tcW w:w="895" w:type="dxa"/>
            <w:noWrap/>
          </w:tcPr>
          <w:p w14:paraId="3A599475" w14:textId="37BB9ED9" w:rsidR="00B404E3" w:rsidRPr="003B6A69" w:rsidRDefault="00B404E3" w:rsidP="003B6A69">
            <w:pPr>
              <w:spacing w:after="0"/>
              <w:ind w:left="227"/>
              <w:rPr>
                <w:sz w:val="16"/>
                <w:szCs w:val="16"/>
              </w:rPr>
            </w:pPr>
            <w:r w:rsidRPr="003B6A69">
              <w:rPr>
                <w:sz w:val="16"/>
                <w:szCs w:val="16"/>
              </w:rPr>
              <w:t>21</w:t>
            </w:r>
          </w:p>
        </w:tc>
        <w:tc>
          <w:tcPr>
            <w:tcW w:w="9067" w:type="dxa"/>
            <w:noWrap/>
          </w:tcPr>
          <w:p w14:paraId="19A1285E" w14:textId="2888DE7B" w:rsidR="00B404E3" w:rsidRPr="006C2B6C" w:rsidRDefault="00B404E3" w:rsidP="00B404E3">
            <w:pPr>
              <w:rPr>
                <w:sz w:val="16"/>
                <w:szCs w:val="16"/>
              </w:rPr>
            </w:pPr>
            <w:r w:rsidRPr="006C2B6C">
              <w:rPr>
                <w:sz w:val="16"/>
                <w:szCs w:val="16"/>
              </w:rPr>
              <w:t>KM, M&amp;E &amp; communication consultant 20% $14,000</w:t>
            </w:r>
          </w:p>
        </w:tc>
      </w:tr>
      <w:tr w:rsidR="00B404E3" w:rsidRPr="003B6A69" w14:paraId="239B2217" w14:textId="77777777" w:rsidTr="00593816">
        <w:trPr>
          <w:trHeight w:val="276"/>
        </w:trPr>
        <w:tc>
          <w:tcPr>
            <w:tcW w:w="895" w:type="dxa"/>
            <w:noWrap/>
          </w:tcPr>
          <w:p w14:paraId="438F47C9" w14:textId="2AB331D3" w:rsidR="00B404E3" w:rsidRPr="003B6A69" w:rsidRDefault="00B404E3" w:rsidP="00976CCF">
            <w:pPr>
              <w:spacing w:after="0"/>
              <w:ind w:left="227"/>
              <w:rPr>
                <w:sz w:val="16"/>
                <w:szCs w:val="16"/>
              </w:rPr>
            </w:pPr>
            <w:r w:rsidRPr="003B6A69">
              <w:rPr>
                <w:sz w:val="16"/>
                <w:szCs w:val="16"/>
              </w:rPr>
              <w:t>22</w:t>
            </w:r>
          </w:p>
        </w:tc>
        <w:tc>
          <w:tcPr>
            <w:tcW w:w="9067" w:type="dxa"/>
            <w:noWrap/>
          </w:tcPr>
          <w:p w14:paraId="6AC1B073" w14:textId="1595B0FA" w:rsidR="00B404E3" w:rsidRPr="006C2B6C" w:rsidRDefault="00B404E3" w:rsidP="00580FAC">
            <w:pPr>
              <w:rPr>
                <w:sz w:val="16"/>
                <w:szCs w:val="16"/>
              </w:rPr>
            </w:pPr>
            <w:r w:rsidRPr="006C2B6C">
              <w:rPr>
                <w:sz w:val="16"/>
                <w:szCs w:val="16"/>
              </w:rPr>
              <w:t>Translation costs related to M&amp;E</w:t>
            </w:r>
          </w:p>
        </w:tc>
      </w:tr>
      <w:tr w:rsidR="00B404E3" w:rsidRPr="003B6A69" w14:paraId="6596EDBA" w14:textId="77777777" w:rsidTr="00593816">
        <w:trPr>
          <w:trHeight w:val="276"/>
        </w:trPr>
        <w:tc>
          <w:tcPr>
            <w:tcW w:w="895" w:type="dxa"/>
            <w:noWrap/>
          </w:tcPr>
          <w:p w14:paraId="60767EC0" w14:textId="6A2ADDF2" w:rsidR="00B404E3" w:rsidRPr="003B6A69" w:rsidRDefault="00B404E3" w:rsidP="00976CCF">
            <w:pPr>
              <w:spacing w:after="0"/>
              <w:ind w:left="227"/>
              <w:rPr>
                <w:sz w:val="16"/>
                <w:szCs w:val="16"/>
              </w:rPr>
            </w:pPr>
            <w:r w:rsidRPr="003B6A69">
              <w:rPr>
                <w:sz w:val="16"/>
                <w:szCs w:val="16"/>
              </w:rPr>
              <w:t>23</w:t>
            </w:r>
          </w:p>
        </w:tc>
        <w:tc>
          <w:tcPr>
            <w:tcW w:w="9067" w:type="dxa"/>
            <w:noWrap/>
          </w:tcPr>
          <w:p w14:paraId="3CE984C2" w14:textId="53681BCD" w:rsidR="00B404E3" w:rsidRPr="006C2B6C" w:rsidRDefault="00B404E3" w:rsidP="00580FAC">
            <w:pPr>
              <w:rPr>
                <w:sz w:val="16"/>
                <w:szCs w:val="16"/>
              </w:rPr>
            </w:pPr>
            <w:r w:rsidRPr="006C2B6C">
              <w:rPr>
                <w:sz w:val="16"/>
                <w:szCs w:val="16"/>
              </w:rPr>
              <w:t>Project inception workshop</w:t>
            </w:r>
          </w:p>
        </w:tc>
      </w:tr>
      <w:tr w:rsidR="00580FAC" w:rsidRPr="003B6A69" w14:paraId="585655F7" w14:textId="77777777" w:rsidTr="00593816">
        <w:trPr>
          <w:trHeight w:val="276"/>
        </w:trPr>
        <w:tc>
          <w:tcPr>
            <w:tcW w:w="895" w:type="dxa"/>
            <w:noWrap/>
            <w:hideMark/>
          </w:tcPr>
          <w:p w14:paraId="128E34FD" w14:textId="734FDD2D" w:rsidR="00580FAC" w:rsidRPr="003B6A69" w:rsidRDefault="00B404E3" w:rsidP="00976CCF">
            <w:pPr>
              <w:spacing w:after="0"/>
              <w:ind w:left="227"/>
              <w:rPr>
                <w:sz w:val="16"/>
                <w:szCs w:val="16"/>
              </w:rPr>
            </w:pPr>
            <w:r w:rsidRPr="003B6A69">
              <w:rPr>
                <w:sz w:val="16"/>
                <w:szCs w:val="16"/>
              </w:rPr>
              <w:t>24</w:t>
            </w:r>
          </w:p>
        </w:tc>
        <w:tc>
          <w:tcPr>
            <w:tcW w:w="9067" w:type="dxa"/>
            <w:noWrap/>
            <w:hideMark/>
          </w:tcPr>
          <w:p w14:paraId="74937758" w14:textId="0652F2AD" w:rsidR="00580FAC" w:rsidRPr="006C2B6C" w:rsidRDefault="00580FAC" w:rsidP="00580FAC">
            <w:pPr>
              <w:rPr>
                <w:sz w:val="16"/>
                <w:szCs w:val="16"/>
              </w:rPr>
            </w:pPr>
            <w:r w:rsidRPr="006C2B6C">
              <w:rPr>
                <w:sz w:val="16"/>
                <w:szCs w:val="16"/>
                <w:highlight w:val="yellow"/>
              </w:rPr>
              <w:t>Project Assistant Admin/Finance $</w:t>
            </w:r>
            <w:r w:rsidR="0024498A" w:rsidRPr="006C2B6C">
              <w:rPr>
                <w:sz w:val="16"/>
                <w:szCs w:val="16"/>
                <w:highlight w:val="yellow"/>
              </w:rPr>
              <w:t>7</w:t>
            </w:r>
            <w:r w:rsidRPr="006C2B6C">
              <w:rPr>
                <w:sz w:val="16"/>
                <w:szCs w:val="16"/>
                <w:highlight w:val="yellow"/>
              </w:rPr>
              <w:t>0,000; Project Procurement Specialist $</w:t>
            </w:r>
            <w:r w:rsidR="0024498A" w:rsidRPr="006C2B6C">
              <w:rPr>
                <w:sz w:val="16"/>
                <w:szCs w:val="16"/>
                <w:highlight w:val="yellow"/>
              </w:rPr>
              <w:t>7</w:t>
            </w:r>
            <w:r w:rsidRPr="006C2B6C">
              <w:rPr>
                <w:sz w:val="16"/>
                <w:szCs w:val="16"/>
                <w:highlight w:val="yellow"/>
              </w:rPr>
              <w:t>0,000</w:t>
            </w:r>
            <w:r w:rsidRPr="006C2B6C">
              <w:rPr>
                <w:sz w:val="16"/>
                <w:szCs w:val="16"/>
              </w:rPr>
              <w:t xml:space="preserve"> </w:t>
            </w:r>
          </w:p>
        </w:tc>
      </w:tr>
      <w:tr w:rsidR="00580FAC" w:rsidRPr="003B6A69" w14:paraId="537F0A14" w14:textId="77777777" w:rsidTr="00593816">
        <w:trPr>
          <w:trHeight w:val="276"/>
        </w:trPr>
        <w:tc>
          <w:tcPr>
            <w:tcW w:w="895" w:type="dxa"/>
            <w:noWrap/>
            <w:hideMark/>
          </w:tcPr>
          <w:p w14:paraId="032CCD42" w14:textId="3E716B3C" w:rsidR="00580FAC" w:rsidRPr="003B6A69" w:rsidRDefault="00B404E3" w:rsidP="00976CCF">
            <w:pPr>
              <w:spacing w:after="0"/>
              <w:ind w:left="227"/>
              <w:rPr>
                <w:sz w:val="16"/>
                <w:szCs w:val="16"/>
              </w:rPr>
            </w:pPr>
            <w:r w:rsidRPr="003B6A69">
              <w:rPr>
                <w:sz w:val="16"/>
                <w:szCs w:val="16"/>
              </w:rPr>
              <w:t>25</w:t>
            </w:r>
          </w:p>
        </w:tc>
        <w:tc>
          <w:tcPr>
            <w:tcW w:w="9067" w:type="dxa"/>
            <w:noWrap/>
            <w:hideMark/>
          </w:tcPr>
          <w:p w14:paraId="68CB1F5C" w14:textId="77777777" w:rsidR="00580FAC" w:rsidRPr="006C2B6C" w:rsidRDefault="00580FAC" w:rsidP="00580FAC">
            <w:pPr>
              <w:rPr>
                <w:sz w:val="16"/>
                <w:szCs w:val="16"/>
              </w:rPr>
            </w:pPr>
            <w:r w:rsidRPr="006C2B6C">
              <w:rPr>
                <w:sz w:val="16"/>
                <w:szCs w:val="16"/>
              </w:rPr>
              <w:t>Office Equipment</w:t>
            </w:r>
          </w:p>
        </w:tc>
      </w:tr>
      <w:tr w:rsidR="00580FAC" w:rsidRPr="003B6A69" w14:paraId="6FB3D043" w14:textId="77777777" w:rsidTr="00593816">
        <w:trPr>
          <w:trHeight w:val="276"/>
        </w:trPr>
        <w:tc>
          <w:tcPr>
            <w:tcW w:w="895" w:type="dxa"/>
            <w:noWrap/>
            <w:hideMark/>
          </w:tcPr>
          <w:p w14:paraId="4BB28332" w14:textId="46B44C47" w:rsidR="00580FAC" w:rsidRPr="003B6A69" w:rsidRDefault="00B404E3" w:rsidP="00976CCF">
            <w:pPr>
              <w:spacing w:after="0"/>
              <w:ind w:left="227"/>
              <w:rPr>
                <w:sz w:val="16"/>
                <w:szCs w:val="16"/>
              </w:rPr>
            </w:pPr>
            <w:r w:rsidRPr="003B6A69">
              <w:rPr>
                <w:sz w:val="16"/>
                <w:szCs w:val="16"/>
              </w:rPr>
              <w:t>26</w:t>
            </w:r>
          </w:p>
        </w:tc>
        <w:tc>
          <w:tcPr>
            <w:tcW w:w="9067" w:type="dxa"/>
            <w:noWrap/>
            <w:hideMark/>
          </w:tcPr>
          <w:p w14:paraId="1A5FFE84" w14:textId="77777777" w:rsidR="00580FAC" w:rsidRPr="006C2B6C" w:rsidRDefault="00580FAC" w:rsidP="00580FAC">
            <w:pPr>
              <w:rPr>
                <w:sz w:val="16"/>
                <w:szCs w:val="16"/>
              </w:rPr>
            </w:pPr>
            <w:r w:rsidRPr="006C2B6C">
              <w:rPr>
                <w:sz w:val="16"/>
                <w:szCs w:val="16"/>
              </w:rPr>
              <w:t>Supplies</w:t>
            </w:r>
          </w:p>
        </w:tc>
      </w:tr>
      <w:tr w:rsidR="00580FAC" w:rsidRPr="003B6A69" w14:paraId="7B7626C1" w14:textId="77777777" w:rsidTr="00593816">
        <w:trPr>
          <w:trHeight w:val="276"/>
        </w:trPr>
        <w:tc>
          <w:tcPr>
            <w:tcW w:w="895" w:type="dxa"/>
            <w:noWrap/>
            <w:hideMark/>
          </w:tcPr>
          <w:p w14:paraId="7A0F0E90" w14:textId="764F3C73" w:rsidR="00580FAC" w:rsidRPr="003B6A69" w:rsidRDefault="00B404E3" w:rsidP="00976CCF">
            <w:pPr>
              <w:spacing w:after="0"/>
              <w:ind w:left="227"/>
              <w:rPr>
                <w:sz w:val="16"/>
                <w:szCs w:val="16"/>
              </w:rPr>
            </w:pPr>
            <w:r w:rsidRPr="003B6A69">
              <w:rPr>
                <w:sz w:val="16"/>
                <w:szCs w:val="16"/>
              </w:rPr>
              <w:t>2</w:t>
            </w:r>
            <w:r w:rsidR="0024498A">
              <w:rPr>
                <w:sz w:val="16"/>
                <w:szCs w:val="16"/>
              </w:rPr>
              <w:t>7</w:t>
            </w:r>
          </w:p>
        </w:tc>
        <w:tc>
          <w:tcPr>
            <w:tcW w:w="9067" w:type="dxa"/>
            <w:noWrap/>
            <w:hideMark/>
          </w:tcPr>
          <w:p w14:paraId="2EAE9AD2" w14:textId="77777777" w:rsidR="00580FAC" w:rsidRPr="003B6A69" w:rsidRDefault="00580FAC" w:rsidP="00580FAC">
            <w:pPr>
              <w:rPr>
                <w:sz w:val="16"/>
                <w:szCs w:val="16"/>
              </w:rPr>
            </w:pPr>
            <w:r w:rsidRPr="003B6A69">
              <w:rPr>
                <w:sz w:val="16"/>
                <w:szCs w:val="16"/>
              </w:rPr>
              <w:t>NIM audit</w:t>
            </w:r>
          </w:p>
        </w:tc>
      </w:tr>
    </w:tbl>
    <w:p w14:paraId="5FA277E4" w14:textId="27DACEBE" w:rsidR="00035218" w:rsidRPr="003B6A69" w:rsidRDefault="00035218" w:rsidP="00035218">
      <w:pPr>
        <w:sectPr w:rsidR="00035218" w:rsidRPr="003B6A69" w:rsidSect="00035218">
          <w:pgSz w:w="12240" w:h="15840" w:code="1"/>
          <w:pgMar w:top="1134" w:right="1134" w:bottom="1134" w:left="1134" w:header="720" w:footer="720" w:gutter="0"/>
          <w:cols w:space="720"/>
          <w:docGrid w:linePitch="360"/>
        </w:sectPr>
      </w:pPr>
    </w:p>
    <w:p w14:paraId="41515AA7" w14:textId="76DE4C1A" w:rsidR="00ED342F" w:rsidRPr="003B6A69" w:rsidRDefault="00ED342F">
      <w:pPr>
        <w:spacing w:after="0"/>
        <w:jc w:val="left"/>
        <w:rPr>
          <w:rFonts w:asciiTheme="minorHAnsi" w:hAnsiTheme="minorHAnsi" w:cstheme="minorHAnsi"/>
          <w:sz w:val="18"/>
          <w:szCs w:val="18"/>
          <w:lang w:val="en-GB"/>
        </w:rPr>
      </w:pPr>
    </w:p>
    <w:p w14:paraId="3F87F3A7" w14:textId="77777777" w:rsidR="003E3ABA" w:rsidRPr="003B6A69" w:rsidRDefault="003E3ABA" w:rsidP="00506CA1">
      <w:pPr>
        <w:pStyle w:val="Heading1"/>
        <w:spacing w:before="240" w:after="240"/>
        <w:rPr>
          <w:rFonts w:asciiTheme="minorHAnsi" w:hAnsiTheme="minorHAnsi" w:cstheme="minorHAnsi"/>
          <w:lang w:val="en-GB"/>
        </w:rPr>
      </w:pPr>
      <w:bookmarkStart w:id="60" w:name="_Toc82018271"/>
      <w:r w:rsidRPr="003B6A69">
        <w:rPr>
          <w:rFonts w:asciiTheme="minorHAnsi" w:hAnsiTheme="minorHAnsi" w:cstheme="minorHAnsi"/>
          <w:lang w:val="en-GB"/>
        </w:rPr>
        <w:t>Legal Context</w:t>
      </w:r>
      <w:bookmarkEnd w:id="60"/>
    </w:p>
    <w:p w14:paraId="1401A2BC" w14:textId="586FBB3A" w:rsidR="005176B3" w:rsidRPr="003B6A69" w:rsidRDefault="00AA1275" w:rsidP="003C6B7B">
      <w:pPr>
        <w:numPr>
          <w:ilvl w:val="0"/>
          <w:numId w:val="41"/>
        </w:numPr>
        <w:tabs>
          <w:tab w:val="left" w:pos="426"/>
        </w:tabs>
        <w:spacing w:after="120"/>
        <w:ind w:left="0" w:firstLine="0"/>
        <w:rPr>
          <w:rFonts w:cs="Arial"/>
          <w:szCs w:val="20"/>
          <w:lang w:val="en-GB"/>
        </w:rPr>
      </w:pPr>
      <w:r w:rsidRPr="003B6A69">
        <w:rPr>
          <w:rFonts w:cs="Arial"/>
          <w:szCs w:val="20"/>
        </w:rPr>
        <w:t xml:space="preserve">This project document shall be the instrument referred to as such in Article 1 of the </w:t>
      </w:r>
      <w:hyperlink r:id="rId33" w:history="1">
        <w:r w:rsidRPr="003B6A69">
          <w:rPr>
            <w:rStyle w:val="Hyperlink"/>
            <w:rFonts w:cs="Arial"/>
            <w:szCs w:val="20"/>
          </w:rPr>
          <w:t>Standard Basic Assistance Agreement</w:t>
        </w:r>
      </w:hyperlink>
      <w:r w:rsidRPr="003B6A69">
        <w:rPr>
          <w:rFonts w:cs="Arial"/>
          <w:szCs w:val="20"/>
        </w:rPr>
        <w:t xml:space="preserve"> between the Government of </w:t>
      </w:r>
      <w:r w:rsidR="00F3001A" w:rsidRPr="003B6A69">
        <w:rPr>
          <w:rFonts w:cs="Arial"/>
          <w:szCs w:val="20"/>
        </w:rPr>
        <w:t xml:space="preserve">Montenegro </w:t>
      </w:r>
      <w:r w:rsidRPr="003B6A69">
        <w:rPr>
          <w:rFonts w:cs="Arial"/>
          <w:szCs w:val="20"/>
        </w:rPr>
        <w:t>and UNDP, signed on</w:t>
      </w:r>
      <w:r w:rsidR="00F3001A" w:rsidRPr="003B6A69">
        <w:rPr>
          <w:rFonts w:cs="Arial"/>
          <w:szCs w:val="20"/>
        </w:rPr>
        <w:t xml:space="preserve"> 15December 2006. </w:t>
      </w:r>
      <w:r w:rsidRPr="003B6A69">
        <w:rPr>
          <w:rFonts w:cs="Arial"/>
          <w:szCs w:val="20"/>
        </w:rPr>
        <w:t>All references in the SBAA to “Executing Agency” shall be deemed to refer to “Implementing Partner.”</w:t>
      </w:r>
    </w:p>
    <w:p w14:paraId="4EC49B4C" w14:textId="1658F08B" w:rsidR="005176B3" w:rsidRPr="003B6A69" w:rsidRDefault="00AA1275" w:rsidP="003C6B7B">
      <w:pPr>
        <w:numPr>
          <w:ilvl w:val="0"/>
          <w:numId w:val="41"/>
        </w:numPr>
        <w:tabs>
          <w:tab w:val="left" w:pos="426"/>
        </w:tabs>
        <w:spacing w:after="120"/>
        <w:ind w:left="0" w:firstLine="0"/>
        <w:rPr>
          <w:rFonts w:cs="Arial"/>
          <w:szCs w:val="20"/>
          <w:lang w:val="en-GB"/>
        </w:rPr>
      </w:pPr>
      <w:r w:rsidRPr="003B6A69">
        <w:rPr>
          <w:rFonts w:cs="Arial"/>
          <w:szCs w:val="20"/>
        </w:rPr>
        <w:t>This project will be implemented by</w:t>
      </w:r>
      <w:r w:rsidR="00F3001A" w:rsidRPr="003B6A69">
        <w:rPr>
          <w:rFonts w:cs="Arial"/>
          <w:szCs w:val="20"/>
        </w:rPr>
        <w:t xml:space="preserve"> the Ministry of Sustainable Development and Tourism of Montenegro</w:t>
      </w:r>
      <w:r w:rsidRPr="003B6A69">
        <w:rPr>
          <w:rFonts w:cs="Arial"/>
          <w:szCs w:val="20"/>
        </w:rPr>
        <w:t xml:space="preserve"> (“Implementing Partner”) in accordance with its financial regulations, rules, </w:t>
      </w:r>
      <w:proofErr w:type="gramStart"/>
      <w:r w:rsidRPr="003B6A69">
        <w:rPr>
          <w:rFonts w:cs="Arial"/>
          <w:szCs w:val="20"/>
        </w:rPr>
        <w:t>practices</w:t>
      </w:r>
      <w:proofErr w:type="gramEnd"/>
      <w:r w:rsidRPr="003B6A69">
        <w:rPr>
          <w:rFonts w:cs="Arial"/>
          <w:szCs w:val="20"/>
        </w:rPr>
        <w:t xml:space="preserve"> and procedures only to the extent that they do not contravene the principles of the Financial Regulations and Rules of UNDP. Where the financial governance of an Implementing Partner does not provide the required guidance to ensure best value for money, fairness, integrity, transparency, and effective international competition, the financial governance of UNDP shall apply.</w:t>
      </w:r>
    </w:p>
    <w:p w14:paraId="1D177A49" w14:textId="5273B44A" w:rsidR="00757F33" w:rsidRPr="003B6A69" w:rsidRDefault="00AA1275" w:rsidP="003C6B7B">
      <w:pPr>
        <w:numPr>
          <w:ilvl w:val="0"/>
          <w:numId w:val="41"/>
        </w:numPr>
        <w:tabs>
          <w:tab w:val="left" w:pos="426"/>
        </w:tabs>
        <w:spacing w:after="120"/>
        <w:ind w:left="0" w:firstLine="0"/>
        <w:rPr>
          <w:rFonts w:cs="Arial"/>
          <w:szCs w:val="20"/>
          <w:lang w:val="en-GB"/>
        </w:rPr>
      </w:pPr>
      <w:r w:rsidRPr="003B6A69">
        <w:rPr>
          <w:rFonts w:eastAsia="Times New Roman"/>
          <w:iCs/>
          <w:color w:val="000000"/>
        </w:rPr>
        <w:t>The designations employed and the presentation of material on this map do not imply the expression of any opinion whatsoever on the part of the Secretariat of the United Nations or UNDP concerning the legal status of any country, territory, city or area or its authorities, or concerning the delimitation of its frontiers or boundaries.</w:t>
      </w:r>
    </w:p>
    <w:p w14:paraId="15CD0EF1" w14:textId="77777777" w:rsidR="00A94FFC" w:rsidRPr="003B6A69" w:rsidRDefault="00A94FFC" w:rsidP="00506CA1">
      <w:pPr>
        <w:pStyle w:val="Heading1"/>
        <w:spacing w:before="240" w:after="240"/>
        <w:rPr>
          <w:rFonts w:asciiTheme="minorHAnsi" w:hAnsiTheme="minorHAnsi" w:cstheme="minorHAnsi"/>
          <w:lang w:val="en-GB"/>
        </w:rPr>
      </w:pPr>
      <w:bookmarkStart w:id="61" w:name="_Toc82018272"/>
      <w:r w:rsidRPr="003B6A69">
        <w:rPr>
          <w:rFonts w:asciiTheme="minorHAnsi" w:hAnsiTheme="minorHAnsi" w:cstheme="minorHAnsi"/>
          <w:lang w:val="en-GB"/>
        </w:rPr>
        <w:t>Risk Management</w:t>
      </w:r>
      <w:bookmarkEnd w:id="61"/>
    </w:p>
    <w:p w14:paraId="244D6953" w14:textId="3FF7A149" w:rsidR="00CB734B" w:rsidRPr="003B6A69" w:rsidRDefault="00D80582" w:rsidP="003C6B7B">
      <w:pPr>
        <w:numPr>
          <w:ilvl w:val="0"/>
          <w:numId w:val="41"/>
        </w:numPr>
        <w:tabs>
          <w:tab w:val="left" w:pos="426"/>
        </w:tabs>
        <w:spacing w:after="120"/>
        <w:ind w:left="0" w:firstLine="0"/>
        <w:rPr>
          <w:rFonts w:cs="Arial"/>
          <w:szCs w:val="20"/>
          <w:lang w:val="en-GB"/>
        </w:rPr>
      </w:pPr>
      <w:r w:rsidRPr="003B6A69">
        <w:rPr>
          <w:rFonts w:cs="Arial"/>
          <w:szCs w:val="20"/>
        </w:rPr>
        <w:t>Consistent with the Article III of the SBAA, the responsibility for the safety and security of the Implementing Partner and its personnel and property, and of UNDP’s property in the Implementing Partner’s custody, rests with the Implementing Partner.  To this end, the Implementing Partner shall:</w:t>
      </w:r>
    </w:p>
    <w:p w14:paraId="48CE694C" w14:textId="5B048FCC" w:rsidR="00CB734B" w:rsidRPr="003B6A69" w:rsidRDefault="00D80582" w:rsidP="003C6B7B">
      <w:pPr>
        <w:pStyle w:val="Header"/>
        <w:numPr>
          <w:ilvl w:val="1"/>
          <w:numId w:val="41"/>
        </w:numPr>
        <w:tabs>
          <w:tab w:val="clear" w:pos="4153"/>
          <w:tab w:val="clear" w:pos="8306"/>
        </w:tabs>
        <w:spacing w:after="120"/>
        <w:ind w:left="709" w:hanging="283"/>
        <w:rPr>
          <w:rFonts w:cs="Arial"/>
          <w:szCs w:val="20"/>
          <w:lang w:val="en-GB"/>
        </w:rPr>
      </w:pPr>
      <w:r w:rsidRPr="003B6A69">
        <w:rPr>
          <w:rFonts w:cs="Arial"/>
          <w:szCs w:val="20"/>
        </w:rPr>
        <w:t xml:space="preserve">put in place an appropriate security plan and maintain the security plan, taking into account the security situation in the country where the project is being </w:t>
      </w:r>
      <w:proofErr w:type="gramStart"/>
      <w:r w:rsidRPr="003B6A69">
        <w:rPr>
          <w:rFonts w:cs="Arial"/>
          <w:szCs w:val="20"/>
        </w:rPr>
        <w:t>carried;</w:t>
      </w:r>
      <w:proofErr w:type="gramEnd"/>
    </w:p>
    <w:p w14:paraId="7075C89C" w14:textId="7CA06B76" w:rsidR="00CB734B" w:rsidRPr="003B6A69" w:rsidRDefault="00D80582" w:rsidP="003C6B7B">
      <w:pPr>
        <w:pStyle w:val="Header"/>
        <w:numPr>
          <w:ilvl w:val="1"/>
          <w:numId w:val="41"/>
        </w:numPr>
        <w:tabs>
          <w:tab w:val="clear" w:pos="4153"/>
          <w:tab w:val="clear" w:pos="8306"/>
        </w:tabs>
        <w:spacing w:after="120"/>
        <w:ind w:left="709" w:hanging="283"/>
        <w:rPr>
          <w:rFonts w:cs="Arial"/>
          <w:szCs w:val="20"/>
          <w:lang w:val="en-GB"/>
        </w:rPr>
      </w:pPr>
      <w:r w:rsidRPr="003B6A69">
        <w:rPr>
          <w:rFonts w:cs="Arial"/>
          <w:szCs w:val="20"/>
        </w:rPr>
        <w:t>assume all risks and liabilities related to the Implementing Partner’s security, and the full implementation of the security plan.</w:t>
      </w:r>
    </w:p>
    <w:p w14:paraId="719E0726" w14:textId="1F476363" w:rsidR="00CB734B" w:rsidRPr="003B6A69" w:rsidRDefault="00D80582" w:rsidP="003C6B7B">
      <w:pPr>
        <w:numPr>
          <w:ilvl w:val="0"/>
          <w:numId w:val="41"/>
        </w:numPr>
        <w:tabs>
          <w:tab w:val="left" w:pos="426"/>
        </w:tabs>
        <w:spacing w:after="120"/>
        <w:ind w:left="0" w:firstLine="0"/>
        <w:rPr>
          <w:rFonts w:cs="Arial"/>
          <w:szCs w:val="20"/>
          <w:lang w:val="en-GB"/>
        </w:rPr>
      </w:pPr>
      <w:r w:rsidRPr="003B6A69">
        <w:rPr>
          <w:rFonts w:cs="Arial"/>
          <w:szCs w:val="20"/>
        </w:rPr>
        <w:t>UNDP reserves the right to verify whether such a plan is in place, and to suggest modifications to the plan when necessary. Failure to maintain and implement an appropriate security plan as required hereunder shall be deemed a breach of the Implementing Partner’s obligations under this Project Document.</w:t>
      </w:r>
    </w:p>
    <w:p w14:paraId="049FD558" w14:textId="6F0F439D" w:rsidR="00692FBF" w:rsidRPr="003B6A69" w:rsidRDefault="00D80582" w:rsidP="003C6B7B">
      <w:pPr>
        <w:numPr>
          <w:ilvl w:val="0"/>
          <w:numId w:val="41"/>
        </w:numPr>
        <w:tabs>
          <w:tab w:val="left" w:pos="426"/>
        </w:tabs>
        <w:spacing w:after="120"/>
        <w:ind w:left="0" w:firstLine="0"/>
        <w:rPr>
          <w:rFonts w:cs="Arial"/>
          <w:szCs w:val="20"/>
          <w:lang w:val="en-GB"/>
        </w:rPr>
      </w:pPr>
      <w:r w:rsidRPr="003B6A69">
        <w:rPr>
          <w:rFonts w:cs="Arial"/>
          <w:szCs w:val="20"/>
        </w:rPr>
        <w:t xml:space="preserve">The Implementing Partner agrees to undertake all reasonable efforts to ensure that no UNDP funds received pursuant to the Project Document are used to provide support to individuals or entities associated with terrorism and that the recipients of any amounts provided by UNDP hereunder do not appear on the list maintained by the Security Council Committee established pursuant to resolution 1267 (1999). The list can be </w:t>
      </w:r>
      <w:r w:rsidRPr="003B6A69">
        <w:rPr>
          <w:rFonts w:asciiTheme="minorHAnsi" w:hAnsiTheme="minorHAnsi" w:cstheme="minorHAnsi"/>
          <w:szCs w:val="20"/>
        </w:rPr>
        <w:t xml:space="preserve">accessed via </w:t>
      </w:r>
      <w:hyperlink r:id="rId34" w:history="1">
        <w:r w:rsidRPr="003B6A69">
          <w:rPr>
            <w:rStyle w:val="Hyperlink"/>
            <w:rFonts w:asciiTheme="minorHAnsi" w:hAnsiTheme="minorHAnsi" w:cstheme="minorHAnsi"/>
            <w:szCs w:val="20"/>
          </w:rPr>
          <w:t>http://www.un.org/sc/committees/1267/aq_sanctions_list.shtml</w:t>
        </w:r>
      </w:hyperlink>
      <w:r w:rsidRPr="003B6A69">
        <w:rPr>
          <w:rFonts w:asciiTheme="minorHAnsi" w:hAnsiTheme="minorHAnsi" w:cstheme="minorHAnsi"/>
          <w:color w:val="000080"/>
          <w:szCs w:val="20"/>
        </w:rPr>
        <w:t>.</w:t>
      </w:r>
    </w:p>
    <w:p w14:paraId="59BEBDFA" w14:textId="331065BD" w:rsidR="00CB734B" w:rsidRPr="003B6A69" w:rsidRDefault="00D80582" w:rsidP="003C6B7B">
      <w:pPr>
        <w:numPr>
          <w:ilvl w:val="0"/>
          <w:numId w:val="41"/>
        </w:numPr>
        <w:tabs>
          <w:tab w:val="left" w:pos="426"/>
        </w:tabs>
        <w:spacing w:after="120"/>
        <w:ind w:left="0" w:firstLine="0"/>
        <w:rPr>
          <w:rFonts w:cs="Arial"/>
          <w:szCs w:val="20"/>
          <w:lang w:val="en-GB"/>
        </w:rPr>
      </w:pPr>
      <w:r w:rsidRPr="003B6A69">
        <w:rPr>
          <w:rFonts w:asciiTheme="minorHAnsi" w:hAnsiTheme="minorHAnsi" w:cstheme="minorHAnsi"/>
          <w:szCs w:val="20"/>
        </w:rPr>
        <w:t>The Implementing Partner acknowledges and agrees that UNDP will not tolerate sexual harassment and sexual exploitation and abuse of anyone by the Implementing Partner, and each of its responsible parties, their respective sub-recipients and other entities involved in Project implementation, either as contractors or subcontractors and their personnel, and any individuals performing services for them under the Project Document.</w:t>
      </w:r>
    </w:p>
    <w:p w14:paraId="4723FC25" w14:textId="745E2910" w:rsidR="00692FBF" w:rsidRPr="003B6A69" w:rsidRDefault="00D80582" w:rsidP="003C6B7B">
      <w:pPr>
        <w:pStyle w:val="Header"/>
        <w:numPr>
          <w:ilvl w:val="1"/>
          <w:numId w:val="41"/>
        </w:numPr>
        <w:tabs>
          <w:tab w:val="clear" w:pos="4153"/>
          <w:tab w:val="clear" w:pos="8306"/>
        </w:tabs>
        <w:spacing w:after="120"/>
        <w:ind w:left="709" w:hanging="283"/>
        <w:rPr>
          <w:rFonts w:asciiTheme="minorHAnsi" w:hAnsiTheme="minorHAnsi" w:cstheme="minorHAnsi"/>
          <w:szCs w:val="20"/>
          <w:lang w:val="en-GB"/>
        </w:rPr>
      </w:pPr>
      <w:r w:rsidRPr="003B6A69">
        <w:rPr>
          <w:rFonts w:asciiTheme="minorHAnsi" w:hAnsiTheme="minorHAnsi" w:cstheme="minorHAnsi"/>
          <w:szCs w:val="20"/>
        </w:rPr>
        <w:t>In the implementation of the activities under this Project Document, the Implementing Partner, and each of its sub-parties referred to above, shall comply with the standards of conduct set forth in the Secretary General’s Bulletin ST/SGB/2003/13 of 9 October 2003, concerning “Special measures for protection from sexual exploitation and sexual abuse” (“SEA”).</w:t>
      </w:r>
    </w:p>
    <w:p w14:paraId="3F9B79F0" w14:textId="2787BC30" w:rsidR="00CB734B" w:rsidRPr="003B6A69" w:rsidRDefault="00D80582" w:rsidP="003C6B7B">
      <w:pPr>
        <w:pStyle w:val="Header"/>
        <w:numPr>
          <w:ilvl w:val="1"/>
          <w:numId w:val="41"/>
        </w:numPr>
        <w:tabs>
          <w:tab w:val="clear" w:pos="4153"/>
          <w:tab w:val="clear" w:pos="8306"/>
        </w:tabs>
        <w:spacing w:after="120"/>
        <w:ind w:left="709" w:hanging="283"/>
        <w:rPr>
          <w:rFonts w:asciiTheme="minorHAnsi" w:hAnsiTheme="minorHAnsi" w:cstheme="minorHAnsi"/>
          <w:szCs w:val="20"/>
          <w:lang w:val="en-GB"/>
        </w:rPr>
      </w:pPr>
      <w:r w:rsidRPr="003B6A69">
        <w:rPr>
          <w:rFonts w:asciiTheme="minorHAnsi" w:hAnsiTheme="minorHAnsi" w:cstheme="minorHAnsi"/>
          <w:szCs w:val="20"/>
        </w:rPr>
        <w:t xml:space="preserve">Moreover, and without limitation to the application of other regulations, rules, </w:t>
      </w:r>
      <w:proofErr w:type="gramStart"/>
      <w:r w:rsidRPr="003B6A69">
        <w:rPr>
          <w:rFonts w:asciiTheme="minorHAnsi" w:hAnsiTheme="minorHAnsi" w:cstheme="minorHAnsi"/>
          <w:szCs w:val="20"/>
        </w:rPr>
        <w:t>policies</w:t>
      </w:r>
      <w:proofErr w:type="gramEnd"/>
      <w:r w:rsidRPr="003B6A69">
        <w:rPr>
          <w:rFonts w:asciiTheme="minorHAnsi" w:hAnsiTheme="minorHAnsi" w:cstheme="minorHAnsi"/>
          <w:szCs w:val="20"/>
        </w:rPr>
        <w:t xml:space="preserve"> and procedures bearing upon the performance of the activities under this Project Document, in the implementation of activities, the Implementing Partner, and each of its sub-parties referred to above, shall not engage in any form of sexual harassment (“SH”). SH is defined as any unwelcome conduct of a sexual nature that might reasonably be expected or be perceived to cause offense or humiliation, when such conduct interferes with work, is made a condition of </w:t>
      </w:r>
      <w:proofErr w:type="gramStart"/>
      <w:r w:rsidRPr="003B6A69">
        <w:rPr>
          <w:rFonts w:asciiTheme="minorHAnsi" w:hAnsiTheme="minorHAnsi" w:cstheme="minorHAnsi"/>
          <w:szCs w:val="20"/>
        </w:rPr>
        <w:t>employment</w:t>
      </w:r>
      <w:proofErr w:type="gramEnd"/>
      <w:r w:rsidRPr="003B6A69">
        <w:rPr>
          <w:rFonts w:asciiTheme="minorHAnsi" w:hAnsiTheme="minorHAnsi" w:cstheme="minorHAnsi"/>
          <w:szCs w:val="20"/>
        </w:rPr>
        <w:t xml:space="preserve"> or creates an intimidating, hostile or offensive work environment.</w:t>
      </w:r>
    </w:p>
    <w:p w14:paraId="4AA1C175" w14:textId="1EA60B6E" w:rsidR="00CB734B" w:rsidRPr="003B6A69" w:rsidRDefault="00D80582" w:rsidP="003C6B7B">
      <w:pPr>
        <w:numPr>
          <w:ilvl w:val="0"/>
          <w:numId w:val="41"/>
        </w:numPr>
        <w:tabs>
          <w:tab w:val="left" w:pos="426"/>
        </w:tabs>
        <w:spacing w:after="120"/>
        <w:ind w:left="0" w:firstLine="0"/>
        <w:rPr>
          <w:rFonts w:asciiTheme="minorHAnsi" w:hAnsiTheme="minorHAnsi" w:cstheme="minorHAnsi"/>
          <w:szCs w:val="20"/>
          <w:lang w:val="en-GB"/>
        </w:rPr>
      </w:pPr>
      <w:r w:rsidRPr="003B6A69">
        <w:rPr>
          <w:rFonts w:asciiTheme="minorHAnsi" w:hAnsiTheme="minorHAnsi" w:cstheme="minorHAnsi"/>
          <w:szCs w:val="20"/>
        </w:rPr>
        <w:t>In the performance of the activities under this Project Document, the Implementing Partner shall (with respect to its own activities</w:t>
      </w:r>
      <w:proofErr w:type="gramStart"/>
      <w:r w:rsidRPr="003B6A69">
        <w:rPr>
          <w:rFonts w:asciiTheme="minorHAnsi" w:hAnsiTheme="minorHAnsi" w:cstheme="minorHAnsi"/>
          <w:szCs w:val="20"/>
        </w:rPr>
        <w:t>), and</w:t>
      </w:r>
      <w:proofErr w:type="gramEnd"/>
      <w:r w:rsidRPr="003B6A69">
        <w:rPr>
          <w:rFonts w:asciiTheme="minorHAnsi" w:hAnsiTheme="minorHAnsi" w:cstheme="minorHAnsi"/>
          <w:szCs w:val="20"/>
        </w:rPr>
        <w:t xml:space="preserve"> shall require from its sub-parties referred to in paragraph 4 (with respect to their activities) that they, </w:t>
      </w:r>
      <w:r w:rsidRPr="003B6A69">
        <w:rPr>
          <w:rFonts w:asciiTheme="minorHAnsi" w:hAnsiTheme="minorHAnsi" w:cstheme="minorHAnsi"/>
          <w:szCs w:val="20"/>
        </w:rPr>
        <w:lastRenderedPageBreak/>
        <w:t xml:space="preserve">have minimum standards and procedures in place, or a plan to develop and/or improve such standards and procedures in order to be able to take effective preventive and investigative action. These should </w:t>
      </w:r>
      <w:proofErr w:type="gramStart"/>
      <w:r w:rsidRPr="003B6A69">
        <w:rPr>
          <w:rFonts w:asciiTheme="minorHAnsi" w:hAnsiTheme="minorHAnsi" w:cstheme="minorHAnsi"/>
          <w:szCs w:val="20"/>
        </w:rPr>
        <w:t>include:</w:t>
      </w:r>
      <w:proofErr w:type="gramEnd"/>
      <w:r w:rsidRPr="003B6A69">
        <w:rPr>
          <w:rFonts w:asciiTheme="minorHAnsi" w:hAnsiTheme="minorHAnsi" w:cstheme="minorHAnsi"/>
          <w:szCs w:val="20"/>
        </w:rPr>
        <w:t xml:space="preserve"> policies on sexual harassment and sexual exploitation and abuse; policies on whistleblowing/protection against retaliation; and complaints, disciplinary and investigative mechanisms. In line with this, the Implementing Partner will and will require that such sub-parties will take all appropriate measures to:</w:t>
      </w:r>
    </w:p>
    <w:p w14:paraId="3A87741B" w14:textId="197BDC19" w:rsidR="00CB734B" w:rsidRPr="003B6A69" w:rsidRDefault="00102931" w:rsidP="003C6B7B">
      <w:pPr>
        <w:pStyle w:val="Header"/>
        <w:numPr>
          <w:ilvl w:val="1"/>
          <w:numId w:val="41"/>
        </w:numPr>
        <w:tabs>
          <w:tab w:val="clear" w:pos="4153"/>
          <w:tab w:val="clear" w:pos="8306"/>
        </w:tabs>
        <w:spacing w:after="120"/>
        <w:ind w:left="709" w:hanging="283"/>
        <w:rPr>
          <w:rFonts w:cs="Arial"/>
          <w:szCs w:val="20"/>
          <w:lang w:val="en-GB"/>
        </w:rPr>
      </w:pPr>
      <w:r w:rsidRPr="003B6A69">
        <w:rPr>
          <w:rFonts w:asciiTheme="minorHAnsi" w:hAnsiTheme="minorHAnsi" w:cstheme="minorHAnsi"/>
          <w:szCs w:val="20"/>
        </w:rPr>
        <w:t xml:space="preserve">Prevent its employees, agents or any other persons engaged to perform any services under this Project Document, from engaging in SH or </w:t>
      </w:r>
      <w:proofErr w:type="gramStart"/>
      <w:r w:rsidRPr="003B6A69">
        <w:rPr>
          <w:rFonts w:asciiTheme="minorHAnsi" w:hAnsiTheme="minorHAnsi" w:cstheme="minorHAnsi"/>
          <w:szCs w:val="20"/>
        </w:rPr>
        <w:t>SEA;</w:t>
      </w:r>
      <w:proofErr w:type="gramEnd"/>
    </w:p>
    <w:p w14:paraId="797DF809" w14:textId="36B901EC" w:rsidR="00CB734B" w:rsidRPr="003B6A69" w:rsidRDefault="00102931" w:rsidP="003C6B7B">
      <w:pPr>
        <w:pStyle w:val="Header"/>
        <w:numPr>
          <w:ilvl w:val="1"/>
          <w:numId w:val="41"/>
        </w:numPr>
        <w:tabs>
          <w:tab w:val="clear" w:pos="4153"/>
          <w:tab w:val="clear" w:pos="8306"/>
        </w:tabs>
        <w:spacing w:after="120"/>
        <w:ind w:left="709" w:hanging="283"/>
        <w:rPr>
          <w:rFonts w:cs="Arial"/>
          <w:szCs w:val="20"/>
          <w:lang w:val="en-GB"/>
        </w:rPr>
      </w:pPr>
      <w:r w:rsidRPr="003B6A69">
        <w:rPr>
          <w:rFonts w:asciiTheme="minorHAnsi" w:hAnsiTheme="minorHAnsi" w:cstheme="minorHAnsi"/>
          <w:szCs w:val="20"/>
        </w:rPr>
        <w:t xml:space="preserve">Offer employees and associated personnel training on prevention and response to SH and SEA, where the Implementing Partner and its sub-parties referred to in paragraph 4 have not put in place its own training regarding the prevention of SH and SEA, the Implementing Partner and its sub-parties may use the training material available at </w:t>
      </w:r>
      <w:proofErr w:type="gramStart"/>
      <w:r w:rsidRPr="003B6A69">
        <w:rPr>
          <w:rFonts w:asciiTheme="minorHAnsi" w:hAnsiTheme="minorHAnsi" w:cstheme="minorHAnsi"/>
          <w:szCs w:val="20"/>
        </w:rPr>
        <w:t>UNDP;</w:t>
      </w:r>
      <w:proofErr w:type="gramEnd"/>
    </w:p>
    <w:p w14:paraId="62D46842" w14:textId="0FBC444A" w:rsidR="000A54A8" w:rsidRPr="003B6A69" w:rsidRDefault="00102931" w:rsidP="003C6B7B">
      <w:pPr>
        <w:pStyle w:val="Header"/>
        <w:numPr>
          <w:ilvl w:val="1"/>
          <w:numId w:val="41"/>
        </w:numPr>
        <w:tabs>
          <w:tab w:val="clear" w:pos="4153"/>
          <w:tab w:val="clear" w:pos="8306"/>
        </w:tabs>
        <w:spacing w:after="120"/>
        <w:ind w:left="709" w:hanging="283"/>
        <w:rPr>
          <w:rFonts w:cs="Arial"/>
          <w:szCs w:val="20"/>
          <w:lang w:val="en-GB"/>
        </w:rPr>
      </w:pPr>
      <w:r w:rsidRPr="003B6A69">
        <w:rPr>
          <w:rFonts w:asciiTheme="minorHAnsi" w:hAnsiTheme="minorHAnsi" w:cstheme="minorHAnsi"/>
          <w:szCs w:val="20"/>
        </w:rPr>
        <w:t xml:space="preserve">Report and monitor allegations of SH and SEA of which the Implementing Partner and its sub-parties referred to in paragraph 4 have been informed or have otherwise become aware, and status </w:t>
      </w:r>
      <w:proofErr w:type="gramStart"/>
      <w:r w:rsidRPr="003B6A69">
        <w:rPr>
          <w:rFonts w:asciiTheme="minorHAnsi" w:hAnsiTheme="minorHAnsi" w:cstheme="minorHAnsi"/>
          <w:szCs w:val="20"/>
        </w:rPr>
        <w:t>thereof;</w:t>
      </w:r>
      <w:proofErr w:type="gramEnd"/>
      <w:r w:rsidRPr="003B6A69">
        <w:rPr>
          <w:rFonts w:asciiTheme="minorHAnsi" w:hAnsiTheme="minorHAnsi" w:cstheme="minorHAnsi"/>
          <w:szCs w:val="20"/>
        </w:rPr>
        <w:t xml:space="preserve"> </w:t>
      </w:r>
    </w:p>
    <w:p w14:paraId="61A0B3D8" w14:textId="44F23021" w:rsidR="000A54A8" w:rsidRPr="003B6A69" w:rsidRDefault="00102931" w:rsidP="003C6B7B">
      <w:pPr>
        <w:pStyle w:val="Header"/>
        <w:numPr>
          <w:ilvl w:val="1"/>
          <w:numId w:val="41"/>
        </w:numPr>
        <w:tabs>
          <w:tab w:val="clear" w:pos="4153"/>
          <w:tab w:val="clear" w:pos="8306"/>
        </w:tabs>
        <w:spacing w:after="120"/>
        <w:ind w:left="709" w:hanging="283"/>
        <w:rPr>
          <w:rFonts w:cs="Arial"/>
          <w:szCs w:val="20"/>
          <w:lang w:val="en-GB"/>
        </w:rPr>
      </w:pPr>
      <w:r w:rsidRPr="003B6A69">
        <w:rPr>
          <w:rFonts w:asciiTheme="minorHAnsi" w:hAnsiTheme="minorHAnsi" w:cstheme="minorHAnsi"/>
          <w:szCs w:val="20"/>
        </w:rPr>
        <w:t>Refer victims/survivors of SH and SEA to safe and confidential victim assistance; and</w:t>
      </w:r>
      <w:r w:rsidRPr="003B6A69">
        <w:rPr>
          <w:rFonts w:cs="Arial"/>
          <w:szCs w:val="20"/>
          <w:lang w:val="en-GB"/>
        </w:rPr>
        <w:t xml:space="preserve"> </w:t>
      </w:r>
    </w:p>
    <w:p w14:paraId="61F45C23" w14:textId="5C8F005E" w:rsidR="00CB734B" w:rsidRPr="003B6A69" w:rsidRDefault="00102931" w:rsidP="003C6B7B">
      <w:pPr>
        <w:pStyle w:val="Header"/>
        <w:numPr>
          <w:ilvl w:val="1"/>
          <w:numId w:val="41"/>
        </w:numPr>
        <w:tabs>
          <w:tab w:val="clear" w:pos="4153"/>
          <w:tab w:val="clear" w:pos="8306"/>
        </w:tabs>
        <w:spacing w:after="120"/>
        <w:ind w:left="709" w:hanging="283"/>
        <w:rPr>
          <w:rFonts w:asciiTheme="minorHAnsi" w:hAnsiTheme="minorHAnsi" w:cstheme="minorHAnsi"/>
          <w:szCs w:val="20"/>
          <w:lang w:val="en-GB"/>
        </w:rPr>
      </w:pPr>
      <w:r w:rsidRPr="003B6A69">
        <w:rPr>
          <w:rFonts w:asciiTheme="minorHAnsi" w:hAnsiTheme="minorHAnsi" w:cstheme="minorHAnsi"/>
          <w:szCs w:val="20"/>
        </w:rPr>
        <w:t>Promptly and confidentially record and investigate any allegations credible enough to warrant an investigation of SH or SEA. The Implementing Partner shall advise UNDP of any such allegations received and investigations being conducted by itself or any of its sub-parties referred to in paragraph 4 with respect to their activities under the Project Document, and shall keep UNDP informed during the investigation by it or any of such sub-parties, to the extent that such notification (</w:t>
      </w:r>
      <w:proofErr w:type="spellStart"/>
      <w:r w:rsidRPr="003B6A69">
        <w:rPr>
          <w:rFonts w:asciiTheme="minorHAnsi" w:hAnsiTheme="minorHAnsi" w:cstheme="minorHAnsi"/>
          <w:szCs w:val="20"/>
        </w:rPr>
        <w:t>i</w:t>
      </w:r>
      <w:proofErr w:type="spellEnd"/>
      <w:r w:rsidRPr="003B6A69">
        <w:rPr>
          <w:rFonts w:asciiTheme="minorHAnsi" w:hAnsiTheme="minorHAnsi" w:cstheme="minorHAnsi"/>
          <w:szCs w:val="20"/>
        </w:rPr>
        <w:t xml:space="preserve">) does not jeopardize the conduct of the investigation, including but not limited to the safety or security of persons, and/or (ii) is not in contravention of any laws applicable to it. Following the investigation, the Implementing Partner shall advise UNDP of any actions taken by it or any of the other entities further to the investigation. </w:t>
      </w:r>
    </w:p>
    <w:p w14:paraId="767F8F57" w14:textId="055AECBE" w:rsidR="00CB734B" w:rsidRPr="003B6A69" w:rsidRDefault="00102931" w:rsidP="003C6B7B">
      <w:pPr>
        <w:numPr>
          <w:ilvl w:val="0"/>
          <w:numId w:val="41"/>
        </w:numPr>
        <w:tabs>
          <w:tab w:val="left" w:pos="426"/>
        </w:tabs>
        <w:spacing w:after="120"/>
        <w:ind w:left="0" w:firstLine="0"/>
        <w:rPr>
          <w:rFonts w:asciiTheme="minorHAnsi" w:hAnsiTheme="minorHAnsi" w:cstheme="minorHAnsi"/>
          <w:szCs w:val="20"/>
          <w:lang w:val="en-GB"/>
        </w:rPr>
      </w:pPr>
      <w:r w:rsidRPr="003B6A69">
        <w:rPr>
          <w:rFonts w:asciiTheme="minorHAnsi" w:hAnsiTheme="minorHAnsi" w:cstheme="minorHAnsi"/>
          <w:szCs w:val="20"/>
        </w:rPr>
        <w:t>The Implementing Partner shall establish that it has complied with the foregoing, to the satisfaction of UNDP, when requested by UNDP or any party acting on its behalf to provide such confirmation. Failure of the Implementing Partner, and each of its sub-parties referred to in paragraph 4, to comply of the foregoing, as determined by UNDP, shall be considered grounds for suspension or termination of the Project.</w:t>
      </w:r>
    </w:p>
    <w:p w14:paraId="30A5C30D" w14:textId="5E404ECF" w:rsidR="000A54A8" w:rsidRPr="003B6A69" w:rsidRDefault="00102931" w:rsidP="003C6B7B">
      <w:pPr>
        <w:pStyle w:val="Header"/>
        <w:numPr>
          <w:ilvl w:val="1"/>
          <w:numId w:val="41"/>
        </w:numPr>
        <w:tabs>
          <w:tab w:val="clear" w:pos="4153"/>
          <w:tab w:val="clear" w:pos="8306"/>
        </w:tabs>
        <w:spacing w:after="120"/>
        <w:ind w:left="709" w:hanging="283"/>
        <w:rPr>
          <w:rFonts w:cs="Arial"/>
          <w:color w:val="000000"/>
          <w:szCs w:val="20"/>
          <w:lang w:val="en-GB"/>
        </w:rPr>
      </w:pPr>
      <w:r w:rsidRPr="003B6A69">
        <w:rPr>
          <w:rFonts w:cs="Arial"/>
          <w:szCs w:val="20"/>
        </w:rPr>
        <w:t xml:space="preserve">Social and environmental sustainability will be enhanced through application of the UNDP Social and Environmental Standards (http://www.undp.org/ses) and related Accountability Mechanism (http://www.undp.org/secu-srm).  </w:t>
      </w:r>
      <w:r w:rsidRPr="003B6A69">
        <w:rPr>
          <w:rFonts w:cs="Arial"/>
          <w:color w:val="000000"/>
          <w:szCs w:val="20"/>
        </w:rPr>
        <w:t> </w:t>
      </w:r>
    </w:p>
    <w:p w14:paraId="205F7CA9" w14:textId="0215BE84" w:rsidR="000A54A8" w:rsidRPr="003B6A69" w:rsidRDefault="00102931" w:rsidP="003C6B7B">
      <w:pPr>
        <w:pStyle w:val="Header"/>
        <w:numPr>
          <w:ilvl w:val="1"/>
          <w:numId w:val="41"/>
        </w:numPr>
        <w:tabs>
          <w:tab w:val="clear" w:pos="4153"/>
          <w:tab w:val="clear" w:pos="8306"/>
        </w:tabs>
        <w:spacing w:after="120"/>
        <w:ind w:left="709" w:hanging="283"/>
        <w:rPr>
          <w:rFonts w:cs="Arial"/>
          <w:color w:val="000000"/>
          <w:szCs w:val="20"/>
          <w:lang w:val="en-GB"/>
        </w:rPr>
      </w:pPr>
      <w:r w:rsidRPr="003B6A69">
        <w:rPr>
          <w:color w:val="101010"/>
          <w:spacing w:val="-6"/>
          <w:kern w:val="1"/>
          <w:szCs w:val="20"/>
        </w:rPr>
        <w:t xml:space="preserve">The Implementing Partner shall: (a) conduct project and </w:t>
      </w:r>
      <w:proofErr w:type="spellStart"/>
      <w:r w:rsidRPr="003B6A69">
        <w:rPr>
          <w:color w:val="101010"/>
          <w:spacing w:val="-6"/>
          <w:kern w:val="1"/>
          <w:szCs w:val="20"/>
        </w:rPr>
        <w:t>programme</w:t>
      </w:r>
      <w:proofErr w:type="spellEnd"/>
      <w:r w:rsidRPr="003B6A69">
        <w:rPr>
          <w:color w:val="101010"/>
          <w:spacing w:val="-6"/>
          <w:kern w:val="1"/>
          <w:szCs w:val="20"/>
        </w:rPr>
        <w:t xml:space="preserve">-related activities in a manner consistent with the UNDP Social and Environmental Standards, (b) implement any management or mitigation plan prepared for the project or </w:t>
      </w:r>
      <w:proofErr w:type="spellStart"/>
      <w:r w:rsidRPr="003B6A69">
        <w:rPr>
          <w:color w:val="101010"/>
          <w:spacing w:val="-6"/>
          <w:kern w:val="1"/>
          <w:szCs w:val="20"/>
        </w:rPr>
        <w:t>programme</w:t>
      </w:r>
      <w:proofErr w:type="spellEnd"/>
      <w:r w:rsidRPr="003B6A69">
        <w:rPr>
          <w:color w:val="101010"/>
          <w:spacing w:val="-6"/>
          <w:kern w:val="1"/>
          <w:szCs w:val="20"/>
        </w:rPr>
        <w:t xml:space="preserve"> to comply with such standards, and (c) engage in a constructive and timely manner to address any concerns and complaints raised through the Accountability Mechanism. </w:t>
      </w:r>
      <w:r w:rsidRPr="003B6A69">
        <w:rPr>
          <w:color w:val="141414"/>
          <w:spacing w:val="-4"/>
          <w:szCs w:val="20"/>
          <w:lang w:val="en-GB"/>
        </w:rPr>
        <w:t>UNDP</w:t>
      </w:r>
      <w:r w:rsidRPr="003B6A69">
        <w:rPr>
          <w:szCs w:val="20"/>
          <w:lang w:val="en-GB"/>
        </w:rPr>
        <w:t xml:space="preserve"> will seek to ensure that communities and other project stakeholders are informed of and have access to the Accountability Mechanism. </w:t>
      </w:r>
    </w:p>
    <w:p w14:paraId="1EC8F5CA" w14:textId="584BEEE2" w:rsidR="000A54A8" w:rsidRPr="003B6A69" w:rsidRDefault="00102931" w:rsidP="003C6B7B">
      <w:pPr>
        <w:pStyle w:val="Header"/>
        <w:numPr>
          <w:ilvl w:val="1"/>
          <w:numId w:val="41"/>
        </w:numPr>
        <w:tabs>
          <w:tab w:val="clear" w:pos="4153"/>
          <w:tab w:val="clear" w:pos="8306"/>
        </w:tabs>
        <w:spacing w:after="120"/>
        <w:ind w:left="709" w:hanging="283"/>
        <w:rPr>
          <w:rFonts w:cs="Arial"/>
          <w:color w:val="000000"/>
          <w:szCs w:val="20"/>
          <w:lang w:val="en-GB"/>
        </w:rPr>
      </w:pPr>
      <w:r w:rsidRPr="003B6A69">
        <w:rPr>
          <w:rFonts w:cs="Arial"/>
          <w:spacing w:val="-4"/>
          <w:szCs w:val="20"/>
        </w:rPr>
        <w:t xml:space="preserve">All signatories to the Project Document shall cooperate in good faith with any exercise to evaluate any </w:t>
      </w:r>
      <w:proofErr w:type="spellStart"/>
      <w:r w:rsidRPr="003B6A69">
        <w:rPr>
          <w:rFonts w:cs="Arial"/>
          <w:spacing w:val="-4"/>
          <w:szCs w:val="20"/>
        </w:rPr>
        <w:t>programme</w:t>
      </w:r>
      <w:proofErr w:type="spellEnd"/>
      <w:r w:rsidRPr="003B6A69">
        <w:rPr>
          <w:rFonts w:cs="Arial"/>
          <w:spacing w:val="-4"/>
          <w:szCs w:val="20"/>
        </w:rPr>
        <w:t xml:space="preserve"> or project-related commitments or compliance with the UNDP Social and Environmental Standards. This includes providing access to project sites, relevant personnel, information, and documentation.</w:t>
      </w:r>
    </w:p>
    <w:p w14:paraId="7CF930CF" w14:textId="04211827" w:rsidR="000A54A8" w:rsidRPr="003B6A69" w:rsidRDefault="00102931" w:rsidP="003C6B7B">
      <w:pPr>
        <w:pStyle w:val="Header"/>
        <w:numPr>
          <w:ilvl w:val="1"/>
          <w:numId w:val="41"/>
        </w:numPr>
        <w:tabs>
          <w:tab w:val="clear" w:pos="4153"/>
          <w:tab w:val="clear" w:pos="8306"/>
        </w:tabs>
        <w:spacing w:after="120"/>
        <w:ind w:left="709" w:hanging="283"/>
        <w:rPr>
          <w:rFonts w:cs="Arial"/>
          <w:color w:val="000000"/>
          <w:szCs w:val="20"/>
          <w:lang w:val="en-GB"/>
        </w:rPr>
      </w:pPr>
      <w:r w:rsidRPr="003B6A69">
        <w:rPr>
          <w:rFonts w:eastAsia="Calibri" w:cs="Arial"/>
          <w:color w:val="000000"/>
          <w:szCs w:val="20"/>
        </w:rPr>
        <w:t xml:space="preserve">The Implementing Partner will take appropriate steps to prevent misuse of funds, </w:t>
      </w:r>
      <w:proofErr w:type="gramStart"/>
      <w:r w:rsidRPr="003B6A69">
        <w:rPr>
          <w:rFonts w:eastAsia="Calibri" w:cs="Arial"/>
          <w:color w:val="000000"/>
          <w:szCs w:val="20"/>
        </w:rPr>
        <w:t>fraud</w:t>
      </w:r>
      <w:proofErr w:type="gramEnd"/>
      <w:r w:rsidRPr="003B6A69">
        <w:rPr>
          <w:rFonts w:eastAsia="Calibri" w:cs="Arial"/>
          <w:color w:val="000000"/>
          <w:szCs w:val="20"/>
        </w:rPr>
        <w:t xml:space="preserve"> or corruption, by its officials, consultants, responsible parties, subcontractors and sub-recipients in implementing the project or using UNDP funds.  The Implementing Partner will ensure that its financial management, anti-</w:t>
      </w:r>
      <w:proofErr w:type="gramStart"/>
      <w:r w:rsidRPr="003B6A69">
        <w:rPr>
          <w:rFonts w:eastAsia="Calibri" w:cs="Arial"/>
          <w:color w:val="000000"/>
          <w:szCs w:val="20"/>
        </w:rPr>
        <w:t>corruption</w:t>
      </w:r>
      <w:proofErr w:type="gramEnd"/>
      <w:r w:rsidRPr="003B6A69">
        <w:rPr>
          <w:rFonts w:eastAsia="Calibri" w:cs="Arial"/>
          <w:color w:val="000000"/>
          <w:szCs w:val="20"/>
        </w:rPr>
        <w:t xml:space="preserve"> and anti-fraud policies are in place and enforced for all funding received from or through UNDP.</w:t>
      </w:r>
    </w:p>
    <w:p w14:paraId="25C8AAD1" w14:textId="1C9F1B53" w:rsidR="006D278E" w:rsidRPr="003B6A69" w:rsidRDefault="00102931" w:rsidP="003C6B7B">
      <w:pPr>
        <w:pStyle w:val="Header"/>
        <w:numPr>
          <w:ilvl w:val="1"/>
          <w:numId w:val="41"/>
        </w:numPr>
        <w:tabs>
          <w:tab w:val="clear" w:pos="4153"/>
          <w:tab w:val="clear" w:pos="8306"/>
        </w:tabs>
        <w:spacing w:after="120"/>
        <w:ind w:left="709" w:hanging="283"/>
        <w:rPr>
          <w:rFonts w:cs="Arial"/>
          <w:color w:val="000000"/>
          <w:szCs w:val="20"/>
          <w:lang w:val="en-GB"/>
        </w:rPr>
      </w:pPr>
      <w:r w:rsidRPr="003B6A69">
        <w:rPr>
          <w:rFonts w:eastAsia="Calibri" w:cs="Arial"/>
          <w:color w:val="000000"/>
          <w:szCs w:val="20"/>
        </w:rPr>
        <w:t xml:space="preserve">The requirements of the following documents, then in force at the time of signature of the Project Document, apply to the Implementing Partner: </w:t>
      </w:r>
      <w:r w:rsidRPr="003B6A69">
        <w:rPr>
          <w:rFonts w:eastAsia="Calibri" w:cs="Arial"/>
          <w:bCs/>
          <w:color w:val="000000"/>
          <w:szCs w:val="20"/>
        </w:rPr>
        <w:t>(a)</w:t>
      </w:r>
      <w:r w:rsidRPr="003B6A69">
        <w:rPr>
          <w:rFonts w:eastAsia="Calibri" w:cs="Arial"/>
          <w:b/>
          <w:bCs/>
          <w:color w:val="000000"/>
          <w:szCs w:val="20"/>
        </w:rPr>
        <w:t xml:space="preserve"> </w:t>
      </w:r>
      <w:r w:rsidRPr="003B6A69">
        <w:rPr>
          <w:rFonts w:eastAsia="Calibri" w:cs="Arial"/>
          <w:color w:val="000000"/>
          <w:szCs w:val="20"/>
        </w:rPr>
        <w:t xml:space="preserve">UNDP Policy on Fraud and other Corrupt Practices and </w:t>
      </w:r>
      <w:r w:rsidRPr="003B6A69">
        <w:rPr>
          <w:rFonts w:eastAsia="Calibri" w:cs="Arial"/>
          <w:bCs/>
          <w:color w:val="000000"/>
          <w:szCs w:val="20"/>
        </w:rPr>
        <w:t>(b)</w:t>
      </w:r>
      <w:r w:rsidRPr="003B6A69">
        <w:rPr>
          <w:rFonts w:eastAsia="Calibri" w:cs="Arial"/>
          <w:b/>
          <w:bCs/>
          <w:color w:val="000000"/>
          <w:szCs w:val="20"/>
        </w:rPr>
        <w:t xml:space="preserve"> </w:t>
      </w:r>
      <w:r w:rsidRPr="003B6A69">
        <w:rPr>
          <w:rFonts w:eastAsia="Calibri" w:cs="Arial"/>
          <w:color w:val="000000"/>
          <w:szCs w:val="20"/>
        </w:rPr>
        <w:t xml:space="preserve">UNDP Office of Audit and Investigations Investigation Guidelines. </w:t>
      </w:r>
      <w:r w:rsidRPr="003B6A69">
        <w:rPr>
          <w:rFonts w:eastAsia="Calibri" w:cs="Arial"/>
          <w:szCs w:val="20"/>
        </w:rPr>
        <w:t xml:space="preserve">The Implementing Partner agrees to the requirements of the above documents, which are an integral part of this Project Document and are available online at www.undp.org. </w:t>
      </w:r>
    </w:p>
    <w:p w14:paraId="3D72BC51" w14:textId="369DED82" w:rsidR="00CB734B" w:rsidRPr="003B6A69" w:rsidRDefault="00102931" w:rsidP="003C6B7B">
      <w:pPr>
        <w:pStyle w:val="Header"/>
        <w:numPr>
          <w:ilvl w:val="1"/>
          <w:numId w:val="41"/>
        </w:numPr>
        <w:tabs>
          <w:tab w:val="clear" w:pos="4153"/>
          <w:tab w:val="clear" w:pos="8306"/>
        </w:tabs>
        <w:spacing w:after="120"/>
        <w:ind w:left="709" w:hanging="283"/>
        <w:rPr>
          <w:rFonts w:cs="Arial"/>
          <w:szCs w:val="20"/>
          <w:u w:val="single"/>
          <w:lang w:val="en-GB"/>
        </w:rPr>
      </w:pPr>
      <w:proofErr w:type="gramStart"/>
      <w:r w:rsidRPr="003B6A69">
        <w:rPr>
          <w:rFonts w:cs="Arial"/>
          <w:color w:val="000000"/>
          <w:szCs w:val="20"/>
        </w:rPr>
        <w:t>In the event that</w:t>
      </w:r>
      <w:proofErr w:type="gramEnd"/>
      <w:r w:rsidRPr="003B6A69">
        <w:rPr>
          <w:rFonts w:cs="Arial"/>
          <w:color w:val="000000"/>
          <w:szCs w:val="20"/>
        </w:rPr>
        <w:t xml:space="preserve"> an investigation is required, UNDP has the obligation to conduct investigations relating to any aspect of UNDP projects and </w:t>
      </w:r>
      <w:proofErr w:type="spellStart"/>
      <w:r w:rsidRPr="003B6A69">
        <w:rPr>
          <w:rFonts w:cs="Arial"/>
          <w:color w:val="000000"/>
          <w:szCs w:val="20"/>
        </w:rPr>
        <w:t>programmes</w:t>
      </w:r>
      <w:proofErr w:type="spellEnd"/>
      <w:r w:rsidRPr="003B6A69">
        <w:rPr>
          <w:rFonts w:cs="Arial"/>
          <w:color w:val="000000"/>
          <w:szCs w:val="20"/>
        </w:rPr>
        <w:t xml:space="preserve"> in accordance with UNDP’s regulations, rules, policies and procedures. The Implementing Partner shall provide its full cooperation, including making available personnel, relevant documentation, and granting access to the Implementing Partner’s</w:t>
      </w:r>
      <w:r w:rsidRPr="003B6A69">
        <w:rPr>
          <w:rFonts w:eastAsia="Calibri" w:cs="Arial"/>
          <w:color w:val="000000"/>
          <w:szCs w:val="20"/>
        </w:rPr>
        <w:t xml:space="preserve"> </w:t>
      </w:r>
      <w:r w:rsidRPr="003B6A69">
        <w:rPr>
          <w:rFonts w:cs="Arial"/>
          <w:color w:val="000000"/>
          <w:szCs w:val="20"/>
        </w:rPr>
        <w:t xml:space="preserve">(and its consultants’, responsible parties’, </w:t>
      </w:r>
      <w:proofErr w:type="gramStart"/>
      <w:r w:rsidRPr="003B6A69">
        <w:rPr>
          <w:rFonts w:cs="Arial"/>
          <w:color w:val="000000"/>
          <w:szCs w:val="20"/>
        </w:rPr>
        <w:t>subcontractors’</w:t>
      </w:r>
      <w:proofErr w:type="gramEnd"/>
      <w:r w:rsidRPr="003B6A69">
        <w:rPr>
          <w:rFonts w:cs="Arial"/>
          <w:color w:val="000000"/>
          <w:szCs w:val="20"/>
        </w:rPr>
        <w:t xml:space="preserve"> and sub-recipients’) premises, for such purposes at reasonable times and on reasonable conditions </w:t>
      </w:r>
      <w:r w:rsidRPr="003B6A69">
        <w:rPr>
          <w:rFonts w:cs="Arial"/>
          <w:color w:val="000000"/>
          <w:szCs w:val="20"/>
        </w:rPr>
        <w:lastRenderedPageBreak/>
        <w:t>as may be required for the purpose of an investigation. Should there be a limitation in meeting this obligation, UNDP shall consult with the Implementing Partner to find a solution.</w:t>
      </w:r>
    </w:p>
    <w:p w14:paraId="618BFC83" w14:textId="5035B404" w:rsidR="00CB734B" w:rsidRPr="003B6A69" w:rsidRDefault="00102931" w:rsidP="003C6B7B">
      <w:pPr>
        <w:numPr>
          <w:ilvl w:val="0"/>
          <w:numId w:val="41"/>
        </w:numPr>
        <w:tabs>
          <w:tab w:val="left" w:pos="426"/>
        </w:tabs>
        <w:spacing w:after="120"/>
        <w:ind w:left="0" w:firstLine="0"/>
        <w:rPr>
          <w:rFonts w:asciiTheme="minorHAnsi" w:hAnsiTheme="minorHAnsi" w:cstheme="minorHAnsi"/>
          <w:szCs w:val="20"/>
          <w:lang w:val="en-GB"/>
        </w:rPr>
      </w:pPr>
      <w:r w:rsidRPr="003B6A69">
        <w:rPr>
          <w:rFonts w:asciiTheme="minorHAnsi" w:hAnsiTheme="minorHAnsi" w:cstheme="minorHAnsi"/>
          <w:szCs w:val="20"/>
        </w:rPr>
        <w:t>The signatories to this Project Document will promptly inform one another in case of any incidence of inappropriate use of funds, or credible allegation of fraud or corruption with due confidentiality.</w:t>
      </w:r>
    </w:p>
    <w:p w14:paraId="58726B8F" w14:textId="5997F446" w:rsidR="009168A6" w:rsidRPr="003B6A69" w:rsidRDefault="00102931" w:rsidP="003C6B7B">
      <w:pPr>
        <w:numPr>
          <w:ilvl w:val="0"/>
          <w:numId w:val="41"/>
        </w:numPr>
        <w:tabs>
          <w:tab w:val="left" w:pos="426"/>
        </w:tabs>
        <w:spacing w:after="120"/>
        <w:ind w:left="0" w:firstLine="0"/>
        <w:rPr>
          <w:rFonts w:asciiTheme="minorHAnsi" w:eastAsia="Calibri" w:hAnsiTheme="minorHAnsi" w:cstheme="minorHAnsi"/>
          <w:color w:val="000000"/>
          <w:szCs w:val="20"/>
          <w:lang w:val="en-GB"/>
        </w:rPr>
      </w:pPr>
      <w:r w:rsidRPr="003B6A69">
        <w:rPr>
          <w:rFonts w:asciiTheme="minorHAnsi" w:hAnsiTheme="minorHAnsi" w:cstheme="minorHAnsi"/>
          <w:szCs w:val="20"/>
        </w:rPr>
        <w:t>Where the Implementing Partner becomes aware that a UNDP project or activity, in whole or in part, is the focus of investigation for alleged fraud/corruption, the Implementing Partner will inform the UNDP Resident Representative/Head of Office, who will promptly inform UNDP’s Office of Audit and Investigations (OAI). The Implementing Partner shall provide regular updates to the head of UNDP in the country and OAI of the status of, and actions relating to, such investigation.</w:t>
      </w:r>
    </w:p>
    <w:p w14:paraId="62CF4D81" w14:textId="0699DB82" w:rsidR="00CB734B" w:rsidRPr="003B6A69" w:rsidRDefault="00102931" w:rsidP="003C6B7B">
      <w:pPr>
        <w:numPr>
          <w:ilvl w:val="0"/>
          <w:numId w:val="41"/>
        </w:numPr>
        <w:tabs>
          <w:tab w:val="left" w:pos="426"/>
        </w:tabs>
        <w:spacing w:after="120"/>
        <w:ind w:left="0" w:firstLine="0"/>
        <w:rPr>
          <w:rFonts w:asciiTheme="minorHAnsi" w:eastAsia="Calibri" w:hAnsiTheme="minorHAnsi" w:cstheme="minorHAnsi"/>
          <w:color w:val="000000"/>
          <w:szCs w:val="20"/>
          <w:lang w:val="en-GB"/>
        </w:rPr>
      </w:pPr>
      <w:r w:rsidRPr="003B6A69">
        <w:rPr>
          <w:rFonts w:asciiTheme="minorHAnsi" w:hAnsiTheme="minorHAnsi" w:cstheme="minorHAnsi"/>
          <w:szCs w:val="20"/>
        </w:rPr>
        <w:t>UNDP shall be entitled to a refund from the Implementing Partner of any funds provided that have been used inappropriately, including through fraud or corruption, or otherwise paid other than in accordance with the terms and conditions of the Project Document.  Such amount may be deducted by UNDP from any payment due to the Implementing Partner under this or any other agreement.  Recovery of such amount by UNDP shall not diminish or curtail the Implementing Partner’s obligations under this Project Document.</w:t>
      </w:r>
    </w:p>
    <w:p w14:paraId="50DE6F56" w14:textId="50C00328" w:rsidR="00CB734B" w:rsidRPr="003B6A69" w:rsidRDefault="00102931" w:rsidP="003C6B7B">
      <w:pPr>
        <w:pStyle w:val="Header"/>
        <w:numPr>
          <w:ilvl w:val="0"/>
          <w:numId w:val="41"/>
        </w:numPr>
        <w:tabs>
          <w:tab w:val="clear" w:pos="4153"/>
          <w:tab w:val="clear" w:pos="8306"/>
          <w:tab w:val="left" w:pos="426"/>
        </w:tabs>
        <w:spacing w:after="120"/>
        <w:ind w:left="0" w:firstLine="0"/>
        <w:rPr>
          <w:rFonts w:cs="Arial"/>
          <w:szCs w:val="20"/>
          <w:lang w:val="en-GB"/>
        </w:rPr>
      </w:pPr>
      <w:r w:rsidRPr="003B6A69">
        <w:rPr>
          <w:rFonts w:cs="Arial"/>
          <w:szCs w:val="20"/>
        </w:rPr>
        <w:t>Where such funds have not been refunded to UNDP, the Implementing Partner agrees that donors to UNDP (including the Government) whose funding is the source, in whole or in part, of the funds for the activities under this Project Document, may seek recourse to the Implementing Partner for the recovery of any funds determined by UNDP to have been used inappropriately, including through fraud or corruption, or otherwise paid other than in accordance with the terms and conditions of the Project Document.</w:t>
      </w:r>
    </w:p>
    <w:p w14:paraId="1161F831" w14:textId="23340B25" w:rsidR="009168A6" w:rsidRPr="003B6A69" w:rsidRDefault="003E7BB9" w:rsidP="003C6B7B">
      <w:pPr>
        <w:numPr>
          <w:ilvl w:val="0"/>
          <w:numId w:val="41"/>
        </w:numPr>
        <w:tabs>
          <w:tab w:val="left" w:pos="426"/>
        </w:tabs>
        <w:spacing w:after="120"/>
        <w:ind w:left="0" w:firstLine="0"/>
        <w:rPr>
          <w:rFonts w:eastAsia="Calibri" w:cs="Arial"/>
          <w:color w:val="000000"/>
          <w:szCs w:val="20"/>
          <w:lang w:val="en-GB"/>
        </w:rPr>
      </w:pPr>
      <w:r w:rsidRPr="003B6A69">
        <w:rPr>
          <w:rFonts w:cs="Arial"/>
          <w:i/>
          <w:szCs w:val="20"/>
          <w:u w:val="single"/>
        </w:rPr>
        <w:t>Note</w:t>
      </w:r>
      <w:r w:rsidRPr="003B6A69">
        <w:rPr>
          <w:rFonts w:cs="Arial"/>
          <w:i/>
          <w:szCs w:val="20"/>
        </w:rPr>
        <w:t>:</w:t>
      </w:r>
      <w:r w:rsidRPr="003B6A69">
        <w:rPr>
          <w:rFonts w:cs="Arial"/>
          <w:szCs w:val="20"/>
        </w:rPr>
        <w:t xml:space="preserve">  The term “Project Document” as used in this clause shall be deemed to include any relevant subsidiary agreement further to the Project Document, including those with responsible parties, </w:t>
      </w:r>
      <w:proofErr w:type="gramStart"/>
      <w:r w:rsidRPr="003B6A69">
        <w:rPr>
          <w:rFonts w:cs="Arial"/>
          <w:szCs w:val="20"/>
        </w:rPr>
        <w:t>subcontractors</w:t>
      </w:r>
      <w:proofErr w:type="gramEnd"/>
      <w:r w:rsidRPr="003B6A69">
        <w:rPr>
          <w:rFonts w:cs="Arial"/>
          <w:szCs w:val="20"/>
        </w:rPr>
        <w:t xml:space="preserve"> and sub-recipients.</w:t>
      </w:r>
    </w:p>
    <w:p w14:paraId="696746FF" w14:textId="0BD37738" w:rsidR="00A0762F" w:rsidRPr="003B6A69" w:rsidRDefault="003E7BB9" w:rsidP="003C6B7B">
      <w:pPr>
        <w:numPr>
          <w:ilvl w:val="0"/>
          <w:numId w:val="41"/>
        </w:numPr>
        <w:tabs>
          <w:tab w:val="left" w:pos="426"/>
        </w:tabs>
        <w:spacing w:after="120"/>
        <w:ind w:left="0" w:firstLine="0"/>
        <w:rPr>
          <w:rFonts w:cs="Arial"/>
          <w:szCs w:val="20"/>
          <w:lang w:val="en-GB"/>
        </w:rPr>
      </w:pPr>
      <w:r w:rsidRPr="003B6A69">
        <w:rPr>
          <w:rFonts w:cs="Arial"/>
          <w:szCs w:val="20"/>
        </w:rPr>
        <w:t xml:space="preserve">Each contract issued by the Implementing Partner in connection with this Project Document shall include a provision representing that no fees, gratuities, rebates, gifts, </w:t>
      </w:r>
      <w:proofErr w:type="gramStart"/>
      <w:r w:rsidRPr="003B6A69">
        <w:rPr>
          <w:rFonts w:cs="Arial"/>
          <w:szCs w:val="20"/>
        </w:rPr>
        <w:t>commissions</w:t>
      </w:r>
      <w:proofErr w:type="gramEnd"/>
      <w:r w:rsidRPr="003B6A69">
        <w:rPr>
          <w:rFonts w:cs="Arial"/>
          <w:szCs w:val="20"/>
        </w:rPr>
        <w:t xml:space="preserve"> or other payments, other than those shown in the proposal, have been given, received, or promised in connection with the selection process or in contract execution, and that the recipient of funds from the Implementing Partner shall cooperate with any and all investigations and post-payment audits.</w:t>
      </w:r>
    </w:p>
    <w:p w14:paraId="0E00C682" w14:textId="28A6E032" w:rsidR="00A0762F" w:rsidRPr="003B6A69" w:rsidRDefault="003E7BB9" w:rsidP="003C6B7B">
      <w:pPr>
        <w:numPr>
          <w:ilvl w:val="0"/>
          <w:numId w:val="41"/>
        </w:numPr>
        <w:tabs>
          <w:tab w:val="left" w:pos="426"/>
        </w:tabs>
        <w:spacing w:after="120"/>
        <w:ind w:left="0" w:firstLine="0"/>
        <w:rPr>
          <w:rFonts w:cs="Arial"/>
          <w:szCs w:val="20"/>
          <w:lang w:val="en-GB"/>
        </w:rPr>
      </w:pPr>
      <w:r w:rsidRPr="003B6A69">
        <w:rPr>
          <w:rFonts w:cs="Arial"/>
          <w:szCs w:val="20"/>
        </w:rPr>
        <w:t xml:space="preserve">Should UNDP refer to the relevant national authorities for appropriate legal action any alleged wrongdoing relating to the project, the Government will ensure that the relevant national authorities shall actively investigate the same and take appropriate legal action against all individuals found to have participated in the wrongdoing, </w:t>
      </w:r>
      <w:proofErr w:type="gramStart"/>
      <w:r w:rsidRPr="003B6A69">
        <w:rPr>
          <w:rFonts w:cs="Arial"/>
          <w:szCs w:val="20"/>
        </w:rPr>
        <w:t>recover</w:t>
      </w:r>
      <w:proofErr w:type="gramEnd"/>
      <w:r w:rsidRPr="003B6A69">
        <w:rPr>
          <w:rFonts w:cs="Arial"/>
          <w:szCs w:val="20"/>
        </w:rPr>
        <w:t xml:space="preserve"> and return any recovered funds to UNDP.</w:t>
      </w:r>
    </w:p>
    <w:p w14:paraId="4A9D740F" w14:textId="6EE34E04" w:rsidR="009B4CD4" w:rsidRPr="003B6A69" w:rsidRDefault="003E7BB9" w:rsidP="003C6B7B">
      <w:pPr>
        <w:numPr>
          <w:ilvl w:val="0"/>
          <w:numId w:val="41"/>
        </w:numPr>
        <w:tabs>
          <w:tab w:val="left" w:pos="426"/>
        </w:tabs>
        <w:spacing w:after="120"/>
        <w:ind w:left="0" w:firstLine="0"/>
        <w:rPr>
          <w:rFonts w:cs="Arial"/>
          <w:szCs w:val="20"/>
          <w:lang w:val="en-GB"/>
        </w:rPr>
        <w:sectPr w:rsidR="009B4CD4" w:rsidRPr="003B6A69" w:rsidSect="00B8182B">
          <w:pgSz w:w="12240" w:h="15840" w:code="1"/>
          <w:pgMar w:top="1134" w:right="1134" w:bottom="1134" w:left="1134" w:header="720" w:footer="720" w:gutter="0"/>
          <w:cols w:space="720"/>
          <w:docGrid w:linePitch="360"/>
        </w:sectPr>
      </w:pPr>
      <w:r w:rsidRPr="003B6A69">
        <w:rPr>
          <w:rFonts w:cs="Arial"/>
          <w:szCs w:val="20"/>
        </w:rPr>
        <w:t xml:space="preserve">The Implementing Partner shall ensure that </w:t>
      </w:r>
      <w:proofErr w:type="gramStart"/>
      <w:r w:rsidRPr="003B6A69">
        <w:rPr>
          <w:rFonts w:cs="Arial"/>
          <w:szCs w:val="20"/>
        </w:rPr>
        <w:t>all of</w:t>
      </w:r>
      <w:proofErr w:type="gramEnd"/>
      <w:r w:rsidRPr="003B6A69">
        <w:rPr>
          <w:rFonts w:cs="Arial"/>
          <w:szCs w:val="20"/>
        </w:rPr>
        <w:t xml:space="preserve"> its obligations set forth under this section entitled “Risk Management” are passed on to each responsible party, subcontractor and sub-recipient and that all the clauses under this section entitled “Risk Management Standard Clauses” are included, </w:t>
      </w:r>
      <w:r w:rsidRPr="003B6A69">
        <w:rPr>
          <w:rFonts w:cs="Arial"/>
          <w:i/>
          <w:szCs w:val="20"/>
        </w:rPr>
        <w:t>mutatis mutandis</w:t>
      </w:r>
      <w:r w:rsidRPr="003B6A69">
        <w:rPr>
          <w:rFonts w:cs="Arial"/>
          <w:szCs w:val="20"/>
        </w:rPr>
        <w:t>, in all sub-contracts or sub-agreements entered into further to this Project Document.</w:t>
      </w:r>
      <w:r w:rsidR="001C7A3F" w:rsidRPr="003B6A69">
        <w:rPr>
          <w:spacing w:val="-2"/>
          <w:szCs w:val="20"/>
        </w:rPr>
        <w:t xml:space="preserve"> </w:t>
      </w:r>
    </w:p>
    <w:p w14:paraId="0CC4DA9C" w14:textId="4F7AE95F" w:rsidR="003E3ABA" w:rsidRPr="003B6A69" w:rsidRDefault="003E3ABA" w:rsidP="002771F4">
      <w:pPr>
        <w:pStyle w:val="Heading1"/>
        <w:spacing w:before="240" w:after="240"/>
        <w:rPr>
          <w:rFonts w:asciiTheme="minorHAnsi" w:hAnsiTheme="minorHAnsi" w:cstheme="minorHAnsi"/>
          <w:lang w:val="en-GB"/>
        </w:rPr>
      </w:pPr>
      <w:bookmarkStart w:id="62" w:name="_Toc82018273"/>
      <w:r w:rsidRPr="003B6A69">
        <w:rPr>
          <w:rFonts w:asciiTheme="minorHAnsi" w:hAnsiTheme="minorHAnsi" w:cstheme="minorHAnsi"/>
          <w:lang w:val="en-GB"/>
        </w:rPr>
        <w:lastRenderedPageBreak/>
        <w:t>Annexes</w:t>
      </w:r>
      <w:bookmarkEnd w:id="62"/>
    </w:p>
    <w:p w14:paraId="2DEF7BFC" w14:textId="1BB9674C" w:rsidR="004E06EC" w:rsidRPr="003B6A69" w:rsidRDefault="004E06EC" w:rsidP="00B24DF3">
      <w:pPr>
        <w:pStyle w:val="Heading2"/>
        <w:rPr>
          <w:lang w:val="en-GB"/>
        </w:rPr>
      </w:pPr>
      <w:bookmarkStart w:id="63" w:name="_Toc82018274"/>
      <w:r w:rsidRPr="003B6A69">
        <w:rPr>
          <w:lang w:val="en-GB"/>
        </w:rPr>
        <w:t xml:space="preserve">Annex </w:t>
      </w:r>
      <w:r w:rsidR="009D53B6" w:rsidRPr="003B6A69">
        <w:rPr>
          <w:lang w:val="en-GB"/>
        </w:rPr>
        <w:t>1</w:t>
      </w:r>
      <w:r w:rsidRPr="003B6A69">
        <w:rPr>
          <w:lang w:val="en-GB"/>
        </w:rPr>
        <w:t xml:space="preserve">: Project map and </w:t>
      </w:r>
      <w:r w:rsidR="00515DC8" w:rsidRPr="003B6A69">
        <w:rPr>
          <w:lang w:val="en-GB"/>
        </w:rPr>
        <w:t>ge</w:t>
      </w:r>
      <w:r w:rsidRPr="003B6A69">
        <w:rPr>
          <w:lang w:val="en-GB"/>
        </w:rPr>
        <w:t xml:space="preserve">ospatial </w:t>
      </w:r>
      <w:r w:rsidR="00515DC8" w:rsidRPr="003B6A69">
        <w:rPr>
          <w:lang w:val="en-GB"/>
        </w:rPr>
        <w:t>c</w:t>
      </w:r>
      <w:r w:rsidRPr="003B6A69">
        <w:rPr>
          <w:lang w:val="en-GB"/>
        </w:rPr>
        <w:t>oordinates of project sites</w:t>
      </w:r>
      <w:bookmarkEnd w:id="63"/>
    </w:p>
    <w:p w14:paraId="26579F09" w14:textId="14C7E0C0" w:rsidR="00B53025" w:rsidRPr="003B6A69" w:rsidRDefault="00E608D8" w:rsidP="00B53025">
      <w:pPr>
        <w:rPr>
          <w:lang w:val="en-GB"/>
        </w:rPr>
      </w:pPr>
      <w:r w:rsidRPr="003B6A69">
        <w:rPr>
          <w:lang w:val="en-GB"/>
        </w:rPr>
        <w:t>Presented</w:t>
      </w:r>
      <w:r w:rsidR="00B53025" w:rsidRPr="003B6A69">
        <w:rPr>
          <w:lang w:val="en-GB"/>
        </w:rPr>
        <w:t xml:space="preserve"> as </w:t>
      </w:r>
      <w:r w:rsidRPr="003B6A69">
        <w:rPr>
          <w:lang w:val="en-GB"/>
        </w:rPr>
        <w:t>a separate file</w:t>
      </w:r>
    </w:p>
    <w:p w14:paraId="39707F71" w14:textId="0873224D" w:rsidR="00F3001A" w:rsidRPr="003B6A69" w:rsidRDefault="00F3001A">
      <w:pPr>
        <w:spacing w:after="0"/>
        <w:jc w:val="left"/>
        <w:rPr>
          <w:rFonts w:asciiTheme="minorHAnsi" w:hAnsiTheme="minorHAnsi" w:cstheme="minorHAnsi"/>
          <w:b/>
          <w:bCs/>
          <w:szCs w:val="22"/>
          <w:lang w:val="en-GB"/>
        </w:rPr>
      </w:pPr>
      <w:r w:rsidRPr="003B6A69">
        <w:rPr>
          <w:rFonts w:asciiTheme="minorHAnsi" w:hAnsiTheme="minorHAnsi" w:cstheme="minorHAnsi"/>
          <w:b/>
          <w:bCs/>
          <w:szCs w:val="22"/>
          <w:lang w:val="en-GB"/>
        </w:rPr>
        <w:br w:type="page"/>
      </w:r>
    </w:p>
    <w:p w14:paraId="69170CEF" w14:textId="520CB908" w:rsidR="00172973" w:rsidRPr="003B6A69" w:rsidRDefault="00172973" w:rsidP="00B24DF3">
      <w:pPr>
        <w:pStyle w:val="Heading2"/>
        <w:rPr>
          <w:lang w:val="en-GB"/>
        </w:rPr>
      </w:pPr>
      <w:bookmarkStart w:id="64" w:name="_Annex_2:_Project"/>
      <w:bookmarkStart w:id="65" w:name="_Toc82018275"/>
      <w:bookmarkEnd w:id="64"/>
      <w:r w:rsidRPr="003B6A69">
        <w:rPr>
          <w:lang w:val="en-GB"/>
        </w:rPr>
        <w:lastRenderedPageBreak/>
        <w:t>Annex</w:t>
      </w:r>
      <w:r w:rsidR="009D53B6" w:rsidRPr="003B6A69">
        <w:rPr>
          <w:lang w:val="en-GB"/>
        </w:rPr>
        <w:t xml:space="preserve"> 2</w:t>
      </w:r>
      <w:r w:rsidRPr="003B6A69">
        <w:rPr>
          <w:lang w:val="en-GB"/>
        </w:rPr>
        <w:t>: Project Theory of Change</w:t>
      </w:r>
      <w:bookmarkEnd w:id="65"/>
    </w:p>
    <w:p w14:paraId="24E11115" w14:textId="5EB46D00" w:rsidR="00172973" w:rsidRPr="003B6A69" w:rsidRDefault="00752247" w:rsidP="00172973">
      <w:pPr>
        <w:keepNext/>
        <w:spacing w:after="720"/>
        <w:ind w:left="720"/>
        <w:jc w:val="right"/>
        <w:outlineLvl w:val="4"/>
        <w:rPr>
          <w:rFonts w:ascii="Times New Roman" w:eastAsia="Times New Roman" w:hAnsi="Times New Roman"/>
          <w:b/>
          <w:bCs/>
          <w:color w:val="000000"/>
          <w:sz w:val="22"/>
          <w:szCs w:val="22"/>
          <w:lang w:val="x-none" w:eastAsia="x-none"/>
        </w:rPr>
      </w:pPr>
      <w:r w:rsidRPr="003B6A69">
        <w:rPr>
          <w:rFonts w:ascii="Times New Roman" w:eastAsia="Times New Roman" w:hAnsi="Times New Roman"/>
          <w:noProof/>
          <w:sz w:val="24"/>
        </w:rPr>
        <mc:AlternateContent>
          <mc:Choice Requires="wps">
            <w:drawing>
              <wp:anchor distT="0" distB="0" distL="114300" distR="114300" simplePos="0" relativeHeight="251697152" behindDoc="0" locked="0" layoutInCell="1" allowOverlap="1" wp14:anchorId="351EA62E" wp14:editId="4AC6766F">
                <wp:simplePos x="0" y="0"/>
                <wp:positionH relativeFrom="margin">
                  <wp:posOffset>739140</wp:posOffset>
                </wp:positionH>
                <wp:positionV relativeFrom="paragraph">
                  <wp:posOffset>43180</wp:posOffset>
                </wp:positionV>
                <wp:extent cx="1059180" cy="556260"/>
                <wp:effectExtent l="0" t="0" r="26670" b="15240"/>
                <wp:wrapNone/>
                <wp:docPr id="89"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59180" cy="556260"/>
                        </a:xfrm>
                        <a:prstGeom prst="rect">
                          <a:avLst/>
                        </a:prstGeom>
                        <a:noFill/>
                        <a:ln>
                          <a:solidFill>
                            <a:srgbClr val="A5A5A5">
                              <a:lumMod val="75000"/>
                            </a:srgbClr>
                          </a:solidFill>
                        </a:ln>
                      </wps:spPr>
                      <wps:txbx>
                        <w:txbxContent>
                          <w:p w14:paraId="24EFCDC3" w14:textId="67DE310D" w:rsidR="00127DDC" w:rsidRPr="000E5E58" w:rsidRDefault="00127DDC" w:rsidP="00172973">
                            <w:pPr>
                              <w:pStyle w:val="NormalWeb"/>
                              <w:spacing w:before="0" w:beforeAutospacing="0" w:after="0" w:afterAutospacing="0"/>
                              <w:ind w:left="-115" w:right="-115"/>
                              <w:jc w:val="center"/>
                              <w:rPr>
                                <w:sz w:val="16"/>
                                <w:szCs w:val="16"/>
                              </w:rPr>
                            </w:pPr>
                            <w:r w:rsidRPr="009D785D">
                              <w:rPr>
                                <w:sz w:val="16"/>
                                <w:szCs w:val="16"/>
                              </w:rPr>
                              <w:t>1</w:t>
                            </w:r>
                            <w:r>
                              <w:rPr>
                                <w:sz w:val="16"/>
                                <w:szCs w:val="16"/>
                              </w:rPr>
                              <w:t>45,800</w:t>
                            </w:r>
                            <w:r w:rsidRPr="009D785D">
                              <w:rPr>
                                <w:sz w:val="16"/>
                                <w:szCs w:val="16"/>
                              </w:rPr>
                              <w:t xml:space="preserve"> ha of national PAs under improved management </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type w14:anchorId="351EA62E" id="_x0000_t202" coordsize="21600,21600" o:spt="202" path="m,l,21600r21600,l21600,xe">
                <v:stroke joinstyle="miter"/>
                <v:path gradientshapeok="t" o:connecttype="rect"/>
              </v:shapetype>
              <v:shape id="Text Box 89" o:spid="_x0000_s1038" type="#_x0000_t202" style="position:absolute;left:0;text-align:left;margin-left:58.2pt;margin-top:3.4pt;width:83.4pt;height:43.8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" filled="f" strokecolor="#7c7c7c">
                <v:path arrowok="t"/>
                <v:textbox>
                  <w:txbxContent>
                    <w:p w14:paraId="24EFCDC3" w14:textId="67DE310D" w:rsidR="00127DDC" w:rsidRPr="000E5E58" w:rsidRDefault="00127DDC" w:rsidP="00172973">
                      <w:pPr>
                        <w:pStyle w:val="NormalWeb"/>
                        <w:spacing w:before="0" w:beforeAutospacing="0" w:after="0" w:afterAutospacing="0"/>
                        <w:ind w:left="-115" w:right="-115"/>
                        <w:jc w:val="center"/>
                        <w:rPr>
                          <w:sz w:val="16"/>
                          <w:szCs w:val="16"/>
                        </w:rPr>
                      </w:pPr>
                      <w:r w:rsidRPr="009D785D">
                        <w:rPr>
                          <w:sz w:val="16"/>
                          <w:szCs w:val="16"/>
                        </w:rPr>
                        <w:t>1</w:t>
                      </w:r>
                      <w:r>
                        <w:rPr>
                          <w:sz w:val="16"/>
                          <w:szCs w:val="16"/>
                        </w:rPr>
                        <w:t>45,800</w:t>
                      </w:r>
                      <w:r w:rsidRPr="009D785D">
                        <w:rPr>
                          <w:sz w:val="16"/>
                          <w:szCs w:val="16"/>
                        </w:rPr>
                        <w:t xml:space="preserve"> ha of national PAs under improved management </w:t>
                      </w:r>
                    </w:p>
                  </w:txbxContent>
                </v:textbox>
                <w10:wrap anchorx="margin"/>
              </v:shape>
            </w:pict>
          </mc:Fallback>
        </mc:AlternateContent>
      </w:r>
      <w:r w:rsidRPr="003B6A69">
        <w:rPr>
          <w:rFonts w:ascii="Times New Roman" w:eastAsia="Times New Roman" w:hAnsi="Times New Roman"/>
          <w:noProof/>
          <w:sz w:val="24"/>
        </w:rPr>
        <mc:AlternateContent>
          <mc:Choice Requires="wps">
            <w:drawing>
              <wp:anchor distT="0" distB="0" distL="114300" distR="114300" simplePos="0" relativeHeight="251688960" behindDoc="0" locked="0" layoutInCell="1" allowOverlap="1" wp14:anchorId="236A03C0" wp14:editId="7D570674">
                <wp:simplePos x="0" y="0"/>
                <wp:positionH relativeFrom="margin">
                  <wp:posOffset>1965960</wp:posOffset>
                </wp:positionH>
                <wp:positionV relativeFrom="paragraph">
                  <wp:posOffset>50800</wp:posOffset>
                </wp:positionV>
                <wp:extent cx="1501140" cy="571500"/>
                <wp:effectExtent l="0" t="0" r="22860" b="19050"/>
                <wp:wrapNone/>
                <wp:docPr id="90"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1140" cy="571500"/>
                        </a:xfrm>
                        <a:prstGeom prst="rect">
                          <a:avLst/>
                        </a:prstGeom>
                        <a:noFill/>
                        <a:ln>
                          <a:solidFill>
                            <a:srgbClr val="A5A5A5">
                              <a:lumMod val="75000"/>
                            </a:srgbClr>
                          </a:solidFill>
                        </a:ln>
                      </wps:spPr>
                      <wps:txbx>
                        <w:txbxContent>
                          <w:p w14:paraId="1F29E2D5" w14:textId="77777777" w:rsidR="00127DDC" w:rsidRPr="000E5E58" w:rsidRDefault="00127DDC" w:rsidP="00172973">
                            <w:pPr>
                              <w:pStyle w:val="NormalWeb"/>
                              <w:spacing w:before="0" w:beforeAutospacing="0" w:after="0" w:afterAutospacing="0"/>
                              <w:ind w:left="-115" w:right="-115"/>
                              <w:jc w:val="center"/>
                              <w:rPr>
                                <w:sz w:val="16"/>
                                <w:szCs w:val="16"/>
                              </w:rPr>
                            </w:pPr>
                            <w:r w:rsidRPr="009D785D">
                              <w:rPr>
                                <w:sz w:val="16"/>
                                <w:szCs w:val="16"/>
                              </w:rPr>
                              <w:t>At least 10,000 ha of threatened valuable biodiversity hotspots identified and justified for protection through spatial planning</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236A03C0" id="Text Box 90" o:spid="_x0000_s1039" type="#_x0000_t202" style="position:absolute;left:0;text-align:left;margin-left:154.8pt;margin-top:4pt;width:118.2pt;height:45pt;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" filled="f" strokecolor="#7c7c7c">
                <v:path arrowok="t"/>
                <v:textbox>
                  <w:txbxContent>
                    <w:p w14:paraId="1F29E2D5" w14:textId="77777777" w:rsidR="00127DDC" w:rsidRPr="000E5E58" w:rsidRDefault="00127DDC" w:rsidP="00172973">
                      <w:pPr>
                        <w:pStyle w:val="NormalWeb"/>
                        <w:spacing w:before="0" w:beforeAutospacing="0" w:after="0" w:afterAutospacing="0"/>
                        <w:ind w:left="-115" w:right="-115"/>
                        <w:jc w:val="center"/>
                        <w:rPr>
                          <w:sz w:val="16"/>
                          <w:szCs w:val="16"/>
                        </w:rPr>
                      </w:pPr>
                      <w:r w:rsidRPr="009D785D">
                        <w:rPr>
                          <w:sz w:val="16"/>
                          <w:szCs w:val="16"/>
                        </w:rPr>
                        <w:t>At least 10,000 ha of threatened valuable biodiversity hotspots identified and justified for protection through spatial planning</w:t>
                      </w:r>
                    </w:p>
                  </w:txbxContent>
                </v:textbox>
                <w10:wrap anchorx="margin"/>
              </v:shape>
            </w:pict>
          </mc:Fallback>
        </mc:AlternateContent>
      </w:r>
    </w:p>
    <w:p w14:paraId="6959159D" w14:textId="3CB24F78" w:rsidR="00172973" w:rsidRPr="003B6A69" w:rsidRDefault="009D53B6" w:rsidP="00172973">
      <w:pPr>
        <w:spacing w:after="0"/>
        <w:jc w:val="left"/>
        <w:rPr>
          <w:rFonts w:ascii="Calibri Light" w:eastAsia="Times New Roman" w:hAnsi="Calibri Light" w:cs="Segoe UI"/>
          <w:i/>
          <w:color w:val="000000"/>
          <w:sz w:val="24"/>
          <w:szCs w:val="20"/>
        </w:rPr>
      </w:pPr>
      <w:r w:rsidRPr="003B6A69">
        <w:rPr>
          <w:rFonts w:ascii="Times New Roman" w:eastAsia="Times New Roman" w:hAnsi="Times New Roman"/>
          <w:noProof/>
          <w:sz w:val="24"/>
        </w:rPr>
        <mc:AlternateContent>
          <mc:Choice Requires="wps">
            <w:drawing>
              <wp:anchor distT="0" distB="0" distL="114300" distR="114300" simplePos="0" relativeHeight="251660288" behindDoc="0" locked="0" layoutInCell="1" allowOverlap="1" wp14:anchorId="01296152" wp14:editId="4B892CF4">
                <wp:simplePos x="0" y="0"/>
                <wp:positionH relativeFrom="margin">
                  <wp:posOffset>533400</wp:posOffset>
                </wp:positionH>
                <wp:positionV relativeFrom="paragraph">
                  <wp:posOffset>88265</wp:posOffset>
                </wp:positionV>
                <wp:extent cx="2987040" cy="2202180"/>
                <wp:effectExtent l="0" t="0" r="22860" b="26670"/>
                <wp:wrapNone/>
                <wp:docPr id="82" name="Rounded 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87040" cy="2202180"/>
                        </a:xfrm>
                        <a:prstGeom prst="roundRect">
                          <a:avLst/>
                        </a:prstGeom>
                        <a:noFill/>
                        <a:ln w="25400" cap="flat" cmpd="sng" algn="ctr">
                          <a:solidFill>
                            <a:srgbClr val="4F81BD">
                              <a:shade val="50000"/>
                            </a:srgbClr>
                          </a:solidFill>
                          <a:prstDash val="sysDot"/>
                        </a:ln>
                        <a:effectLst/>
                      </wps:spPr>
                      <wps:txbx>
                        <w:txbxContent>
                          <w:p w14:paraId="4257D6A6" w14:textId="77777777" w:rsidR="00127DDC" w:rsidRPr="008D53C7" w:rsidRDefault="00127DDC" w:rsidP="00172973">
                            <w:pPr>
                              <w:jc w:val="center"/>
                              <w:rPr>
                                <w:u w:val="single"/>
                              </w:rPr>
                            </w:pPr>
                          </w:p>
                        </w:txbxContent>
                      </wps:txbx>
                      <wps:bodyPr wrap="square" rtlCol="0" anchor="ctr">
                        <a:noAutofit/>
                      </wps:bodyPr>
                    </wps:wsp>
                  </a:graphicData>
                </a:graphic>
                <wp14:sizeRelH relativeFrom="margin">
                  <wp14:pctWidth>0</wp14:pctWidth>
                </wp14:sizeRelH>
                <wp14:sizeRelV relativeFrom="page">
                  <wp14:pctHeight>0</wp14:pctHeight>
                </wp14:sizeRelV>
              </wp:anchor>
            </w:drawing>
          </mc:Choice>
          <mc:Fallback>
            <w:pict>
              <v:roundrect w14:anchorId="01296152" id="Rounded Rectangle 82" o:spid="_x0000_s1040" style="position:absolute;margin-left:42pt;margin-top:6.95pt;width:235.2pt;height:173.4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" filled="f" strokecolor="#385d8a" strokeweight="2pt">
                <v:stroke dashstyle="1 1"/>
                <v:path arrowok="t"/>
                <v:textbox>
                  <w:txbxContent>
                    <w:p w14:paraId="4257D6A6" w14:textId="77777777" w:rsidR="00127DDC" w:rsidRPr="008D53C7" w:rsidRDefault="00127DDC" w:rsidP="00172973">
                      <w:pPr>
                        <w:jc w:val="center"/>
                        <w:rPr>
                          <w:u w:val="single"/>
                        </w:rPr>
                      </w:pPr>
                    </w:p>
                  </w:txbxContent>
                </v:textbox>
                <w10:wrap anchorx="margin"/>
              </v:roundrect>
            </w:pict>
          </mc:Fallback>
        </mc:AlternateContent>
      </w:r>
      <w:r w:rsidRPr="003B6A69">
        <w:rPr>
          <w:rFonts w:ascii="Times New Roman" w:eastAsia="Times New Roman" w:hAnsi="Times New Roman"/>
          <w:noProof/>
          <w:sz w:val="24"/>
        </w:rPr>
        <mc:AlternateContent>
          <mc:Choice Requires="wps">
            <w:drawing>
              <wp:anchor distT="0" distB="0" distL="114300" distR="114300" simplePos="0" relativeHeight="251659264" behindDoc="0" locked="0" layoutInCell="1" allowOverlap="1" wp14:anchorId="3C78CBA6" wp14:editId="0AD3418F">
                <wp:simplePos x="0" y="0"/>
                <wp:positionH relativeFrom="margin">
                  <wp:posOffset>3642360</wp:posOffset>
                </wp:positionH>
                <wp:positionV relativeFrom="paragraph">
                  <wp:posOffset>141605</wp:posOffset>
                </wp:positionV>
                <wp:extent cx="5089525" cy="2156460"/>
                <wp:effectExtent l="0" t="0" r="15875" b="15240"/>
                <wp:wrapNone/>
                <wp:docPr id="83" name="Rounded Rectangle 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89525" cy="2156460"/>
                        </a:xfrm>
                        <a:prstGeom prst="roundRect">
                          <a:avLst/>
                        </a:prstGeom>
                        <a:noFill/>
                        <a:ln w="25400" cap="flat" cmpd="sng" algn="ctr">
                          <a:solidFill>
                            <a:srgbClr val="4F81BD">
                              <a:shade val="50000"/>
                            </a:srgbClr>
                          </a:solidFill>
                          <a:prstDash val="sysDot"/>
                        </a:ln>
                        <a:effectLst/>
                      </wps:spPr>
                      <wps:txbx>
                        <w:txbxContent>
                          <w:p w14:paraId="05950E72" w14:textId="77777777" w:rsidR="00127DDC" w:rsidRPr="008D53C7" w:rsidRDefault="00127DDC" w:rsidP="00172973">
                            <w:pPr>
                              <w:jc w:val="center"/>
                              <w:rPr>
                                <w:u w:val="single"/>
                              </w:rPr>
                            </w:pPr>
                          </w:p>
                        </w:txbxContent>
                      </wps:txbx>
                      <wps:bodyPr wrap="square" rtlCol="0" anchor="ctr">
                        <a:noAutofit/>
                      </wps:bodyPr>
                    </wps:wsp>
                  </a:graphicData>
                </a:graphic>
                <wp14:sizeRelH relativeFrom="margin">
                  <wp14:pctWidth>0</wp14:pctWidth>
                </wp14:sizeRelH>
                <wp14:sizeRelV relativeFrom="page">
                  <wp14:pctHeight>0</wp14:pctHeight>
                </wp14:sizeRelV>
              </wp:anchor>
            </w:drawing>
          </mc:Choice>
          <mc:Fallback>
            <w:pict>
              <v:roundrect w14:anchorId="3C78CBA6" id="Rounded Rectangle 83" o:spid="_x0000_s1041" style="position:absolute;margin-left:286.8pt;margin-top:11.15pt;width:400.75pt;height:169.8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" filled="f" strokecolor="#385d8a" strokeweight="2pt">
                <v:stroke dashstyle="1 1"/>
                <v:path arrowok="t"/>
                <v:textbox>
                  <w:txbxContent>
                    <w:p w14:paraId="05950E72" w14:textId="77777777" w:rsidR="00127DDC" w:rsidRPr="008D53C7" w:rsidRDefault="00127DDC" w:rsidP="00172973">
                      <w:pPr>
                        <w:jc w:val="center"/>
                        <w:rPr>
                          <w:u w:val="single"/>
                        </w:rPr>
                      </w:pPr>
                    </w:p>
                  </w:txbxContent>
                </v:textbox>
                <w10:wrap anchorx="margin"/>
              </v:roundrect>
            </w:pict>
          </mc:Fallback>
        </mc:AlternateContent>
      </w:r>
      <w:r w:rsidRPr="003B6A69">
        <w:rPr>
          <w:rFonts w:ascii="Times New Roman" w:eastAsia="Times New Roman" w:hAnsi="Times New Roman"/>
          <w:noProof/>
          <w:sz w:val="24"/>
        </w:rPr>
        <mc:AlternateContent>
          <mc:Choice Requires="wps">
            <w:drawing>
              <wp:anchor distT="0" distB="0" distL="114300" distR="114300" simplePos="0" relativeHeight="251676672" behindDoc="0" locked="0" layoutInCell="1" allowOverlap="1" wp14:anchorId="7DF872B1" wp14:editId="1F9F8A62">
                <wp:simplePos x="0" y="0"/>
                <wp:positionH relativeFrom="margin">
                  <wp:posOffset>-716280</wp:posOffset>
                </wp:positionH>
                <wp:positionV relativeFrom="paragraph">
                  <wp:posOffset>221615</wp:posOffset>
                </wp:positionV>
                <wp:extent cx="861695" cy="358140"/>
                <wp:effectExtent l="0" t="0" r="14605" b="22860"/>
                <wp:wrapNone/>
                <wp:docPr id="78" name="Rectangle 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1695" cy="358140"/>
                        </a:xfrm>
                        <a:prstGeom prst="rect">
                          <a:avLst/>
                        </a:prstGeom>
                        <a:solidFill>
                          <a:sysClr val="window" lastClr="FFFFFF"/>
                        </a:solidFill>
                        <a:ln w="25400" cap="flat" cmpd="sng" algn="ctr">
                          <a:solidFill>
                            <a:srgbClr val="44546A">
                              <a:lumMod val="60000"/>
                              <a:lumOff val="40000"/>
                            </a:srgbClr>
                          </a:solidFill>
                          <a:prstDash val="solid"/>
                        </a:ln>
                        <a:effectLst/>
                      </wps:spPr>
                      <wps:txbx>
                        <w:txbxContent>
                          <w:p w14:paraId="2A3B61EB" w14:textId="77777777" w:rsidR="00127DDC" w:rsidRPr="00040E62" w:rsidRDefault="00127DDC" w:rsidP="00172973">
                            <w:pPr>
                              <w:pStyle w:val="NormalWeb"/>
                              <w:spacing w:before="0" w:beforeAutospacing="0" w:after="0" w:afterAutospacing="0"/>
                              <w:jc w:val="center"/>
                              <w:rPr>
                                <w:color w:val="323E4F"/>
                                <w:sz w:val="16"/>
                                <w:szCs w:val="16"/>
                              </w:rPr>
                            </w:pPr>
                            <w:r w:rsidRPr="00040E62">
                              <w:rPr>
                                <w:b/>
                                <w:bCs/>
                                <w:color w:val="323E4F"/>
                                <w:kern w:val="24"/>
                                <w:sz w:val="16"/>
                                <w:szCs w:val="16"/>
                              </w:rPr>
                              <w:t>Project Outcomes</w:t>
                            </w:r>
                          </w:p>
                        </w:txbxContent>
                      </wps:txbx>
                      <wps:bodyPr lIns="121789" tIns="60894" rIns="121789" bIns="60894" spcCol="0" rtlCol="0" anchor="ctr">
                        <a:noAutofit/>
                      </wps:bodyPr>
                    </wps:wsp>
                  </a:graphicData>
                </a:graphic>
                <wp14:sizeRelH relativeFrom="page">
                  <wp14:pctWidth>0</wp14:pctWidth>
                </wp14:sizeRelH>
                <wp14:sizeRelV relativeFrom="page">
                  <wp14:pctHeight>0</wp14:pctHeight>
                </wp14:sizeRelV>
              </wp:anchor>
            </w:drawing>
          </mc:Choice>
          <mc:Fallback>
            <w:pict>
              <v:rect w14:anchorId="7DF872B1" id="Rectangle 78" o:spid="_x0000_s1042" style="position:absolute;margin-left:-56.4pt;margin-top:17.45pt;width:67.85pt;height:28.2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" fillcolor="window" strokecolor="#8497b0" strokeweight="2pt">
                <v:path arrowok="t"/>
                <v:textbox inset="3.38303mm,1.6915mm,3.38303mm,1.6915mm">
                  <w:txbxContent>
                    <w:p w14:paraId="2A3B61EB" w14:textId="77777777" w:rsidR="00127DDC" w:rsidRPr="00040E62" w:rsidRDefault="00127DDC" w:rsidP="00172973">
                      <w:pPr>
                        <w:pStyle w:val="NormalWeb"/>
                        <w:spacing w:before="0" w:beforeAutospacing="0" w:after="0" w:afterAutospacing="0"/>
                        <w:jc w:val="center"/>
                        <w:rPr>
                          <w:color w:val="323E4F"/>
                          <w:sz w:val="16"/>
                          <w:szCs w:val="16"/>
                        </w:rPr>
                      </w:pPr>
                      <w:r w:rsidRPr="00040E62">
                        <w:rPr>
                          <w:b/>
                          <w:bCs/>
                          <w:color w:val="323E4F"/>
                          <w:kern w:val="24"/>
                          <w:sz w:val="16"/>
                          <w:szCs w:val="16"/>
                        </w:rPr>
                        <w:t>Project Outcomes</w:t>
                      </w:r>
                    </w:p>
                  </w:txbxContent>
                </v:textbox>
                <w10:wrap anchorx="margin"/>
              </v:rect>
            </w:pict>
          </mc:Fallback>
        </mc:AlternateContent>
      </w:r>
      <w:r w:rsidR="00172973" w:rsidRPr="003B6A69">
        <w:rPr>
          <w:rFonts w:ascii="Times New Roman" w:eastAsia="Times New Roman" w:hAnsi="Times New Roman"/>
          <w:noProof/>
          <w:sz w:val="24"/>
        </w:rPr>
        <mc:AlternateContent>
          <mc:Choice Requires="wps">
            <w:drawing>
              <wp:anchor distT="0" distB="0" distL="114300" distR="114300" simplePos="0" relativeHeight="251683840" behindDoc="0" locked="0" layoutInCell="1" allowOverlap="1" wp14:anchorId="6BEE6161" wp14:editId="3C7CD863">
                <wp:simplePos x="0" y="0"/>
                <wp:positionH relativeFrom="margin">
                  <wp:posOffset>5943600</wp:posOffset>
                </wp:positionH>
                <wp:positionV relativeFrom="paragraph">
                  <wp:posOffset>-571500</wp:posOffset>
                </wp:positionV>
                <wp:extent cx="971550" cy="685800"/>
                <wp:effectExtent l="0" t="0" r="19050" b="19050"/>
                <wp:wrapNone/>
                <wp:docPr id="92"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1550" cy="685800"/>
                        </a:xfrm>
                        <a:prstGeom prst="rect">
                          <a:avLst/>
                        </a:prstGeom>
                        <a:noFill/>
                        <a:ln>
                          <a:solidFill>
                            <a:srgbClr val="A5A5A5">
                              <a:lumMod val="75000"/>
                            </a:srgbClr>
                          </a:solidFill>
                        </a:ln>
                      </wps:spPr>
                      <wps:txbx>
                        <w:txbxContent>
                          <w:p w14:paraId="70F671D7" w14:textId="6C86663A" w:rsidR="00127DDC" w:rsidRPr="00544F65" w:rsidRDefault="00127DDC" w:rsidP="00172973">
                            <w:pPr>
                              <w:pStyle w:val="NormalWeb"/>
                              <w:spacing w:before="0" w:beforeAutospacing="0" w:after="0" w:afterAutospacing="0"/>
                              <w:ind w:left="-72" w:right="-72"/>
                              <w:jc w:val="center"/>
                              <w:rPr>
                                <w:sz w:val="16"/>
                                <w:szCs w:val="16"/>
                              </w:rPr>
                            </w:pPr>
                            <w:r w:rsidRPr="009D785D">
                              <w:rPr>
                                <w:sz w:val="16"/>
                                <w:szCs w:val="16"/>
                              </w:rPr>
                              <w:t xml:space="preserve">Strengthened resilience of </w:t>
                            </w:r>
                            <w:r>
                              <w:rPr>
                                <w:sz w:val="16"/>
                                <w:szCs w:val="16"/>
                              </w:rPr>
                              <w:t>HCVF. Improved mgmt. of private forests</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6BEE6161" id="Text Box 92" o:spid="_x0000_s1043" type="#_x0000_t202" style="position:absolute;margin-left:468pt;margin-top:-45pt;width:76.5pt;height:54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" filled="f" strokecolor="#7c7c7c">
                <v:path arrowok="t"/>
                <v:textbox>
                  <w:txbxContent>
                    <w:p w14:paraId="70F671D7" w14:textId="6C86663A" w:rsidR="00127DDC" w:rsidRPr="00544F65" w:rsidRDefault="00127DDC" w:rsidP="00172973">
                      <w:pPr>
                        <w:pStyle w:val="NormalWeb"/>
                        <w:spacing w:before="0" w:beforeAutospacing="0" w:after="0" w:afterAutospacing="0"/>
                        <w:ind w:left="-72" w:right="-72"/>
                        <w:jc w:val="center"/>
                        <w:rPr>
                          <w:sz w:val="16"/>
                          <w:szCs w:val="16"/>
                        </w:rPr>
                      </w:pPr>
                      <w:r w:rsidRPr="009D785D">
                        <w:rPr>
                          <w:sz w:val="16"/>
                          <w:szCs w:val="16"/>
                        </w:rPr>
                        <w:t xml:space="preserve">Strengthened resilience of </w:t>
                      </w:r>
                      <w:r>
                        <w:rPr>
                          <w:sz w:val="16"/>
                          <w:szCs w:val="16"/>
                        </w:rPr>
                        <w:t>HCVF. Improved mgmt. of private forests</w:t>
                      </w:r>
                    </w:p>
                  </w:txbxContent>
                </v:textbox>
                <w10:wrap anchorx="margin"/>
              </v:shape>
            </w:pict>
          </mc:Fallback>
        </mc:AlternateContent>
      </w:r>
      <w:r w:rsidR="00172973" w:rsidRPr="003B6A69">
        <w:rPr>
          <w:rFonts w:ascii="Times New Roman" w:eastAsia="Times New Roman" w:hAnsi="Times New Roman"/>
          <w:noProof/>
          <w:sz w:val="24"/>
        </w:rPr>
        <mc:AlternateContent>
          <mc:Choice Requires="wps">
            <w:drawing>
              <wp:anchor distT="0" distB="0" distL="114300" distR="114300" simplePos="0" relativeHeight="251680768" behindDoc="0" locked="0" layoutInCell="1" allowOverlap="1" wp14:anchorId="331ABA4E" wp14:editId="27A26D33">
                <wp:simplePos x="0" y="0"/>
                <wp:positionH relativeFrom="margin">
                  <wp:posOffset>4137660</wp:posOffset>
                </wp:positionH>
                <wp:positionV relativeFrom="paragraph">
                  <wp:posOffset>-586740</wp:posOffset>
                </wp:positionV>
                <wp:extent cx="1729740" cy="685800"/>
                <wp:effectExtent l="0" t="0" r="22860" b="19050"/>
                <wp:wrapNone/>
                <wp:docPr id="91"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29740" cy="685800"/>
                        </a:xfrm>
                        <a:prstGeom prst="rect">
                          <a:avLst/>
                        </a:prstGeom>
                        <a:noFill/>
                        <a:ln>
                          <a:solidFill>
                            <a:srgbClr val="A5A5A5">
                              <a:lumMod val="75000"/>
                            </a:srgbClr>
                          </a:solidFill>
                        </a:ln>
                      </wps:spPr>
                      <wps:txbx>
                        <w:txbxContent>
                          <w:p w14:paraId="397A2D55" w14:textId="1CE5433F" w:rsidR="00127DDC" w:rsidRPr="000E5E58" w:rsidRDefault="00127DDC" w:rsidP="00172973">
                            <w:pPr>
                              <w:pStyle w:val="NormalWeb"/>
                              <w:spacing w:before="0" w:beforeAutospacing="0" w:after="0" w:afterAutospacing="0"/>
                              <w:ind w:left="-115" w:right="-115"/>
                              <w:jc w:val="center"/>
                              <w:rPr>
                                <w:sz w:val="16"/>
                                <w:szCs w:val="16"/>
                              </w:rPr>
                            </w:pPr>
                            <w:r w:rsidRPr="007D3DC0">
                              <w:rPr>
                                <w:sz w:val="16"/>
                                <w:szCs w:val="16"/>
                              </w:rPr>
                              <w:t>Direct impact on the area of land under sustainable forestry (50,000 ha) and agriculture (20,000 ha) inside the biodiversity buffer zones; KBAs under improved management to benefit BD (10,000 ha)</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331ABA4E" id="Text Box 91" o:spid="_x0000_s1044" type="#_x0000_t202" style="position:absolute;margin-left:325.8pt;margin-top:-46.2pt;width:136.2pt;height:54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" filled="f" strokecolor="#7c7c7c">
                <v:path arrowok="t"/>
                <v:textbox>
                  <w:txbxContent>
                    <w:p w14:paraId="397A2D55" w14:textId="1CE5433F" w:rsidR="00127DDC" w:rsidRPr="000E5E58" w:rsidRDefault="00127DDC" w:rsidP="00172973">
                      <w:pPr>
                        <w:pStyle w:val="NormalWeb"/>
                        <w:spacing w:before="0" w:beforeAutospacing="0" w:after="0" w:afterAutospacing="0"/>
                        <w:ind w:left="-115" w:right="-115"/>
                        <w:jc w:val="center"/>
                        <w:rPr>
                          <w:sz w:val="16"/>
                          <w:szCs w:val="16"/>
                        </w:rPr>
                      </w:pPr>
                      <w:r w:rsidRPr="007D3DC0">
                        <w:rPr>
                          <w:sz w:val="16"/>
                          <w:szCs w:val="16"/>
                        </w:rPr>
                        <w:t>Direct impact on the area of land under sustainable forestry (50,000 ha) and agriculture (20,000 ha) inside the biodiversity buffer zones; KBAs under improved management to benefit BD (10,000 ha)</w:t>
                      </w:r>
                    </w:p>
                  </w:txbxContent>
                </v:textbox>
                <w10:wrap anchorx="margin"/>
              </v:shape>
            </w:pict>
          </mc:Fallback>
        </mc:AlternateContent>
      </w:r>
      <w:r w:rsidR="00172973" w:rsidRPr="003B6A69">
        <w:rPr>
          <w:rFonts w:ascii="Times New Roman" w:eastAsia="Times New Roman" w:hAnsi="Times New Roman"/>
          <w:noProof/>
          <w:sz w:val="24"/>
        </w:rPr>
        <mc:AlternateContent>
          <mc:Choice Requires="wps">
            <w:drawing>
              <wp:anchor distT="0" distB="0" distL="114300" distR="114300" simplePos="0" relativeHeight="251684864" behindDoc="0" locked="0" layoutInCell="1" allowOverlap="1" wp14:anchorId="73DA0CD9" wp14:editId="0ABAC181">
                <wp:simplePos x="0" y="0"/>
                <wp:positionH relativeFrom="margin">
                  <wp:posOffset>7054850</wp:posOffset>
                </wp:positionH>
                <wp:positionV relativeFrom="paragraph">
                  <wp:posOffset>-571500</wp:posOffset>
                </wp:positionV>
                <wp:extent cx="1047750" cy="685800"/>
                <wp:effectExtent l="0" t="0" r="19050" b="19050"/>
                <wp:wrapNone/>
                <wp:docPr id="88"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47750" cy="685800"/>
                        </a:xfrm>
                        <a:prstGeom prst="rect">
                          <a:avLst/>
                        </a:prstGeom>
                        <a:noFill/>
                        <a:ln>
                          <a:solidFill>
                            <a:srgbClr val="A5A5A5">
                              <a:lumMod val="75000"/>
                            </a:srgbClr>
                          </a:solidFill>
                        </a:ln>
                      </wps:spPr>
                      <wps:txbx>
                        <w:txbxContent>
                          <w:p w14:paraId="1EB57727" w14:textId="77777777" w:rsidR="00127DDC" w:rsidRPr="00544F65" w:rsidRDefault="00127DDC" w:rsidP="00172973">
                            <w:pPr>
                              <w:pStyle w:val="NormalWeb"/>
                              <w:spacing w:before="0" w:beforeAutospacing="0" w:after="0" w:afterAutospacing="0"/>
                              <w:ind w:left="-72" w:right="-72"/>
                              <w:jc w:val="center"/>
                              <w:rPr>
                                <w:sz w:val="16"/>
                                <w:szCs w:val="16"/>
                              </w:rPr>
                            </w:pPr>
                            <w:r w:rsidRPr="009D785D">
                              <w:rPr>
                                <w:sz w:val="16"/>
                                <w:szCs w:val="16"/>
                              </w:rPr>
                              <w:t xml:space="preserve">50,000 </w:t>
                            </w:r>
                            <w:r>
                              <w:rPr>
                                <w:sz w:val="16"/>
                                <w:szCs w:val="16"/>
                              </w:rPr>
                              <w:t xml:space="preserve">people </w:t>
                            </w:r>
                            <w:r w:rsidRPr="009D785D">
                              <w:rPr>
                                <w:sz w:val="16"/>
                                <w:szCs w:val="16"/>
                              </w:rPr>
                              <w:t>(incl. 27,000 women)</w:t>
                            </w:r>
                            <w:r>
                              <w:rPr>
                                <w:sz w:val="16"/>
                                <w:szCs w:val="16"/>
                              </w:rPr>
                              <w:t xml:space="preserve"> as direct beneficiaries of the GEF intervention </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73DA0CD9" id="Text Box 88" o:spid="_x0000_s1045" type="#_x0000_t202" style="position:absolute;margin-left:555.5pt;margin-top:-45pt;width:82.5pt;height:54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" filled="f" strokecolor="#7c7c7c">
                <v:path arrowok="t"/>
                <v:textbox>
                  <w:txbxContent>
                    <w:p w14:paraId="1EB57727" w14:textId="77777777" w:rsidR="00127DDC" w:rsidRPr="00544F65" w:rsidRDefault="00127DDC" w:rsidP="00172973">
                      <w:pPr>
                        <w:pStyle w:val="NormalWeb"/>
                        <w:spacing w:before="0" w:beforeAutospacing="0" w:after="0" w:afterAutospacing="0"/>
                        <w:ind w:left="-72" w:right="-72"/>
                        <w:jc w:val="center"/>
                        <w:rPr>
                          <w:sz w:val="16"/>
                          <w:szCs w:val="16"/>
                        </w:rPr>
                      </w:pPr>
                      <w:r w:rsidRPr="009D785D">
                        <w:rPr>
                          <w:sz w:val="16"/>
                          <w:szCs w:val="16"/>
                        </w:rPr>
                        <w:t xml:space="preserve">50,000 </w:t>
                      </w:r>
                      <w:r>
                        <w:rPr>
                          <w:sz w:val="16"/>
                          <w:szCs w:val="16"/>
                        </w:rPr>
                        <w:t xml:space="preserve">people </w:t>
                      </w:r>
                      <w:r w:rsidRPr="009D785D">
                        <w:rPr>
                          <w:sz w:val="16"/>
                          <w:szCs w:val="16"/>
                        </w:rPr>
                        <w:t>(incl. 27,000 women)</w:t>
                      </w:r>
                      <w:r>
                        <w:rPr>
                          <w:sz w:val="16"/>
                          <w:szCs w:val="16"/>
                        </w:rPr>
                        <w:t xml:space="preserve"> as direct beneficiaries of the GEF intervention </w:t>
                      </w:r>
                    </w:p>
                  </w:txbxContent>
                </v:textbox>
                <w10:wrap anchorx="margin"/>
              </v:shape>
            </w:pict>
          </mc:Fallback>
        </mc:AlternateContent>
      </w:r>
      <w:r w:rsidR="00172973" w:rsidRPr="003B6A69">
        <w:rPr>
          <w:rFonts w:ascii="Times New Roman" w:eastAsia="Times New Roman" w:hAnsi="Times New Roman"/>
          <w:noProof/>
          <w:sz w:val="24"/>
        </w:rPr>
        <mc:AlternateContent>
          <mc:Choice Requires="wps">
            <w:drawing>
              <wp:anchor distT="0" distB="0" distL="114300" distR="114300" simplePos="0" relativeHeight="251664384" behindDoc="0" locked="0" layoutInCell="1" allowOverlap="1" wp14:anchorId="0F2BCE61" wp14:editId="70731F35">
                <wp:simplePos x="0" y="0"/>
                <wp:positionH relativeFrom="margin">
                  <wp:posOffset>4474210</wp:posOffset>
                </wp:positionH>
                <wp:positionV relativeFrom="paragraph">
                  <wp:posOffset>-829310</wp:posOffset>
                </wp:positionV>
                <wp:extent cx="271780" cy="8102600"/>
                <wp:effectExtent l="8890" t="0" r="22860" b="22860"/>
                <wp:wrapNone/>
                <wp:docPr id="87" name="Left Brace 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6200000">
                          <a:off x="0" y="0"/>
                          <a:ext cx="271780" cy="8102600"/>
                        </a:xfrm>
                        <a:prstGeom prst="leftBrace">
                          <a:avLst>
                            <a:gd name="adj1" fmla="val 8333"/>
                            <a:gd name="adj2" fmla="val 51973"/>
                          </a:avLst>
                        </a:prstGeom>
                        <a:noFill/>
                        <a:ln w="9525" cap="flat" cmpd="sng" algn="ctr">
                          <a:solidFill>
                            <a:srgbClr val="4F81BD">
                              <a:shade val="95000"/>
                              <a:satMod val="105000"/>
                            </a:srgbClr>
                          </a:solidFill>
                          <a:prstDash val="solid"/>
                        </a:ln>
                        <a:effectLst/>
                      </wps:spPr>
                      <wps:bodyPr rtlCol="0" anchor="ctr"/>
                    </wps:wsp>
                  </a:graphicData>
                </a:graphic>
                <wp14:sizeRelH relativeFrom="page">
                  <wp14:pctWidth>0</wp14:pctWidth>
                </wp14:sizeRelH>
                <wp14:sizeRelV relativeFrom="margin">
                  <wp14:pctHeight>0</wp14:pctHeight>
                </wp14:sizeRelV>
              </wp:anchor>
            </w:drawing>
          </mc:Choice>
          <mc:Fallback>
            <w:pict>
              <v:shape w14:anchorId="67AC56AA" id="Left Brace 87" o:spid="_x0000_s1026" type="#_x0000_t87" style="position:absolute;margin-left:352.3pt;margin-top:-65.3pt;width:21.4pt;height:638pt;rotation:-90;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" adj="60,11226" strokecolor="#4a7ebb">
                <w10:wrap anchorx="margin"/>
              </v:shape>
            </w:pict>
          </mc:Fallback>
        </mc:AlternateContent>
      </w:r>
      <w:r w:rsidR="00172973" w:rsidRPr="003B6A69">
        <w:rPr>
          <w:rFonts w:ascii="Times New Roman" w:eastAsia="Times New Roman" w:hAnsi="Times New Roman"/>
          <w:noProof/>
          <w:sz w:val="24"/>
        </w:rPr>
        <mc:AlternateContent>
          <mc:Choice Requires="wps">
            <w:drawing>
              <wp:anchor distT="0" distB="0" distL="114300" distR="114300" simplePos="0" relativeHeight="251677696" behindDoc="0" locked="0" layoutInCell="1" allowOverlap="1" wp14:anchorId="74ABA2E7" wp14:editId="3C24FA06">
                <wp:simplePos x="0" y="0"/>
                <wp:positionH relativeFrom="margin">
                  <wp:posOffset>-698500</wp:posOffset>
                </wp:positionH>
                <wp:positionV relativeFrom="paragraph">
                  <wp:posOffset>-457200</wp:posOffset>
                </wp:positionV>
                <wp:extent cx="861695" cy="457200"/>
                <wp:effectExtent l="0" t="0" r="14605" b="19050"/>
                <wp:wrapNone/>
                <wp:docPr id="85" name="Rectangle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1695" cy="457200"/>
                        </a:xfrm>
                        <a:prstGeom prst="rect">
                          <a:avLst/>
                        </a:prstGeom>
                        <a:solidFill>
                          <a:sysClr val="window" lastClr="FFFFFF"/>
                        </a:solidFill>
                        <a:ln w="25400" cap="flat" cmpd="sng" algn="ctr">
                          <a:solidFill>
                            <a:srgbClr val="A5A5A5">
                              <a:lumMod val="75000"/>
                            </a:srgbClr>
                          </a:solidFill>
                          <a:prstDash val="solid"/>
                        </a:ln>
                        <a:effectLst/>
                      </wps:spPr>
                      <wps:txbx>
                        <w:txbxContent>
                          <w:p w14:paraId="32A8C752" w14:textId="77777777" w:rsidR="00127DDC" w:rsidRPr="008E0A65" w:rsidRDefault="00127DDC" w:rsidP="00172973">
                            <w:pPr>
                              <w:pStyle w:val="NormalWeb"/>
                              <w:spacing w:before="0" w:beforeAutospacing="0" w:after="0" w:afterAutospacing="0"/>
                              <w:jc w:val="center"/>
                              <w:rPr>
                                <w:sz w:val="16"/>
                                <w:szCs w:val="16"/>
                              </w:rPr>
                            </w:pPr>
                            <w:r w:rsidRPr="008E0A65">
                              <w:rPr>
                                <w:b/>
                                <w:bCs/>
                                <w:color w:val="000000"/>
                                <w:kern w:val="24"/>
                                <w:sz w:val="16"/>
                                <w:szCs w:val="16"/>
                              </w:rPr>
                              <w:t xml:space="preserve">Project </w:t>
                            </w:r>
                            <w:r>
                              <w:rPr>
                                <w:b/>
                                <w:bCs/>
                                <w:color w:val="000000"/>
                                <w:kern w:val="24"/>
                                <w:sz w:val="16"/>
                                <w:szCs w:val="16"/>
                              </w:rPr>
                              <w:t>Impacts</w:t>
                            </w:r>
                          </w:p>
                        </w:txbxContent>
                      </wps:txbx>
                      <wps:bodyPr lIns="121789" tIns="60894" rIns="121789" bIns="60894" spcCol="0" rtlCol="0" anchor="ctr">
                        <a:noAutofit/>
                      </wps:bodyPr>
                    </wps:wsp>
                  </a:graphicData>
                </a:graphic>
                <wp14:sizeRelH relativeFrom="page">
                  <wp14:pctWidth>0</wp14:pctWidth>
                </wp14:sizeRelH>
                <wp14:sizeRelV relativeFrom="page">
                  <wp14:pctHeight>0</wp14:pctHeight>
                </wp14:sizeRelV>
              </wp:anchor>
            </w:drawing>
          </mc:Choice>
          <mc:Fallback>
            <w:pict>
              <v:rect w14:anchorId="74ABA2E7" id="Rectangle 85" o:spid="_x0000_s1046" style="position:absolute;margin-left:-55pt;margin-top:-36pt;width:67.85pt;height:36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" fillcolor="window" strokecolor="#7c7c7c" strokeweight="2pt">
                <v:path arrowok="t"/>
                <v:textbox inset="3.38303mm,1.6915mm,3.38303mm,1.6915mm">
                  <w:txbxContent>
                    <w:p w14:paraId="32A8C752" w14:textId="77777777" w:rsidR="00127DDC" w:rsidRPr="008E0A65" w:rsidRDefault="00127DDC" w:rsidP="00172973">
                      <w:pPr>
                        <w:pStyle w:val="NormalWeb"/>
                        <w:spacing w:before="0" w:beforeAutospacing="0" w:after="0" w:afterAutospacing="0"/>
                        <w:jc w:val="center"/>
                        <w:rPr>
                          <w:sz w:val="16"/>
                          <w:szCs w:val="16"/>
                        </w:rPr>
                      </w:pPr>
                      <w:r w:rsidRPr="008E0A65">
                        <w:rPr>
                          <w:b/>
                          <w:bCs/>
                          <w:color w:val="000000"/>
                          <w:kern w:val="24"/>
                          <w:sz w:val="16"/>
                          <w:szCs w:val="16"/>
                        </w:rPr>
                        <w:t xml:space="preserve">Project </w:t>
                      </w:r>
                      <w:r>
                        <w:rPr>
                          <w:b/>
                          <w:bCs/>
                          <w:color w:val="000000"/>
                          <w:kern w:val="24"/>
                          <w:sz w:val="16"/>
                          <w:szCs w:val="16"/>
                        </w:rPr>
                        <w:t>Impacts</w:t>
                      </w:r>
                    </w:p>
                  </w:txbxContent>
                </v:textbox>
                <w10:wrap anchorx="margin"/>
              </v:rect>
            </w:pict>
          </mc:Fallback>
        </mc:AlternateContent>
      </w:r>
    </w:p>
    <w:p w14:paraId="0650E672" w14:textId="2B1EF2CF" w:rsidR="00172973" w:rsidRPr="003B6A69" w:rsidRDefault="00752247" w:rsidP="00172973">
      <w:pPr>
        <w:spacing w:after="0" w:line="220" w:lineRule="exact"/>
        <w:jc w:val="left"/>
        <w:rPr>
          <w:rFonts w:ascii="Times New Roman" w:eastAsia="Times New Roman" w:hAnsi="Times New Roman"/>
          <w:sz w:val="24"/>
        </w:rPr>
      </w:pPr>
      <w:r w:rsidRPr="003B6A69">
        <w:rPr>
          <w:rFonts w:ascii="Times New Roman" w:eastAsia="Times New Roman" w:hAnsi="Times New Roman"/>
          <w:noProof/>
          <w:sz w:val="24"/>
        </w:rPr>
        <mc:AlternateContent>
          <mc:Choice Requires="wps">
            <w:drawing>
              <wp:anchor distT="0" distB="0" distL="114300" distR="114300" simplePos="0" relativeHeight="251699200" behindDoc="0" locked="0" layoutInCell="1" allowOverlap="1" wp14:anchorId="77957A11" wp14:editId="3D6BFE16">
                <wp:simplePos x="0" y="0"/>
                <wp:positionH relativeFrom="margin">
                  <wp:posOffset>5204460</wp:posOffset>
                </wp:positionH>
                <wp:positionV relativeFrom="paragraph">
                  <wp:posOffset>5080</wp:posOffset>
                </wp:positionV>
                <wp:extent cx="1112520" cy="412115"/>
                <wp:effectExtent l="0" t="0" r="11430" b="26035"/>
                <wp:wrapNone/>
                <wp:docPr id="84"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12520" cy="412115"/>
                        </a:xfrm>
                        <a:prstGeom prst="rect">
                          <a:avLst/>
                        </a:prstGeom>
                        <a:noFill/>
                        <a:ln w="12700">
                          <a:solidFill>
                            <a:srgbClr val="44546A">
                              <a:lumMod val="60000"/>
                              <a:lumOff val="40000"/>
                            </a:srgbClr>
                          </a:solidFill>
                        </a:ln>
                      </wps:spPr>
                      <wps:txbx>
                        <w:txbxContent>
                          <w:p w14:paraId="0FF35874" w14:textId="77777777" w:rsidR="00127DDC" w:rsidRPr="00C960F9" w:rsidRDefault="00127DDC" w:rsidP="00172973">
                            <w:pPr>
                              <w:pStyle w:val="NormalWeb"/>
                              <w:spacing w:before="0" w:beforeAutospacing="0" w:after="0" w:afterAutospacing="0"/>
                              <w:ind w:left="-72" w:right="-72"/>
                              <w:jc w:val="center"/>
                              <w:rPr>
                                <w:sz w:val="14"/>
                                <w:szCs w:val="14"/>
                              </w:rPr>
                            </w:pPr>
                            <w:r w:rsidRPr="00EE72D3">
                              <w:rPr>
                                <w:sz w:val="14"/>
                                <w:szCs w:val="14"/>
                              </w:rPr>
                              <w:t xml:space="preserve">BD mainstreaming into </w:t>
                            </w:r>
                            <w:r w:rsidRPr="0036560E">
                              <w:rPr>
                                <w:sz w:val="14"/>
                                <w:szCs w:val="14"/>
                              </w:rPr>
                              <w:t>forestry policies and practices around KBAs</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77957A11" id="Text Box 84" o:spid="_x0000_s1047" type="#_x0000_t202" style="position:absolute;margin-left:409.8pt;margin-top:.4pt;width:87.6pt;height:32.45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" filled="f" strokecolor="#8497b0" strokeweight="1pt">
                <v:path arrowok="t"/>
                <v:textbox>
                  <w:txbxContent>
                    <w:p w14:paraId="0FF35874" w14:textId="77777777" w:rsidR="00127DDC" w:rsidRPr="00C960F9" w:rsidRDefault="00127DDC" w:rsidP="00172973">
                      <w:pPr>
                        <w:pStyle w:val="NormalWeb"/>
                        <w:spacing w:before="0" w:beforeAutospacing="0" w:after="0" w:afterAutospacing="0"/>
                        <w:ind w:left="-72" w:right="-72"/>
                        <w:jc w:val="center"/>
                        <w:rPr>
                          <w:sz w:val="14"/>
                          <w:szCs w:val="14"/>
                        </w:rPr>
                      </w:pPr>
                      <w:r w:rsidRPr="00EE72D3">
                        <w:rPr>
                          <w:sz w:val="14"/>
                          <w:szCs w:val="14"/>
                        </w:rPr>
                        <w:t xml:space="preserve">BD mainstreaming into </w:t>
                      </w:r>
                      <w:r w:rsidRPr="0036560E">
                        <w:rPr>
                          <w:sz w:val="14"/>
                          <w:szCs w:val="14"/>
                        </w:rPr>
                        <w:t>forestry policies and practices around KBAs</w:t>
                      </w:r>
                    </w:p>
                  </w:txbxContent>
                </v:textbox>
                <w10:wrap anchorx="margin"/>
              </v:shape>
            </w:pict>
          </mc:Fallback>
        </mc:AlternateContent>
      </w:r>
      <w:r w:rsidRPr="003B6A69">
        <w:rPr>
          <w:rFonts w:ascii="Times New Roman" w:eastAsia="Times New Roman" w:hAnsi="Times New Roman"/>
          <w:noProof/>
          <w:sz w:val="24"/>
        </w:rPr>
        <mc:AlternateContent>
          <mc:Choice Requires="wps">
            <w:drawing>
              <wp:anchor distT="0" distB="0" distL="114300" distR="114300" simplePos="0" relativeHeight="251687936" behindDoc="0" locked="0" layoutInCell="1" allowOverlap="1" wp14:anchorId="2B873B3E" wp14:editId="17ABD975">
                <wp:simplePos x="0" y="0"/>
                <wp:positionH relativeFrom="margin">
                  <wp:posOffset>3916680</wp:posOffset>
                </wp:positionH>
                <wp:positionV relativeFrom="paragraph">
                  <wp:posOffset>5080</wp:posOffset>
                </wp:positionV>
                <wp:extent cx="1203960" cy="404495"/>
                <wp:effectExtent l="0" t="0" r="15240" b="14605"/>
                <wp:wrapNone/>
                <wp:docPr id="81"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03960" cy="404495"/>
                        </a:xfrm>
                        <a:prstGeom prst="rect">
                          <a:avLst/>
                        </a:prstGeom>
                        <a:noFill/>
                        <a:ln w="12700">
                          <a:solidFill>
                            <a:srgbClr val="44546A">
                              <a:lumMod val="60000"/>
                              <a:lumOff val="40000"/>
                            </a:srgbClr>
                          </a:solidFill>
                        </a:ln>
                      </wps:spPr>
                      <wps:txbx>
                        <w:txbxContent>
                          <w:p w14:paraId="3ED270BA" w14:textId="77777777" w:rsidR="00127DDC" w:rsidRPr="00C960F9" w:rsidRDefault="00127DDC" w:rsidP="00172973">
                            <w:pPr>
                              <w:pStyle w:val="NormalWeb"/>
                              <w:spacing w:before="0" w:beforeAutospacing="0" w:after="0" w:afterAutospacing="0"/>
                              <w:ind w:left="-72" w:right="-72"/>
                              <w:jc w:val="center"/>
                              <w:rPr>
                                <w:sz w:val="14"/>
                                <w:szCs w:val="14"/>
                              </w:rPr>
                            </w:pPr>
                            <w:r w:rsidRPr="0036560E">
                              <w:rPr>
                                <w:sz w:val="14"/>
                                <w:szCs w:val="14"/>
                              </w:rPr>
                              <w:t>BD mainstream</w:t>
                            </w:r>
                            <w:r>
                              <w:rPr>
                                <w:sz w:val="14"/>
                                <w:szCs w:val="14"/>
                              </w:rPr>
                              <w:t xml:space="preserve">ing into </w:t>
                            </w:r>
                            <w:r w:rsidRPr="0036560E">
                              <w:rPr>
                                <w:sz w:val="14"/>
                                <w:szCs w:val="14"/>
                              </w:rPr>
                              <w:t>sustainable tourism development</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2B873B3E" id="Text Box 81" o:spid="_x0000_s1048" type="#_x0000_t202" style="position:absolute;margin-left:308.4pt;margin-top:.4pt;width:94.8pt;height:31.85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" filled="f" strokecolor="#8497b0" strokeweight="1pt">
                <v:path arrowok="t"/>
                <v:textbox>
                  <w:txbxContent>
                    <w:p w14:paraId="3ED270BA" w14:textId="77777777" w:rsidR="00127DDC" w:rsidRPr="00C960F9" w:rsidRDefault="00127DDC" w:rsidP="00172973">
                      <w:pPr>
                        <w:pStyle w:val="NormalWeb"/>
                        <w:spacing w:before="0" w:beforeAutospacing="0" w:after="0" w:afterAutospacing="0"/>
                        <w:ind w:left="-72" w:right="-72"/>
                        <w:jc w:val="center"/>
                        <w:rPr>
                          <w:sz w:val="14"/>
                          <w:szCs w:val="14"/>
                        </w:rPr>
                      </w:pPr>
                      <w:r w:rsidRPr="0036560E">
                        <w:rPr>
                          <w:sz w:val="14"/>
                          <w:szCs w:val="14"/>
                        </w:rPr>
                        <w:t>BD mainstream</w:t>
                      </w:r>
                      <w:r>
                        <w:rPr>
                          <w:sz w:val="14"/>
                          <w:szCs w:val="14"/>
                        </w:rPr>
                        <w:t xml:space="preserve">ing into </w:t>
                      </w:r>
                      <w:r w:rsidRPr="0036560E">
                        <w:rPr>
                          <w:sz w:val="14"/>
                          <w:szCs w:val="14"/>
                        </w:rPr>
                        <w:t>sustainable tourism development</w:t>
                      </w:r>
                    </w:p>
                  </w:txbxContent>
                </v:textbox>
                <w10:wrap anchorx="margin"/>
              </v:shape>
            </w:pict>
          </mc:Fallback>
        </mc:AlternateContent>
      </w:r>
      <w:r w:rsidRPr="003B6A69">
        <w:rPr>
          <w:rFonts w:ascii="Times New Roman" w:eastAsia="Times New Roman" w:hAnsi="Times New Roman"/>
          <w:noProof/>
          <w:sz w:val="24"/>
        </w:rPr>
        <mc:AlternateContent>
          <mc:Choice Requires="wps">
            <w:drawing>
              <wp:anchor distT="0" distB="0" distL="114300" distR="114300" simplePos="0" relativeHeight="251665408" behindDoc="0" locked="0" layoutInCell="1" allowOverlap="1" wp14:anchorId="52111A29" wp14:editId="7E5B28F1">
                <wp:simplePos x="0" y="0"/>
                <wp:positionH relativeFrom="margin">
                  <wp:posOffset>746760</wp:posOffset>
                </wp:positionH>
                <wp:positionV relativeFrom="paragraph">
                  <wp:posOffset>10160</wp:posOffset>
                </wp:positionV>
                <wp:extent cx="1310640" cy="368300"/>
                <wp:effectExtent l="0" t="0" r="22860" b="12700"/>
                <wp:wrapNone/>
                <wp:docPr id="73"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10640" cy="368300"/>
                        </a:xfrm>
                        <a:prstGeom prst="rect">
                          <a:avLst/>
                        </a:prstGeom>
                        <a:noFill/>
                        <a:ln w="12700">
                          <a:solidFill>
                            <a:srgbClr val="44546A">
                              <a:lumMod val="60000"/>
                              <a:lumOff val="40000"/>
                            </a:srgbClr>
                          </a:solidFill>
                        </a:ln>
                        <a:effectLst/>
                      </wps:spPr>
                      <wps:txbx>
                        <w:txbxContent>
                          <w:p w14:paraId="176BFE61" w14:textId="77777777" w:rsidR="00127DDC" w:rsidRPr="00172973" w:rsidRDefault="00127DDC" w:rsidP="00172973">
                            <w:pPr>
                              <w:pStyle w:val="NormalWeb"/>
                              <w:spacing w:before="0" w:beforeAutospacing="0" w:after="0" w:afterAutospacing="0"/>
                              <w:ind w:left="-144" w:right="-144"/>
                              <w:jc w:val="center"/>
                              <w:rPr>
                                <w:sz w:val="14"/>
                                <w:szCs w:val="14"/>
                              </w:rPr>
                            </w:pPr>
                            <w:r w:rsidRPr="00172973">
                              <w:rPr>
                                <w:sz w:val="14"/>
                                <w:szCs w:val="14"/>
                              </w:rPr>
                              <w:t>Strengthened capacity of national PAs</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52111A29" id="Text Box 73" o:spid="_x0000_s1049" type="#_x0000_t202" style="position:absolute;margin-left:58.8pt;margin-top:.8pt;width:103.2pt;height:29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" filled="f" strokecolor="#8497b0" strokeweight="1pt">
                <v:path arrowok="t"/>
                <v:textbox>
                  <w:txbxContent>
                    <w:p w14:paraId="176BFE61" w14:textId="77777777" w:rsidR="00127DDC" w:rsidRPr="00172973" w:rsidRDefault="00127DDC" w:rsidP="00172973">
                      <w:pPr>
                        <w:pStyle w:val="NormalWeb"/>
                        <w:spacing w:before="0" w:beforeAutospacing="0" w:after="0" w:afterAutospacing="0"/>
                        <w:ind w:left="-144" w:right="-144"/>
                        <w:jc w:val="center"/>
                        <w:rPr>
                          <w:sz w:val="14"/>
                          <w:szCs w:val="14"/>
                        </w:rPr>
                      </w:pPr>
                      <w:r w:rsidRPr="00172973">
                        <w:rPr>
                          <w:sz w:val="14"/>
                          <w:szCs w:val="14"/>
                        </w:rPr>
                        <w:t>Strengthened capacity of national PAs</w:t>
                      </w:r>
                    </w:p>
                  </w:txbxContent>
                </v:textbox>
                <w10:wrap anchorx="margin"/>
              </v:shape>
            </w:pict>
          </mc:Fallback>
        </mc:AlternateContent>
      </w:r>
      <w:r w:rsidR="00172973" w:rsidRPr="003B6A69">
        <w:rPr>
          <w:rFonts w:ascii="Times New Roman" w:eastAsia="Times New Roman" w:hAnsi="Times New Roman"/>
          <w:sz w:val="24"/>
        </w:rPr>
        <w:t xml:space="preserve"> </w:t>
      </w:r>
      <w:r w:rsidR="00172973" w:rsidRPr="003B6A69">
        <w:rPr>
          <w:rFonts w:ascii="Times New Roman" w:eastAsia="Times New Roman" w:hAnsi="Times New Roman"/>
          <w:noProof/>
          <w:sz w:val="24"/>
        </w:rPr>
        <mc:AlternateContent>
          <mc:Choice Requires="wps">
            <w:drawing>
              <wp:anchor distT="0" distB="0" distL="114300" distR="114300" simplePos="0" relativeHeight="251702272" behindDoc="0" locked="0" layoutInCell="1" allowOverlap="1" wp14:anchorId="3F54EC58" wp14:editId="23B160FE">
                <wp:simplePos x="0" y="0"/>
                <wp:positionH relativeFrom="margin">
                  <wp:posOffset>7475220</wp:posOffset>
                </wp:positionH>
                <wp:positionV relativeFrom="paragraph">
                  <wp:posOffset>10160</wp:posOffset>
                </wp:positionV>
                <wp:extent cx="960120" cy="396240"/>
                <wp:effectExtent l="0" t="0" r="11430" b="22860"/>
                <wp:wrapNone/>
                <wp:docPr id="76"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0120" cy="396240"/>
                        </a:xfrm>
                        <a:prstGeom prst="rect">
                          <a:avLst/>
                        </a:prstGeom>
                        <a:noFill/>
                        <a:ln w="12700">
                          <a:solidFill>
                            <a:srgbClr val="44546A">
                              <a:lumMod val="60000"/>
                              <a:lumOff val="40000"/>
                            </a:srgbClr>
                          </a:solidFill>
                        </a:ln>
                      </wps:spPr>
                      <wps:txbx>
                        <w:txbxContent>
                          <w:p w14:paraId="43283FC0" w14:textId="2BEBC21D" w:rsidR="00127DDC" w:rsidRPr="00C960F9" w:rsidRDefault="00127DDC" w:rsidP="00172973">
                            <w:pPr>
                              <w:pStyle w:val="NormalWeb"/>
                              <w:spacing w:before="0" w:beforeAutospacing="0" w:after="0" w:afterAutospacing="0"/>
                              <w:ind w:left="-72" w:right="-72"/>
                              <w:jc w:val="center"/>
                              <w:rPr>
                                <w:sz w:val="14"/>
                                <w:szCs w:val="14"/>
                              </w:rPr>
                            </w:pPr>
                            <w:r w:rsidRPr="00DC79AD">
                              <w:rPr>
                                <w:sz w:val="14"/>
                                <w:szCs w:val="14"/>
                              </w:rPr>
                              <w:t xml:space="preserve">Knowledge management </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3F54EC58" id="Text Box 76" o:spid="_x0000_s1050" type="#_x0000_t202" style="position:absolute;margin-left:588.6pt;margin-top:.8pt;width:75.6pt;height:31.2pt;z-index:251702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" filled="f" strokecolor="#8497b0" strokeweight="1pt">
                <v:path arrowok="t"/>
                <v:textbox>
                  <w:txbxContent>
                    <w:p w14:paraId="43283FC0" w14:textId="2BEBC21D" w:rsidR="00127DDC" w:rsidRPr="00C960F9" w:rsidRDefault="00127DDC" w:rsidP="00172973">
                      <w:pPr>
                        <w:pStyle w:val="NormalWeb"/>
                        <w:spacing w:before="0" w:beforeAutospacing="0" w:after="0" w:afterAutospacing="0"/>
                        <w:ind w:left="-72" w:right="-72"/>
                        <w:jc w:val="center"/>
                        <w:rPr>
                          <w:sz w:val="14"/>
                          <w:szCs w:val="14"/>
                        </w:rPr>
                      </w:pPr>
                      <w:r w:rsidRPr="00DC79AD">
                        <w:rPr>
                          <w:sz w:val="14"/>
                          <w:szCs w:val="14"/>
                        </w:rPr>
                        <w:t xml:space="preserve">Knowledge management </w:t>
                      </w:r>
                    </w:p>
                  </w:txbxContent>
                </v:textbox>
                <w10:wrap anchorx="margin"/>
              </v:shape>
            </w:pict>
          </mc:Fallback>
        </mc:AlternateContent>
      </w:r>
      <w:r w:rsidR="00172973" w:rsidRPr="003B6A69">
        <w:rPr>
          <w:rFonts w:ascii="Times New Roman" w:eastAsia="Times New Roman" w:hAnsi="Times New Roman"/>
          <w:noProof/>
          <w:sz w:val="24"/>
        </w:rPr>
        <mc:AlternateContent>
          <mc:Choice Requires="wps">
            <w:drawing>
              <wp:anchor distT="0" distB="0" distL="114300" distR="114300" simplePos="0" relativeHeight="251700224" behindDoc="0" locked="0" layoutInCell="1" allowOverlap="1" wp14:anchorId="37FBCDC0" wp14:editId="1CF7D165">
                <wp:simplePos x="0" y="0"/>
                <wp:positionH relativeFrom="margin">
                  <wp:posOffset>6416040</wp:posOffset>
                </wp:positionH>
                <wp:positionV relativeFrom="paragraph">
                  <wp:posOffset>10160</wp:posOffset>
                </wp:positionV>
                <wp:extent cx="960120" cy="396240"/>
                <wp:effectExtent l="0" t="0" r="11430" b="22860"/>
                <wp:wrapNone/>
                <wp:docPr id="74"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0120" cy="396240"/>
                        </a:xfrm>
                        <a:prstGeom prst="rect">
                          <a:avLst/>
                        </a:prstGeom>
                        <a:noFill/>
                        <a:ln w="12700">
                          <a:solidFill>
                            <a:srgbClr val="44546A">
                              <a:lumMod val="60000"/>
                              <a:lumOff val="40000"/>
                            </a:srgbClr>
                          </a:solidFill>
                        </a:ln>
                      </wps:spPr>
                      <wps:txbx>
                        <w:txbxContent>
                          <w:p w14:paraId="7A22783F" w14:textId="77777777" w:rsidR="00127DDC" w:rsidRPr="00C960F9" w:rsidRDefault="00127DDC" w:rsidP="00172973">
                            <w:pPr>
                              <w:pStyle w:val="NormalWeb"/>
                              <w:spacing w:before="0" w:beforeAutospacing="0" w:after="0" w:afterAutospacing="0"/>
                              <w:ind w:left="-72" w:right="-72"/>
                              <w:jc w:val="center"/>
                              <w:rPr>
                                <w:sz w:val="14"/>
                                <w:szCs w:val="14"/>
                              </w:rPr>
                            </w:pPr>
                            <w:r w:rsidRPr="00EE72D3">
                              <w:rPr>
                                <w:sz w:val="14"/>
                                <w:szCs w:val="14"/>
                              </w:rPr>
                              <w:t xml:space="preserve">BD mainstreaming into </w:t>
                            </w:r>
                            <w:r w:rsidRPr="0036560E">
                              <w:rPr>
                                <w:sz w:val="14"/>
                                <w:szCs w:val="14"/>
                              </w:rPr>
                              <w:t>agricultural policies and practices around KBAs</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37FBCDC0" id="Text Box 74" o:spid="_x0000_s1051" type="#_x0000_t202" style="position:absolute;margin-left:505.2pt;margin-top:.8pt;width:75.6pt;height:31.2pt;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" filled="f" strokecolor="#8497b0" strokeweight="1pt">
                <v:path arrowok="t"/>
                <v:textbox>
                  <w:txbxContent>
                    <w:p w14:paraId="7A22783F" w14:textId="77777777" w:rsidR="00127DDC" w:rsidRPr="00C960F9" w:rsidRDefault="00127DDC" w:rsidP="00172973">
                      <w:pPr>
                        <w:pStyle w:val="NormalWeb"/>
                        <w:spacing w:before="0" w:beforeAutospacing="0" w:after="0" w:afterAutospacing="0"/>
                        <w:ind w:left="-72" w:right="-72"/>
                        <w:jc w:val="center"/>
                        <w:rPr>
                          <w:sz w:val="14"/>
                          <w:szCs w:val="14"/>
                        </w:rPr>
                      </w:pPr>
                      <w:r w:rsidRPr="00EE72D3">
                        <w:rPr>
                          <w:sz w:val="14"/>
                          <w:szCs w:val="14"/>
                        </w:rPr>
                        <w:t xml:space="preserve">BD mainstreaming into </w:t>
                      </w:r>
                      <w:r w:rsidRPr="0036560E">
                        <w:rPr>
                          <w:sz w:val="14"/>
                          <w:szCs w:val="14"/>
                        </w:rPr>
                        <w:t>agricultural policies and practices around KBAs</w:t>
                      </w:r>
                    </w:p>
                  </w:txbxContent>
                </v:textbox>
                <w10:wrap anchorx="margin"/>
              </v:shape>
            </w:pict>
          </mc:Fallback>
        </mc:AlternateContent>
      </w:r>
      <w:r w:rsidR="00172973" w:rsidRPr="003B6A69">
        <w:rPr>
          <w:rFonts w:ascii="Times New Roman" w:eastAsia="Times New Roman" w:hAnsi="Times New Roman"/>
          <w:noProof/>
          <w:sz w:val="24"/>
        </w:rPr>
        <mc:AlternateContent>
          <mc:Choice Requires="wps">
            <w:drawing>
              <wp:anchor distT="0" distB="0" distL="114300" distR="114300" simplePos="0" relativeHeight="251698176" behindDoc="0" locked="0" layoutInCell="1" allowOverlap="1" wp14:anchorId="752587CF" wp14:editId="047592F4">
                <wp:simplePos x="0" y="0"/>
                <wp:positionH relativeFrom="margin">
                  <wp:posOffset>2148840</wp:posOffset>
                </wp:positionH>
                <wp:positionV relativeFrom="paragraph">
                  <wp:posOffset>10160</wp:posOffset>
                </wp:positionV>
                <wp:extent cx="1127760" cy="373380"/>
                <wp:effectExtent l="0" t="0" r="15240" b="26670"/>
                <wp:wrapNone/>
                <wp:docPr id="72"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27760" cy="373380"/>
                        </a:xfrm>
                        <a:prstGeom prst="rect">
                          <a:avLst/>
                        </a:prstGeom>
                        <a:noFill/>
                        <a:ln w="12700">
                          <a:solidFill>
                            <a:srgbClr val="44546A">
                              <a:lumMod val="60000"/>
                              <a:lumOff val="40000"/>
                            </a:srgbClr>
                          </a:solidFill>
                        </a:ln>
                        <a:effectLst/>
                      </wps:spPr>
                      <wps:txbx>
                        <w:txbxContent>
                          <w:p w14:paraId="250A7B86" w14:textId="77777777" w:rsidR="00127DDC" w:rsidRPr="00C960F9" w:rsidRDefault="00127DDC" w:rsidP="00172973">
                            <w:pPr>
                              <w:pStyle w:val="NormalWeb"/>
                              <w:spacing w:before="0" w:beforeAutospacing="0" w:after="0" w:afterAutospacing="0"/>
                              <w:ind w:left="-144" w:right="-144"/>
                              <w:jc w:val="center"/>
                              <w:rPr>
                                <w:sz w:val="14"/>
                                <w:szCs w:val="14"/>
                              </w:rPr>
                            </w:pPr>
                            <w:r>
                              <w:rPr>
                                <w:sz w:val="14"/>
                                <w:szCs w:val="14"/>
                              </w:rPr>
                              <w:t xml:space="preserve">Conservation of </w:t>
                            </w:r>
                            <w:r w:rsidRPr="0036560E">
                              <w:rPr>
                                <w:sz w:val="14"/>
                                <w:szCs w:val="14"/>
                              </w:rPr>
                              <w:t>biodiversity hot-spots outside the PAs</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752587CF" id="Text Box 72" o:spid="_x0000_s1052" type="#_x0000_t202" style="position:absolute;margin-left:169.2pt;margin-top:.8pt;width:88.8pt;height:29.4pt;z-index:25169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" filled="f" strokecolor="#8497b0" strokeweight="1pt">
                <v:path arrowok="t"/>
                <v:textbox>
                  <w:txbxContent>
                    <w:p w14:paraId="250A7B86" w14:textId="77777777" w:rsidR="00127DDC" w:rsidRPr="00C960F9" w:rsidRDefault="00127DDC" w:rsidP="00172973">
                      <w:pPr>
                        <w:pStyle w:val="NormalWeb"/>
                        <w:spacing w:before="0" w:beforeAutospacing="0" w:after="0" w:afterAutospacing="0"/>
                        <w:ind w:left="-144" w:right="-144"/>
                        <w:jc w:val="center"/>
                        <w:rPr>
                          <w:sz w:val="14"/>
                          <w:szCs w:val="14"/>
                        </w:rPr>
                      </w:pPr>
                      <w:r>
                        <w:rPr>
                          <w:sz w:val="14"/>
                          <w:szCs w:val="14"/>
                        </w:rPr>
                        <w:t xml:space="preserve">Conservation of </w:t>
                      </w:r>
                      <w:r w:rsidRPr="0036560E">
                        <w:rPr>
                          <w:sz w:val="14"/>
                          <w:szCs w:val="14"/>
                        </w:rPr>
                        <w:t>biodiversity hot-spots outside the PAs</w:t>
                      </w:r>
                    </w:p>
                  </w:txbxContent>
                </v:textbox>
                <w10:wrap anchorx="margin"/>
              </v:shape>
            </w:pict>
          </mc:Fallback>
        </mc:AlternateContent>
      </w:r>
    </w:p>
    <w:p w14:paraId="68A54C19" w14:textId="6960F6A0" w:rsidR="00172973" w:rsidRPr="003B6A69" w:rsidRDefault="00172973" w:rsidP="00172973">
      <w:pPr>
        <w:spacing w:after="0" w:line="220" w:lineRule="exact"/>
        <w:jc w:val="left"/>
        <w:rPr>
          <w:rFonts w:ascii="Times New Roman" w:eastAsia="Times New Roman" w:hAnsi="Times New Roman"/>
          <w:sz w:val="24"/>
        </w:rPr>
      </w:pPr>
    </w:p>
    <w:p w14:paraId="28654D20" w14:textId="618CE9DF" w:rsidR="00172973" w:rsidRPr="003B6A69" w:rsidRDefault="009D53B6" w:rsidP="00172973">
      <w:pPr>
        <w:spacing w:after="0" w:line="220" w:lineRule="exact"/>
        <w:jc w:val="left"/>
        <w:rPr>
          <w:rFonts w:ascii="Times New Roman" w:eastAsia="Times New Roman" w:hAnsi="Times New Roman"/>
          <w:sz w:val="24"/>
        </w:rPr>
      </w:pPr>
      <w:r w:rsidRPr="003B6A69">
        <w:rPr>
          <w:rFonts w:ascii="Times New Roman" w:eastAsia="Times New Roman" w:hAnsi="Times New Roman"/>
          <w:noProof/>
          <w:sz w:val="24"/>
        </w:rPr>
        <mc:AlternateContent>
          <mc:Choice Requires="wps">
            <w:drawing>
              <wp:anchor distT="0" distB="0" distL="114300" distR="114300" simplePos="0" relativeHeight="251675648" behindDoc="0" locked="0" layoutInCell="1" allowOverlap="1" wp14:anchorId="3BD80623" wp14:editId="4EBCBBBA">
                <wp:simplePos x="0" y="0"/>
                <wp:positionH relativeFrom="margin">
                  <wp:posOffset>-701040</wp:posOffset>
                </wp:positionH>
                <wp:positionV relativeFrom="paragraph">
                  <wp:posOffset>209550</wp:posOffset>
                </wp:positionV>
                <wp:extent cx="861695" cy="1630680"/>
                <wp:effectExtent l="0" t="0" r="14605" b="26670"/>
                <wp:wrapNone/>
                <wp:docPr id="71"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1695" cy="1630680"/>
                        </a:xfrm>
                        <a:prstGeom prst="rect">
                          <a:avLst/>
                        </a:prstGeom>
                        <a:solidFill>
                          <a:sysClr val="window" lastClr="FFFFFF"/>
                        </a:solidFill>
                        <a:ln w="25400" cap="flat" cmpd="sng" algn="ctr">
                          <a:solidFill>
                            <a:srgbClr val="4BACC6"/>
                          </a:solidFill>
                          <a:prstDash val="solid"/>
                        </a:ln>
                        <a:effectLst/>
                      </wps:spPr>
                      <wps:txbx>
                        <w:txbxContent>
                          <w:p w14:paraId="1E318492" w14:textId="77777777" w:rsidR="00127DDC" w:rsidRPr="008E0A65" w:rsidRDefault="00127DDC" w:rsidP="00172973">
                            <w:pPr>
                              <w:pStyle w:val="NormalWeb"/>
                              <w:spacing w:before="0" w:beforeAutospacing="0" w:after="0" w:afterAutospacing="0"/>
                              <w:jc w:val="center"/>
                              <w:rPr>
                                <w:sz w:val="16"/>
                                <w:szCs w:val="16"/>
                              </w:rPr>
                            </w:pPr>
                            <w:r w:rsidRPr="008E0A65">
                              <w:rPr>
                                <w:b/>
                                <w:bCs/>
                                <w:color w:val="000000"/>
                                <w:kern w:val="24"/>
                                <w:sz w:val="16"/>
                                <w:szCs w:val="16"/>
                              </w:rPr>
                              <w:t xml:space="preserve">Project </w:t>
                            </w:r>
                            <w:r>
                              <w:rPr>
                                <w:b/>
                                <w:bCs/>
                                <w:color w:val="000000"/>
                                <w:kern w:val="24"/>
                                <w:sz w:val="16"/>
                                <w:szCs w:val="16"/>
                              </w:rPr>
                              <w:t>Outputs</w:t>
                            </w:r>
                          </w:p>
                        </w:txbxContent>
                      </wps:txbx>
                      <wps:bodyPr lIns="121789" tIns="60894" rIns="121789" bIns="60894" spcCol="0" rtlCol="0" anchor="ctr">
                        <a:noAutofit/>
                      </wps:bodyPr>
                    </wps:wsp>
                  </a:graphicData>
                </a:graphic>
                <wp14:sizeRelH relativeFrom="page">
                  <wp14:pctWidth>0</wp14:pctWidth>
                </wp14:sizeRelH>
                <wp14:sizeRelV relativeFrom="page">
                  <wp14:pctHeight>0</wp14:pctHeight>
                </wp14:sizeRelV>
              </wp:anchor>
            </w:drawing>
          </mc:Choice>
          <mc:Fallback>
            <w:pict>
              <v:rect w14:anchorId="3BD80623" id="Rectangle 71" o:spid="_x0000_s1053" style="position:absolute;margin-left:-55.2pt;margin-top:16.5pt;width:67.85pt;height:128.4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" fillcolor="window" strokecolor="#4bacc6" strokeweight="2pt">
                <v:path arrowok="t"/>
                <v:textbox inset="3.38303mm,1.6915mm,3.38303mm,1.6915mm">
                  <w:txbxContent>
                    <w:p w14:paraId="1E318492" w14:textId="77777777" w:rsidR="00127DDC" w:rsidRPr="008E0A65" w:rsidRDefault="00127DDC" w:rsidP="00172973">
                      <w:pPr>
                        <w:pStyle w:val="NormalWeb"/>
                        <w:spacing w:before="0" w:beforeAutospacing="0" w:after="0" w:afterAutospacing="0"/>
                        <w:jc w:val="center"/>
                        <w:rPr>
                          <w:sz w:val="16"/>
                          <w:szCs w:val="16"/>
                        </w:rPr>
                      </w:pPr>
                      <w:r w:rsidRPr="008E0A65">
                        <w:rPr>
                          <w:b/>
                          <w:bCs/>
                          <w:color w:val="000000"/>
                          <w:kern w:val="24"/>
                          <w:sz w:val="16"/>
                          <w:szCs w:val="16"/>
                        </w:rPr>
                        <w:t xml:space="preserve">Project </w:t>
                      </w:r>
                      <w:r>
                        <w:rPr>
                          <w:b/>
                          <w:bCs/>
                          <w:color w:val="000000"/>
                          <w:kern w:val="24"/>
                          <w:sz w:val="16"/>
                          <w:szCs w:val="16"/>
                        </w:rPr>
                        <w:t>Outputs</w:t>
                      </w:r>
                    </w:p>
                  </w:txbxContent>
                </v:textbox>
                <w10:wrap anchorx="margin"/>
              </v:rect>
            </w:pict>
          </mc:Fallback>
        </mc:AlternateContent>
      </w:r>
      <w:r w:rsidRPr="003B6A69">
        <w:rPr>
          <w:rFonts w:ascii="Times New Roman" w:eastAsia="Times New Roman" w:hAnsi="Times New Roman"/>
          <w:noProof/>
          <w:sz w:val="24"/>
        </w:rPr>
        <mc:AlternateContent>
          <mc:Choice Requires="wps">
            <w:drawing>
              <wp:anchor distT="0" distB="0" distL="114300" distR="114300" simplePos="0" relativeHeight="251696128" behindDoc="0" locked="0" layoutInCell="1" allowOverlap="1" wp14:anchorId="46B970A5" wp14:editId="75F4EC65">
                <wp:simplePos x="0" y="0"/>
                <wp:positionH relativeFrom="margin">
                  <wp:posOffset>716280</wp:posOffset>
                </wp:positionH>
                <wp:positionV relativeFrom="paragraph">
                  <wp:posOffset>140970</wp:posOffset>
                </wp:positionV>
                <wp:extent cx="1348740" cy="693420"/>
                <wp:effectExtent l="0" t="0" r="22860" b="11430"/>
                <wp:wrapNone/>
                <wp:docPr id="55"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48740" cy="693420"/>
                        </a:xfrm>
                        <a:prstGeom prst="rect">
                          <a:avLst/>
                        </a:prstGeom>
                        <a:noFill/>
                        <a:ln>
                          <a:solidFill>
                            <a:srgbClr val="4BACC6"/>
                          </a:solidFill>
                        </a:ln>
                        <a:extLst>
                          <a:ext uri="{FAA26D3D-D897-4be2-8F04-BA451C77F1D7}"/>
                          <a:ext uri="{C572A759-6A51-4108-AA02-DFA0A04FC94B}"/>
                        </a:extLst>
                      </wps:spPr>
                      <wps:txbx>
                        <w:txbxContent>
                          <w:p w14:paraId="42124906" w14:textId="681D451F" w:rsidR="00127DDC" w:rsidRPr="00C960F9" w:rsidRDefault="00127DDC" w:rsidP="00172973">
                            <w:pPr>
                              <w:pStyle w:val="NormalWeb"/>
                              <w:spacing w:before="0" w:beforeAutospacing="0" w:after="0" w:afterAutospacing="0"/>
                              <w:ind w:left="-115" w:right="-115"/>
                              <w:jc w:val="center"/>
                              <w:rPr>
                                <w:sz w:val="14"/>
                                <w:szCs w:val="14"/>
                              </w:rPr>
                            </w:pPr>
                            <w:r w:rsidRPr="009D53B6">
                              <w:rPr>
                                <w:sz w:val="14"/>
                                <w:szCs w:val="14"/>
                              </w:rPr>
                              <w:t>Revised management planning of the existing national PAs addresses the KBA conservation needs, international UNESCO and Ramsar requirements, newly assessed threats and climate risk</w:t>
                            </w:r>
                          </w:p>
                        </w:txbxContent>
                      </wps:txbx>
                      <wps:bodyPr wrap="square" rIns="91440" rtlCol="0">
                        <a:noAutofit/>
                      </wps:bodyPr>
                    </wps:wsp>
                  </a:graphicData>
                </a:graphic>
                <wp14:sizeRelH relativeFrom="margin">
                  <wp14:pctWidth>0</wp14:pctWidth>
                </wp14:sizeRelH>
                <wp14:sizeRelV relativeFrom="margin">
                  <wp14:pctHeight>0</wp14:pctHeight>
                </wp14:sizeRelV>
              </wp:anchor>
            </w:drawing>
          </mc:Choice>
          <mc:Fallback>
            <w:pict>
              <v:shape w14:anchorId="46B970A5" id="Text Box 55" o:spid="_x0000_s1054" type="#_x0000_t202" style="position:absolute;margin-left:56.4pt;margin-top:11.1pt;width:106.2pt;height:54.6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" filled="f" strokecolor="#4bacc6">
                <v:path arrowok="t"/>
                <v:textbox>
                  <w:txbxContent>
                    <w:p w14:paraId="42124906" w14:textId="681D451F" w:rsidR="00127DDC" w:rsidRPr="00C960F9" w:rsidRDefault="00127DDC" w:rsidP="00172973">
                      <w:pPr>
                        <w:pStyle w:val="NormalWeb"/>
                        <w:spacing w:before="0" w:beforeAutospacing="0" w:after="0" w:afterAutospacing="0"/>
                        <w:ind w:left="-115" w:right="-115"/>
                        <w:jc w:val="center"/>
                        <w:rPr>
                          <w:sz w:val="14"/>
                          <w:szCs w:val="14"/>
                        </w:rPr>
                      </w:pPr>
                      <w:r w:rsidRPr="009D53B6">
                        <w:rPr>
                          <w:sz w:val="14"/>
                          <w:szCs w:val="14"/>
                        </w:rPr>
                        <w:t>Revised management planning of the existing national PAs addresses the KBA conservation needs, international UNESCO and Ramsar requirements, newly assessed threats and climate risk</w:t>
                      </w:r>
                    </w:p>
                  </w:txbxContent>
                </v:textbox>
                <w10:wrap anchorx="margin"/>
              </v:shape>
            </w:pict>
          </mc:Fallback>
        </mc:AlternateContent>
      </w:r>
    </w:p>
    <w:p w14:paraId="514C89A2" w14:textId="5D1B14A5" w:rsidR="00172973" w:rsidRPr="003B6A69" w:rsidRDefault="00752247" w:rsidP="00172973">
      <w:pPr>
        <w:spacing w:after="0" w:line="220" w:lineRule="exact"/>
        <w:jc w:val="left"/>
        <w:rPr>
          <w:rFonts w:ascii="Times New Roman" w:eastAsia="Times New Roman" w:hAnsi="Times New Roman"/>
          <w:sz w:val="24"/>
        </w:rPr>
      </w:pPr>
      <w:r w:rsidRPr="003B6A69">
        <w:rPr>
          <w:rFonts w:ascii="Times New Roman" w:eastAsia="Times New Roman" w:hAnsi="Times New Roman"/>
          <w:noProof/>
          <w:sz w:val="24"/>
        </w:rPr>
        <mc:AlternateContent>
          <mc:Choice Requires="wps">
            <w:drawing>
              <wp:anchor distT="0" distB="0" distL="114300" distR="114300" simplePos="0" relativeHeight="251686912" behindDoc="0" locked="0" layoutInCell="1" allowOverlap="1" wp14:anchorId="5D7502F4" wp14:editId="2264CE2D">
                <wp:simplePos x="0" y="0"/>
                <wp:positionH relativeFrom="margin">
                  <wp:posOffset>3916680</wp:posOffset>
                </wp:positionH>
                <wp:positionV relativeFrom="paragraph">
                  <wp:posOffset>54610</wp:posOffset>
                </wp:positionV>
                <wp:extent cx="1203960" cy="388620"/>
                <wp:effectExtent l="0" t="0" r="15240" b="11430"/>
                <wp:wrapNone/>
                <wp:docPr id="63"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03960" cy="388620"/>
                        </a:xfrm>
                        <a:prstGeom prst="rect">
                          <a:avLst/>
                        </a:prstGeom>
                        <a:noFill/>
                        <a:ln>
                          <a:solidFill>
                            <a:srgbClr val="4BACC6"/>
                          </a:solidFill>
                        </a:ln>
                        <a:extLst>
                          <a:ext uri="{FAA26D3D-D897-4be2-8F04-BA451C77F1D7}"/>
                          <a:ext uri="{C572A759-6A51-4108-AA02-DFA0A04FC94B}"/>
                        </a:extLst>
                      </wps:spPr>
                      <wps:txbx>
                        <w:txbxContent>
                          <w:p w14:paraId="26C8468B" w14:textId="77777777" w:rsidR="00127DDC" w:rsidRPr="00C960F9" w:rsidRDefault="00127DDC" w:rsidP="00172973">
                            <w:pPr>
                              <w:pStyle w:val="NormalWeb"/>
                              <w:spacing w:before="0" w:beforeAutospacing="0" w:after="0" w:afterAutospacing="0"/>
                              <w:ind w:left="-115" w:right="-115"/>
                              <w:jc w:val="center"/>
                              <w:rPr>
                                <w:sz w:val="14"/>
                                <w:szCs w:val="14"/>
                              </w:rPr>
                            </w:pPr>
                            <w:r w:rsidRPr="00875433">
                              <w:rPr>
                                <w:sz w:val="14"/>
                                <w:szCs w:val="14"/>
                              </w:rPr>
                              <w:t>Best-practice standards for nature-based BD friendly tourism developed and endorsed</w:t>
                            </w:r>
                          </w:p>
                        </w:txbxContent>
                      </wps:txbx>
                      <wps:bodyPr wrap="square" rIns="91440" rtlCol="0">
                        <a:noAutofit/>
                      </wps:bodyPr>
                    </wps:wsp>
                  </a:graphicData>
                </a:graphic>
                <wp14:sizeRelH relativeFrom="margin">
                  <wp14:pctWidth>0</wp14:pctWidth>
                </wp14:sizeRelH>
                <wp14:sizeRelV relativeFrom="margin">
                  <wp14:pctHeight>0</wp14:pctHeight>
                </wp14:sizeRelV>
              </wp:anchor>
            </w:drawing>
          </mc:Choice>
          <mc:Fallback>
            <w:pict>
              <v:shape w14:anchorId="5D7502F4" id="Text Box 63" o:spid="_x0000_s1055" type="#_x0000_t202" style="position:absolute;margin-left:308.4pt;margin-top:4.3pt;width:94.8pt;height:30.6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" filled="f" strokecolor="#4bacc6">
                <v:path arrowok="t"/>
                <v:textbox>
                  <w:txbxContent>
                    <w:p w14:paraId="26C8468B" w14:textId="77777777" w:rsidR="00127DDC" w:rsidRPr="00C960F9" w:rsidRDefault="00127DDC" w:rsidP="00172973">
                      <w:pPr>
                        <w:pStyle w:val="NormalWeb"/>
                        <w:spacing w:before="0" w:beforeAutospacing="0" w:after="0" w:afterAutospacing="0"/>
                        <w:ind w:left="-115" w:right="-115"/>
                        <w:jc w:val="center"/>
                        <w:rPr>
                          <w:sz w:val="14"/>
                          <w:szCs w:val="14"/>
                        </w:rPr>
                      </w:pPr>
                      <w:r w:rsidRPr="00875433">
                        <w:rPr>
                          <w:sz w:val="14"/>
                          <w:szCs w:val="14"/>
                        </w:rPr>
                        <w:t>Best-practice standards for nature-based BD friendly tourism developed and endorsed</w:t>
                      </w:r>
                    </w:p>
                  </w:txbxContent>
                </v:textbox>
                <w10:wrap anchorx="margin"/>
              </v:shape>
            </w:pict>
          </mc:Fallback>
        </mc:AlternateContent>
      </w:r>
      <w:r w:rsidR="00172973" w:rsidRPr="003B6A69">
        <w:rPr>
          <w:rFonts w:ascii="Times New Roman" w:eastAsia="Times New Roman" w:hAnsi="Times New Roman"/>
          <w:noProof/>
          <w:sz w:val="24"/>
        </w:rPr>
        <mc:AlternateContent>
          <mc:Choice Requires="wps">
            <w:drawing>
              <wp:anchor distT="0" distB="0" distL="114300" distR="114300" simplePos="0" relativeHeight="251703296" behindDoc="0" locked="0" layoutInCell="1" allowOverlap="1" wp14:anchorId="697042F5" wp14:editId="72F3E4D1">
                <wp:simplePos x="0" y="0"/>
                <wp:positionH relativeFrom="margin">
                  <wp:posOffset>7505700</wp:posOffset>
                </wp:positionH>
                <wp:positionV relativeFrom="paragraph">
                  <wp:posOffset>94615</wp:posOffset>
                </wp:positionV>
                <wp:extent cx="960120" cy="487680"/>
                <wp:effectExtent l="0" t="0" r="11430" b="26670"/>
                <wp:wrapNone/>
                <wp:docPr id="70"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0120" cy="487680"/>
                        </a:xfrm>
                        <a:prstGeom prst="rect">
                          <a:avLst/>
                        </a:prstGeom>
                        <a:noFill/>
                        <a:ln>
                          <a:solidFill>
                            <a:srgbClr val="4BACC6"/>
                          </a:solidFill>
                        </a:ln>
                        <a:extLst>
                          <a:ext uri="{FAA26D3D-D897-4be2-8F04-BA451C77F1D7}"/>
                          <a:ext uri="{C572A759-6A51-4108-AA02-DFA0A04FC94B}"/>
                        </a:extLst>
                      </wps:spPr>
                      <wps:txbx>
                        <w:txbxContent>
                          <w:p w14:paraId="6CB7940D" w14:textId="77777777" w:rsidR="00127DDC" w:rsidRPr="00C960F9" w:rsidRDefault="00127DDC" w:rsidP="00172973">
                            <w:pPr>
                              <w:pStyle w:val="NormalWeb"/>
                              <w:spacing w:before="0" w:beforeAutospacing="0" w:after="0" w:afterAutospacing="0"/>
                              <w:ind w:left="-115" w:right="-115"/>
                              <w:jc w:val="center"/>
                              <w:rPr>
                                <w:sz w:val="14"/>
                                <w:szCs w:val="14"/>
                              </w:rPr>
                            </w:pPr>
                            <w:r w:rsidRPr="00DC79AD">
                              <w:rPr>
                                <w:sz w:val="14"/>
                                <w:szCs w:val="14"/>
                              </w:rPr>
                              <w:t>Knowledge products and lessons learned documented and disseminated</w:t>
                            </w:r>
                          </w:p>
                        </w:txbxContent>
                      </wps:txbx>
                      <wps:bodyPr wrap="square" rIns="91440" rtlCol="0">
                        <a:noAutofit/>
                      </wps:bodyPr>
                    </wps:wsp>
                  </a:graphicData>
                </a:graphic>
                <wp14:sizeRelH relativeFrom="margin">
                  <wp14:pctWidth>0</wp14:pctWidth>
                </wp14:sizeRelH>
                <wp14:sizeRelV relativeFrom="margin">
                  <wp14:pctHeight>0</wp14:pctHeight>
                </wp14:sizeRelV>
              </wp:anchor>
            </w:drawing>
          </mc:Choice>
          <mc:Fallback>
            <w:pict>
              <v:shape w14:anchorId="697042F5" id="Text Box 70" o:spid="_x0000_s1056" type="#_x0000_t202" style="position:absolute;margin-left:591pt;margin-top:7.45pt;width:75.6pt;height:38.4pt;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" filled="f" strokecolor="#4bacc6">
                <v:path arrowok="t"/>
                <v:textbox>
                  <w:txbxContent>
                    <w:p w14:paraId="6CB7940D" w14:textId="77777777" w:rsidR="00127DDC" w:rsidRPr="00C960F9" w:rsidRDefault="00127DDC" w:rsidP="00172973">
                      <w:pPr>
                        <w:pStyle w:val="NormalWeb"/>
                        <w:spacing w:before="0" w:beforeAutospacing="0" w:after="0" w:afterAutospacing="0"/>
                        <w:ind w:left="-115" w:right="-115"/>
                        <w:jc w:val="center"/>
                        <w:rPr>
                          <w:sz w:val="14"/>
                          <w:szCs w:val="14"/>
                        </w:rPr>
                      </w:pPr>
                      <w:r w:rsidRPr="00DC79AD">
                        <w:rPr>
                          <w:sz w:val="14"/>
                          <w:szCs w:val="14"/>
                        </w:rPr>
                        <w:t>Knowledge products and lessons learned documented and disseminated</w:t>
                      </w:r>
                    </w:p>
                  </w:txbxContent>
                </v:textbox>
                <w10:wrap anchorx="margin"/>
              </v:shape>
            </w:pict>
          </mc:Fallback>
        </mc:AlternateContent>
      </w:r>
      <w:r w:rsidR="00172973" w:rsidRPr="003B6A69">
        <w:rPr>
          <w:rFonts w:ascii="Times New Roman" w:eastAsia="Times New Roman" w:hAnsi="Times New Roman"/>
          <w:noProof/>
          <w:sz w:val="24"/>
        </w:rPr>
        <mc:AlternateContent>
          <mc:Choice Requires="wps">
            <w:drawing>
              <wp:anchor distT="0" distB="0" distL="114300" distR="114300" simplePos="0" relativeHeight="251692032" behindDoc="0" locked="0" layoutInCell="1" allowOverlap="1" wp14:anchorId="12C58D78" wp14:editId="3D8E5E60">
                <wp:simplePos x="0" y="0"/>
                <wp:positionH relativeFrom="margin">
                  <wp:posOffset>6423660</wp:posOffset>
                </wp:positionH>
                <wp:positionV relativeFrom="paragraph">
                  <wp:posOffset>78740</wp:posOffset>
                </wp:positionV>
                <wp:extent cx="960120" cy="487680"/>
                <wp:effectExtent l="0" t="0" r="11430" b="26670"/>
                <wp:wrapNone/>
                <wp:docPr id="69"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0120" cy="487680"/>
                        </a:xfrm>
                        <a:prstGeom prst="rect">
                          <a:avLst/>
                        </a:prstGeom>
                        <a:noFill/>
                        <a:ln>
                          <a:solidFill>
                            <a:srgbClr val="4BACC6"/>
                          </a:solidFill>
                        </a:ln>
                        <a:extLst>
                          <a:ext uri="{FAA26D3D-D897-4be2-8F04-BA451C77F1D7}"/>
                          <a:ext uri="{C572A759-6A51-4108-AA02-DFA0A04FC94B}"/>
                        </a:extLst>
                      </wps:spPr>
                      <wps:txbx>
                        <w:txbxContent>
                          <w:p w14:paraId="59B7ADB5" w14:textId="77777777" w:rsidR="00127DDC" w:rsidRPr="00C960F9" w:rsidRDefault="00127DDC" w:rsidP="00172973">
                            <w:pPr>
                              <w:pStyle w:val="NormalWeb"/>
                              <w:spacing w:before="0" w:beforeAutospacing="0" w:after="0" w:afterAutospacing="0"/>
                              <w:ind w:left="-115" w:right="-115"/>
                              <w:jc w:val="center"/>
                              <w:rPr>
                                <w:sz w:val="14"/>
                                <w:szCs w:val="14"/>
                              </w:rPr>
                            </w:pPr>
                            <w:r w:rsidRPr="001326A0">
                              <w:rPr>
                                <w:sz w:val="14"/>
                                <w:szCs w:val="14"/>
                              </w:rPr>
                              <w:t>Biodiversity conservation incentives for “green” small-scale farming introduced</w:t>
                            </w:r>
                          </w:p>
                        </w:txbxContent>
                      </wps:txbx>
                      <wps:bodyPr wrap="square" rIns="91440" rtlCol="0">
                        <a:noAutofit/>
                      </wps:bodyPr>
                    </wps:wsp>
                  </a:graphicData>
                </a:graphic>
                <wp14:sizeRelH relativeFrom="margin">
                  <wp14:pctWidth>0</wp14:pctWidth>
                </wp14:sizeRelH>
                <wp14:sizeRelV relativeFrom="margin">
                  <wp14:pctHeight>0</wp14:pctHeight>
                </wp14:sizeRelV>
              </wp:anchor>
            </w:drawing>
          </mc:Choice>
          <mc:Fallback>
            <w:pict>
              <v:shape w14:anchorId="12C58D78" id="Text Box 69" o:spid="_x0000_s1057" type="#_x0000_t202" style="position:absolute;margin-left:505.8pt;margin-top:6.2pt;width:75.6pt;height:38.4pt;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" filled="f" strokecolor="#4bacc6">
                <v:path arrowok="t"/>
                <v:textbox>
                  <w:txbxContent>
                    <w:p w14:paraId="59B7ADB5" w14:textId="77777777" w:rsidR="00127DDC" w:rsidRPr="00C960F9" w:rsidRDefault="00127DDC" w:rsidP="00172973">
                      <w:pPr>
                        <w:pStyle w:val="NormalWeb"/>
                        <w:spacing w:before="0" w:beforeAutospacing="0" w:after="0" w:afterAutospacing="0"/>
                        <w:ind w:left="-115" w:right="-115"/>
                        <w:jc w:val="center"/>
                        <w:rPr>
                          <w:sz w:val="14"/>
                          <w:szCs w:val="14"/>
                        </w:rPr>
                      </w:pPr>
                      <w:r w:rsidRPr="001326A0">
                        <w:rPr>
                          <w:sz w:val="14"/>
                          <w:szCs w:val="14"/>
                        </w:rPr>
                        <w:t>Biodiversity conservation incentives for “green” small-scale farming introduced</w:t>
                      </w:r>
                    </w:p>
                  </w:txbxContent>
                </v:textbox>
                <w10:wrap anchorx="margin"/>
              </v:shape>
            </w:pict>
          </mc:Fallback>
        </mc:AlternateContent>
      </w:r>
      <w:r w:rsidR="00172973" w:rsidRPr="003B6A69">
        <w:rPr>
          <w:rFonts w:ascii="Times New Roman" w:eastAsia="Times New Roman" w:hAnsi="Times New Roman"/>
          <w:noProof/>
          <w:sz w:val="24"/>
        </w:rPr>
        <mc:AlternateContent>
          <mc:Choice Requires="wps">
            <w:drawing>
              <wp:anchor distT="0" distB="0" distL="114300" distR="114300" simplePos="0" relativeHeight="251695104" behindDoc="0" locked="0" layoutInCell="1" allowOverlap="1" wp14:anchorId="3FD0ED9D" wp14:editId="20E8F493">
                <wp:simplePos x="0" y="0"/>
                <wp:positionH relativeFrom="margin">
                  <wp:posOffset>5212080</wp:posOffset>
                </wp:positionH>
                <wp:positionV relativeFrom="paragraph">
                  <wp:posOffset>55880</wp:posOffset>
                </wp:positionV>
                <wp:extent cx="1104900" cy="541020"/>
                <wp:effectExtent l="0" t="0" r="19050" b="11430"/>
                <wp:wrapNone/>
                <wp:docPr id="67"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4900" cy="541020"/>
                        </a:xfrm>
                        <a:prstGeom prst="rect">
                          <a:avLst/>
                        </a:prstGeom>
                        <a:noFill/>
                        <a:ln>
                          <a:solidFill>
                            <a:srgbClr val="4BACC6"/>
                          </a:solidFill>
                        </a:ln>
                        <a:extLst>
                          <a:ext uri="{FAA26D3D-D897-4be2-8F04-BA451C77F1D7}"/>
                          <a:ext uri="{C572A759-6A51-4108-AA02-DFA0A04FC94B}"/>
                        </a:extLst>
                      </wps:spPr>
                      <wps:txbx>
                        <w:txbxContent>
                          <w:p w14:paraId="768FE3AC" w14:textId="6013E6DD" w:rsidR="00127DDC" w:rsidRPr="00172973" w:rsidRDefault="00127DDC" w:rsidP="00172973">
                            <w:pPr>
                              <w:ind w:left="-144" w:right="-144"/>
                              <w:jc w:val="center"/>
                              <w:rPr>
                                <w:rFonts w:ascii="Times New Roman" w:hAnsi="Times New Roman"/>
                                <w:sz w:val="14"/>
                                <w:szCs w:val="14"/>
                              </w:rPr>
                            </w:pPr>
                            <w:r w:rsidRPr="00172973">
                              <w:rPr>
                                <w:rFonts w:ascii="Times New Roman" w:hAnsi="Times New Roman"/>
                                <w:sz w:val="14"/>
                                <w:szCs w:val="14"/>
                              </w:rPr>
                              <w:t>Best-practice standards mainstreaming biodiversity-friendly forestry practices developed</w:t>
                            </w:r>
                            <w:r>
                              <w:rPr>
                                <w:rFonts w:ascii="Times New Roman" w:hAnsi="Times New Roman"/>
                                <w:sz w:val="14"/>
                                <w:szCs w:val="14"/>
                              </w:rPr>
                              <w:t xml:space="preserve"> and endorsed</w:t>
                            </w:r>
                          </w:p>
                        </w:txbxContent>
                      </wps:txbx>
                      <wps:bodyPr wrap="square" rIns="91440" rtlCol="0">
                        <a:noAutofit/>
                      </wps:bodyPr>
                    </wps:wsp>
                  </a:graphicData>
                </a:graphic>
                <wp14:sizeRelH relativeFrom="margin">
                  <wp14:pctWidth>0</wp14:pctWidth>
                </wp14:sizeRelH>
                <wp14:sizeRelV relativeFrom="margin">
                  <wp14:pctHeight>0</wp14:pctHeight>
                </wp14:sizeRelV>
              </wp:anchor>
            </w:drawing>
          </mc:Choice>
          <mc:Fallback>
            <w:pict>
              <v:shape w14:anchorId="3FD0ED9D" id="Text Box 67" o:spid="_x0000_s1058" type="#_x0000_t202" style="position:absolute;margin-left:410.4pt;margin-top:4.4pt;width:87pt;height:42.6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" filled="f" strokecolor="#4bacc6">
                <v:path arrowok="t"/>
                <v:textbox>
                  <w:txbxContent>
                    <w:p w14:paraId="768FE3AC" w14:textId="6013E6DD" w:rsidR="00127DDC" w:rsidRPr="00172973" w:rsidRDefault="00127DDC" w:rsidP="00172973">
                      <w:pPr>
                        <w:ind w:left="-144" w:right="-144"/>
                        <w:jc w:val="center"/>
                        <w:rPr>
                          <w:rFonts w:ascii="Times New Roman" w:hAnsi="Times New Roman"/>
                          <w:sz w:val="14"/>
                          <w:szCs w:val="14"/>
                        </w:rPr>
                      </w:pPr>
                      <w:r w:rsidRPr="00172973">
                        <w:rPr>
                          <w:rFonts w:ascii="Times New Roman" w:hAnsi="Times New Roman"/>
                          <w:sz w:val="14"/>
                          <w:szCs w:val="14"/>
                        </w:rPr>
                        <w:t>Best-practice standards mainstreaming biodiversity-friendly forestry practices developed</w:t>
                      </w:r>
                      <w:r>
                        <w:rPr>
                          <w:rFonts w:ascii="Times New Roman" w:hAnsi="Times New Roman"/>
                          <w:sz w:val="14"/>
                          <w:szCs w:val="14"/>
                        </w:rPr>
                        <w:t xml:space="preserve"> and endorsed</w:t>
                      </w:r>
                    </w:p>
                  </w:txbxContent>
                </v:textbox>
                <w10:wrap anchorx="margin"/>
              </v:shape>
            </w:pict>
          </mc:Fallback>
        </mc:AlternateContent>
      </w:r>
      <w:r w:rsidR="00172973" w:rsidRPr="003B6A69">
        <w:rPr>
          <w:rFonts w:ascii="Times New Roman" w:eastAsia="Times New Roman" w:hAnsi="Times New Roman"/>
          <w:noProof/>
          <w:sz w:val="24"/>
        </w:rPr>
        <mc:AlternateContent>
          <mc:Choice Requires="wps">
            <w:drawing>
              <wp:anchor distT="0" distB="0" distL="114300" distR="114300" simplePos="0" relativeHeight="251661312" behindDoc="0" locked="0" layoutInCell="1" allowOverlap="1" wp14:anchorId="0BF8A8EB" wp14:editId="219DA360">
                <wp:simplePos x="0" y="0"/>
                <wp:positionH relativeFrom="margin">
                  <wp:posOffset>2139950</wp:posOffset>
                </wp:positionH>
                <wp:positionV relativeFrom="paragraph">
                  <wp:posOffset>63500</wp:posOffset>
                </wp:positionV>
                <wp:extent cx="1187450" cy="518795"/>
                <wp:effectExtent l="0" t="0" r="12700" b="14605"/>
                <wp:wrapNone/>
                <wp:docPr id="65"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87450" cy="518795"/>
                        </a:xfrm>
                        <a:prstGeom prst="rect">
                          <a:avLst/>
                        </a:prstGeom>
                        <a:noFill/>
                        <a:ln>
                          <a:solidFill>
                            <a:srgbClr val="4BACC6"/>
                          </a:solidFill>
                        </a:ln>
                        <a:extLst>
                          <a:ext uri="{FAA26D3D-D897-4be2-8F04-BA451C77F1D7}"/>
                          <a:ext uri="{C572A759-6A51-4108-AA02-DFA0A04FC94B}"/>
                        </a:extLst>
                      </wps:spPr>
                      <wps:txbx>
                        <w:txbxContent>
                          <w:p w14:paraId="69596D70" w14:textId="77753D95" w:rsidR="00127DDC" w:rsidRPr="00C960F9" w:rsidRDefault="00127DDC" w:rsidP="00172973">
                            <w:pPr>
                              <w:pStyle w:val="NormalWeb"/>
                              <w:spacing w:before="0" w:beforeAutospacing="0" w:after="0" w:afterAutospacing="0"/>
                              <w:ind w:left="-72" w:right="-72"/>
                              <w:jc w:val="center"/>
                              <w:rPr>
                                <w:sz w:val="14"/>
                                <w:szCs w:val="14"/>
                              </w:rPr>
                            </w:pPr>
                            <w:r w:rsidRPr="009D53B6">
                              <w:rPr>
                                <w:sz w:val="14"/>
                                <w:szCs w:val="14"/>
                              </w:rPr>
                              <w:t>Baseline studies and justification of priorities for protection of key biodiversity hot-spots outside PAs</w:t>
                            </w:r>
                          </w:p>
                        </w:txbxContent>
                      </wps:txbx>
                      <wps:bodyPr wrap="square" rIns="91440" rtlCol="0">
                        <a:noAutofit/>
                      </wps:bodyPr>
                    </wps:wsp>
                  </a:graphicData>
                </a:graphic>
                <wp14:sizeRelH relativeFrom="margin">
                  <wp14:pctWidth>0</wp14:pctWidth>
                </wp14:sizeRelH>
                <wp14:sizeRelV relativeFrom="margin">
                  <wp14:pctHeight>0</wp14:pctHeight>
                </wp14:sizeRelV>
              </wp:anchor>
            </w:drawing>
          </mc:Choice>
          <mc:Fallback>
            <w:pict>
              <v:shape w14:anchorId="0BF8A8EB" id="Text Box 65" o:spid="_x0000_s1059" type="#_x0000_t202" style="position:absolute;margin-left:168.5pt;margin-top:5pt;width:93.5pt;height:40.8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" filled="f" strokecolor="#4bacc6">
                <v:path arrowok="t"/>
                <v:textbox>
                  <w:txbxContent>
                    <w:p w14:paraId="69596D70" w14:textId="77753D95" w:rsidR="00127DDC" w:rsidRPr="00C960F9" w:rsidRDefault="00127DDC" w:rsidP="00172973">
                      <w:pPr>
                        <w:pStyle w:val="NormalWeb"/>
                        <w:spacing w:before="0" w:beforeAutospacing="0" w:after="0" w:afterAutospacing="0"/>
                        <w:ind w:left="-72" w:right="-72"/>
                        <w:jc w:val="center"/>
                        <w:rPr>
                          <w:sz w:val="14"/>
                          <w:szCs w:val="14"/>
                        </w:rPr>
                      </w:pPr>
                      <w:r w:rsidRPr="009D53B6">
                        <w:rPr>
                          <w:sz w:val="14"/>
                          <w:szCs w:val="14"/>
                        </w:rPr>
                        <w:t>Baseline studies and justification of priorities for protection of key biodiversity hot-spots outside PAs</w:t>
                      </w:r>
                    </w:p>
                  </w:txbxContent>
                </v:textbox>
                <w10:wrap anchorx="margin"/>
              </v:shape>
            </w:pict>
          </mc:Fallback>
        </mc:AlternateContent>
      </w:r>
    </w:p>
    <w:p w14:paraId="0048F0DC" w14:textId="39F6E184" w:rsidR="00172973" w:rsidRPr="003B6A69" w:rsidRDefault="00172973" w:rsidP="00172973">
      <w:pPr>
        <w:spacing w:after="0" w:line="220" w:lineRule="exact"/>
        <w:jc w:val="left"/>
        <w:rPr>
          <w:rFonts w:ascii="Times New Roman" w:eastAsia="Times New Roman" w:hAnsi="Times New Roman"/>
          <w:sz w:val="24"/>
        </w:rPr>
      </w:pPr>
    </w:p>
    <w:p w14:paraId="094CD5B5" w14:textId="65A4B5A1" w:rsidR="00172973" w:rsidRPr="003B6A69" w:rsidRDefault="00172973" w:rsidP="00172973">
      <w:pPr>
        <w:spacing w:after="0" w:line="220" w:lineRule="exact"/>
        <w:jc w:val="left"/>
        <w:rPr>
          <w:rFonts w:ascii="Times New Roman" w:eastAsia="Times New Roman" w:hAnsi="Times New Roman"/>
          <w:sz w:val="24"/>
        </w:rPr>
      </w:pPr>
    </w:p>
    <w:p w14:paraId="63AF338E" w14:textId="1BF30866" w:rsidR="00172973" w:rsidRPr="003B6A69" w:rsidRDefault="00752247" w:rsidP="00172973">
      <w:pPr>
        <w:spacing w:after="0" w:line="220" w:lineRule="exact"/>
        <w:jc w:val="left"/>
        <w:rPr>
          <w:rFonts w:ascii="Times New Roman" w:eastAsia="Times New Roman" w:hAnsi="Times New Roman"/>
          <w:sz w:val="24"/>
        </w:rPr>
      </w:pPr>
      <w:r w:rsidRPr="003B6A69">
        <w:rPr>
          <w:rFonts w:ascii="Times New Roman" w:eastAsia="Times New Roman" w:hAnsi="Times New Roman"/>
          <w:noProof/>
          <w:sz w:val="24"/>
        </w:rPr>
        <mc:AlternateContent>
          <mc:Choice Requires="wps">
            <w:drawing>
              <wp:anchor distT="0" distB="0" distL="114300" distR="114300" simplePos="0" relativeHeight="251663360" behindDoc="0" locked="0" layoutInCell="1" allowOverlap="1" wp14:anchorId="6CFF44B2" wp14:editId="48004E88">
                <wp:simplePos x="0" y="0"/>
                <wp:positionH relativeFrom="margin">
                  <wp:posOffset>3909060</wp:posOffset>
                </wp:positionH>
                <wp:positionV relativeFrom="paragraph">
                  <wp:posOffset>85090</wp:posOffset>
                </wp:positionV>
                <wp:extent cx="1219200" cy="541020"/>
                <wp:effectExtent l="0" t="0" r="19050" b="11430"/>
                <wp:wrapNone/>
                <wp:docPr id="62"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19200" cy="541020"/>
                        </a:xfrm>
                        <a:prstGeom prst="rect">
                          <a:avLst/>
                        </a:prstGeom>
                        <a:noFill/>
                        <a:ln>
                          <a:solidFill>
                            <a:srgbClr val="4BACC6"/>
                          </a:solidFill>
                        </a:ln>
                        <a:extLst>
                          <a:ext uri="{FAA26D3D-D897-4be2-8F04-BA451C77F1D7}"/>
                          <a:ext uri="{C572A759-6A51-4108-AA02-DFA0A04FC94B}"/>
                        </a:extLst>
                      </wps:spPr>
                      <wps:txbx>
                        <w:txbxContent>
                          <w:p w14:paraId="6C4708B4" w14:textId="7F119D46" w:rsidR="00127DDC" w:rsidRPr="00C960F9" w:rsidRDefault="00127DDC" w:rsidP="00172973">
                            <w:pPr>
                              <w:pStyle w:val="NormalWeb"/>
                              <w:spacing w:before="0" w:beforeAutospacing="0" w:after="0" w:afterAutospacing="0"/>
                              <w:ind w:left="-144" w:right="-144"/>
                              <w:jc w:val="center"/>
                              <w:rPr>
                                <w:sz w:val="14"/>
                                <w:szCs w:val="14"/>
                              </w:rPr>
                            </w:pPr>
                            <w:r w:rsidRPr="009D53B6">
                              <w:rPr>
                                <w:sz w:val="14"/>
                                <w:szCs w:val="14"/>
                              </w:rPr>
                              <w:t>Public-private partnerships in tourism as a post-COVID resilience mechanism for responsible tourism development</w:t>
                            </w:r>
                          </w:p>
                        </w:txbxContent>
                      </wps:txbx>
                      <wps:bodyPr wrap="square" rIns="91440" rtlCol="0">
                        <a:noAutofit/>
                      </wps:bodyPr>
                    </wps:wsp>
                  </a:graphicData>
                </a:graphic>
                <wp14:sizeRelH relativeFrom="margin">
                  <wp14:pctWidth>0</wp14:pctWidth>
                </wp14:sizeRelH>
                <wp14:sizeRelV relativeFrom="margin">
                  <wp14:pctHeight>0</wp14:pctHeight>
                </wp14:sizeRelV>
              </wp:anchor>
            </w:drawing>
          </mc:Choice>
          <mc:Fallback>
            <w:pict>
              <v:shape w14:anchorId="6CFF44B2" id="Text Box 62" o:spid="_x0000_s1060" type="#_x0000_t202" style="position:absolute;margin-left:307.8pt;margin-top:6.7pt;width:96pt;height:42.6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" filled="f" strokecolor="#4bacc6">
                <v:path arrowok="t"/>
                <v:textbox>
                  <w:txbxContent>
                    <w:p w14:paraId="6C4708B4" w14:textId="7F119D46" w:rsidR="00127DDC" w:rsidRPr="00C960F9" w:rsidRDefault="00127DDC" w:rsidP="00172973">
                      <w:pPr>
                        <w:pStyle w:val="NormalWeb"/>
                        <w:spacing w:before="0" w:beforeAutospacing="0" w:after="0" w:afterAutospacing="0"/>
                        <w:ind w:left="-144" w:right="-144"/>
                        <w:jc w:val="center"/>
                        <w:rPr>
                          <w:sz w:val="14"/>
                          <w:szCs w:val="14"/>
                        </w:rPr>
                      </w:pPr>
                      <w:r w:rsidRPr="009D53B6">
                        <w:rPr>
                          <w:sz w:val="14"/>
                          <w:szCs w:val="14"/>
                        </w:rPr>
                        <w:t>Public-private partnerships in tourism as a post-COVID resilience mechanism for responsible tourism development</w:t>
                      </w:r>
                    </w:p>
                  </w:txbxContent>
                </v:textbox>
                <w10:wrap anchorx="margin"/>
              </v:shape>
            </w:pict>
          </mc:Fallback>
        </mc:AlternateContent>
      </w:r>
    </w:p>
    <w:p w14:paraId="5359BCA5" w14:textId="43726F32" w:rsidR="00172973" w:rsidRPr="003B6A69" w:rsidRDefault="00172973" w:rsidP="00172973">
      <w:pPr>
        <w:spacing w:after="0" w:line="220" w:lineRule="exact"/>
        <w:jc w:val="left"/>
        <w:rPr>
          <w:rFonts w:ascii="Times New Roman" w:eastAsia="Times New Roman" w:hAnsi="Times New Roman"/>
          <w:sz w:val="24"/>
        </w:rPr>
      </w:pPr>
      <w:r w:rsidRPr="003B6A69">
        <w:rPr>
          <w:rFonts w:ascii="Times New Roman" w:eastAsia="Times New Roman" w:hAnsi="Times New Roman"/>
          <w:noProof/>
          <w:sz w:val="24"/>
        </w:rPr>
        <mc:AlternateContent>
          <mc:Choice Requires="wps">
            <w:drawing>
              <wp:anchor distT="0" distB="0" distL="114300" distR="114300" simplePos="0" relativeHeight="251701248" behindDoc="0" locked="0" layoutInCell="1" allowOverlap="1" wp14:anchorId="2121DD6F" wp14:editId="1820BC2A">
                <wp:simplePos x="0" y="0"/>
                <wp:positionH relativeFrom="margin">
                  <wp:posOffset>6438900</wp:posOffset>
                </wp:positionH>
                <wp:positionV relativeFrom="paragraph">
                  <wp:posOffset>99060</wp:posOffset>
                </wp:positionV>
                <wp:extent cx="944880" cy="678180"/>
                <wp:effectExtent l="0" t="0" r="26670" b="26670"/>
                <wp:wrapNone/>
                <wp:docPr id="60"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44880" cy="678180"/>
                        </a:xfrm>
                        <a:prstGeom prst="rect">
                          <a:avLst/>
                        </a:prstGeom>
                        <a:noFill/>
                        <a:ln>
                          <a:solidFill>
                            <a:srgbClr val="4BACC6"/>
                          </a:solidFill>
                        </a:ln>
                        <a:extLst>
                          <a:ext uri="{FAA26D3D-D897-4be2-8F04-BA451C77F1D7}"/>
                          <a:ext uri="{C572A759-6A51-4108-AA02-DFA0A04FC94B}"/>
                        </a:extLst>
                      </wps:spPr>
                      <wps:txbx>
                        <w:txbxContent>
                          <w:p w14:paraId="4FAEEB0B" w14:textId="77777777" w:rsidR="00127DDC" w:rsidRPr="00C960F9" w:rsidRDefault="00127DDC" w:rsidP="00172973">
                            <w:pPr>
                              <w:pStyle w:val="NormalWeb"/>
                              <w:spacing w:before="0" w:beforeAutospacing="0" w:after="0" w:afterAutospacing="0"/>
                              <w:ind w:left="-115" w:right="-115"/>
                              <w:jc w:val="center"/>
                              <w:rPr>
                                <w:sz w:val="14"/>
                                <w:szCs w:val="14"/>
                              </w:rPr>
                            </w:pPr>
                            <w:r w:rsidRPr="001326A0">
                              <w:rPr>
                                <w:sz w:val="14"/>
                                <w:szCs w:val="14"/>
                              </w:rPr>
                              <w:t xml:space="preserve">Agro-environmental measures introduced to promote sustainable use of agricultural lands within the biodiversity buffer zones </w:t>
                            </w:r>
                          </w:p>
                        </w:txbxContent>
                      </wps:txbx>
                      <wps:bodyPr wrap="square" rIns="91440" rtlCol="0">
                        <a:noAutofit/>
                      </wps:bodyPr>
                    </wps:wsp>
                  </a:graphicData>
                </a:graphic>
                <wp14:sizeRelH relativeFrom="margin">
                  <wp14:pctWidth>0</wp14:pctWidth>
                </wp14:sizeRelH>
                <wp14:sizeRelV relativeFrom="margin">
                  <wp14:pctHeight>0</wp14:pctHeight>
                </wp14:sizeRelV>
              </wp:anchor>
            </w:drawing>
          </mc:Choice>
          <mc:Fallback>
            <w:pict>
              <v:shape w14:anchorId="2121DD6F" id="Text Box 60" o:spid="_x0000_s1061" type="#_x0000_t202" style="position:absolute;margin-left:507pt;margin-top:7.8pt;width:74.4pt;height:53.4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" filled="f" strokecolor="#4bacc6">
                <v:path arrowok="t"/>
                <v:textbox>
                  <w:txbxContent>
                    <w:p w14:paraId="4FAEEB0B" w14:textId="77777777" w:rsidR="00127DDC" w:rsidRPr="00C960F9" w:rsidRDefault="00127DDC" w:rsidP="00172973">
                      <w:pPr>
                        <w:pStyle w:val="NormalWeb"/>
                        <w:spacing w:before="0" w:beforeAutospacing="0" w:after="0" w:afterAutospacing="0"/>
                        <w:ind w:left="-115" w:right="-115"/>
                        <w:jc w:val="center"/>
                        <w:rPr>
                          <w:sz w:val="14"/>
                          <w:szCs w:val="14"/>
                        </w:rPr>
                      </w:pPr>
                      <w:r w:rsidRPr="001326A0">
                        <w:rPr>
                          <w:sz w:val="14"/>
                          <w:szCs w:val="14"/>
                        </w:rPr>
                        <w:t xml:space="preserve">Agro-environmental measures introduced to promote sustainable use of agricultural lands within the biodiversity buffer zones </w:t>
                      </w:r>
                    </w:p>
                  </w:txbxContent>
                </v:textbox>
                <w10:wrap anchorx="margin"/>
              </v:shape>
            </w:pict>
          </mc:Fallback>
        </mc:AlternateContent>
      </w:r>
      <w:r w:rsidRPr="003B6A69">
        <w:rPr>
          <w:rFonts w:ascii="Times New Roman" w:eastAsia="Times New Roman" w:hAnsi="Times New Roman"/>
          <w:noProof/>
          <w:sz w:val="24"/>
        </w:rPr>
        <mc:AlternateContent>
          <mc:Choice Requires="wps">
            <w:drawing>
              <wp:anchor distT="0" distB="0" distL="114300" distR="114300" simplePos="0" relativeHeight="251685888" behindDoc="0" locked="0" layoutInCell="1" allowOverlap="1" wp14:anchorId="2B38C132" wp14:editId="7580307B">
                <wp:simplePos x="0" y="0"/>
                <wp:positionH relativeFrom="margin">
                  <wp:posOffset>2164080</wp:posOffset>
                </wp:positionH>
                <wp:positionV relativeFrom="paragraph">
                  <wp:posOffset>114300</wp:posOffset>
                </wp:positionV>
                <wp:extent cx="1187450" cy="937260"/>
                <wp:effectExtent l="0" t="0" r="12700" b="15240"/>
                <wp:wrapNone/>
                <wp:docPr id="57"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87450" cy="937260"/>
                        </a:xfrm>
                        <a:prstGeom prst="rect">
                          <a:avLst/>
                        </a:prstGeom>
                        <a:noFill/>
                        <a:ln>
                          <a:solidFill>
                            <a:srgbClr val="4BACC6"/>
                          </a:solidFill>
                        </a:ln>
                        <a:extLst>
                          <a:ext uri="{FAA26D3D-D897-4be2-8F04-BA451C77F1D7}"/>
                          <a:ext uri="{C572A759-6A51-4108-AA02-DFA0A04FC94B}"/>
                        </a:extLst>
                      </wps:spPr>
                      <wps:txbx>
                        <w:txbxContent>
                          <w:p w14:paraId="047BE43C" w14:textId="77777777" w:rsidR="00127DDC" w:rsidRPr="00172973" w:rsidRDefault="00127DDC" w:rsidP="00172973">
                            <w:pPr>
                              <w:ind w:left="-144" w:right="-144"/>
                              <w:jc w:val="center"/>
                              <w:rPr>
                                <w:rFonts w:ascii="Times New Roman" w:hAnsi="Times New Roman"/>
                                <w:sz w:val="14"/>
                                <w:szCs w:val="14"/>
                              </w:rPr>
                            </w:pPr>
                            <w:r w:rsidRPr="00172973">
                              <w:rPr>
                                <w:rFonts w:ascii="Times New Roman" w:hAnsi="Times New Roman"/>
                                <w:sz w:val="14"/>
                                <w:szCs w:val="14"/>
                              </w:rPr>
                              <w:t>The Spatial Plan for Montenegro and the General Regulation Plan are developed and adopted with a due consideration of biodiversity conservation priorities and concrete solutions for valuable BD conservation outside PAs</w:t>
                            </w:r>
                          </w:p>
                        </w:txbxContent>
                      </wps:txbx>
                      <wps:bodyPr wrap="square" rIns="91440" rtlCol="0">
                        <a:noAutofit/>
                      </wps:bodyPr>
                    </wps:wsp>
                  </a:graphicData>
                </a:graphic>
                <wp14:sizeRelH relativeFrom="margin">
                  <wp14:pctWidth>0</wp14:pctWidth>
                </wp14:sizeRelH>
                <wp14:sizeRelV relativeFrom="margin">
                  <wp14:pctHeight>0</wp14:pctHeight>
                </wp14:sizeRelV>
              </wp:anchor>
            </w:drawing>
          </mc:Choice>
          <mc:Fallback>
            <w:pict>
              <v:shape w14:anchorId="2B38C132" id="Text Box 57" o:spid="_x0000_s1062" type="#_x0000_t202" style="position:absolute;margin-left:170.4pt;margin-top:9pt;width:93.5pt;height:73.8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" filled="f" strokecolor="#4bacc6">
                <v:path arrowok="t"/>
                <v:textbox>
                  <w:txbxContent>
                    <w:p w14:paraId="047BE43C" w14:textId="77777777" w:rsidR="00127DDC" w:rsidRPr="00172973" w:rsidRDefault="00127DDC" w:rsidP="00172973">
                      <w:pPr>
                        <w:ind w:left="-144" w:right="-144"/>
                        <w:jc w:val="center"/>
                        <w:rPr>
                          <w:rFonts w:ascii="Times New Roman" w:hAnsi="Times New Roman"/>
                          <w:sz w:val="14"/>
                          <w:szCs w:val="14"/>
                        </w:rPr>
                      </w:pPr>
                      <w:r w:rsidRPr="00172973">
                        <w:rPr>
                          <w:rFonts w:ascii="Times New Roman" w:hAnsi="Times New Roman"/>
                          <w:sz w:val="14"/>
                          <w:szCs w:val="14"/>
                        </w:rPr>
                        <w:t>The Spatial Plan for Montenegro and the General Regulation Plan are developed and adopted with a due consideration of biodiversity conservation priorities and concrete solutions for valuable BD conservation outside PAs</w:t>
                      </w:r>
                    </w:p>
                  </w:txbxContent>
                </v:textbox>
                <w10:wrap anchorx="margin"/>
              </v:shape>
            </w:pict>
          </mc:Fallback>
        </mc:AlternateContent>
      </w:r>
    </w:p>
    <w:p w14:paraId="34A6F057" w14:textId="58E5E4F6" w:rsidR="00172973" w:rsidRPr="003B6A69" w:rsidRDefault="009D53B6" w:rsidP="00172973">
      <w:pPr>
        <w:spacing w:after="0" w:line="220" w:lineRule="exact"/>
        <w:jc w:val="left"/>
        <w:rPr>
          <w:rFonts w:ascii="Times New Roman" w:eastAsia="Times New Roman" w:hAnsi="Times New Roman"/>
          <w:sz w:val="24"/>
        </w:rPr>
      </w:pPr>
      <w:r w:rsidRPr="003B6A69">
        <w:rPr>
          <w:rFonts w:ascii="Times New Roman" w:eastAsia="Times New Roman" w:hAnsi="Times New Roman"/>
          <w:noProof/>
          <w:sz w:val="24"/>
        </w:rPr>
        <mc:AlternateContent>
          <mc:Choice Requires="wps">
            <w:drawing>
              <wp:anchor distT="0" distB="0" distL="114300" distR="114300" simplePos="0" relativeHeight="251694080" behindDoc="0" locked="0" layoutInCell="1" allowOverlap="1" wp14:anchorId="0BF4956F" wp14:editId="01F3C178">
                <wp:simplePos x="0" y="0"/>
                <wp:positionH relativeFrom="margin">
                  <wp:posOffset>685800</wp:posOffset>
                </wp:positionH>
                <wp:positionV relativeFrom="paragraph">
                  <wp:posOffset>72390</wp:posOffset>
                </wp:positionV>
                <wp:extent cx="1394460" cy="281940"/>
                <wp:effectExtent l="0" t="0" r="15240" b="22860"/>
                <wp:wrapNone/>
                <wp:docPr id="3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94460" cy="281940"/>
                        </a:xfrm>
                        <a:prstGeom prst="rect">
                          <a:avLst/>
                        </a:prstGeom>
                        <a:noFill/>
                        <a:ln>
                          <a:solidFill>
                            <a:srgbClr val="4BACC6"/>
                          </a:solidFill>
                        </a:ln>
                        <a:extLst>
                          <a:ext uri="{FAA26D3D-D897-4be2-8F04-BA451C77F1D7}"/>
                          <a:ext uri="{C572A759-6A51-4108-AA02-DFA0A04FC94B}"/>
                        </a:extLst>
                      </wps:spPr>
                      <wps:txbx>
                        <w:txbxContent>
                          <w:p w14:paraId="5319E7FA" w14:textId="3CF93644" w:rsidR="00127DDC" w:rsidRPr="00C960F9" w:rsidRDefault="00127DDC" w:rsidP="00172973">
                            <w:pPr>
                              <w:pStyle w:val="NormalWeb"/>
                              <w:spacing w:before="0" w:beforeAutospacing="0" w:after="0" w:afterAutospacing="0"/>
                              <w:ind w:left="-144" w:right="-144"/>
                              <w:jc w:val="center"/>
                              <w:rPr>
                                <w:sz w:val="14"/>
                                <w:szCs w:val="14"/>
                              </w:rPr>
                            </w:pPr>
                            <w:r w:rsidRPr="0036560E">
                              <w:rPr>
                                <w:sz w:val="14"/>
                                <w:szCs w:val="14"/>
                              </w:rPr>
                              <w:t>Strengthened capacities of targeted PAs</w:t>
                            </w:r>
                            <w:r w:rsidRPr="00875433">
                              <w:t xml:space="preserve"> </w:t>
                            </w:r>
                          </w:p>
                        </w:txbxContent>
                      </wps:txbx>
                      <wps:bodyPr wrap="square" rIns="91440" rtlCol="0">
                        <a:noAutofit/>
                      </wps:bodyPr>
                    </wps:wsp>
                  </a:graphicData>
                </a:graphic>
                <wp14:sizeRelH relativeFrom="margin">
                  <wp14:pctWidth>0</wp14:pctWidth>
                </wp14:sizeRelH>
                <wp14:sizeRelV relativeFrom="margin">
                  <wp14:pctHeight>0</wp14:pctHeight>
                </wp14:sizeRelV>
              </wp:anchor>
            </w:drawing>
          </mc:Choice>
          <mc:Fallback>
            <w:pict>
              <v:shape w14:anchorId="0BF4956F" id="Text Box 33" o:spid="_x0000_s1063" type="#_x0000_t202" style="position:absolute;margin-left:54pt;margin-top:5.7pt;width:109.8pt;height:22.2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" filled="f" strokecolor="#4bacc6">
                <v:path arrowok="t"/>
                <v:textbox>
                  <w:txbxContent>
                    <w:p w14:paraId="5319E7FA" w14:textId="3CF93644" w:rsidR="00127DDC" w:rsidRPr="00C960F9" w:rsidRDefault="00127DDC" w:rsidP="00172973">
                      <w:pPr>
                        <w:pStyle w:val="NormalWeb"/>
                        <w:spacing w:before="0" w:beforeAutospacing="0" w:after="0" w:afterAutospacing="0"/>
                        <w:ind w:left="-144" w:right="-144"/>
                        <w:jc w:val="center"/>
                        <w:rPr>
                          <w:sz w:val="14"/>
                          <w:szCs w:val="14"/>
                        </w:rPr>
                      </w:pPr>
                      <w:r w:rsidRPr="0036560E">
                        <w:rPr>
                          <w:sz w:val="14"/>
                          <w:szCs w:val="14"/>
                        </w:rPr>
                        <w:t>Strengthened capacities of targeted PAs</w:t>
                      </w:r>
                      <w:r w:rsidRPr="00875433">
                        <w:t xml:space="preserve"> </w:t>
                      </w:r>
                    </w:p>
                  </w:txbxContent>
                </v:textbox>
                <w10:wrap anchorx="margin"/>
              </v:shape>
            </w:pict>
          </mc:Fallback>
        </mc:AlternateContent>
      </w:r>
      <w:r w:rsidR="00172973" w:rsidRPr="003B6A69">
        <w:rPr>
          <w:rFonts w:ascii="Times New Roman" w:eastAsia="Times New Roman" w:hAnsi="Times New Roman"/>
          <w:noProof/>
          <w:sz w:val="24"/>
        </w:rPr>
        <mc:AlternateContent>
          <mc:Choice Requires="wps">
            <w:drawing>
              <wp:anchor distT="0" distB="0" distL="114300" distR="114300" simplePos="0" relativeHeight="251666432" behindDoc="0" locked="0" layoutInCell="1" allowOverlap="1" wp14:anchorId="3B5854C9" wp14:editId="395C5367">
                <wp:simplePos x="0" y="0"/>
                <wp:positionH relativeFrom="margin">
                  <wp:posOffset>5227320</wp:posOffset>
                </wp:positionH>
                <wp:positionV relativeFrom="paragraph">
                  <wp:posOffset>20320</wp:posOffset>
                </wp:positionV>
                <wp:extent cx="1082040" cy="395605"/>
                <wp:effectExtent l="0" t="0" r="22860" b="23495"/>
                <wp:wrapNone/>
                <wp:docPr id="56"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2040" cy="395605"/>
                        </a:xfrm>
                        <a:prstGeom prst="rect">
                          <a:avLst/>
                        </a:prstGeom>
                        <a:noFill/>
                        <a:ln>
                          <a:solidFill>
                            <a:srgbClr val="4BACC6"/>
                          </a:solidFill>
                        </a:ln>
                      </wps:spPr>
                      <wps:txbx>
                        <w:txbxContent>
                          <w:p w14:paraId="1FEF801B" w14:textId="0E363D29" w:rsidR="00127DDC" w:rsidRPr="00F72C17" w:rsidRDefault="00127DDC" w:rsidP="00172973">
                            <w:pPr>
                              <w:pStyle w:val="NormalWeb"/>
                              <w:spacing w:before="0" w:beforeAutospacing="0" w:after="0" w:afterAutospacing="0"/>
                              <w:ind w:left="-72" w:right="-72"/>
                              <w:jc w:val="center"/>
                              <w:rPr>
                                <w:sz w:val="14"/>
                                <w:szCs w:val="14"/>
                              </w:rPr>
                            </w:pPr>
                            <w:r w:rsidRPr="001326A0">
                              <w:rPr>
                                <w:color w:val="000000"/>
                                <w:kern w:val="24"/>
                                <w:sz w:val="14"/>
                                <w:szCs w:val="14"/>
                              </w:rPr>
                              <w:t>Strengthened resilience of H</w:t>
                            </w:r>
                            <w:r>
                              <w:rPr>
                                <w:color w:val="000000"/>
                                <w:kern w:val="24"/>
                                <w:sz w:val="14"/>
                                <w:szCs w:val="14"/>
                              </w:rPr>
                              <w:t xml:space="preserve">igh-Conservation Value forests </w:t>
                            </w:r>
                          </w:p>
                        </w:txbxContent>
                      </wps:txbx>
                      <wps:bodyPr wrap="square" rtlCol="0">
                        <a:noAutofit/>
                      </wps:bodyPr>
                    </wps:wsp>
                  </a:graphicData>
                </a:graphic>
                <wp14:sizeRelH relativeFrom="page">
                  <wp14:pctWidth>0</wp14:pctWidth>
                </wp14:sizeRelH>
                <wp14:sizeRelV relativeFrom="page">
                  <wp14:pctHeight>0</wp14:pctHeight>
                </wp14:sizeRelV>
              </wp:anchor>
            </w:drawing>
          </mc:Choice>
          <mc:Fallback>
            <w:pict>
              <v:shape w14:anchorId="3B5854C9" id="Text Box 56" o:spid="_x0000_s1064" type="#_x0000_t202" style="position:absolute;margin-left:411.6pt;margin-top:1.6pt;width:85.2pt;height:31.1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" filled="f" strokecolor="#4bacc6">
                <v:path arrowok="t"/>
                <v:textbox>
                  <w:txbxContent>
                    <w:p w14:paraId="1FEF801B" w14:textId="0E363D29" w:rsidR="00127DDC" w:rsidRPr="00F72C17" w:rsidRDefault="00127DDC" w:rsidP="00172973">
                      <w:pPr>
                        <w:pStyle w:val="NormalWeb"/>
                        <w:spacing w:before="0" w:beforeAutospacing="0" w:after="0" w:afterAutospacing="0"/>
                        <w:ind w:left="-72" w:right="-72"/>
                        <w:jc w:val="center"/>
                        <w:rPr>
                          <w:sz w:val="14"/>
                          <w:szCs w:val="14"/>
                        </w:rPr>
                      </w:pPr>
                      <w:r w:rsidRPr="001326A0">
                        <w:rPr>
                          <w:color w:val="000000"/>
                          <w:kern w:val="24"/>
                          <w:sz w:val="14"/>
                          <w:szCs w:val="14"/>
                        </w:rPr>
                        <w:t>Strengthened resilience of H</w:t>
                      </w:r>
                      <w:r>
                        <w:rPr>
                          <w:color w:val="000000"/>
                          <w:kern w:val="24"/>
                          <w:sz w:val="14"/>
                          <w:szCs w:val="14"/>
                        </w:rPr>
                        <w:t xml:space="preserve">igh-Conservation Value forests </w:t>
                      </w:r>
                    </w:p>
                  </w:txbxContent>
                </v:textbox>
                <w10:wrap anchorx="margin"/>
              </v:shape>
            </w:pict>
          </mc:Fallback>
        </mc:AlternateContent>
      </w:r>
    </w:p>
    <w:p w14:paraId="035F10C0" w14:textId="54B72C1A" w:rsidR="00172973" w:rsidRPr="003B6A69" w:rsidRDefault="00172973" w:rsidP="00172973">
      <w:pPr>
        <w:spacing w:after="0" w:line="220" w:lineRule="exact"/>
        <w:jc w:val="left"/>
        <w:rPr>
          <w:rFonts w:ascii="Times New Roman" w:eastAsia="Times New Roman" w:hAnsi="Times New Roman"/>
          <w:sz w:val="24"/>
        </w:rPr>
      </w:pPr>
    </w:p>
    <w:p w14:paraId="711252BD" w14:textId="1D2FABB1" w:rsidR="00172973" w:rsidRPr="003B6A69" w:rsidRDefault="00172973" w:rsidP="00172973">
      <w:pPr>
        <w:spacing w:after="0" w:line="220" w:lineRule="exact"/>
        <w:jc w:val="left"/>
        <w:rPr>
          <w:rFonts w:ascii="Times New Roman" w:eastAsia="Times New Roman" w:hAnsi="Times New Roman"/>
          <w:sz w:val="24"/>
        </w:rPr>
      </w:pPr>
    </w:p>
    <w:p w14:paraId="66FD1751" w14:textId="2678CD99" w:rsidR="00172973" w:rsidRPr="003B6A69" w:rsidRDefault="009D53B6" w:rsidP="00172973">
      <w:pPr>
        <w:spacing w:after="0" w:line="220" w:lineRule="exact"/>
        <w:jc w:val="left"/>
        <w:rPr>
          <w:rFonts w:ascii="Times New Roman" w:eastAsia="Times New Roman" w:hAnsi="Times New Roman"/>
          <w:sz w:val="24"/>
        </w:rPr>
      </w:pPr>
      <w:r w:rsidRPr="003B6A69">
        <w:rPr>
          <w:rFonts w:ascii="Times New Roman" w:eastAsia="Times New Roman" w:hAnsi="Times New Roman"/>
          <w:noProof/>
          <w:sz w:val="24"/>
        </w:rPr>
        <mc:AlternateContent>
          <mc:Choice Requires="wps">
            <w:drawing>
              <wp:anchor distT="0" distB="0" distL="114300" distR="114300" simplePos="0" relativeHeight="251693056" behindDoc="0" locked="0" layoutInCell="1" allowOverlap="1" wp14:anchorId="41157AD9" wp14:editId="33983BB8">
                <wp:simplePos x="0" y="0"/>
                <wp:positionH relativeFrom="margin">
                  <wp:posOffset>3939540</wp:posOffset>
                </wp:positionH>
                <wp:positionV relativeFrom="paragraph">
                  <wp:posOffset>11430</wp:posOffset>
                </wp:positionV>
                <wp:extent cx="1196340" cy="335280"/>
                <wp:effectExtent l="0" t="0" r="22860" b="26670"/>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6340" cy="335280"/>
                        </a:xfrm>
                        <a:prstGeom prst="rect">
                          <a:avLst/>
                        </a:prstGeom>
                        <a:noFill/>
                        <a:ln>
                          <a:solidFill>
                            <a:srgbClr val="4BACC6"/>
                          </a:solidFill>
                        </a:ln>
                        <a:extLst>
                          <a:ext uri="{FAA26D3D-D897-4be2-8F04-BA451C77F1D7}"/>
                          <a:ext uri="{C572A759-6A51-4108-AA02-DFA0A04FC94B}"/>
                        </a:extLst>
                      </wps:spPr>
                      <wps:txbx>
                        <w:txbxContent>
                          <w:p w14:paraId="23E53A63" w14:textId="77777777" w:rsidR="00127DDC" w:rsidRPr="00C960F9" w:rsidRDefault="00127DDC" w:rsidP="00172973">
                            <w:pPr>
                              <w:pStyle w:val="NormalWeb"/>
                              <w:spacing w:before="0" w:beforeAutospacing="0" w:after="0" w:afterAutospacing="0"/>
                              <w:ind w:left="-115" w:right="-115"/>
                              <w:jc w:val="center"/>
                              <w:rPr>
                                <w:sz w:val="14"/>
                                <w:szCs w:val="14"/>
                              </w:rPr>
                            </w:pPr>
                            <w:r w:rsidRPr="00875433">
                              <w:rPr>
                                <w:sz w:val="14"/>
                                <w:szCs w:val="14"/>
                              </w:rPr>
                              <w:t>PAs integrated into sustainable tourism development</w:t>
                            </w:r>
                          </w:p>
                        </w:txbxContent>
                      </wps:txbx>
                      <wps:bodyPr wrap="square" rIns="91440" rtlCol="0">
                        <a:noAutofit/>
                      </wps:bodyPr>
                    </wps:wsp>
                  </a:graphicData>
                </a:graphic>
                <wp14:sizeRelH relativeFrom="margin">
                  <wp14:pctWidth>0</wp14:pctWidth>
                </wp14:sizeRelH>
                <wp14:sizeRelV relativeFrom="margin">
                  <wp14:pctHeight>0</wp14:pctHeight>
                </wp14:sizeRelV>
              </wp:anchor>
            </w:drawing>
          </mc:Choice>
          <mc:Fallback>
            <w:pict>
              <v:shape w14:anchorId="41157AD9" id="Text Box 26" o:spid="_x0000_s1065" type="#_x0000_t202" style="position:absolute;margin-left:310.2pt;margin-top:.9pt;width:94.2pt;height:26.4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" filled="f" strokecolor="#4bacc6">
                <v:path arrowok="t"/>
                <v:textbox>
                  <w:txbxContent>
                    <w:p w14:paraId="23E53A63" w14:textId="77777777" w:rsidR="00127DDC" w:rsidRPr="00C960F9" w:rsidRDefault="00127DDC" w:rsidP="00172973">
                      <w:pPr>
                        <w:pStyle w:val="NormalWeb"/>
                        <w:spacing w:before="0" w:beforeAutospacing="0" w:after="0" w:afterAutospacing="0"/>
                        <w:ind w:left="-115" w:right="-115"/>
                        <w:jc w:val="center"/>
                        <w:rPr>
                          <w:sz w:val="14"/>
                          <w:szCs w:val="14"/>
                        </w:rPr>
                      </w:pPr>
                      <w:r w:rsidRPr="00875433">
                        <w:rPr>
                          <w:sz w:val="14"/>
                          <w:szCs w:val="14"/>
                        </w:rPr>
                        <w:t>PAs integrated into sustainable tourism development</w:t>
                      </w:r>
                    </w:p>
                  </w:txbxContent>
                </v:textbox>
                <w10:wrap anchorx="margin"/>
              </v:shape>
            </w:pict>
          </mc:Fallback>
        </mc:AlternateContent>
      </w:r>
    </w:p>
    <w:p w14:paraId="1674659B" w14:textId="77777777" w:rsidR="00172973" w:rsidRPr="003B6A69" w:rsidRDefault="00172973" w:rsidP="00172973">
      <w:pPr>
        <w:spacing w:after="0" w:line="220" w:lineRule="exact"/>
        <w:jc w:val="left"/>
        <w:rPr>
          <w:rFonts w:ascii="Times New Roman" w:eastAsia="Times New Roman" w:hAnsi="Times New Roman"/>
          <w:sz w:val="24"/>
        </w:rPr>
      </w:pPr>
    </w:p>
    <w:p w14:paraId="0A6AA35C" w14:textId="3E037A54" w:rsidR="00172973" w:rsidRPr="003B6A69" w:rsidRDefault="00172973" w:rsidP="00172973">
      <w:pPr>
        <w:spacing w:after="0" w:line="220" w:lineRule="exact"/>
        <w:jc w:val="left"/>
        <w:rPr>
          <w:rFonts w:ascii="Times New Roman" w:eastAsia="Times New Roman" w:hAnsi="Times New Roman"/>
          <w:sz w:val="24"/>
        </w:rPr>
      </w:pPr>
    </w:p>
    <w:p w14:paraId="3809AECE" w14:textId="1B950DA8" w:rsidR="00172973" w:rsidRPr="003B6A69" w:rsidRDefault="00172973" w:rsidP="00172973">
      <w:pPr>
        <w:spacing w:after="0" w:line="220" w:lineRule="exact"/>
        <w:jc w:val="left"/>
        <w:rPr>
          <w:rFonts w:ascii="Times New Roman" w:eastAsia="Times New Roman" w:hAnsi="Times New Roman"/>
          <w:sz w:val="24"/>
        </w:rPr>
      </w:pPr>
    </w:p>
    <w:p w14:paraId="6683D905" w14:textId="58C30100" w:rsidR="00172973" w:rsidRPr="003B6A69" w:rsidRDefault="009D53B6" w:rsidP="00172973">
      <w:pPr>
        <w:spacing w:after="0" w:line="220" w:lineRule="exact"/>
        <w:jc w:val="left"/>
        <w:rPr>
          <w:rFonts w:ascii="Times New Roman" w:eastAsia="Times New Roman" w:hAnsi="Times New Roman"/>
          <w:sz w:val="24"/>
        </w:rPr>
      </w:pPr>
      <w:r w:rsidRPr="003B6A69">
        <w:rPr>
          <w:rFonts w:ascii="Times New Roman" w:eastAsia="Times New Roman" w:hAnsi="Times New Roman"/>
          <w:noProof/>
          <w:sz w:val="24"/>
        </w:rPr>
        <mc:AlternateContent>
          <mc:Choice Requires="wps">
            <w:drawing>
              <wp:anchor distT="0" distB="0" distL="114300" distR="114300" simplePos="0" relativeHeight="251678720" behindDoc="0" locked="0" layoutInCell="1" allowOverlap="1" wp14:anchorId="7016A129" wp14:editId="50B0768E">
                <wp:simplePos x="0" y="0"/>
                <wp:positionH relativeFrom="column">
                  <wp:posOffset>723900</wp:posOffset>
                </wp:positionH>
                <wp:positionV relativeFrom="paragraph">
                  <wp:posOffset>85090</wp:posOffset>
                </wp:positionV>
                <wp:extent cx="2727960" cy="289560"/>
                <wp:effectExtent l="0" t="0" r="0" b="0"/>
                <wp:wrapSquare wrapText="bothSides"/>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27960" cy="289560"/>
                        </a:xfrm>
                        <a:prstGeom prst="rect">
                          <a:avLst/>
                        </a:prstGeom>
                        <a:noFill/>
                        <a:ln>
                          <a:noFill/>
                        </a:ln>
                        <a:effectLst/>
                        <a:extLst>
                          <a:ext uri="{C572A759-6A51-4108-AA02-DFA0A04FC94B}"/>
                        </a:extLst>
                      </wps:spPr>
                      <wps:txbx>
                        <w:txbxContent>
                          <w:p w14:paraId="2BFDB644" w14:textId="77777777" w:rsidR="00127DDC" w:rsidRPr="00C960F9" w:rsidRDefault="00127DDC" w:rsidP="00172973">
                            <w:pPr>
                              <w:pStyle w:val="NormalWeb"/>
                              <w:spacing w:before="0" w:beforeAutospacing="0" w:after="0" w:afterAutospacing="0"/>
                              <w:ind w:left="-144" w:right="-144"/>
                              <w:jc w:val="center"/>
                              <w:rPr>
                                <w:sz w:val="14"/>
                                <w:szCs w:val="14"/>
                              </w:rPr>
                            </w:pPr>
                            <w:r w:rsidRPr="00410386">
                              <w:rPr>
                                <w:b/>
                                <w:sz w:val="16"/>
                                <w:szCs w:val="16"/>
                              </w:rPr>
                              <w:t>P</w:t>
                            </w:r>
                            <w:r>
                              <w:rPr>
                                <w:b/>
                                <w:sz w:val="16"/>
                                <w:szCs w:val="16"/>
                              </w:rPr>
                              <w:t>roject Component</w:t>
                            </w:r>
                            <w:r w:rsidRPr="00410386">
                              <w:rPr>
                                <w:b/>
                                <w:sz w:val="16"/>
                                <w:szCs w:val="16"/>
                              </w:rPr>
                              <w:t xml:space="preserve"> 1</w:t>
                            </w:r>
                            <w:r>
                              <w:rPr>
                                <w:b/>
                                <w:sz w:val="16"/>
                                <w:szCs w:val="16"/>
                              </w:rPr>
                              <w:t xml:space="preserve">: </w:t>
                            </w:r>
                            <w:r w:rsidRPr="00EE72D3">
                              <w:rPr>
                                <w:sz w:val="14"/>
                                <w:szCs w:val="14"/>
                              </w:rPr>
                              <w:t>Protection of valuable and/or vulnerable biodiversity within the KBAs and biodiversity buffer zones</w:t>
                            </w:r>
                          </w:p>
                          <w:p w14:paraId="3F46216D" w14:textId="77777777" w:rsidR="00127DDC" w:rsidRPr="00410386" w:rsidRDefault="00127DDC" w:rsidP="00172973">
                            <w:pPr>
                              <w:jc w:val="center"/>
                              <w:rPr>
                                <w:b/>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016A129" id="Text Box 25" o:spid="_x0000_s1066" type="#_x0000_t202" style="position:absolute;margin-left:57pt;margin-top:6.7pt;width:214.8pt;height:22.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" filled="f" stroked="f">
                <v:textbox>
                  <w:txbxContent>
                    <w:p w14:paraId="2BFDB644" w14:textId="77777777" w:rsidR="00127DDC" w:rsidRPr="00C960F9" w:rsidRDefault="00127DDC" w:rsidP="00172973">
                      <w:pPr>
                        <w:pStyle w:val="NormalWeb"/>
                        <w:spacing w:before="0" w:beforeAutospacing="0" w:after="0" w:afterAutospacing="0"/>
                        <w:ind w:left="-144" w:right="-144"/>
                        <w:jc w:val="center"/>
                        <w:rPr>
                          <w:sz w:val="14"/>
                          <w:szCs w:val="14"/>
                        </w:rPr>
                      </w:pPr>
                      <w:r w:rsidRPr="00410386">
                        <w:rPr>
                          <w:b/>
                          <w:sz w:val="16"/>
                          <w:szCs w:val="16"/>
                        </w:rPr>
                        <w:t>P</w:t>
                      </w:r>
                      <w:r>
                        <w:rPr>
                          <w:b/>
                          <w:sz w:val="16"/>
                          <w:szCs w:val="16"/>
                        </w:rPr>
                        <w:t>roject Component</w:t>
                      </w:r>
                      <w:r w:rsidRPr="00410386">
                        <w:rPr>
                          <w:b/>
                          <w:sz w:val="16"/>
                          <w:szCs w:val="16"/>
                        </w:rPr>
                        <w:t xml:space="preserve"> 1</w:t>
                      </w:r>
                      <w:r>
                        <w:rPr>
                          <w:b/>
                          <w:sz w:val="16"/>
                          <w:szCs w:val="16"/>
                        </w:rPr>
                        <w:t xml:space="preserve">: </w:t>
                      </w:r>
                      <w:r w:rsidRPr="00EE72D3">
                        <w:rPr>
                          <w:sz w:val="14"/>
                          <w:szCs w:val="14"/>
                        </w:rPr>
                        <w:t>Protection of valuable and/or vulnerable biodiversity within the KBAs and biodiversity buffer zones</w:t>
                      </w:r>
                    </w:p>
                    <w:p w14:paraId="3F46216D" w14:textId="77777777" w:rsidR="00127DDC" w:rsidRPr="00410386" w:rsidRDefault="00127DDC" w:rsidP="00172973">
                      <w:pPr>
                        <w:jc w:val="center"/>
                        <w:rPr>
                          <w:b/>
                          <w:sz w:val="16"/>
                          <w:szCs w:val="16"/>
                        </w:rPr>
                      </w:pPr>
                    </w:p>
                  </w:txbxContent>
                </v:textbox>
                <w10:wrap type="square"/>
              </v:shape>
            </w:pict>
          </mc:Fallback>
        </mc:AlternateContent>
      </w:r>
      <w:r w:rsidRPr="003B6A69">
        <w:rPr>
          <w:rFonts w:ascii="Times New Roman" w:eastAsia="Times New Roman" w:hAnsi="Times New Roman"/>
          <w:noProof/>
          <w:sz w:val="24"/>
        </w:rPr>
        <mc:AlternateContent>
          <mc:Choice Requires="wps">
            <w:drawing>
              <wp:anchor distT="0" distB="0" distL="114300" distR="114300" simplePos="0" relativeHeight="251689984" behindDoc="0" locked="0" layoutInCell="1" allowOverlap="1" wp14:anchorId="2F3182EE" wp14:editId="7E5119AB">
                <wp:simplePos x="0" y="0"/>
                <wp:positionH relativeFrom="column">
                  <wp:posOffset>4373880</wp:posOffset>
                </wp:positionH>
                <wp:positionV relativeFrom="paragraph">
                  <wp:posOffset>77470</wp:posOffset>
                </wp:positionV>
                <wp:extent cx="3771900" cy="220980"/>
                <wp:effectExtent l="0" t="0" r="0" b="7620"/>
                <wp:wrapSquare wrapText="bothSides"/>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71900" cy="220980"/>
                        </a:xfrm>
                        <a:prstGeom prst="rect">
                          <a:avLst/>
                        </a:prstGeom>
                        <a:noFill/>
                        <a:ln>
                          <a:noFill/>
                        </a:ln>
                        <a:effectLst/>
                        <a:extLst>
                          <a:ext uri="{C572A759-6A51-4108-AA02-DFA0A04FC94B}"/>
                        </a:extLst>
                      </wps:spPr>
                      <wps:txbx>
                        <w:txbxContent>
                          <w:p w14:paraId="007D1A75" w14:textId="77777777" w:rsidR="00127DDC" w:rsidRPr="00172973" w:rsidRDefault="00127DDC" w:rsidP="00172973">
                            <w:pPr>
                              <w:jc w:val="center"/>
                              <w:rPr>
                                <w:rFonts w:ascii="Times New Roman" w:hAnsi="Times New Roman"/>
                                <w:b/>
                                <w:sz w:val="14"/>
                                <w:szCs w:val="14"/>
                              </w:rPr>
                            </w:pPr>
                            <w:r w:rsidRPr="00172973">
                              <w:rPr>
                                <w:rFonts w:ascii="Times New Roman" w:hAnsi="Times New Roman"/>
                                <w:b/>
                                <w:sz w:val="14"/>
                                <w:szCs w:val="14"/>
                              </w:rPr>
                              <w:t xml:space="preserve">Project Component 2: </w:t>
                            </w:r>
                            <w:r w:rsidRPr="00172973">
                              <w:rPr>
                                <w:rFonts w:ascii="Times New Roman" w:hAnsi="Times New Roman"/>
                                <w:sz w:val="14"/>
                                <w:szCs w:val="14"/>
                              </w:rPr>
                              <w:t>BD mainstreaming into sectoral policies and practices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F3182EE" id="Text Box 20" o:spid="_x0000_s1067" type="#_x0000_t202" style="position:absolute;margin-left:344.4pt;margin-top:6.1pt;width:297pt;height:17.4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" filled="f" stroked="f">
                <v:textbox>
                  <w:txbxContent>
                    <w:p w14:paraId="007D1A75" w14:textId="77777777" w:rsidR="00127DDC" w:rsidRPr="00172973" w:rsidRDefault="00127DDC" w:rsidP="00172973">
                      <w:pPr>
                        <w:jc w:val="center"/>
                        <w:rPr>
                          <w:rFonts w:ascii="Times New Roman" w:hAnsi="Times New Roman"/>
                          <w:b/>
                          <w:sz w:val="14"/>
                          <w:szCs w:val="14"/>
                        </w:rPr>
                      </w:pPr>
                      <w:r w:rsidRPr="00172973">
                        <w:rPr>
                          <w:rFonts w:ascii="Times New Roman" w:hAnsi="Times New Roman"/>
                          <w:b/>
                          <w:sz w:val="14"/>
                          <w:szCs w:val="14"/>
                        </w:rPr>
                        <w:t xml:space="preserve">Project Component 2: </w:t>
                      </w:r>
                      <w:r w:rsidRPr="00172973">
                        <w:rPr>
                          <w:rFonts w:ascii="Times New Roman" w:hAnsi="Times New Roman"/>
                          <w:sz w:val="14"/>
                          <w:szCs w:val="14"/>
                        </w:rPr>
                        <w:t>BD mainstreaming into sectoral policies and practices</w:t>
                      </w:r>
                    </w:p>
                  </w:txbxContent>
                </v:textbox>
                <w10:wrap type="square"/>
              </v:shape>
            </w:pict>
          </mc:Fallback>
        </mc:AlternateContent>
      </w:r>
    </w:p>
    <w:p w14:paraId="6B2979E4" w14:textId="6B669084" w:rsidR="00172973" w:rsidRPr="003B6A69" w:rsidRDefault="00172973" w:rsidP="00172973">
      <w:pPr>
        <w:spacing w:after="0" w:line="220" w:lineRule="exact"/>
        <w:jc w:val="left"/>
        <w:rPr>
          <w:rFonts w:ascii="Times New Roman" w:eastAsia="Times New Roman" w:hAnsi="Times New Roman"/>
          <w:sz w:val="24"/>
        </w:rPr>
      </w:pPr>
    </w:p>
    <w:p w14:paraId="04A88262" w14:textId="1B4D7B63" w:rsidR="00172973" w:rsidRPr="003B6A69" w:rsidRDefault="00172973" w:rsidP="00172973">
      <w:pPr>
        <w:spacing w:after="0" w:line="220" w:lineRule="exact"/>
        <w:jc w:val="right"/>
        <w:rPr>
          <w:rFonts w:ascii="Times New Roman" w:eastAsia="Times New Roman" w:hAnsi="Times New Roman"/>
          <w:b/>
          <w:sz w:val="24"/>
        </w:rPr>
      </w:pPr>
    </w:p>
    <w:p w14:paraId="4F9EA34C" w14:textId="1CC52357" w:rsidR="00172973" w:rsidRPr="003B6A69" w:rsidRDefault="00752247" w:rsidP="00172973">
      <w:pPr>
        <w:spacing w:after="0" w:line="220" w:lineRule="exact"/>
        <w:jc w:val="right"/>
        <w:rPr>
          <w:rFonts w:ascii="Times New Roman" w:eastAsia="Times New Roman" w:hAnsi="Times New Roman"/>
          <w:b/>
          <w:sz w:val="24"/>
        </w:rPr>
      </w:pPr>
      <w:r w:rsidRPr="003B6A69">
        <w:rPr>
          <w:rFonts w:ascii="Times New Roman" w:eastAsia="Times New Roman" w:hAnsi="Times New Roman"/>
          <w:noProof/>
          <w:sz w:val="24"/>
        </w:rPr>
        <mc:AlternateContent>
          <mc:Choice Requires="wps">
            <w:drawing>
              <wp:anchor distT="0" distB="0" distL="114300" distR="114300" simplePos="0" relativeHeight="251667456" behindDoc="0" locked="0" layoutInCell="1" allowOverlap="1" wp14:anchorId="1978A0A2" wp14:editId="118D2C81">
                <wp:simplePos x="0" y="0"/>
                <wp:positionH relativeFrom="margin">
                  <wp:posOffset>556260</wp:posOffset>
                </wp:positionH>
                <wp:positionV relativeFrom="paragraph">
                  <wp:posOffset>6350</wp:posOffset>
                </wp:positionV>
                <wp:extent cx="8102600" cy="708660"/>
                <wp:effectExtent l="0" t="0" r="12700" b="1524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02600" cy="708660"/>
                        </a:xfrm>
                        <a:prstGeom prst="rect">
                          <a:avLst/>
                        </a:prstGeom>
                        <a:solidFill>
                          <a:sysClr val="window" lastClr="FFFFFF"/>
                        </a:solidFill>
                        <a:ln w="25400" cap="flat" cmpd="sng" algn="ctr">
                          <a:solidFill>
                            <a:srgbClr val="C0504D"/>
                          </a:solidFill>
                          <a:prstDash val="solid"/>
                        </a:ln>
                        <a:effectLst/>
                      </wps:spPr>
                      <wps:txbx>
                        <w:txbxContent>
                          <w:p w14:paraId="5A6CB565" w14:textId="7150CCEC" w:rsidR="00127DDC" w:rsidRPr="00172973" w:rsidRDefault="00127DDC" w:rsidP="00172973">
                            <w:pPr>
                              <w:pStyle w:val="CommentText"/>
                              <w:ind w:left="-144" w:right="-144"/>
                              <w:jc w:val="center"/>
                              <w:rPr>
                                <w:rFonts w:ascii="Times New Roman" w:hAnsi="Times New Roman"/>
                                <w:sz w:val="14"/>
                                <w:szCs w:val="14"/>
                              </w:rPr>
                            </w:pPr>
                            <w:r w:rsidRPr="00172973">
                              <w:rPr>
                                <w:rFonts w:ascii="Times New Roman" w:hAnsi="Times New Roman"/>
                                <w:sz w:val="14"/>
                                <w:szCs w:val="14"/>
                              </w:rPr>
                              <w:t>KBAs of Montenegro hosting globally important biodiversity should be protected from habitat fragmentation, biodiversity loss and climate-induced negative effects. A combination of the most imminent PA management strengthening interventions, provision of working mechanisms for BD conservation outside PAs, demonstration of modern biodiversity-sensitive practices for production landscapes, and providing incentives for their application are all equally significant for changing the business-as-usual approaches towards KBAs. The practical solutions will however remain one-time and “patchy” if not accompanied by regulatory changes, introduction of best-practice standards and knowledge dissemination.</w:t>
                            </w:r>
                          </w:p>
                        </w:txbxContent>
                      </wps:txbx>
                      <wps:bodyPr wrap="square" lIns="121789" tIns="60894" rIns="121789" bIns="60894" spcCol="0" rtlCol="0" anchor="ctr">
                        <a:noAutofit/>
                      </wps:bodyPr>
                    </wps:wsp>
                  </a:graphicData>
                </a:graphic>
                <wp14:sizeRelH relativeFrom="margin">
                  <wp14:pctWidth>0</wp14:pctWidth>
                </wp14:sizeRelH>
                <wp14:sizeRelV relativeFrom="margin">
                  <wp14:pctHeight>0</wp14:pctHeight>
                </wp14:sizeRelV>
              </wp:anchor>
            </w:drawing>
          </mc:Choice>
          <mc:Fallback>
            <w:pict>
              <v:shape w14:anchorId="1978A0A2" id="Text Box 17" o:spid="_x0000_s1068" type="#_x0000_t202" style="position:absolute;left:0;text-align:left;margin-left:43.8pt;margin-top:.5pt;width:638pt;height:55.8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" fillcolor="window" strokecolor="#c0504d" strokeweight="2pt">
                <v:path arrowok="t"/>
                <v:textbox inset="3.38303mm,1.6915mm,3.38303mm,1.6915mm">
                  <w:txbxContent>
                    <w:p w14:paraId="5A6CB565" w14:textId="7150CCEC" w:rsidR="00127DDC" w:rsidRPr="00172973" w:rsidRDefault="00127DDC" w:rsidP="00172973">
                      <w:pPr>
                        <w:pStyle w:val="CommentText"/>
                        <w:ind w:left="-144" w:right="-144"/>
                        <w:jc w:val="center"/>
                        <w:rPr>
                          <w:rFonts w:ascii="Times New Roman" w:hAnsi="Times New Roman"/>
                          <w:sz w:val="14"/>
                          <w:szCs w:val="14"/>
                        </w:rPr>
                      </w:pPr>
                      <w:r w:rsidRPr="00172973">
                        <w:rPr>
                          <w:rFonts w:ascii="Times New Roman" w:hAnsi="Times New Roman"/>
                          <w:sz w:val="14"/>
                          <w:szCs w:val="14"/>
                        </w:rPr>
                        <w:t>KBAs of Montenegro hosting globally important biodiversity should be protected from habitat fragmentation, biodiversity loss and climate-induced negative effects. A combination of the most imminent PA management strengthening interventions, provision of working mechanisms for BD conservation outside PAs, demonstration of modern biodiversity-sensitive practices for production landscapes, and providing incentives for their application are all equally significant for changing the business-as-usual approaches towards KBAs. The practical solutions will however remain one-time and “patchy” if not accompanied by regulatory changes, introduction of best-practice standards and knowledge dissemination.</w:t>
                      </w:r>
                    </w:p>
                  </w:txbxContent>
                </v:textbox>
                <w10:wrap anchorx="margin"/>
              </v:shape>
            </w:pict>
          </mc:Fallback>
        </mc:AlternateContent>
      </w:r>
    </w:p>
    <w:p w14:paraId="24AB6BA8" w14:textId="2F16E7BE" w:rsidR="00172973" w:rsidRPr="003B6A69" w:rsidRDefault="00172973" w:rsidP="00172973">
      <w:pPr>
        <w:spacing w:after="0" w:line="220" w:lineRule="exact"/>
        <w:jc w:val="left"/>
        <w:rPr>
          <w:rFonts w:ascii="Times New Roman" w:eastAsia="Times New Roman" w:hAnsi="Times New Roman"/>
          <w:b/>
          <w:sz w:val="16"/>
          <w:szCs w:val="16"/>
        </w:rPr>
      </w:pPr>
      <w:r w:rsidRPr="003B6A69">
        <w:rPr>
          <w:rFonts w:ascii="Times New Roman" w:eastAsia="Times New Roman" w:hAnsi="Times New Roman"/>
          <w:noProof/>
          <w:sz w:val="24"/>
        </w:rPr>
        <mc:AlternateContent>
          <mc:Choice Requires="wps">
            <w:drawing>
              <wp:anchor distT="0" distB="0" distL="114300" distR="114300" simplePos="0" relativeHeight="251672576" behindDoc="0" locked="0" layoutInCell="1" allowOverlap="1" wp14:anchorId="43B714DC" wp14:editId="12890AC0">
                <wp:simplePos x="0" y="0"/>
                <wp:positionH relativeFrom="margin">
                  <wp:posOffset>-698500</wp:posOffset>
                </wp:positionH>
                <wp:positionV relativeFrom="paragraph">
                  <wp:posOffset>59055</wp:posOffset>
                </wp:positionV>
                <wp:extent cx="861695" cy="456565"/>
                <wp:effectExtent l="0" t="0" r="14605" b="19685"/>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1695" cy="456565"/>
                        </a:xfrm>
                        <a:prstGeom prst="rect">
                          <a:avLst/>
                        </a:prstGeom>
                        <a:solidFill>
                          <a:sysClr val="window" lastClr="FFFFFF"/>
                        </a:solidFill>
                        <a:ln w="25400" cap="flat" cmpd="sng" algn="ctr">
                          <a:solidFill>
                            <a:srgbClr val="C0504D"/>
                          </a:solidFill>
                          <a:prstDash val="solid"/>
                        </a:ln>
                        <a:effectLst/>
                      </wps:spPr>
                      <wps:txbx>
                        <w:txbxContent>
                          <w:p w14:paraId="1777DB0E" w14:textId="77777777" w:rsidR="00127DDC" w:rsidRPr="008E0A65" w:rsidRDefault="00127DDC" w:rsidP="00172973">
                            <w:pPr>
                              <w:pStyle w:val="NormalWeb"/>
                              <w:spacing w:before="0" w:beforeAutospacing="0" w:after="0" w:afterAutospacing="0"/>
                              <w:jc w:val="center"/>
                              <w:rPr>
                                <w:sz w:val="16"/>
                                <w:szCs w:val="16"/>
                              </w:rPr>
                            </w:pPr>
                            <w:r w:rsidRPr="008E0A65">
                              <w:rPr>
                                <w:b/>
                                <w:bCs/>
                                <w:color w:val="000000"/>
                                <w:kern w:val="24"/>
                                <w:sz w:val="16"/>
                                <w:szCs w:val="16"/>
                              </w:rPr>
                              <w:t>Development Challenge</w:t>
                            </w:r>
                          </w:p>
                        </w:txbxContent>
                      </wps:txbx>
                      <wps:bodyPr lIns="121789" tIns="60894" rIns="121789" bIns="60894" spcCol="0" rtlCol="0" anchor="ctr"/>
                    </wps:wsp>
                  </a:graphicData>
                </a:graphic>
                <wp14:sizeRelH relativeFrom="page">
                  <wp14:pctWidth>0</wp14:pctWidth>
                </wp14:sizeRelH>
                <wp14:sizeRelV relativeFrom="page">
                  <wp14:pctHeight>0</wp14:pctHeight>
                </wp14:sizeRelV>
              </wp:anchor>
            </w:drawing>
          </mc:Choice>
          <mc:Fallback>
            <w:pict>
              <v:rect w14:anchorId="43B714DC" id="Rectangle 16" o:spid="_x0000_s1069" style="position:absolute;margin-left:-55pt;margin-top:4.65pt;width:67.85pt;height:35.9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" fillcolor="window" strokecolor="#c0504d" strokeweight="2pt">
                <v:path arrowok="t"/>
                <v:textbox inset="3.38303mm,1.6915mm,3.38303mm,1.6915mm">
                  <w:txbxContent>
                    <w:p w14:paraId="1777DB0E" w14:textId="77777777" w:rsidR="00127DDC" w:rsidRPr="008E0A65" w:rsidRDefault="00127DDC" w:rsidP="00172973">
                      <w:pPr>
                        <w:pStyle w:val="NormalWeb"/>
                        <w:spacing w:before="0" w:beforeAutospacing="0" w:after="0" w:afterAutospacing="0"/>
                        <w:jc w:val="center"/>
                        <w:rPr>
                          <w:sz w:val="16"/>
                          <w:szCs w:val="16"/>
                        </w:rPr>
                      </w:pPr>
                      <w:r w:rsidRPr="008E0A65">
                        <w:rPr>
                          <w:b/>
                          <w:bCs/>
                          <w:color w:val="000000"/>
                          <w:kern w:val="24"/>
                          <w:sz w:val="16"/>
                          <w:szCs w:val="16"/>
                        </w:rPr>
                        <w:t>Development Challenge</w:t>
                      </w:r>
                    </w:p>
                  </w:txbxContent>
                </v:textbox>
                <w10:wrap anchorx="margin"/>
              </v:rect>
            </w:pict>
          </mc:Fallback>
        </mc:AlternateContent>
      </w:r>
    </w:p>
    <w:p w14:paraId="5F4DC1C1" w14:textId="77777777" w:rsidR="00172973" w:rsidRPr="003B6A69" w:rsidRDefault="00172973" w:rsidP="00172973">
      <w:pPr>
        <w:spacing w:after="0" w:line="220" w:lineRule="exact"/>
        <w:jc w:val="left"/>
        <w:rPr>
          <w:rFonts w:ascii="Times New Roman" w:eastAsia="Times New Roman" w:hAnsi="Times New Roman"/>
          <w:b/>
          <w:sz w:val="16"/>
          <w:szCs w:val="16"/>
        </w:rPr>
      </w:pPr>
    </w:p>
    <w:p w14:paraId="450EEC05" w14:textId="77777777" w:rsidR="00172973" w:rsidRPr="003B6A69" w:rsidRDefault="00172973" w:rsidP="00172973">
      <w:pPr>
        <w:spacing w:after="0" w:line="220" w:lineRule="exact"/>
        <w:jc w:val="left"/>
        <w:rPr>
          <w:rFonts w:ascii="Times New Roman" w:eastAsia="Times New Roman" w:hAnsi="Times New Roman"/>
          <w:b/>
          <w:sz w:val="16"/>
          <w:szCs w:val="16"/>
        </w:rPr>
      </w:pPr>
    </w:p>
    <w:p w14:paraId="3CD50ADC" w14:textId="77777777" w:rsidR="00752247" w:rsidRPr="003B6A69" w:rsidRDefault="00752247" w:rsidP="00172973">
      <w:pPr>
        <w:spacing w:after="0" w:line="220" w:lineRule="exact"/>
        <w:jc w:val="left"/>
        <w:rPr>
          <w:rFonts w:ascii="Times New Roman" w:eastAsia="Times New Roman" w:hAnsi="Times New Roman"/>
          <w:b/>
          <w:sz w:val="16"/>
          <w:szCs w:val="16"/>
        </w:rPr>
      </w:pPr>
    </w:p>
    <w:p w14:paraId="540E62D4" w14:textId="77777777" w:rsidR="00752247" w:rsidRPr="003B6A69" w:rsidRDefault="00752247" w:rsidP="00172973">
      <w:pPr>
        <w:spacing w:after="0" w:line="220" w:lineRule="exact"/>
        <w:jc w:val="left"/>
        <w:rPr>
          <w:rFonts w:ascii="Times New Roman" w:eastAsia="Times New Roman" w:hAnsi="Times New Roman"/>
          <w:b/>
          <w:sz w:val="16"/>
          <w:szCs w:val="16"/>
        </w:rPr>
      </w:pPr>
    </w:p>
    <w:p w14:paraId="5EF432E6" w14:textId="5BF081B2" w:rsidR="00172973" w:rsidRPr="003B6A69" w:rsidRDefault="00752247" w:rsidP="00172973">
      <w:pPr>
        <w:spacing w:after="0" w:line="220" w:lineRule="exact"/>
        <w:jc w:val="left"/>
        <w:rPr>
          <w:rFonts w:ascii="Times New Roman" w:eastAsia="Times New Roman" w:hAnsi="Times New Roman"/>
          <w:b/>
          <w:sz w:val="24"/>
        </w:rPr>
      </w:pPr>
      <w:r w:rsidRPr="003B6A69">
        <w:rPr>
          <w:rFonts w:ascii="Times New Roman" w:eastAsia="Times New Roman" w:hAnsi="Times New Roman"/>
          <w:noProof/>
          <w:sz w:val="24"/>
        </w:rPr>
        <mc:AlternateContent>
          <mc:Choice Requires="wps">
            <w:drawing>
              <wp:anchor distT="0" distB="0" distL="114300" distR="114300" simplePos="0" relativeHeight="251682816" behindDoc="0" locked="0" layoutInCell="1" allowOverlap="1" wp14:anchorId="05A00AD0" wp14:editId="48DA7F97">
                <wp:simplePos x="0" y="0"/>
                <wp:positionH relativeFrom="margin">
                  <wp:posOffset>6972300</wp:posOffset>
                </wp:positionH>
                <wp:positionV relativeFrom="paragraph">
                  <wp:posOffset>6350</wp:posOffset>
                </wp:positionV>
                <wp:extent cx="1671320" cy="640080"/>
                <wp:effectExtent l="0" t="0" r="24130" b="26670"/>
                <wp:wrapThrough wrapText="bothSides">
                  <wp:wrapPolygon edited="0">
                    <wp:start x="0" y="0"/>
                    <wp:lineTo x="0" y="21857"/>
                    <wp:lineTo x="21666" y="21857"/>
                    <wp:lineTo x="21666" y="0"/>
                    <wp:lineTo x="0" y="0"/>
                  </wp:wrapPolygon>
                </wp:wrapThrough>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1320" cy="640080"/>
                        </a:xfrm>
                        <a:prstGeom prst="rect">
                          <a:avLst/>
                        </a:prstGeom>
                        <a:solidFill>
                          <a:sysClr val="window" lastClr="FFFFFF"/>
                        </a:solidFill>
                        <a:ln w="25400" cap="flat" cmpd="sng" algn="ctr">
                          <a:solidFill>
                            <a:srgbClr val="70AD47">
                              <a:lumMod val="75000"/>
                            </a:srgbClr>
                          </a:solidFill>
                          <a:prstDash val="solid"/>
                        </a:ln>
                        <a:effectLst/>
                      </wps:spPr>
                      <wps:txbx>
                        <w:txbxContent>
                          <w:p w14:paraId="745489C9" w14:textId="77777777" w:rsidR="00127DDC" w:rsidRPr="00C519F8" w:rsidRDefault="00127DDC" w:rsidP="00172973">
                            <w:pPr>
                              <w:pStyle w:val="NormalWeb"/>
                              <w:spacing w:before="0" w:beforeAutospacing="0" w:after="0" w:afterAutospacing="0"/>
                              <w:jc w:val="center"/>
                              <w:rPr>
                                <w:sz w:val="14"/>
                                <w:szCs w:val="14"/>
                              </w:rPr>
                            </w:pPr>
                            <w:r w:rsidRPr="004E5C24">
                              <w:rPr>
                                <w:sz w:val="14"/>
                                <w:szCs w:val="14"/>
                              </w:rPr>
                              <w:t xml:space="preserve">Absence of </w:t>
                            </w:r>
                            <w:r>
                              <w:rPr>
                                <w:sz w:val="14"/>
                                <w:szCs w:val="14"/>
                              </w:rPr>
                              <w:t xml:space="preserve">best-practice knowledge and standards </w:t>
                            </w:r>
                            <w:r w:rsidRPr="004E5C24">
                              <w:rPr>
                                <w:sz w:val="14"/>
                                <w:szCs w:val="14"/>
                              </w:rPr>
                              <w:t xml:space="preserve">to enable </w:t>
                            </w:r>
                            <w:r>
                              <w:rPr>
                                <w:sz w:val="14"/>
                                <w:szCs w:val="14"/>
                              </w:rPr>
                              <w:t xml:space="preserve">implementation, enforcement, </w:t>
                            </w:r>
                            <w:r w:rsidRPr="004E5C24">
                              <w:rPr>
                                <w:sz w:val="14"/>
                                <w:szCs w:val="14"/>
                              </w:rPr>
                              <w:t xml:space="preserve">replication and scaling up of successful </w:t>
                            </w:r>
                            <w:r>
                              <w:rPr>
                                <w:sz w:val="14"/>
                                <w:szCs w:val="14"/>
                              </w:rPr>
                              <w:t>BD mainstreaming experience</w:t>
                            </w:r>
                          </w:p>
                        </w:txbxContent>
                      </wps:txbx>
                      <wps:bodyPr wrap="square" lIns="121789" tIns="60894" rIns="121789" bIns="60894" spcCol="0" rtlCol="0" anchor="ctr">
                        <a:noAutofit/>
                      </wps:bodyPr>
                    </wps:wsp>
                  </a:graphicData>
                </a:graphic>
                <wp14:sizeRelH relativeFrom="margin">
                  <wp14:pctWidth>0</wp14:pctWidth>
                </wp14:sizeRelH>
                <wp14:sizeRelV relativeFrom="margin">
                  <wp14:pctHeight>0</wp14:pctHeight>
                </wp14:sizeRelV>
              </wp:anchor>
            </w:drawing>
          </mc:Choice>
          <mc:Fallback>
            <w:pict>
              <v:shape w14:anchorId="05A00AD0" id="Text Box 14" o:spid="_x0000_s1070" type="#_x0000_t202" style="position:absolute;margin-left:549pt;margin-top:.5pt;width:131.6pt;height:50.4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" fillcolor="window" strokecolor="#548235" strokeweight="2pt">
                <v:path arrowok="t"/>
                <v:textbox inset="3.38303mm,1.6915mm,3.38303mm,1.6915mm">
                  <w:txbxContent>
                    <w:p w14:paraId="745489C9" w14:textId="77777777" w:rsidR="00127DDC" w:rsidRPr="00C519F8" w:rsidRDefault="00127DDC" w:rsidP="00172973">
                      <w:pPr>
                        <w:pStyle w:val="NormalWeb"/>
                        <w:spacing w:before="0" w:beforeAutospacing="0" w:after="0" w:afterAutospacing="0"/>
                        <w:jc w:val="center"/>
                        <w:rPr>
                          <w:sz w:val="14"/>
                          <w:szCs w:val="14"/>
                        </w:rPr>
                      </w:pPr>
                      <w:r w:rsidRPr="004E5C24">
                        <w:rPr>
                          <w:sz w:val="14"/>
                          <w:szCs w:val="14"/>
                        </w:rPr>
                        <w:t xml:space="preserve">Absence of </w:t>
                      </w:r>
                      <w:r>
                        <w:rPr>
                          <w:sz w:val="14"/>
                          <w:szCs w:val="14"/>
                        </w:rPr>
                        <w:t xml:space="preserve">best-practice knowledge and standards </w:t>
                      </w:r>
                      <w:r w:rsidRPr="004E5C24">
                        <w:rPr>
                          <w:sz w:val="14"/>
                          <w:szCs w:val="14"/>
                        </w:rPr>
                        <w:t xml:space="preserve">to enable </w:t>
                      </w:r>
                      <w:r>
                        <w:rPr>
                          <w:sz w:val="14"/>
                          <w:szCs w:val="14"/>
                        </w:rPr>
                        <w:t xml:space="preserve">implementation, enforcement, </w:t>
                      </w:r>
                      <w:r w:rsidRPr="004E5C24">
                        <w:rPr>
                          <w:sz w:val="14"/>
                          <w:szCs w:val="14"/>
                        </w:rPr>
                        <w:t xml:space="preserve">replication and scaling up of successful </w:t>
                      </w:r>
                      <w:r>
                        <w:rPr>
                          <w:sz w:val="14"/>
                          <w:szCs w:val="14"/>
                        </w:rPr>
                        <w:t>BD mainstreaming experience</w:t>
                      </w:r>
                    </w:p>
                  </w:txbxContent>
                </v:textbox>
                <w10:wrap type="through" anchorx="margin"/>
              </v:shape>
            </w:pict>
          </mc:Fallback>
        </mc:AlternateContent>
      </w:r>
      <w:r w:rsidRPr="003B6A69">
        <w:rPr>
          <w:rFonts w:ascii="Times New Roman" w:eastAsia="Times New Roman" w:hAnsi="Times New Roman"/>
          <w:noProof/>
          <w:sz w:val="24"/>
        </w:rPr>
        <mc:AlternateContent>
          <mc:Choice Requires="wps">
            <w:drawing>
              <wp:anchor distT="0" distB="0" distL="114300" distR="114300" simplePos="0" relativeHeight="251670528" behindDoc="0" locked="0" layoutInCell="1" allowOverlap="1" wp14:anchorId="61A803A0" wp14:editId="5472792E">
                <wp:simplePos x="0" y="0"/>
                <wp:positionH relativeFrom="margin">
                  <wp:posOffset>4488180</wp:posOffset>
                </wp:positionH>
                <wp:positionV relativeFrom="paragraph">
                  <wp:posOffset>6350</wp:posOffset>
                </wp:positionV>
                <wp:extent cx="2385060" cy="640080"/>
                <wp:effectExtent l="0" t="0" r="15240" b="2667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5060" cy="640080"/>
                        </a:xfrm>
                        <a:prstGeom prst="rect">
                          <a:avLst/>
                        </a:prstGeom>
                        <a:solidFill>
                          <a:sysClr val="window" lastClr="FFFFFF"/>
                        </a:solidFill>
                        <a:ln w="25400" cap="flat" cmpd="sng" algn="ctr">
                          <a:solidFill>
                            <a:srgbClr val="70AD47">
                              <a:lumMod val="75000"/>
                            </a:srgbClr>
                          </a:solidFill>
                          <a:prstDash val="solid"/>
                        </a:ln>
                        <a:effectLst/>
                      </wps:spPr>
                      <wps:txbx>
                        <w:txbxContent>
                          <w:p w14:paraId="6C1B7496" w14:textId="77777777" w:rsidR="00127DDC" w:rsidRPr="00C519F8" w:rsidRDefault="00127DDC" w:rsidP="00172973">
                            <w:pPr>
                              <w:pStyle w:val="NormalWeb"/>
                              <w:spacing w:before="0" w:beforeAutospacing="0" w:after="0" w:afterAutospacing="0"/>
                              <w:ind w:left="-115" w:right="-115"/>
                              <w:jc w:val="center"/>
                              <w:rPr>
                                <w:sz w:val="14"/>
                                <w:szCs w:val="14"/>
                              </w:rPr>
                            </w:pPr>
                            <w:r w:rsidRPr="00D2156B">
                              <w:rPr>
                                <w:sz w:val="14"/>
                                <w:szCs w:val="14"/>
                              </w:rPr>
                              <w:t xml:space="preserve">Although BD conservation agenda is declaratively mainstreamed into the key strategic framework documents, </w:t>
                            </w:r>
                            <w:r>
                              <w:rPr>
                                <w:sz w:val="14"/>
                                <w:szCs w:val="14"/>
                              </w:rPr>
                              <w:t>the practical experience in BD mainstreaming is missing, and there are no incentives for biodiversity-sensitive small-scale sectoral business (tourism, agriculture)</w:t>
                            </w:r>
                          </w:p>
                        </w:txbxContent>
                      </wps:txbx>
                      <wps:bodyPr wrap="square" lIns="121789" tIns="60894" rIns="121789" bIns="60894" spcCol="0" rtlCol="0" anchor="ctr">
                        <a:noAutofit/>
                      </wps:bodyPr>
                    </wps:wsp>
                  </a:graphicData>
                </a:graphic>
                <wp14:sizeRelH relativeFrom="margin">
                  <wp14:pctWidth>0</wp14:pctWidth>
                </wp14:sizeRelH>
                <wp14:sizeRelV relativeFrom="margin">
                  <wp14:pctHeight>0</wp14:pctHeight>
                </wp14:sizeRelV>
              </wp:anchor>
            </w:drawing>
          </mc:Choice>
          <mc:Fallback>
            <w:pict>
              <v:shape w14:anchorId="61A803A0" id="Text Box 15" o:spid="_x0000_s1071" type="#_x0000_t202" style="position:absolute;margin-left:353.4pt;margin-top:.5pt;width:187.8pt;height:50.4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" fillcolor="window" strokecolor="#548235" strokeweight="2pt">
                <v:path arrowok="t"/>
                <v:textbox inset="3.38303mm,1.6915mm,3.38303mm,1.6915mm">
                  <w:txbxContent>
                    <w:p w14:paraId="6C1B7496" w14:textId="77777777" w:rsidR="00127DDC" w:rsidRPr="00C519F8" w:rsidRDefault="00127DDC" w:rsidP="00172973">
                      <w:pPr>
                        <w:pStyle w:val="NormalWeb"/>
                        <w:spacing w:before="0" w:beforeAutospacing="0" w:after="0" w:afterAutospacing="0"/>
                        <w:ind w:left="-115" w:right="-115"/>
                        <w:jc w:val="center"/>
                        <w:rPr>
                          <w:sz w:val="14"/>
                          <w:szCs w:val="14"/>
                        </w:rPr>
                      </w:pPr>
                      <w:r w:rsidRPr="00D2156B">
                        <w:rPr>
                          <w:sz w:val="14"/>
                          <w:szCs w:val="14"/>
                        </w:rPr>
                        <w:t xml:space="preserve">Although BD conservation agenda is declaratively mainstreamed into the key strategic framework documents, </w:t>
                      </w:r>
                      <w:r>
                        <w:rPr>
                          <w:sz w:val="14"/>
                          <w:szCs w:val="14"/>
                        </w:rPr>
                        <w:t>the practical experience in BD mainstreaming is missing, and there are no incentives for biodiversity-sensitive small-scale sectoral business (tourism, agriculture)</w:t>
                      </w:r>
                    </w:p>
                  </w:txbxContent>
                </v:textbox>
                <w10:wrap anchorx="margin"/>
              </v:shape>
            </w:pict>
          </mc:Fallback>
        </mc:AlternateContent>
      </w:r>
      <w:r w:rsidRPr="003B6A69">
        <w:rPr>
          <w:rFonts w:ascii="Times New Roman" w:eastAsia="Times New Roman" w:hAnsi="Times New Roman"/>
          <w:noProof/>
          <w:sz w:val="24"/>
        </w:rPr>
        <mc:AlternateContent>
          <mc:Choice Requires="wps">
            <w:drawing>
              <wp:anchor distT="0" distB="0" distL="114300" distR="114300" simplePos="0" relativeHeight="251705344" behindDoc="0" locked="0" layoutInCell="1" allowOverlap="1" wp14:anchorId="050B2F58" wp14:editId="12562C39">
                <wp:simplePos x="0" y="0"/>
                <wp:positionH relativeFrom="margin">
                  <wp:posOffset>2491740</wp:posOffset>
                </wp:positionH>
                <wp:positionV relativeFrom="paragraph">
                  <wp:posOffset>6350</wp:posOffset>
                </wp:positionV>
                <wp:extent cx="1905000" cy="571500"/>
                <wp:effectExtent l="0" t="0" r="19050" b="1905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0" cy="571500"/>
                        </a:xfrm>
                        <a:prstGeom prst="rect">
                          <a:avLst/>
                        </a:prstGeom>
                        <a:solidFill>
                          <a:sysClr val="window" lastClr="FFFFFF"/>
                        </a:solidFill>
                        <a:ln w="25400" cap="flat" cmpd="sng" algn="ctr">
                          <a:solidFill>
                            <a:srgbClr val="70AD47">
                              <a:lumMod val="75000"/>
                            </a:srgbClr>
                          </a:solidFill>
                          <a:prstDash val="solid"/>
                        </a:ln>
                        <a:effectLst/>
                      </wps:spPr>
                      <wps:txbx>
                        <w:txbxContent>
                          <w:p w14:paraId="577F2936" w14:textId="77777777" w:rsidR="00127DDC" w:rsidRPr="00C519F8" w:rsidRDefault="00127DDC" w:rsidP="00172973">
                            <w:pPr>
                              <w:pStyle w:val="NormalWeb"/>
                              <w:spacing w:before="0" w:beforeAutospacing="0" w:after="0" w:afterAutospacing="0"/>
                              <w:ind w:left="-115" w:right="-115"/>
                              <w:jc w:val="center"/>
                              <w:rPr>
                                <w:sz w:val="14"/>
                                <w:szCs w:val="14"/>
                              </w:rPr>
                            </w:pPr>
                            <w:r>
                              <w:rPr>
                                <w:sz w:val="14"/>
                                <w:szCs w:val="14"/>
                              </w:rPr>
                              <w:t xml:space="preserve">Spatial planning framework remains declarative, with no practical solutions for valuable BD conservation outside PAs. BD conservation outside PAs in most cases is a paper action only. </w:t>
                            </w:r>
                          </w:p>
                        </w:txbxContent>
                      </wps:txbx>
                      <wps:bodyPr wrap="square" lIns="121789" tIns="60894" rIns="121789" bIns="60894" spcCol="0" rtlCol="0" anchor="ctr">
                        <a:noAutofit/>
                      </wps:bodyPr>
                    </wps:wsp>
                  </a:graphicData>
                </a:graphic>
                <wp14:sizeRelH relativeFrom="margin">
                  <wp14:pctWidth>0</wp14:pctWidth>
                </wp14:sizeRelH>
                <wp14:sizeRelV relativeFrom="margin">
                  <wp14:pctHeight>0</wp14:pctHeight>
                </wp14:sizeRelV>
              </wp:anchor>
            </w:drawing>
          </mc:Choice>
          <mc:Fallback>
            <w:pict>
              <v:shape w14:anchorId="050B2F58" id="Text Box 12" o:spid="_x0000_s1072" type="#_x0000_t202" style="position:absolute;margin-left:196.2pt;margin-top:.5pt;width:150pt;height:45pt;z-index:251705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" fillcolor="window" strokecolor="#548235" strokeweight="2pt">
                <v:path arrowok="t"/>
                <v:textbox inset="3.38303mm,1.6915mm,3.38303mm,1.6915mm">
                  <w:txbxContent>
                    <w:p w14:paraId="577F2936" w14:textId="77777777" w:rsidR="00127DDC" w:rsidRPr="00C519F8" w:rsidRDefault="00127DDC" w:rsidP="00172973">
                      <w:pPr>
                        <w:pStyle w:val="NormalWeb"/>
                        <w:spacing w:before="0" w:beforeAutospacing="0" w:after="0" w:afterAutospacing="0"/>
                        <w:ind w:left="-115" w:right="-115"/>
                        <w:jc w:val="center"/>
                        <w:rPr>
                          <w:sz w:val="14"/>
                          <w:szCs w:val="14"/>
                        </w:rPr>
                      </w:pPr>
                      <w:r>
                        <w:rPr>
                          <w:sz w:val="14"/>
                          <w:szCs w:val="14"/>
                        </w:rPr>
                        <w:t xml:space="preserve">Spatial planning framework remains declarative, with no practical solutions for valuable BD conservation outside PAs. BD conservation outside PAs in most cases is a paper action only. </w:t>
                      </w:r>
                    </w:p>
                  </w:txbxContent>
                </v:textbox>
                <w10:wrap anchorx="margin"/>
              </v:shape>
            </w:pict>
          </mc:Fallback>
        </mc:AlternateContent>
      </w:r>
      <w:r w:rsidRPr="003B6A69">
        <w:rPr>
          <w:rFonts w:ascii="Times New Roman" w:eastAsia="Times New Roman" w:hAnsi="Times New Roman"/>
          <w:noProof/>
          <w:sz w:val="24"/>
        </w:rPr>
        <mc:AlternateContent>
          <mc:Choice Requires="wps">
            <w:drawing>
              <wp:anchor distT="0" distB="0" distL="114300" distR="114300" simplePos="0" relativeHeight="251671552" behindDoc="0" locked="0" layoutInCell="1" allowOverlap="1" wp14:anchorId="67CB8070" wp14:editId="34AC7E54">
                <wp:simplePos x="0" y="0"/>
                <wp:positionH relativeFrom="margin">
                  <wp:posOffset>769620</wp:posOffset>
                </wp:positionH>
                <wp:positionV relativeFrom="paragraph">
                  <wp:posOffset>21591</wp:posOffset>
                </wp:positionV>
                <wp:extent cx="1645920" cy="579120"/>
                <wp:effectExtent l="0" t="0" r="11430" b="1143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5920" cy="579120"/>
                        </a:xfrm>
                        <a:prstGeom prst="rect">
                          <a:avLst/>
                        </a:prstGeom>
                        <a:solidFill>
                          <a:sysClr val="window" lastClr="FFFFFF"/>
                        </a:solidFill>
                        <a:ln w="25400" cap="flat" cmpd="sng" algn="ctr">
                          <a:solidFill>
                            <a:srgbClr val="70AD47">
                              <a:lumMod val="75000"/>
                            </a:srgbClr>
                          </a:solidFill>
                          <a:prstDash val="solid"/>
                        </a:ln>
                        <a:effectLst/>
                      </wps:spPr>
                      <wps:txbx>
                        <w:txbxContent>
                          <w:p w14:paraId="6A36E86A" w14:textId="77777777" w:rsidR="00127DDC" w:rsidRPr="00C519F8" w:rsidRDefault="00127DDC" w:rsidP="00172973">
                            <w:pPr>
                              <w:pStyle w:val="NormalWeb"/>
                              <w:spacing w:before="0" w:beforeAutospacing="0" w:after="0" w:afterAutospacing="0"/>
                              <w:ind w:left="-144" w:right="-144"/>
                              <w:jc w:val="center"/>
                              <w:rPr>
                                <w:sz w:val="14"/>
                                <w:szCs w:val="14"/>
                              </w:rPr>
                            </w:pPr>
                            <w:r w:rsidRPr="007F2670">
                              <w:rPr>
                                <w:sz w:val="14"/>
                                <w:szCs w:val="14"/>
                              </w:rPr>
                              <w:t xml:space="preserve">The existing legal and institutional framework for the protected areas does not provide </w:t>
                            </w:r>
                            <w:r>
                              <w:rPr>
                                <w:sz w:val="14"/>
                                <w:szCs w:val="14"/>
                              </w:rPr>
                              <w:t xml:space="preserve">for adequate regulations regarding the international biodiversity nominations. </w:t>
                            </w:r>
                          </w:p>
                        </w:txbxContent>
                      </wps:txbx>
                      <wps:bodyPr wrap="square" lIns="121789" tIns="60894" rIns="121789" bIns="60894" spcCol="0" rtlCol="0" anchor="ctr">
                        <a:noAutofit/>
                      </wps:bodyPr>
                    </wps:wsp>
                  </a:graphicData>
                </a:graphic>
                <wp14:sizeRelH relativeFrom="page">
                  <wp14:pctWidth>0</wp14:pctWidth>
                </wp14:sizeRelH>
                <wp14:sizeRelV relativeFrom="page">
                  <wp14:pctHeight>0</wp14:pctHeight>
                </wp14:sizeRelV>
              </wp:anchor>
            </w:drawing>
          </mc:Choice>
          <mc:Fallback>
            <w:pict>
              <v:shape w14:anchorId="67CB8070" id="Text Box 13" o:spid="_x0000_s1073" type="#_x0000_t202" style="position:absolute;margin-left:60.6pt;margin-top:1.7pt;width:129.6pt;height:45.6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" fillcolor="window" strokecolor="#548235" strokeweight="2pt">
                <v:path arrowok="t"/>
                <v:textbox inset="3.38303mm,1.6915mm,3.38303mm,1.6915mm">
                  <w:txbxContent>
                    <w:p w14:paraId="6A36E86A" w14:textId="77777777" w:rsidR="00127DDC" w:rsidRPr="00C519F8" w:rsidRDefault="00127DDC" w:rsidP="00172973">
                      <w:pPr>
                        <w:pStyle w:val="NormalWeb"/>
                        <w:spacing w:before="0" w:beforeAutospacing="0" w:after="0" w:afterAutospacing="0"/>
                        <w:ind w:left="-144" w:right="-144"/>
                        <w:jc w:val="center"/>
                        <w:rPr>
                          <w:sz w:val="14"/>
                          <w:szCs w:val="14"/>
                        </w:rPr>
                      </w:pPr>
                      <w:r w:rsidRPr="007F2670">
                        <w:rPr>
                          <w:sz w:val="14"/>
                          <w:szCs w:val="14"/>
                        </w:rPr>
                        <w:t xml:space="preserve">The existing legal and institutional framework for the protected areas does not provide </w:t>
                      </w:r>
                      <w:r>
                        <w:rPr>
                          <w:sz w:val="14"/>
                          <w:szCs w:val="14"/>
                        </w:rPr>
                        <w:t xml:space="preserve">for adequate regulations regarding the international biodiversity nominations. </w:t>
                      </w:r>
                    </w:p>
                  </w:txbxContent>
                </v:textbox>
                <w10:wrap anchorx="margin"/>
              </v:shape>
            </w:pict>
          </mc:Fallback>
        </mc:AlternateContent>
      </w:r>
      <w:r w:rsidR="00172973" w:rsidRPr="003B6A69">
        <w:rPr>
          <w:rFonts w:ascii="Times New Roman" w:eastAsia="Times New Roman" w:hAnsi="Times New Roman"/>
          <w:noProof/>
          <w:sz w:val="24"/>
        </w:rPr>
        <mc:AlternateContent>
          <mc:Choice Requires="wps">
            <w:drawing>
              <wp:anchor distT="0" distB="0" distL="114300" distR="114300" simplePos="0" relativeHeight="251673600" behindDoc="0" locked="0" layoutInCell="1" allowOverlap="1" wp14:anchorId="1923F09A" wp14:editId="22A38469">
                <wp:simplePos x="0" y="0"/>
                <wp:positionH relativeFrom="margin">
                  <wp:posOffset>-698500</wp:posOffset>
                </wp:positionH>
                <wp:positionV relativeFrom="paragraph">
                  <wp:posOffset>81280</wp:posOffset>
                </wp:positionV>
                <wp:extent cx="861695" cy="421640"/>
                <wp:effectExtent l="0" t="0" r="14605" b="1651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1695" cy="421640"/>
                        </a:xfrm>
                        <a:prstGeom prst="rect">
                          <a:avLst/>
                        </a:prstGeom>
                        <a:solidFill>
                          <a:sysClr val="window" lastClr="FFFFFF"/>
                        </a:solidFill>
                        <a:ln w="25400" cap="flat" cmpd="sng" algn="ctr">
                          <a:solidFill>
                            <a:srgbClr val="70AD47">
                              <a:lumMod val="75000"/>
                            </a:srgbClr>
                          </a:solidFill>
                          <a:prstDash val="solid"/>
                        </a:ln>
                        <a:effectLst/>
                      </wps:spPr>
                      <wps:txbx>
                        <w:txbxContent>
                          <w:p w14:paraId="445CDC60" w14:textId="77777777" w:rsidR="00127DDC" w:rsidRPr="008E0A65" w:rsidRDefault="00127DDC" w:rsidP="00172973">
                            <w:pPr>
                              <w:pStyle w:val="NormalWeb"/>
                              <w:spacing w:before="0" w:beforeAutospacing="0" w:after="0" w:afterAutospacing="0"/>
                              <w:jc w:val="center"/>
                              <w:rPr>
                                <w:sz w:val="16"/>
                                <w:szCs w:val="16"/>
                              </w:rPr>
                            </w:pPr>
                            <w:r>
                              <w:rPr>
                                <w:b/>
                                <w:bCs/>
                                <w:color w:val="000000"/>
                                <w:kern w:val="24"/>
                                <w:sz w:val="16"/>
                                <w:szCs w:val="16"/>
                              </w:rPr>
                              <w:t>Barriers</w:t>
                            </w:r>
                          </w:p>
                        </w:txbxContent>
                      </wps:txbx>
                      <wps:bodyPr lIns="121789" tIns="60894" rIns="121789" bIns="60894" spcCol="0" rtlCol="0" anchor="ctr"/>
                    </wps:wsp>
                  </a:graphicData>
                </a:graphic>
                <wp14:sizeRelH relativeFrom="page">
                  <wp14:pctWidth>0</wp14:pctWidth>
                </wp14:sizeRelH>
                <wp14:sizeRelV relativeFrom="page">
                  <wp14:pctHeight>0</wp14:pctHeight>
                </wp14:sizeRelV>
              </wp:anchor>
            </w:drawing>
          </mc:Choice>
          <mc:Fallback>
            <w:pict>
              <v:rect w14:anchorId="1923F09A" id="Rectangle 11" o:spid="_x0000_s1074" style="position:absolute;margin-left:-55pt;margin-top:6.4pt;width:67.85pt;height:33.2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" fillcolor="window" strokecolor="#548235" strokeweight="2pt">
                <v:path arrowok="t"/>
                <v:textbox inset="3.38303mm,1.6915mm,3.38303mm,1.6915mm">
                  <w:txbxContent>
                    <w:p w14:paraId="445CDC60" w14:textId="77777777" w:rsidR="00127DDC" w:rsidRPr="008E0A65" w:rsidRDefault="00127DDC" w:rsidP="00172973">
                      <w:pPr>
                        <w:pStyle w:val="NormalWeb"/>
                        <w:spacing w:before="0" w:beforeAutospacing="0" w:after="0" w:afterAutospacing="0"/>
                        <w:jc w:val="center"/>
                        <w:rPr>
                          <w:sz w:val="16"/>
                          <w:szCs w:val="16"/>
                        </w:rPr>
                      </w:pPr>
                      <w:r>
                        <w:rPr>
                          <w:b/>
                          <w:bCs/>
                          <w:color w:val="000000"/>
                          <w:kern w:val="24"/>
                          <w:sz w:val="16"/>
                          <w:szCs w:val="16"/>
                        </w:rPr>
                        <w:t>Barriers</w:t>
                      </w:r>
                    </w:p>
                  </w:txbxContent>
                </v:textbox>
                <w10:wrap anchorx="margin"/>
              </v:rect>
            </w:pict>
          </mc:Fallback>
        </mc:AlternateContent>
      </w:r>
    </w:p>
    <w:p w14:paraId="59518F8C" w14:textId="77777777" w:rsidR="00172973" w:rsidRPr="003B6A69" w:rsidRDefault="00172973" w:rsidP="00172973">
      <w:pPr>
        <w:spacing w:after="0" w:line="220" w:lineRule="exact"/>
        <w:jc w:val="left"/>
        <w:rPr>
          <w:rFonts w:ascii="Times New Roman" w:eastAsia="Times New Roman" w:hAnsi="Times New Roman"/>
          <w:b/>
          <w:sz w:val="24"/>
        </w:rPr>
      </w:pPr>
    </w:p>
    <w:p w14:paraId="29B9E78D" w14:textId="77777777" w:rsidR="00752247" w:rsidRPr="003B6A69" w:rsidRDefault="00752247" w:rsidP="00172973">
      <w:pPr>
        <w:spacing w:after="0" w:line="220" w:lineRule="exact"/>
        <w:jc w:val="left"/>
        <w:rPr>
          <w:rFonts w:ascii="Times New Roman" w:eastAsia="Times New Roman" w:hAnsi="Times New Roman"/>
          <w:b/>
          <w:sz w:val="24"/>
        </w:rPr>
      </w:pPr>
    </w:p>
    <w:p w14:paraId="7F00A846" w14:textId="77777777" w:rsidR="00752247" w:rsidRPr="003B6A69" w:rsidRDefault="00752247" w:rsidP="00172973">
      <w:pPr>
        <w:spacing w:after="0" w:line="220" w:lineRule="exact"/>
        <w:jc w:val="left"/>
        <w:rPr>
          <w:rFonts w:ascii="Times New Roman" w:eastAsia="Times New Roman" w:hAnsi="Times New Roman"/>
          <w:b/>
          <w:sz w:val="24"/>
        </w:rPr>
      </w:pPr>
    </w:p>
    <w:p w14:paraId="249AD31E" w14:textId="4A0B102C" w:rsidR="00172973" w:rsidRPr="003B6A69" w:rsidRDefault="00172973" w:rsidP="00172973">
      <w:pPr>
        <w:spacing w:after="0" w:line="220" w:lineRule="exact"/>
        <w:jc w:val="left"/>
        <w:rPr>
          <w:rFonts w:ascii="Times New Roman" w:eastAsia="Times New Roman" w:hAnsi="Times New Roman"/>
          <w:b/>
          <w:sz w:val="24"/>
        </w:rPr>
      </w:pPr>
      <w:r w:rsidRPr="003B6A69">
        <w:rPr>
          <w:rFonts w:ascii="Times New Roman" w:eastAsia="Times New Roman" w:hAnsi="Times New Roman"/>
          <w:noProof/>
          <w:sz w:val="24"/>
        </w:rPr>
        <mc:AlternateContent>
          <mc:Choice Requires="wps">
            <w:drawing>
              <wp:anchor distT="0" distB="0" distL="114300" distR="114300" simplePos="0" relativeHeight="251669504" behindDoc="0" locked="0" layoutInCell="1" allowOverlap="1" wp14:anchorId="12D20F2D" wp14:editId="150A5FD4">
                <wp:simplePos x="0" y="0"/>
                <wp:positionH relativeFrom="margin">
                  <wp:posOffset>2590800</wp:posOffset>
                </wp:positionH>
                <wp:positionV relativeFrom="paragraph">
                  <wp:posOffset>119380</wp:posOffset>
                </wp:positionV>
                <wp:extent cx="1912620" cy="727710"/>
                <wp:effectExtent l="0" t="0" r="11430" b="1524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2620" cy="727710"/>
                        </a:xfrm>
                        <a:prstGeom prst="rect">
                          <a:avLst/>
                        </a:prstGeom>
                        <a:solidFill>
                          <a:sysClr val="window" lastClr="FFFFFF"/>
                        </a:solidFill>
                        <a:ln w="25400" cap="flat" cmpd="sng" algn="ctr">
                          <a:solidFill>
                            <a:srgbClr val="ED7D31">
                              <a:lumMod val="75000"/>
                            </a:srgbClr>
                          </a:solidFill>
                          <a:prstDash val="solid"/>
                        </a:ln>
                        <a:effectLst/>
                      </wps:spPr>
                      <wps:txbx>
                        <w:txbxContent>
                          <w:p w14:paraId="397F2DF6" w14:textId="77777777" w:rsidR="00127DDC" w:rsidRPr="00172973" w:rsidRDefault="00127DDC" w:rsidP="00172973">
                            <w:pPr>
                              <w:rPr>
                                <w:rFonts w:ascii="Times New Roman" w:hAnsi="Times New Roman"/>
                                <w:sz w:val="14"/>
                                <w:szCs w:val="14"/>
                              </w:rPr>
                            </w:pPr>
                            <w:r w:rsidRPr="00172973">
                              <w:rPr>
                                <w:rFonts w:ascii="Times New Roman" w:hAnsi="Times New Roman"/>
                                <w:sz w:val="14"/>
                                <w:szCs w:val="14"/>
                              </w:rPr>
                              <w:t>Biodiversity hot-spots outside PAs remain largely unprotected and exposed to numerous threats from nearby developments</w:t>
                            </w:r>
                          </w:p>
                        </w:txbxContent>
                      </wps:txbx>
                      <wps:bodyPr wrap="square" lIns="121789" tIns="60894" rIns="121789" bIns="60894" spcCol="0" rtlCol="0" anchor="ctr">
                        <a:noAutofit/>
                      </wps:bodyPr>
                    </wps:wsp>
                  </a:graphicData>
                </a:graphic>
                <wp14:sizeRelH relativeFrom="margin">
                  <wp14:pctWidth>0</wp14:pctWidth>
                </wp14:sizeRelH>
                <wp14:sizeRelV relativeFrom="margin">
                  <wp14:pctHeight>0</wp14:pctHeight>
                </wp14:sizeRelV>
              </wp:anchor>
            </w:drawing>
          </mc:Choice>
          <mc:Fallback>
            <w:pict>
              <v:shape w14:anchorId="12D20F2D" id="Text Box 10" o:spid="_x0000_s1075" type="#_x0000_t202" style="position:absolute;margin-left:204pt;margin-top:9.4pt;width:150.6pt;height:57.3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" fillcolor="window" strokecolor="#c55a11" strokeweight="2pt">
                <v:path arrowok="t"/>
                <v:textbox inset="3.38303mm,1.6915mm,3.38303mm,1.6915mm">
                  <w:txbxContent>
                    <w:p w14:paraId="397F2DF6" w14:textId="77777777" w:rsidR="00127DDC" w:rsidRPr="00172973" w:rsidRDefault="00127DDC" w:rsidP="00172973">
                      <w:pPr>
                        <w:rPr>
                          <w:rFonts w:ascii="Times New Roman" w:hAnsi="Times New Roman"/>
                          <w:sz w:val="14"/>
                          <w:szCs w:val="14"/>
                        </w:rPr>
                      </w:pPr>
                      <w:r w:rsidRPr="00172973">
                        <w:rPr>
                          <w:rFonts w:ascii="Times New Roman" w:hAnsi="Times New Roman"/>
                          <w:sz w:val="14"/>
                          <w:szCs w:val="14"/>
                        </w:rPr>
                        <w:t>Biodiversity hot-spots outside PAs remain largely unprotected and exposed to numerous threats from nearby developments</w:t>
                      </w:r>
                    </w:p>
                  </w:txbxContent>
                </v:textbox>
                <w10:wrap anchorx="margin"/>
              </v:shape>
            </w:pict>
          </mc:Fallback>
        </mc:AlternateContent>
      </w:r>
      <w:r w:rsidRPr="003B6A69">
        <w:rPr>
          <w:rFonts w:ascii="Times New Roman" w:eastAsia="Times New Roman" w:hAnsi="Times New Roman"/>
          <w:noProof/>
          <w:sz w:val="24"/>
        </w:rPr>
        <mc:AlternateContent>
          <mc:Choice Requires="wps">
            <w:drawing>
              <wp:anchor distT="0" distB="0" distL="114300" distR="114300" simplePos="0" relativeHeight="251681792" behindDoc="0" locked="0" layoutInCell="1" allowOverlap="1" wp14:anchorId="1F9CF2EA" wp14:editId="230BA449">
                <wp:simplePos x="0" y="0"/>
                <wp:positionH relativeFrom="margin">
                  <wp:posOffset>701040</wp:posOffset>
                </wp:positionH>
                <wp:positionV relativeFrom="paragraph">
                  <wp:posOffset>127000</wp:posOffset>
                </wp:positionV>
                <wp:extent cx="1706880" cy="753110"/>
                <wp:effectExtent l="0" t="0" r="26670" b="27940"/>
                <wp:wrapThrough wrapText="bothSides">
                  <wp:wrapPolygon edited="0">
                    <wp:start x="0" y="0"/>
                    <wp:lineTo x="0" y="21855"/>
                    <wp:lineTo x="21696" y="21855"/>
                    <wp:lineTo x="21696" y="0"/>
                    <wp:lineTo x="0" y="0"/>
                  </wp:wrapPolygon>
                </wp:wrapThrough>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06880" cy="753110"/>
                        </a:xfrm>
                        <a:prstGeom prst="rect">
                          <a:avLst/>
                        </a:prstGeom>
                        <a:solidFill>
                          <a:sysClr val="window" lastClr="FFFFFF"/>
                        </a:solidFill>
                        <a:ln w="25400" cap="flat" cmpd="sng" algn="ctr">
                          <a:solidFill>
                            <a:srgbClr val="ED7D31">
                              <a:lumMod val="75000"/>
                            </a:srgbClr>
                          </a:solidFill>
                          <a:prstDash val="solid"/>
                        </a:ln>
                        <a:effectLst/>
                      </wps:spPr>
                      <wps:txbx>
                        <w:txbxContent>
                          <w:p w14:paraId="5F12FD19" w14:textId="77777777" w:rsidR="00127DDC" w:rsidRPr="004D6B69" w:rsidRDefault="00127DDC" w:rsidP="00172973">
                            <w:pPr>
                              <w:pStyle w:val="NormalWeb"/>
                              <w:spacing w:before="0" w:beforeAutospacing="0" w:after="0" w:afterAutospacing="0"/>
                              <w:jc w:val="center"/>
                              <w:rPr>
                                <w:sz w:val="14"/>
                                <w:szCs w:val="14"/>
                              </w:rPr>
                            </w:pPr>
                            <w:r>
                              <w:rPr>
                                <w:sz w:val="14"/>
                                <w:szCs w:val="14"/>
                              </w:rPr>
                              <w:t>W</w:t>
                            </w:r>
                            <w:r w:rsidRPr="00023688">
                              <w:rPr>
                                <w:sz w:val="14"/>
                                <w:szCs w:val="14"/>
                              </w:rPr>
                              <w:t>eaknesses in the management of protected areas</w:t>
                            </w:r>
                            <w:r>
                              <w:rPr>
                                <w:sz w:val="14"/>
                                <w:szCs w:val="14"/>
                              </w:rPr>
                              <w:t xml:space="preserve"> are topping the list of </w:t>
                            </w:r>
                            <w:r w:rsidRPr="00023688">
                              <w:rPr>
                                <w:sz w:val="14"/>
                                <w:szCs w:val="14"/>
                              </w:rPr>
                              <w:t>the key underl</w:t>
                            </w:r>
                            <w:r>
                              <w:rPr>
                                <w:sz w:val="14"/>
                                <w:szCs w:val="14"/>
                              </w:rPr>
                              <w:t xml:space="preserve">ying causes of biodiversity loss, along with the </w:t>
                            </w:r>
                            <w:r w:rsidRPr="00DF08F9">
                              <w:rPr>
                                <w:sz w:val="14"/>
                                <w:szCs w:val="14"/>
                              </w:rPr>
                              <w:t>inadequate enforcement of relevant regulations</w:t>
                            </w:r>
                            <w:r>
                              <w:rPr>
                                <w:sz w:val="14"/>
                                <w:szCs w:val="14"/>
                              </w:rPr>
                              <w:t>, and climate-induced effects</w:t>
                            </w:r>
                          </w:p>
                        </w:txbxContent>
                      </wps:txbx>
                      <wps:bodyPr wrap="square" lIns="121789" tIns="60894" rIns="121789" bIns="60894" spcCol="0" rtlCol="0" anchor="ctr">
                        <a:noAutofit/>
                      </wps:bodyPr>
                    </wps:wsp>
                  </a:graphicData>
                </a:graphic>
                <wp14:sizeRelH relativeFrom="margin">
                  <wp14:pctWidth>0</wp14:pctWidth>
                </wp14:sizeRelH>
                <wp14:sizeRelV relativeFrom="margin">
                  <wp14:pctHeight>0</wp14:pctHeight>
                </wp14:sizeRelV>
              </wp:anchor>
            </w:drawing>
          </mc:Choice>
          <mc:Fallback>
            <w:pict>
              <v:shape w14:anchorId="1F9CF2EA" id="Text Box 9" o:spid="_x0000_s1076" type="#_x0000_t202" style="position:absolute;margin-left:55.2pt;margin-top:10pt;width:134.4pt;height:59.3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" fillcolor="window" strokecolor="#c55a11" strokeweight="2pt">
                <v:path arrowok="t"/>
                <v:textbox inset="3.38303mm,1.6915mm,3.38303mm,1.6915mm">
                  <w:txbxContent>
                    <w:p w14:paraId="5F12FD19" w14:textId="77777777" w:rsidR="00127DDC" w:rsidRPr="004D6B69" w:rsidRDefault="00127DDC" w:rsidP="00172973">
                      <w:pPr>
                        <w:pStyle w:val="NormalWeb"/>
                        <w:spacing w:before="0" w:beforeAutospacing="0" w:after="0" w:afterAutospacing="0"/>
                        <w:jc w:val="center"/>
                        <w:rPr>
                          <w:sz w:val="14"/>
                          <w:szCs w:val="14"/>
                        </w:rPr>
                      </w:pPr>
                      <w:r>
                        <w:rPr>
                          <w:sz w:val="14"/>
                          <w:szCs w:val="14"/>
                        </w:rPr>
                        <w:t>W</w:t>
                      </w:r>
                      <w:r w:rsidRPr="00023688">
                        <w:rPr>
                          <w:sz w:val="14"/>
                          <w:szCs w:val="14"/>
                        </w:rPr>
                        <w:t>eaknesses in the management of protected areas</w:t>
                      </w:r>
                      <w:r>
                        <w:rPr>
                          <w:sz w:val="14"/>
                          <w:szCs w:val="14"/>
                        </w:rPr>
                        <w:t xml:space="preserve"> are topping the list of </w:t>
                      </w:r>
                      <w:r w:rsidRPr="00023688">
                        <w:rPr>
                          <w:sz w:val="14"/>
                          <w:szCs w:val="14"/>
                        </w:rPr>
                        <w:t>the key underl</w:t>
                      </w:r>
                      <w:r>
                        <w:rPr>
                          <w:sz w:val="14"/>
                          <w:szCs w:val="14"/>
                        </w:rPr>
                        <w:t xml:space="preserve">ying causes of biodiversity loss, along with the </w:t>
                      </w:r>
                      <w:r w:rsidRPr="00DF08F9">
                        <w:rPr>
                          <w:sz w:val="14"/>
                          <w:szCs w:val="14"/>
                        </w:rPr>
                        <w:t>inadequate enforcement of relevant regulations</w:t>
                      </w:r>
                      <w:r>
                        <w:rPr>
                          <w:sz w:val="14"/>
                          <w:szCs w:val="14"/>
                        </w:rPr>
                        <w:t>, and climate-induced effects</w:t>
                      </w:r>
                    </w:p>
                  </w:txbxContent>
                </v:textbox>
                <w10:wrap type="through" anchorx="margin"/>
              </v:shape>
            </w:pict>
          </mc:Fallback>
        </mc:AlternateContent>
      </w:r>
    </w:p>
    <w:p w14:paraId="62A1FD6A" w14:textId="7F4F694D" w:rsidR="00172973" w:rsidRPr="003B6A69" w:rsidRDefault="00172973" w:rsidP="00172973">
      <w:pPr>
        <w:spacing w:after="0" w:line="220" w:lineRule="exact"/>
        <w:jc w:val="left"/>
        <w:rPr>
          <w:rFonts w:ascii="Times New Roman" w:eastAsia="Times New Roman" w:hAnsi="Times New Roman"/>
          <w:b/>
          <w:sz w:val="24"/>
        </w:rPr>
      </w:pPr>
      <w:r w:rsidRPr="003B6A69">
        <w:rPr>
          <w:rFonts w:ascii="Times New Roman" w:eastAsia="Times New Roman" w:hAnsi="Times New Roman"/>
          <w:noProof/>
          <w:sz w:val="24"/>
        </w:rPr>
        <mc:AlternateContent>
          <mc:Choice Requires="wps">
            <w:drawing>
              <wp:anchor distT="0" distB="0" distL="114300" distR="114300" simplePos="0" relativeHeight="251668480" behindDoc="0" locked="0" layoutInCell="1" allowOverlap="1" wp14:anchorId="631FAC02" wp14:editId="45F5BC8E">
                <wp:simplePos x="0" y="0"/>
                <wp:positionH relativeFrom="margin">
                  <wp:posOffset>5425440</wp:posOffset>
                </wp:positionH>
                <wp:positionV relativeFrom="paragraph">
                  <wp:posOffset>2540</wp:posOffset>
                </wp:positionV>
                <wp:extent cx="2889250" cy="746760"/>
                <wp:effectExtent l="0" t="0" r="25400" b="1524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89250" cy="746760"/>
                        </a:xfrm>
                        <a:prstGeom prst="rect">
                          <a:avLst/>
                        </a:prstGeom>
                        <a:solidFill>
                          <a:sysClr val="window" lastClr="FFFFFF"/>
                        </a:solidFill>
                        <a:ln w="25400" cap="flat" cmpd="sng" algn="ctr">
                          <a:solidFill>
                            <a:srgbClr val="ED7D31">
                              <a:lumMod val="75000"/>
                            </a:srgbClr>
                          </a:solidFill>
                          <a:prstDash val="solid"/>
                        </a:ln>
                        <a:effectLst/>
                      </wps:spPr>
                      <wps:txbx>
                        <w:txbxContent>
                          <w:p w14:paraId="768493E7" w14:textId="77777777" w:rsidR="00127DDC" w:rsidRPr="0082383A" w:rsidRDefault="00127DDC" w:rsidP="00172973">
                            <w:pPr>
                              <w:pStyle w:val="NormalWeb"/>
                              <w:spacing w:before="0" w:beforeAutospacing="0" w:after="0" w:afterAutospacing="0"/>
                              <w:ind w:left="-72" w:right="-72"/>
                              <w:jc w:val="center"/>
                              <w:rPr>
                                <w:sz w:val="14"/>
                                <w:szCs w:val="14"/>
                              </w:rPr>
                            </w:pPr>
                            <w:r w:rsidRPr="00023688">
                              <w:rPr>
                                <w:sz w:val="14"/>
                                <w:szCs w:val="14"/>
                              </w:rPr>
                              <w:t xml:space="preserve">Tourism and associated construction, forestry and agriculture are the </w:t>
                            </w:r>
                            <w:r>
                              <w:rPr>
                                <w:sz w:val="14"/>
                                <w:szCs w:val="14"/>
                              </w:rPr>
                              <w:t>three sectors</w:t>
                            </w:r>
                            <w:r w:rsidRPr="00023688">
                              <w:rPr>
                                <w:sz w:val="14"/>
                                <w:szCs w:val="14"/>
                              </w:rPr>
                              <w:t xml:space="preserve"> imparting negative changes in biodiversity assets of Montenegro</w:t>
                            </w:r>
                            <w:r>
                              <w:rPr>
                                <w:sz w:val="14"/>
                                <w:szCs w:val="14"/>
                              </w:rPr>
                              <w:t xml:space="preserve">. Tourism development and landuse changes are the main threats to species and ecosystems. </w:t>
                            </w:r>
                            <w:r w:rsidRPr="007F2670">
                              <w:rPr>
                                <w:sz w:val="14"/>
                                <w:szCs w:val="14"/>
                              </w:rPr>
                              <w:t>Habitat fragmentation is associated with changes in land use practices in agriculture and forestry</w:t>
                            </w:r>
                          </w:p>
                        </w:txbxContent>
                      </wps:txbx>
                      <wps:bodyPr wrap="square" lIns="121789" tIns="60894" rIns="121789" bIns="60894" spcCol="0" rtlCol="0" anchor="ctr">
                        <a:noAutofit/>
                      </wps:bodyPr>
                    </wps:wsp>
                  </a:graphicData>
                </a:graphic>
                <wp14:sizeRelH relativeFrom="margin">
                  <wp14:pctWidth>0</wp14:pctWidth>
                </wp14:sizeRelH>
                <wp14:sizeRelV relativeFrom="margin">
                  <wp14:pctHeight>0</wp14:pctHeight>
                </wp14:sizeRelV>
              </wp:anchor>
            </w:drawing>
          </mc:Choice>
          <mc:Fallback>
            <w:pict>
              <v:shape w14:anchorId="631FAC02" id="Text Box 8" o:spid="_x0000_s1077" type="#_x0000_t202" style="position:absolute;margin-left:427.2pt;margin-top:.2pt;width:227.5pt;height:58.8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" fillcolor="window" strokecolor="#c55a11" strokeweight="2pt">
                <v:path arrowok="t"/>
                <v:textbox inset="3.38303mm,1.6915mm,3.38303mm,1.6915mm">
                  <w:txbxContent>
                    <w:p w14:paraId="768493E7" w14:textId="77777777" w:rsidR="00127DDC" w:rsidRPr="0082383A" w:rsidRDefault="00127DDC" w:rsidP="00172973">
                      <w:pPr>
                        <w:pStyle w:val="NormalWeb"/>
                        <w:spacing w:before="0" w:beforeAutospacing="0" w:after="0" w:afterAutospacing="0"/>
                        <w:ind w:left="-72" w:right="-72"/>
                        <w:jc w:val="center"/>
                        <w:rPr>
                          <w:sz w:val="14"/>
                          <w:szCs w:val="14"/>
                        </w:rPr>
                      </w:pPr>
                      <w:r w:rsidRPr="00023688">
                        <w:rPr>
                          <w:sz w:val="14"/>
                          <w:szCs w:val="14"/>
                        </w:rPr>
                        <w:t xml:space="preserve">Tourism and associated construction, forestry and agriculture are the </w:t>
                      </w:r>
                      <w:r>
                        <w:rPr>
                          <w:sz w:val="14"/>
                          <w:szCs w:val="14"/>
                        </w:rPr>
                        <w:t>three sectors</w:t>
                      </w:r>
                      <w:r w:rsidRPr="00023688">
                        <w:rPr>
                          <w:sz w:val="14"/>
                          <w:szCs w:val="14"/>
                        </w:rPr>
                        <w:t xml:space="preserve"> imparting negative changes in biodiversity assets of Montenegro</w:t>
                      </w:r>
                      <w:r>
                        <w:rPr>
                          <w:sz w:val="14"/>
                          <w:szCs w:val="14"/>
                        </w:rPr>
                        <w:t xml:space="preserve">. Tourism development and landuse changes are the main threats to species and ecosystems. </w:t>
                      </w:r>
                      <w:r w:rsidRPr="007F2670">
                        <w:rPr>
                          <w:sz w:val="14"/>
                          <w:szCs w:val="14"/>
                        </w:rPr>
                        <w:t>Habitat fragmentation is associated with changes in land use practices in agriculture and forestry</w:t>
                      </w:r>
                    </w:p>
                  </w:txbxContent>
                </v:textbox>
                <w10:wrap anchorx="margin"/>
              </v:shape>
            </w:pict>
          </mc:Fallback>
        </mc:AlternateContent>
      </w:r>
      <w:r w:rsidRPr="003B6A69">
        <w:rPr>
          <w:rFonts w:ascii="Times New Roman" w:eastAsia="Times New Roman" w:hAnsi="Times New Roman"/>
          <w:noProof/>
          <w:sz w:val="24"/>
        </w:rPr>
        <mc:AlternateContent>
          <mc:Choice Requires="wps">
            <w:drawing>
              <wp:anchor distT="0" distB="0" distL="114300" distR="114300" simplePos="0" relativeHeight="251674624" behindDoc="0" locked="0" layoutInCell="1" allowOverlap="1" wp14:anchorId="5116C0FC" wp14:editId="0EF5C45F">
                <wp:simplePos x="0" y="0"/>
                <wp:positionH relativeFrom="margin">
                  <wp:posOffset>-698500</wp:posOffset>
                </wp:positionH>
                <wp:positionV relativeFrom="paragraph">
                  <wp:posOffset>11430</wp:posOffset>
                </wp:positionV>
                <wp:extent cx="861695" cy="496570"/>
                <wp:effectExtent l="0" t="0" r="14605" b="1778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1695" cy="496570"/>
                        </a:xfrm>
                        <a:prstGeom prst="rect">
                          <a:avLst/>
                        </a:prstGeom>
                        <a:solidFill>
                          <a:sysClr val="window" lastClr="FFFFFF"/>
                        </a:solidFill>
                        <a:ln w="25400" cap="flat" cmpd="sng" algn="ctr">
                          <a:solidFill>
                            <a:srgbClr val="ED7D31">
                              <a:lumMod val="75000"/>
                            </a:srgbClr>
                          </a:solidFill>
                          <a:prstDash val="solid"/>
                        </a:ln>
                        <a:effectLst/>
                      </wps:spPr>
                      <wps:txbx>
                        <w:txbxContent>
                          <w:p w14:paraId="572AED5E" w14:textId="77777777" w:rsidR="00127DDC" w:rsidRPr="008E0A65" w:rsidRDefault="00127DDC" w:rsidP="00172973">
                            <w:pPr>
                              <w:pStyle w:val="NormalWeb"/>
                              <w:spacing w:before="0" w:beforeAutospacing="0" w:after="0" w:afterAutospacing="0"/>
                              <w:jc w:val="center"/>
                              <w:rPr>
                                <w:sz w:val="16"/>
                                <w:szCs w:val="16"/>
                              </w:rPr>
                            </w:pPr>
                            <w:r>
                              <w:rPr>
                                <w:b/>
                                <w:bCs/>
                                <w:color w:val="000000"/>
                                <w:kern w:val="24"/>
                                <w:sz w:val="16"/>
                                <w:szCs w:val="16"/>
                              </w:rPr>
                              <w:t>Problems</w:t>
                            </w:r>
                          </w:p>
                        </w:txbxContent>
                      </wps:txbx>
                      <wps:bodyPr lIns="121789" tIns="60894" rIns="121789" bIns="60894" spcCol="0" rtlCol="0" anchor="ctr"/>
                    </wps:wsp>
                  </a:graphicData>
                </a:graphic>
                <wp14:sizeRelH relativeFrom="page">
                  <wp14:pctWidth>0</wp14:pctWidth>
                </wp14:sizeRelH>
                <wp14:sizeRelV relativeFrom="page">
                  <wp14:pctHeight>0</wp14:pctHeight>
                </wp14:sizeRelV>
              </wp:anchor>
            </w:drawing>
          </mc:Choice>
          <mc:Fallback>
            <w:pict>
              <v:rect w14:anchorId="5116C0FC" id="Rectangle 7" o:spid="_x0000_s1078" style="position:absolute;margin-left:-55pt;margin-top:.9pt;width:67.85pt;height:39.1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" fillcolor="window" strokecolor="#c55a11" strokeweight="2pt">
                <v:path arrowok="t"/>
                <v:textbox inset="3.38303mm,1.6915mm,3.38303mm,1.6915mm">
                  <w:txbxContent>
                    <w:p w14:paraId="572AED5E" w14:textId="77777777" w:rsidR="00127DDC" w:rsidRPr="008E0A65" w:rsidRDefault="00127DDC" w:rsidP="00172973">
                      <w:pPr>
                        <w:pStyle w:val="NormalWeb"/>
                        <w:spacing w:before="0" w:beforeAutospacing="0" w:after="0" w:afterAutospacing="0"/>
                        <w:jc w:val="center"/>
                        <w:rPr>
                          <w:sz w:val="16"/>
                          <w:szCs w:val="16"/>
                        </w:rPr>
                      </w:pPr>
                      <w:r>
                        <w:rPr>
                          <w:b/>
                          <w:bCs/>
                          <w:color w:val="000000"/>
                          <w:kern w:val="24"/>
                          <w:sz w:val="16"/>
                          <w:szCs w:val="16"/>
                        </w:rPr>
                        <w:t>Problems</w:t>
                      </w:r>
                    </w:p>
                  </w:txbxContent>
                </v:textbox>
                <w10:wrap anchorx="margin"/>
              </v:rect>
            </w:pict>
          </mc:Fallback>
        </mc:AlternateContent>
      </w:r>
    </w:p>
    <w:p w14:paraId="7B83AB56" w14:textId="77777777" w:rsidR="00172973" w:rsidRPr="003B6A69" w:rsidRDefault="00172973" w:rsidP="00172973">
      <w:pPr>
        <w:spacing w:after="0" w:line="220" w:lineRule="exact"/>
        <w:jc w:val="left"/>
        <w:rPr>
          <w:rFonts w:ascii="Calibri Light" w:eastAsia="Times New Roman" w:hAnsi="Calibri Light"/>
          <w:sz w:val="24"/>
          <w:szCs w:val="20"/>
        </w:rPr>
        <w:sectPr w:rsidR="00172973" w:rsidRPr="003B6A69" w:rsidSect="002F7529">
          <w:footerReference w:type="default" r:id="rId35"/>
          <w:pgSz w:w="15840" w:h="12240" w:orient="landscape" w:code="1"/>
          <w:pgMar w:top="1440" w:right="1440" w:bottom="1440" w:left="1440" w:header="720" w:footer="432" w:gutter="0"/>
          <w:cols w:space="708"/>
          <w:titlePg/>
          <w:docGrid w:linePitch="360"/>
        </w:sectPr>
      </w:pPr>
    </w:p>
    <w:p w14:paraId="2F653A95" w14:textId="77777777" w:rsidR="00FC4379" w:rsidRPr="003B6A69" w:rsidRDefault="00FC4379" w:rsidP="00172973">
      <w:pPr>
        <w:pStyle w:val="GEFInstruction"/>
        <w:rPr>
          <w:lang w:val="en-GB"/>
        </w:rPr>
        <w:sectPr w:rsidR="00FC4379" w:rsidRPr="003B6A69" w:rsidSect="00704D5D">
          <w:pgSz w:w="15840" w:h="12240" w:orient="landscape"/>
          <w:pgMar w:top="1440" w:right="1440" w:bottom="1440" w:left="1440" w:header="720" w:footer="720" w:gutter="0"/>
          <w:cols w:space="720"/>
          <w:titlePg/>
          <w:docGrid w:linePitch="360"/>
        </w:sectPr>
      </w:pPr>
    </w:p>
    <w:p w14:paraId="4A158A4F" w14:textId="6BF4F4EE" w:rsidR="00172973" w:rsidRPr="003B6A69" w:rsidRDefault="00172973" w:rsidP="00172973">
      <w:pPr>
        <w:pStyle w:val="GEFInstruction"/>
        <w:rPr>
          <w:lang w:val="en-GB"/>
        </w:rPr>
      </w:pPr>
    </w:p>
    <w:p w14:paraId="690E7FC9" w14:textId="77777777" w:rsidR="00172973" w:rsidRPr="003B6A69" w:rsidRDefault="00172973">
      <w:pPr>
        <w:spacing w:after="0"/>
        <w:jc w:val="left"/>
        <w:rPr>
          <w:rFonts w:asciiTheme="minorHAnsi" w:hAnsiTheme="minorHAnsi" w:cstheme="minorHAnsi"/>
          <w:b/>
          <w:bCs/>
          <w:szCs w:val="22"/>
          <w:lang w:val="en-GB"/>
        </w:rPr>
      </w:pPr>
    </w:p>
    <w:p w14:paraId="2BD5ECCA" w14:textId="31C30439" w:rsidR="00D135BA" w:rsidRPr="003B6A69" w:rsidRDefault="00D135BA" w:rsidP="00B24DF3">
      <w:pPr>
        <w:pStyle w:val="Heading2"/>
        <w:rPr>
          <w:lang w:val="en-GB"/>
        </w:rPr>
      </w:pPr>
      <w:bookmarkStart w:id="66" w:name="_Toc82018276"/>
      <w:r w:rsidRPr="003B6A69">
        <w:rPr>
          <w:lang w:val="en-GB"/>
        </w:rPr>
        <w:t xml:space="preserve">Annex </w:t>
      </w:r>
      <w:r w:rsidR="006C1C66" w:rsidRPr="003B6A69">
        <w:rPr>
          <w:lang w:val="en-GB"/>
        </w:rPr>
        <w:t>3</w:t>
      </w:r>
      <w:r w:rsidRPr="003B6A69">
        <w:rPr>
          <w:lang w:val="en-GB"/>
        </w:rPr>
        <w:t>: Multi-Year Work Plan</w:t>
      </w:r>
      <w:bookmarkEnd w:id="66"/>
    </w:p>
    <w:p w14:paraId="769D318A" w14:textId="62C799D2" w:rsidR="0096196C" w:rsidRDefault="000B36D0" w:rsidP="00D5549F">
      <w:pPr>
        <w:rPr>
          <w:szCs w:val="20"/>
          <w:lang w:eastAsia="ja-JP"/>
        </w:rPr>
      </w:pPr>
      <w:r w:rsidRPr="003B6A69">
        <w:fldChar w:fldCharType="begin"/>
      </w:r>
      <w:r w:rsidRPr="003B6A69">
        <w:instrText xml:space="preserve"> LINK </w:instrText>
      </w:r>
      <w:r w:rsidR="0096196C">
        <w:instrText xml:space="preserve">Excel.Sheet.12 "C:\\Users\\ibredneva\\Documents\\Montenegro GEF-7\\6461 Montenegro BD Mainstreaming_Activity Plan_25032021.xlsx" Sheet1!R3C1:R71C7 </w:instrText>
      </w:r>
      <w:r w:rsidRPr="003B6A69">
        <w:instrText xml:space="preserve">\a \f 4 \h  \* MERGEFORMAT </w:instrText>
      </w:r>
      <w:r w:rsidRPr="003B6A69">
        <w:fldChar w:fldCharType="separate"/>
      </w:r>
    </w:p>
    <w:tbl>
      <w:tblPr>
        <w:tblW w:w="9900" w:type="dxa"/>
        <w:tblLook w:val="04A0" w:firstRow="1" w:lastRow="0" w:firstColumn="1" w:lastColumn="0" w:noHBand="0" w:noVBand="1"/>
      </w:tblPr>
      <w:tblGrid>
        <w:gridCol w:w="2220"/>
        <w:gridCol w:w="3680"/>
        <w:gridCol w:w="800"/>
        <w:gridCol w:w="800"/>
        <w:gridCol w:w="800"/>
        <w:gridCol w:w="800"/>
        <w:gridCol w:w="800"/>
        <w:gridCol w:w="3680"/>
        <w:gridCol w:w="800"/>
        <w:gridCol w:w="800"/>
        <w:gridCol w:w="800"/>
        <w:gridCol w:w="800"/>
        <w:gridCol w:w="800"/>
      </w:tblGrid>
      <w:tr w:rsidR="0096196C" w:rsidRPr="0096196C" w14:paraId="52F61962" w14:textId="77777777" w:rsidTr="0096196C">
        <w:trPr>
          <w:gridAfter w:val="6"/>
          <w:divId w:val="301007021"/>
          <w:wAfter w:w="7680" w:type="dxa"/>
          <w:trHeight w:val="408"/>
        </w:trPr>
        <w:tc>
          <w:tcPr>
            <w:tcW w:w="222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3C2DD7E" w14:textId="7746EA73" w:rsidR="0096196C" w:rsidRPr="0096196C" w:rsidRDefault="0096196C" w:rsidP="0096196C">
            <w:pPr>
              <w:spacing w:after="0"/>
              <w:jc w:val="left"/>
              <w:rPr>
                <w:rFonts w:eastAsia="Times New Roman"/>
                <w:b/>
                <w:bCs/>
                <w:color w:val="000000"/>
                <w:sz w:val="16"/>
                <w:szCs w:val="16"/>
              </w:rPr>
            </w:pPr>
            <w:r w:rsidRPr="0096196C">
              <w:rPr>
                <w:rFonts w:eastAsia="Times New Roman"/>
                <w:b/>
                <w:bCs/>
                <w:color w:val="000000"/>
                <w:sz w:val="16"/>
                <w:szCs w:val="16"/>
              </w:rPr>
              <w:t>Project Output Description</w:t>
            </w:r>
          </w:p>
        </w:tc>
        <w:tc>
          <w:tcPr>
            <w:tcW w:w="3680" w:type="dxa"/>
            <w:tcBorders>
              <w:top w:val="single" w:sz="4" w:space="0" w:color="auto"/>
              <w:left w:val="nil"/>
              <w:bottom w:val="single" w:sz="4" w:space="0" w:color="auto"/>
              <w:right w:val="single" w:sz="4" w:space="0" w:color="auto"/>
            </w:tcBorders>
            <w:shd w:val="clear" w:color="auto" w:fill="auto"/>
            <w:vAlign w:val="bottom"/>
            <w:hideMark/>
          </w:tcPr>
          <w:p w14:paraId="45B8273B" w14:textId="77777777" w:rsidR="0096196C" w:rsidRPr="0096196C" w:rsidRDefault="0096196C" w:rsidP="0096196C">
            <w:pPr>
              <w:spacing w:after="0"/>
              <w:jc w:val="left"/>
              <w:rPr>
                <w:rFonts w:eastAsia="Times New Roman"/>
                <w:b/>
                <w:bCs/>
                <w:color w:val="000000"/>
                <w:sz w:val="16"/>
                <w:szCs w:val="16"/>
              </w:rPr>
            </w:pPr>
            <w:r w:rsidRPr="0096196C">
              <w:rPr>
                <w:rFonts w:eastAsia="Times New Roman"/>
                <w:b/>
                <w:bCs/>
                <w:color w:val="000000"/>
                <w:sz w:val="16"/>
                <w:szCs w:val="16"/>
              </w:rPr>
              <w:t>Workplan Activity Description</w:t>
            </w:r>
          </w:p>
        </w:tc>
        <w:tc>
          <w:tcPr>
            <w:tcW w:w="800" w:type="dxa"/>
            <w:tcBorders>
              <w:top w:val="single" w:sz="4" w:space="0" w:color="auto"/>
              <w:left w:val="nil"/>
              <w:bottom w:val="single" w:sz="4" w:space="0" w:color="auto"/>
              <w:right w:val="single" w:sz="4" w:space="0" w:color="auto"/>
            </w:tcBorders>
            <w:shd w:val="clear" w:color="auto" w:fill="auto"/>
            <w:vAlign w:val="bottom"/>
            <w:hideMark/>
          </w:tcPr>
          <w:p w14:paraId="44C5DC6C" w14:textId="77777777" w:rsidR="0096196C" w:rsidRPr="0096196C" w:rsidRDefault="0096196C" w:rsidP="0096196C">
            <w:pPr>
              <w:spacing w:after="0"/>
              <w:jc w:val="left"/>
              <w:rPr>
                <w:rFonts w:eastAsia="Times New Roman"/>
                <w:b/>
                <w:bCs/>
                <w:color w:val="000000"/>
                <w:sz w:val="16"/>
                <w:szCs w:val="16"/>
              </w:rPr>
            </w:pPr>
            <w:r w:rsidRPr="0096196C">
              <w:rPr>
                <w:rFonts w:eastAsia="Times New Roman"/>
                <w:b/>
                <w:bCs/>
                <w:color w:val="000000"/>
                <w:sz w:val="16"/>
                <w:szCs w:val="16"/>
              </w:rPr>
              <w:br/>
              <w:t xml:space="preserve">Year 1 </w:t>
            </w:r>
          </w:p>
        </w:tc>
        <w:tc>
          <w:tcPr>
            <w:tcW w:w="800" w:type="dxa"/>
            <w:tcBorders>
              <w:top w:val="single" w:sz="4" w:space="0" w:color="auto"/>
              <w:left w:val="nil"/>
              <w:bottom w:val="single" w:sz="4" w:space="0" w:color="auto"/>
              <w:right w:val="single" w:sz="4" w:space="0" w:color="auto"/>
            </w:tcBorders>
            <w:shd w:val="clear" w:color="auto" w:fill="auto"/>
            <w:vAlign w:val="bottom"/>
            <w:hideMark/>
          </w:tcPr>
          <w:p w14:paraId="75A5FAD7" w14:textId="77777777" w:rsidR="0096196C" w:rsidRPr="0096196C" w:rsidRDefault="0096196C" w:rsidP="0096196C">
            <w:pPr>
              <w:spacing w:after="0"/>
              <w:jc w:val="left"/>
              <w:rPr>
                <w:rFonts w:eastAsia="Times New Roman"/>
                <w:b/>
                <w:bCs/>
                <w:color w:val="000000"/>
                <w:sz w:val="16"/>
                <w:szCs w:val="16"/>
              </w:rPr>
            </w:pPr>
            <w:r w:rsidRPr="0096196C">
              <w:rPr>
                <w:rFonts w:eastAsia="Times New Roman"/>
                <w:b/>
                <w:bCs/>
                <w:color w:val="000000"/>
                <w:sz w:val="16"/>
                <w:szCs w:val="16"/>
              </w:rPr>
              <w:br/>
              <w:t xml:space="preserve">Year 2 </w:t>
            </w:r>
          </w:p>
        </w:tc>
        <w:tc>
          <w:tcPr>
            <w:tcW w:w="800" w:type="dxa"/>
            <w:tcBorders>
              <w:top w:val="single" w:sz="4" w:space="0" w:color="auto"/>
              <w:left w:val="nil"/>
              <w:bottom w:val="single" w:sz="4" w:space="0" w:color="auto"/>
              <w:right w:val="single" w:sz="4" w:space="0" w:color="auto"/>
            </w:tcBorders>
            <w:shd w:val="clear" w:color="auto" w:fill="auto"/>
            <w:vAlign w:val="bottom"/>
            <w:hideMark/>
          </w:tcPr>
          <w:p w14:paraId="7B95019D" w14:textId="77777777" w:rsidR="0096196C" w:rsidRPr="0096196C" w:rsidRDefault="0096196C" w:rsidP="0096196C">
            <w:pPr>
              <w:spacing w:after="0"/>
              <w:jc w:val="left"/>
              <w:rPr>
                <w:rFonts w:eastAsia="Times New Roman"/>
                <w:b/>
                <w:bCs/>
                <w:color w:val="000000"/>
                <w:sz w:val="16"/>
                <w:szCs w:val="16"/>
              </w:rPr>
            </w:pPr>
            <w:r w:rsidRPr="0096196C">
              <w:rPr>
                <w:rFonts w:eastAsia="Times New Roman"/>
                <w:b/>
                <w:bCs/>
                <w:color w:val="000000"/>
                <w:sz w:val="16"/>
                <w:szCs w:val="16"/>
              </w:rPr>
              <w:t xml:space="preserve"> </w:t>
            </w:r>
            <w:r w:rsidRPr="0096196C">
              <w:rPr>
                <w:rFonts w:eastAsia="Times New Roman"/>
                <w:b/>
                <w:bCs/>
                <w:color w:val="000000"/>
                <w:sz w:val="16"/>
                <w:szCs w:val="16"/>
              </w:rPr>
              <w:br/>
              <w:t xml:space="preserve">Year 3 </w:t>
            </w:r>
          </w:p>
        </w:tc>
        <w:tc>
          <w:tcPr>
            <w:tcW w:w="800" w:type="dxa"/>
            <w:tcBorders>
              <w:top w:val="single" w:sz="4" w:space="0" w:color="auto"/>
              <w:left w:val="nil"/>
              <w:bottom w:val="single" w:sz="4" w:space="0" w:color="auto"/>
              <w:right w:val="single" w:sz="4" w:space="0" w:color="auto"/>
            </w:tcBorders>
            <w:shd w:val="clear" w:color="auto" w:fill="auto"/>
            <w:vAlign w:val="bottom"/>
            <w:hideMark/>
          </w:tcPr>
          <w:p w14:paraId="1E6BD973" w14:textId="77777777" w:rsidR="0096196C" w:rsidRPr="0096196C" w:rsidRDefault="0096196C" w:rsidP="0096196C">
            <w:pPr>
              <w:spacing w:after="0"/>
              <w:jc w:val="left"/>
              <w:rPr>
                <w:rFonts w:eastAsia="Times New Roman"/>
                <w:b/>
                <w:bCs/>
                <w:color w:val="000000"/>
                <w:sz w:val="16"/>
                <w:szCs w:val="16"/>
              </w:rPr>
            </w:pPr>
            <w:r w:rsidRPr="0096196C">
              <w:rPr>
                <w:rFonts w:eastAsia="Times New Roman"/>
                <w:b/>
                <w:bCs/>
                <w:color w:val="000000"/>
                <w:sz w:val="16"/>
                <w:szCs w:val="16"/>
              </w:rPr>
              <w:br/>
              <w:t xml:space="preserve">Year 4 </w:t>
            </w:r>
          </w:p>
        </w:tc>
        <w:tc>
          <w:tcPr>
            <w:tcW w:w="800" w:type="dxa"/>
            <w:tcBorders>
              <w:top w:val="single" w:sz="4" w:space="0" w:color="auto"/>
              <w:left w:val="nil"/>
              <w:bottom w:val="single" w:sz="4" w:space="0" w:color="auto"/>
              <w:right w:val="single" w:sz="4" w:space="0" w:color="auto"/>
            </w:tcBorders>
            <w:shd w:val="clear" w:color="auto" w:fill="auto"/>
            <w:vAlign w:val="bottom"/>
            <w:hideMark/>
          </w:tcPr>
          <w:p w14:paraId="2A81DC88" w14:textId="77777777" w:rsidR="0096196C" w:rsidRPr="0096196C" w:rsidRDefault="0096196C" w:rsidP="0096196C">
            <w:pPr>
              <w:spacing w:after="0"/>
              <w:jc w:val="left"/>
              <w:rPr>
                <w:rFonts w:eastAsia="Times New Roman"/>
                <w:b/>
                <w:bCs/>
                <w:color w:val="000000"/>
                <w:sz w:val="16"/>
                <w:szCs w:val="16"/>
              </w:rPr>
            </w:pPr>
            <w:r w:rsidRPr="0096196C">
              <w:rPr>
                <w:rFonts w:eastAsia="Times New Roman"/>
                <w:b/>
                <w:bCs/>
                <w:color w:val="000000"/>
                <w:sz w:val="16"/>
                <w:szCs w:val="16"/>
              </w:rPr>
              <w:t xml:space="preserve"> </w:t>
            </w:r>
            <w:r w:rsidRPr="0096196C">
              <w:rPr>
                <w:rFonts w:eastAsia="Times New Roman"/>
                <w:b/>
                <w:bCs/>
                <w:color w:val="000000"/>
                <w:sz w:val="16"/>
                <w:szCs w:val="16"/>
              </w:rPr>
              <w:br/>
              <w:t xml:space="preserve">Year 5 </w:t>
            </w:r>
          </w:p>
        </w:tc>
      </w:tr>
      <w:tr w:rsidR="0096196C" w:rsidRPr="0096196C" w14:paraId="06315A92" w14:textId="77777777" w:rsidTr="0096196C">
        <w:trPr>
          <w:gridAfter w:val="6"/>
          <w:divId w:val="301007021"/>
          <w:wAfter w:w="7680" w:type="dxa"/>
          <w:trHeight w:val="204"/>
        </w:trPr>
        <w:tc>
          <w:tcPr>
            <w:tcW w:w="9900" w:type="dxa"/>
            <w:gridSpan w:val="7"/>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4638A57C"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Component 1: Protection of valuable and/or vulnerable biodiversity within the KBAs and biodiversity corridors</w:t>
            </w:r>
          </w:p>
        </w:tc>
      </w:tr>
      <w:tr w:rsidR="0096196C" w:rsidRPr="0096196C" w14:paraId="0A390EDF" w14:textId="77777777" w:rsidTr="0096196C">
        <w:trPr>
          <w:gridAfter w:val="6"/>
          <w:divId w:val="301007021"/>
          <w:wAfter w:w="7680" w:type="dxa"/>
          <w:trHeight w:val="600"/>
        </w:trPr>
        <w:tc>
          <w:tcPr>
            <w:tcW w:w="9900" w:type="dxa"/>
            <w:gridSpan w:val="7"/>
            <w:tcBorders>
              <w:top w:val="single" w:sz="4" w:space="0" w:color="auto"/>
              <w:left w:val="single" w:sz="4" w:space="0" w:color="auto"/>
              <w:bottom w:val="single" w:sz="4" w:space="0" w:color="auto"/>
              <w:right w:val="single" w:sz="4" w:space="0" w:color="000000"/>
            </w:tcBorders>
            <w:shd w:val="clear" w:color="auto" w:fill="auto"/>
            <w:vAlign w:val="bottom"/>
            <w:hideMark/>
          </w:tcPr>
          <w:p w14:paraId="2E6C4252" w14:textId="77777777" w:rsidR="0096196C" w:rsidRPr="0096196C" w:rsidRDefault="0096196C" w:rsidP="0096196C">
            <w:pPr>
              <w:spacing w:after="0"/>
              <w:jc w:val="left"/>
              <w:rPr>
                <w:rFonts w:eastAsia="Times New Roman"/>
                <w:b/>
                <w:bCs/>
                <w:color w:val="000000"/>
                <w:sz w:val="16"/>
                <w:szCs w:val="16"/>
              </w:rPr>
            </w:pPr>
            <w:r w:rsidRPr="0096196C">
              <w:rPr>
                <w:rFonts w:eastAsia="Times New Roman"/>
                <w:b/>
                <w:bCs/>
                <w:color w:val="000000"/>
                <w:sz w:val="16"/>
                <w:szCs w:val="16"/>
              </w:rPr>
              <w:t>Outcome 1: Capacity of the existing and newly established national protected areas strengthened to better address the key threats to globally significant biodiversity</w:t>
            </w:r>
          </w:p>
        </w:tc>
      </w:tr>
      <w:tr w:rsidR="0096196C" w:rsidRPr="0096196C" w14:paraId="7CA013CE" w14:textId="77777777" w:rsidTr="0096196C">
        <w:trPr>
          <w:gridAfter w:val="6"/>
          <w:divId w:val="301007021"/>
          <w:wAfter w:w="7680" w:type="dxa"/>
          <w:trHeight w:val="1512"/>
        </w:trPr>
        <w:tc>
          <w:tcPr>
            <w:tcW w:w="2220" w:type="dxa"/>
            <w:vMerge w:val="restart"/>
            <w:tcBorders>
              <w:top w:val="nil"/>
              <w:left w:val="single" w:sz="4" w:space="0" w:color="auto"/>
              <w:bottom w:val="single" w:sz="4" w:space="0" w:color="auto"/>
              <w:right w:val="single" w:sz="4" w:space="0" w:color="auto"/>
            </w:tcBorders>
            <w:shd w:val="clear" w:color="auto" w:fill="auto"/>
            <w:hideMark/>
          </w:tcPr>
          <w:p w14:paraId="49FC34A3" w14:textId="77777777" w:rsidR="0096196C" w:rsidRPr="0096196C" w:rsidRDefault="0096196C" w:rsidP="0096196C">
            <w:pPr>
              <w:spacing w:after="0"/>
              <w:jc w:val="center"/>
              <w:rPr>
                <w:rFonts w:eastAsia="Times New Roman"/>
                <w:color w:val="000000"/>
                <w:sz w:val="16"/>
                <w:szCs w:val="16"/>
              </w:rPr>
            </w:pPr>
            <w:r w:rsidRPr="0096196C">
              <w:rPr>
                <w:rFonts w:eastAsia="Times New Roman"/>
                <w:color w:val="000000"/>
                <w:sz w:val="16"/>
                <w:szCs w:val="16"/>
              </w:rPr>
              <w:t xml:space="preserve">Output 1.1: Revised management planning of the existing national PAs addresses the KBA conservation needs, international UNESCO and Ramsar requirements, newly assessed </w:t>
            </w:r>
            <w:proofErr w:type="gramStart"/>
            <w:r w:rsidRPr="0096196C">
              <w:rPr>
                <w:rFonts w:eastAsia="Times New Roman"/>
                <w:color w:val="000000"/>
                <w:sz w:val="16"/>
                <w:szCs w:val="16"/>
              </w:rPr>
              <w:t>threats</w:t>
            </w:r>
            <w:proofErr w:type="gramEnd"/>
            <w:r w:rsidRPr="0096196C">
              <w:rPr>
                <w:rFonts w:eastAsia="Times New Roman"/>
                <w:color w:val="000000"/>
                <w:sz w:val="16"/>
                <w:szCs w:val="16"/>
              </w:rPr>
              <w:t xml:space="preserve"> and climate risks</w:t>
            </w:r>
          </w:p>
        </w:tc>
        <w:tc>
          <w:tcPr>
            <w:tcW w:w="3680" w:type="dxa"/>
            <w:tcBorders>
              <w:top w:val="nil"/>
              <w:left w:val="nil"/>
              <w:bottom w:val="single" w:sz="4" w:space="0" w:color="auto"/>
              <w:right w:val="single" w:sz="4" w:space="0" w:color="auto"/>
            </w:tcBorders>
            <w:shd w:val="clear" w:color="auto" w:fill="auto"/>
            <w:hideMark/>
          </w:tcPr>
          <w:p w14:paraId="6B7C30D2" w14:textId="77777777" w:rsidR="0096196C" w:rsidRPr="0096196C" w:rsidRDefault="0096196C" w:rsidP="0096196C">
            <w:pPr>
              <w:spacing w:after="0"/>
              <w:jc w:val="left"/>
              <w:rPr>
                <w:rFonts w:eastAsia="Times New Roman"/>
                <w:sz w:val="16"/>
                <w:szCs w:val="16"/>
              </w:rPr>
            </w:pPr>
            <w:r w:rsidRPr="0096196C">
              <w:rPr>
                <w:rFonts w:eastAsia="Times New Roman"/>
                <w:color w:val="00B050"/>
                <w:sz w:val="16"/>
                <w:szCs w:val="16"/>
              </w:rPr>
              <w:t xml:space="preserve"> </w:t>
            </w:r>
            <w:r w:rsidRPr="0096196C">
              <w:rPr>
                <w:rFonts w:eastAsia="Times New Roman"/>
                <w:sz w:val="16"/>
                <w:szCs w:val="16"/>
              </w:rPr>
              <w:t xml:space="preserve">Biodiversity </w:t>
            </w:r>
            <w:proofErr w:type="spellStart"/>
            <w:r w:rsidRPr="0096196C">
              <w:rPr>
                <w:rFonts w:eastAsia="Times New Roman"/>
                <w:sz w:val="16"/>
                <w:szCs w:val="16"/>
              </w:rPr>
              <w:t>threat&amp;value</w:t>
            </w:r>
            <w:proofErr w:type="spellEnd"/>
            <w:r w:rsidRPr="0096196C">
              <w:rPr>
                <w:rFonts w:eastAsia="Times New Roman"/>
                <w:sz w:val="16"/>
                <w:szCs w:val="16"/>
              </w:rPr>
              <w:t xml:space="preserve"> </w:t>
            </w:r>
            <w:proofErr w:type="gramStart"/>
            <w:r w:rsidRPr="0096196C">
              <w:rPr>
                <w:rFonts w:eastAsia="Times New Roman"/>
                <w:sz w:val="16"/>
                <w:szCs w:val="16"/>
              </w:rPr>
              <w:t>assessment  for</w:t>
            </w:r>
            <w:proofErr w:type="gramEnd"/>
            <w:r w:rsidRPr="0096196C">
              <w:rPr>
                <w:rFonts w:eastAsia="Times New Roman"/>
                <w:sz w:val="16"/>
                <w:szCs w:val="16"/>
              </w:rPr>
              <w:t xml:space="preserve"> the </w:t>
            </w:r>
            <w:proofErr w:type="spellStart"/>
            <w:r w:rsidRPr="0096196C">
              <w:rPr>
                <w:rFonts w:eastAsia="Times New Roman"/>
                <w:sz w:val="16"/>
                <w:szCs w:val="16"/>
              </w:rPr>
              <w:t>Durmitor</w:t>
            </w:r>
            <w:proofErr w:type="spellEnd"/>
            <w:r w:rsidRPr="0096196C">
              <w:rPr>
                <w:rFonts w:eastAsia="Times New Roman"/>
                <w:sz w:val="16"/>
                <w:szCs w:val="16"/>
              </w:rPr>
              <w:t xml:space="preserve"> National Park and WH value assessment for </w:t>
            </w:r>
            <w:proofErr w:type="spellStart"/>
            <w:r w:rsidRPr="0096196C">
              <w:rPr>
                <w:rFonts w:eastAsia="Times New Roman"/>
                <w:sz w:val="16"/>
                <w:szCs w:val="16"/>
              </w:rPr>
              <w:t>Durmitor</w:t>
            </w:r>
            <w:proofErr w:type="spellEnd"/>
            <w:r w:rsidRPr="0096196C">
              <w:rPr>
                <w:rFonts w:eastAsia="Times New Roman"/>
                <w:sz w:val="16"/>
                <w:szCs w:val="16"/>
              </w:rPr>
              <w:t xml:space="preserve"> area excluded from WH property. Development of scenarios for compensation of WH property, re-assessment of zonation, boundaries, </w:t>
            </w:r>
            <w:proofErr w:type="gramStart"/>
            <w:r w:rsidRPr="0096196C">
              <w:rPr>
                <w:rFonts w:eastAsia="Times New Roman"/>
                <w:sz w:val="16"/>
                <w:szCs w:val="16"/>
              </w:rPr>
              <w:t>GIS  and</w:t>
            </w:r>
            <w:proofErr w:type="gramEnd"/>
            <w:r w:rsidRPr="0096196C">
              <w:rPr>
                <w:rFonts w:eastAsia="Times New Roman"/>
                <w:sz w:val="16"/>
                <w:szCs w:val="16"/>
              </w:rPr>
              <w:t xml:space="preserve"> other relevant components according to the Law on Nature Protection</w:t>
            </w:r>
          </w:p>
        </w:tc>
        <w:tc>
          <w:tcPr>
            <w:tcW w:w="800" w:type="dxa"/>
            <w:tcBorders>
              <w:top w:val="nil"/>
              <w:left w:val="nil"/>
              <w:bottom w:val="single" w:sz="4" w:space="0" w:color="auto"/>
              <w:right w:val="single" w:sz="4" w:space="0" w:color="auto"/>
            </w:tcBorders>
            <w:shd w:val="clear" w:color="000000" w:fill="AEAAAA"/>
            <w:noWrap/>
            <w:vAlign w:val="bottom"/>
            <w:hideMark/>
          </w:tcPr>
          <w:p w14:paraId="1669DFCD"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76BB8A85"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auto" w:fill="auto"/>
            <w:noWrap/>
            <w:vAlign w:val="bottom"/>
            <w:hideMark/>
          </w:tcPr>
          <w:p w14:paraId="13BE025C"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auto" w:fill="auto"/>
            <w:noWrap/>
            <w:vAlign w:val="bottom"/>
            <w:hideMark/>
          </w:tcPr>
          <w:p w14:paraId="7B6D4894"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auto" w:fill="auto"/>
            <w:noWrap/>
            <w:vAlign w:val="bottom"/>
            <w:hideMark/>
          </w:tcPr>
          <w:p w14:paraId="2A8648B5"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r>
      <w:tr w:rsidR="0096196C" w:rsidRPr="0096196C" w14:paraId="74547A86" w14:textId="77777777" w:rsidTr="0096196C">
        <w:trPr>
          <w:gridAfter w:val="6"/>
          <w:divId w:val="301007021"/>
          <w:wAfter w:w="7680" w:type="dxa"/>
          <w:trHeight w:val="1116"/>
        </w:trPr>
        <w:tc>
          <w:tcPr>
            <w:tcW w:w="2220" w:type="dxa"/>
            <w:vMerge/>
            <w:tcBorders>
              <w:top w:val="nil"/>
              <w:left w:val="single" w:sz="4" w:space="0" w:color="auto"/>
              <w:bottom w:val="single" w:sz="4" w:space="0" w:color="auto"/>
              <w:right w:val="single" w:sz="4" w:space="0" w:color="auto"/>
            </w:tcBorders>
            <w:vAlign w:val="center"/>
            <w:hideMark/>
          </w:tcPr>
          <w:p w14:paraId="2424ADB0" w14:textId="77777777" w:rsidR="0096196C" w:rsidRPr="0096196C" w:rsidRDefault="0096196C" w:rsidP="0096196C">
            <w:pPr>
              <w:spacing w:after="0"/>
              <w:jc w:val="left"/>
              <w:rPr>
                <w:rFonts w:eastAsia="Times New Roman"/>
                <w:color w:val="000000"/>
                <w:sz w:val="16"/>
                <w:szCs w:val="16"/>
              </w:rPr>
            </w:pPr>
          </w:p>
        </w:tc>
        <w:tc>
          <w:tcPr>
            <w:tcW w:w="3680" w:type="dxa"/>
            <w:tcBorders>
              <w:top w:val="nil"/>
              <w:left w:val="nil"/>
              <w:bottom w:val="single" w:sz="4" w:space="0" w:color="auto"/>
              <w:right w:val="single" w:sz="4" w:space="0" w:color="auto"/>
            </w:tcBorders>
            <w:shd w:val="clear" w:color="auto" w:fill="auto"/>
            <w:hideMark/>
          </w:tcPr>
          <w:p w14:paraId="2E28097D" w14:textId="77777777" w:rsidR="0096196C" w:rsidRPr="0096196C" w:rsidRDefault="0096196C" w:rsidP="0096196C">
            <w:pPr>
              <w:spacing w:after="0"/>
              <w:jc w:val="left"/>
              <w:rPr>
                <w:rFonts w:eastAsia="Times New Roman"/>
                <w:sz w:val="16"/>
                <w:szCs w:val="16"/>
              </w:rPr>
            </w:pPr>
            <w:r w:rsidRPr="0096196C">
              <w:rPr>
                <w:rFonts w:eastAsia="Times New Roman"/>
                <w:sz w:val="16"/>
                <w:szCs w:val="16"/>
              </w:rPr>
              <w:t xml:space="preserve">A Model Protection Study for </w:t>
            </w:r>
            <w:proofErr w:type="spellStart"/>
            <w:r w:rsidRPr="0096196C">
              <w:rPr>
                <w:rFonts w:eastAsia="Times New Roman"/>
                <w:sz w:val="16"/>
                <w:szCs w:val="16"/>
              </w:rPr>
              <w:t>Dragisnica-Komarnica</w:t>
            </w:r>
            <w:proofErr w:type="spellEnd"/>
            <w:r w:rsidRPr="0096196C">
              <w:rPr>
                <w:rFonts w:eastAsia="Times New Roman"/>
                <w:sz w:val="16"/>
                <w:szCs w:val="16"/>
              </w:rPr>
              <w:t xml:space="preserve"> Nature Park including consideration </w:t>
            </w:r>
            <w:proofErr w:type="gramStart"/>
            <w:r w:rsidRPr="0096196C">
              <w:rPr>
                <w:rFonts w:eastAsia="Times New Roman"/>
                <w:sz w:val="16"/>
                <w:szCs w:val="16"/>
              </w:rPr>
              <w:t>of  a</w:t>
            </w:r>
            <w:proofErr w:type="gramEnd"/>
            <w:r w:rsidRPr="0096196C">
              <w:rPr>
                <w:rFonts w:eastAsia="Times New Roman"/>
                <w:sz w:val="16"/>
                <w:szCs w:val="16"/>
              </w:rPr>
              <w:t xml:space="preserve"> higher protection status , GIS mapping, re-assessment of zonation, boundaries and other relevant components according to the Law on Nature Protection</w:t>
            </w:r>
          </w:p>
        </w:tc>
        <w:tc>
          <w:tcPr>
            <w:tcW w:w="800" w:type="dxa"/>
            <w:tcBorders>
              <w:top w:val="nil"/>
              <w:left w:val="nil"/>
              <w:bottom w:val="single" w:sz="4" w:space="0" w:color="auto"/>
              <w:right w:val="single" w:sz="4" w:space="0" w:color="auto"/>
            </w:tcBorders>
            <w:shd w:val="clear" w:color="000000" w:fill="AEAAAA"/>
            <w:noWrap/>
            <w:vAlign w:val="bottom"/>
            <w:hideMark/>
          </w:tcPr>
          <w:p w14:paraId="5100BE00"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2485EBAE"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auto" w:fill="auto"/>
            <w:noWrap/>
            <w:vAlign w:val="bottom"/>
            <w:hideMark/>
          </w:tcPr>
          <w:p w14:paraId="40AF3858"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auto" w:fill="auto"/>
            <w:noWrap/>
            <w:vAlign w:val="bottom"/>
            <w:hideMark/>
          </w:tcPr>
          <w:p w14:paraId="1D116269"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auto" w:fill="auto"/>
            <w:noWrap/>
            <w:vAlign w:val="bottom"/>
            <w:hideMark/>
          </w:tcPr>
          <w:p w14:paraId="3EF912D6"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r>
      <w:tr w:rsidR="0096196C" w:rsidRPr="0096196C" w14:paraId="0E1EB94B" w14:textId="77777777" w:rsidTr="0096196C">
        <w:trPr>
          <w:gridAfter w:val="6"/>
          <w:divId w:val="301007021"/>
          <w:wAfter w:w="7680" w:type="dxa"/>
          <w:trHeight w:val="864"/>
        </w:trPr>
        <w:tc>
          <w:tcPr>
            <w:tcW w:w="2220" w:type="dxa"/>
            <w:vMerge/>
            <w:tcBorders>
              <w:top w:val="nil"/>
              <w:left w:val="single" w:sz="4" w:space="0" w:color="auto"/>
              <w:bottom w:val="single" w:sz="4" w:space="0" w:color="auto"/>
              <w:right w:val="single" w:sz="4" w:space="0" w:color="auto"/>
            </w:tcBorders>
            <w:vAlign w:val="center"/>
            <w:hideMark/>
          </w:tcPr>
          <w:p w14:paraId="67ED5E43" w14:textId="77777777" w:rsidR="0096196C" w:rsidRPr="0096196C" w:rsidRDefault="0096196C" w:rsidP="0096196C">
            <w:pPr>
              <w:spacing w:after="0"/>
              <w:jc w:val="left"/>
              <w:rPr>
                <w:rFonts w:eastAsia="Times New Roman"/>
                <w:color w:val="000000"/>
                <w:sz w:val="16"/>
                <w:szCs w:val="16"/>
              </w:rPr>
            </w:pPr>
          </w:p>
        </w:tc>
        <w:tc>
          <w:tcPr>
            <w:tcW w:w="3680" w:type="dxa"/>
            <w:tcBorders>
              <w:top w:val="nil"/>
              <w:left w:val="nil"/>
              <w:bottom w:val="single" w:sz="4" w:space="0" w:color="auto"/>
              <w:right w:val="single" w:sz="4" w:space="0" w:color="auto"/>
            </w:tcBorders>
            <w:shd w:val="clear" w:color="auto" w:fill="auto"/>
            <w:hideMark/>
          </w:tcPr>
          <w:p w14:paraId="18462CA6" w14:textId="77777777" w:rsidR="0096196C" w:rsidRPr="0096196C" w:rsidRDefault="0096196C" w:rsidP="0096196C">
            <w:pPr>
              <w:spacing w:after="0"/>
              <w:jc w:val="left"/>
              <w:rPr>
                <w:rFonts w:eastAsia="Times New Roman"/>
                <w:sz w:val="16"/>
                <w:szCs w:val="16"/>
              </w:rPr>
            </w:pPr>
            <w:r w:rsidRPr="0096196C">
              <w:rPr>
                <w:rFonts w:eastAsia="Times New Roman"/>
                <w:sz w:val="16"/>
                <w:szCs w:val="16"/>
              </w:rPr>
              <w:t xml:space="preserve">Revised management planning and proposals </w:t>
            </w:r>
            <w:proofErr w:type="gramStart"/>
            <w:r w:rsidRPr="0096196C">
              <w:rPr>
                <w:rFonts w:eastAsia="Times New Roman"/>
                <w:sz w:val="16"/>
                <w:szCs w:val="16"/>
              </w:rPr>
              <w:t>for  WH</w:t>
            </w:r>
            <w:proofErr w:type="gramEnd"/>
            <w:r w:rsidRPr="0096196C">
              <w:rPr>
                <w:rFonts w:eastAsia="Times New Roman"/>
                <w:sz w:val="16"/>
                <w:szCs w:val="16"/>
              </w:rPr>
              <w:t xml:space="preserve">-compliant management arrangements for </w:t>
            </w:r>
            <w:proofErr w:type="spellStart"/>
            <w:r w:rsidRPr="0096196C">
              <w:rPr>
                <w:rFonts w:eastAsia="Times New Roman"/>
                <w:sz w:val="16"/>
                <w:szCs w:val="16"/>
              </w:rPr>
              <w:t>Durmitor</w:t>
            </w:r>
            <w:proofErr w:type="spellEnd"/>
            <w:r w:rsidRPr="0096196C">
              <w:rPr>
                <w:rFonts w:eastAsia="Times New Roman"/>
                <w:sz w:val="16"/>
                <w:szCs w:val="16"/>
              </w:rPr>
              <w:t xml:space="preserve"> and </w:t>
            </w:r>
            <w:proofErr w:type="spellStart"/>
            <w:r w:rsidRPr="0096196C">
              <w:rPr>
                <w:rFonts w:eastAsia="Times New Roman"/>
                <w:sz w:val="16"/>
                <w:szCs w:val="16"/>
              </w:rPr>
              <w:t>Dragisnica-Komarnica</w:t>
            </w:r>
            <w:proofErr w:type="spellEnd"/>
            <w:r w:rsidRPr="0096196C">
              <w:rPr>
                <w:rFonts w:eastAsia="Times New Roman"/>
                <w:sz w:val="16"/>
                <w:szCs w:val="16"/>
              </w:rPr>
              <w:t>; Targeted implementation of new management plans</w:t>
            </w:r>
          </w:p>
        </w:tc>
        <w:tc>
          <w:tcPr>
            <w:tcW w:w="800" w:type="dxa"/>
            <w:tcBorders>
              <w:top w:val="nil"/>
              <w:left w:val="nil"/>
              <w:bottom w:val="single" w:sz="4" w:space="0" w:color="auto"/>
              <w:right w:val="single" w:sz="4" w:space="0" w:color="auto"/>
            </w:tcBorders>
            <w:shd w:val="clear" w:color="000000" w:fill="AEAAAA"/>
            <w:noWrap/>
            <w:vAlign w:val="bottom"/>
            <w:hideMark/>
          </w:tcPr>
          <w:p w14:paraId="572B9CE4"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3F2EC6B2"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00897BC6"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355E1DFE"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76B1628D"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r>
      <w:tr w:rsidR="0096196C" w:rsidRPr="0096196C" w14:paraId="13A78A33" w14:textId="77777777" w:rsidTr="0096196C">
        <w:trPr>
          <w:gridAfter w:val="6"/>
          <w:divId w:val="301007021"/>
          <w:wAfter w:w="7680" w:type="dxa"/>
          <w:trHeight w:val="936"/>
        </w:trPr>
        <w:tc>
          <w:tcPr>
            <w:tcW w:w="2220" w:type="dxa"/>
            <w:vMerge/>
            <w:tcBorders>
              <w:top w:val="nil"/>
              <w:left w:val="single" w:sz="4" w:space="0" w:color="auto"/>
              <w:bottom w:val="single" w:sz="4" w:space="0" w:color="auto"/>
              <w:right w:val="single" w:sz="4" w:space="0" w:color="auto"/>
            </w:tcBorders>
            <w:vAlign w:val="center"/>
            <w:hideMark/>
          </w:tcPr>
          <w:p w14:paraId="4BB72A11" w14:textId="77777777" w:rsidR="0096196C" w:rsidRPr="0096196C" w:rsidRDefault="0096196C" w:rsidP="0096196C">
            <w:pPr>
              <w:spacing w:after="0"/>
              <w:jc w:val="left"/>
              <w:rPr>
                <w:rFonts w:eastAsia="Times New Roman"/>
                <w:color w:val="000000"/>
                <w:sz w:val="16"/>
                <w:szCs w:val="16"/>
              </w:rPr>
            </w:pPr>
          </w:p>
        </w:tc>
        <w:tc>
          <w:tcPr>
            <w:tcW w:w="3680" w:type="dxa"/>
            <w:tcBorders>
              <w:top w:val="nil"/>
              <w:left w:val="nil"/>
              <w:bottom w:val="single" w:sz="4" w:space="0" w:color="auto"/>
              <w:right w:val="single" w:sz="4" w:space="0" w:color="auto"/>
            </w:tcBorders>
            <w:shd w:val="clear" w:color="auto" w:fill="auto"/>
            <w:vAlign w:val="bottom"/>
            <w:hideMark/>
          </w:tcPr>
          <w:p w14:paraId="4CD5B461"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br/>
              <w:t xml:space="preserve">Assessment of acceptable ecological change for sustainable tourism development and carrying capacity for flagship ecosystems in </w:t>
            </w:r>
            <w:proofErr w:type="spellStart"/>
            <w:r w:rsidRPr="0096196C">
              <w:rPr>
                <w:rFonts w:eastAsia="Times New Roman"/>
                <w:color w:val="000000"/>
                <w:sz w:val="16"/>
                <w:szCs w:val="16"/>
              </w:rPr>
              <w:t>Durmitor</w:t>
            </w:r>
            <w:proofErr w:type="spellEnd"/>
            <w:r w:rsidRPr="0096196C">
              <w:rPr>
                <w:rFonts w:eastAsia="Times New Roman"/>
                <w:color w:val="000000"/>
                <w:sz w:val="16"/>
                <w:szCs w:val="16"/>
              </w:rPr>
              <w:t xml:space="preserve"> and </w:t>
            </w:r>
            <w:proofErr w:type="spellStart"/>
            <w:r w:rsidRPr="0096196C">
              <w:rPr>
                <w:rFonts w:eastAsia="Times New Roman"/>
                <w:color w:val="000000"/>
                <w:sz w:val="16"/>
                <w:szCs w:val="16"/>
              </w:rPr>
              <w:t>Dragisnica-Komarnica</w:t>
            </w:r>
            <w:proofErr w:type="spellEnd"/>
            <w:r w:rsidRPr="0096196C">
              <w:rPr>
                <w:rFonts w:eastAsia="Times New Roman"/>
                <w:color w:val="000000"/>
                <w:sz w:val="16"/>
                <w:szCs w:val="16"/>
              </w:rPr>
              <w:t xml:space="preserve"> </w:t>
            </w:r>
          </w:p>
        </w:tc>
        <w:tc>
          <w:tcPr>
            <w:tcW w:w="800" w:type="dxa"/>
            <w:tcBorders>
              <w:top w:val="nil"/>
              <w:left w:val="nil"/>
              <w:bottom w:val="single" w:sz="4" w:space="0" w:color="auto"/>
              <w:right w:val="single" w:sz="4" w:space="0" w:color="auto"/>
            </w:tcBorders>
            <w:shd w:val="clear" w:color="auto" w:fill="auto"/>
            <w:noWrap/>
            <w:vAlign w:val="bottom"/>
            <w:hideMark/>
          </w:tcPr>
          <w:p w14:paraId="3D75BDC9"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68FEABF9"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0D185523"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auto" w:fill="auto"/>
            <w:noWrap/>
            <w:vAlign w:val="bottom"/>
            <w:hideMark/>
          </w:tcPr>
          <w:p w14:paraId="7986E5D8"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auto" w:fill="auto"/>
            <w:noWrap/>
            <w:vAlign w:val="bottom"/>
            <w:hideMark/>
          </w:tcPr>
          <w:p w14:paraId="472C9045"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r>
      <w:tr w:rsidR="0096196C" w:rsidRPr="0096196C" w14:paraId="54CDE543" w14:textId="77777777" w:rsidTr="0096196C">
        <w:trPr>
          <w:gridAfter w:val="6"/>
          <w:divId w:val="301007021"/>
          <w:wAfter w:w="7680" w:type="dxa"/>
          <w:trHeight w:val="804"/>
        </w:trPr>
        <w:tc>
          <w:tcPr>
            <w:tcW w:w="2220" w:type="dxa"/>
            <w:vMerge/>
            <w:tcBorders>
              <w:top w:val="nil"/>
              <w:left w:val="single" w:sz="4" w:space="0" w:color="auto"/>
              <w:bottom w:val="single" w:sz="4" w:space="0" w:color="auto"/>
              <w:right w:val="single" w:sz="4" w:space="0" w:color="auto"/>
            </w:tcBorders>
            <w:vAlign w:val="center"/>
            <w:hideMark/>
          </w:tcPr>
          <w:p w14:paraId="1D6D85EB" w14:textId="77777777" w:rsidR="0096196C" w:rsidRPr="0096196C" w:rsidRDefault="0096196C" w:rsidP="0096196C">
            <w:pPr>
              <w:spacing w:after="0"/>
              <w:jc w:val="left"/>
              <w:rPr>
                <w:rFonts w:eastAsia="Times New Roman"/>
                <w:color w:val="000000"/>
                <w:sz w:val="16"/>
                <w:szCs w:val="16"/>
              </w:rPr>
            </w:pPr>
          </w:p>
        </w:tc>
        <w:tc>
          <w:tcPr>
            <w:tcW w:w="3680" w:type="dxa"/>
            <w:tcBorders>
              <w:top w:val="nil"/>
              <w:left w:val="nil"/>
              <w:bottom w:val="single" w:sz="4" w:space="0" w:color="auto"/>
              <w:right w:val="single" w:sz="4" w:space="0" w:color="auto"/>
            </w:tcBorders>
            <w:shd w:val="clear" w:color="auto" w:fill="auto"/>
            <w:vAlign w:val="bottom"/>
            <w:hideMark/>
          </w:tcPr>
          <w:p w14:paraId="0DB7557A"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xml:space="preserve">Capacity building for implementation of the new management planning and tourism </w:t>
            </w:r>
            <w:proofErr w:type="spellStart"/>
            <w:r w:rsidRPr="0096196C">
              <w:rPr>
                <w:rFonts w:eastAsia="Times New Roman"/>
                <w:color w:val="000000"/>
                <w:sz w:val="16"/>
                <w:szCs w:val="16"/>
              </w:rPr>
              <w:t>devt</w:t>
            </w:r>
            <w:proofErr w:type="spellEnd"/>
            <w:r w:rsidRPr="0096196C">
              <w:rPr>
                <w:rFonts w:eastAsia="Times New Roman"/>
                <w:color w:val="000000"/>
                <w:sz w:val="16"/>
                <w:szCs w:val="16"/>
              </w:rPr>
              <w:t xml:space="preserve"> instruments (</w:t>
            </w:r>
            <w:proofErr w:type="spellStart"/>
            <w:r w:rsidRPr="0096196C">
              <w:rPr>
                <w:rFonts w:eastAsia="Times New Roman"/>
                <w:color w:val="000000"/>
                <w:sz w:val="16"/>
                <w:szCs w:val="16"/>
              </w:rPr>
              <w:t>Durmitor&amp;Dragisnica-Komarnica</w:t>
            </w:r>
            <w:proofErr w:type="spellEnd"/>
            <w:r w:rsidRPr="0096196C">
              <w:rPr>
                <w:rFonts w:eastAsia="Times New Roman"/>
                <w:color w:val="000000"/>
                <w:sz w:val="16"/>
                <w:szCs w:val="16"/>
              </w:rPr>
              <w:t xml:space="preserve">) with focus on promotion of WH property </w:t>
            </w:r>
            <w:proofErr w:type="spellStart"/>
            <w:proofErr w:type="gramStart"/>
            <w:r w:rsidRPr="0096196C">
              <w:rPr>
                <w:rFonts w:eastAsia="Times New Roman"/>
                <w:color w:val="000000"/>
                <w:sz w:val="16"/>
                <w:szCs w:val="16"/>
              </w:rPr>
              <w:t>values,establishment</w:t>
            </w:r>
            <w:proofErr w:type="spellEnd"/>
            <w:proofErr w:type="gramEnd"/>
            <w:r w:rsidRPr="0096196C">
              <w:rPr>
                <w:rFonts w:eastAsia="Times New Roman"/>
                <w:color w:val="000000"/>
                <w:sz w:val="16"/>
                <w:szCs w:val="16"/>
              </w:rPr>
              <w:t xml:space="preserve"> of the visitors’ monitoring and management schemes </w:t>
            </w:r>
          </w:p>
        </w:tc>
        <w:tc>
          <w:tcPr>
            <w:tcW w:w="800" w:type="dxa"/>
            <w:tcBorders>
              <w:top w:val="nil"/>
              <w:left w:val="nil"/>
              <w:bottom w:val="single" w:sz="4" w:space="0" w:color="auto"/>
              <w:right w:val="single" w:sz="4" w:space="0" w:color="auto"/>
            </w:tcBorders>
            <w:shd w:val="clear" w:color="auto" w:fill="auto"/>
            <w:noWrap/>
            <w:vAlign w:val="bottom"/>
            <w:hideMark/>
          </w:tcPr>
          <w:p w14:paraId="4D56D946"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nil"/>
              <w:right w:val="nil"/>
            </w:tcBorders>
            <w:shd w:val="clear" w:color="auto" w:fill="auto"/>
            <w:noWrap/>
            <w:vAlign w:val="bottom"/>
            <w:hideMark/>
          </w:tcPr>
          <w:p w14:paraId="17DA35DD" w14:textId="77777777" w:rsidR="0096196C" w:rsidRPr="0096196C" w:rsidRDefault="0096196C" w:rsidP="0096196C">
            <w:pPr>
              <w:spacing w:after="0"/>
              <w:jc w:val="left"/>
              <w:rPr>
                <w:rFonts w:eastAsia="Times New Roman"/>
                <w:color w:val="000000"/>
                <w:sz w:val="16"/>
                <w:szCs w:val="16"/>
              </w:rPr>
            </w:pPr>
          </w:p>
        </w:tc>
        <w:tc>
          <w:tcPr>
            <w:tcW w:w="800" w:type="dxa"/>
            <w:tcBorders>
              <w:top w:val="nil"/>
              <w:left w:val="single" w:sz="4" w:space="0" w:color="auto"/>
              <w:bottom w:val="single" w:sz="4" w:space="0" w:color="auto"/>
              <w:right w:val="single" w:sz="4" w:space="0" w:color="auto"/>
            </w:tcBorders>
            <w:shd w:val="clear" w:color="000000" w:fill="AEAAAA"/>
            <w:noWrap/>
            <w:vAlign w:val="bottom"/>
            <w:hideMark/>
          </w:tcPr>
          <w:p w14:paraId="29511430"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2680320E"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1F0D1AE7"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r>
      <w:tr w:rsidR="0096196C" w:rsidRPr="0096196C" w14:paraId="441F4882" w14:textId="77777777" w:rsidTr="0096196C">
        <w:trPr>
          <w:gridAfter w:val="6"/>
          <w:divId w:val="301007021"/>
          <w:wAfter w:w="7680" w:type="dxa"/>
          <w:trHeight w:val="804"/>
        </w:trPr>
        <w:tc>
          <w:tcPr>
            <w:tcW w:w="2220" w:type="dxa"/>
            <w:vMerge/>
            <w:tcBorders>
              <w:top w:val="nil"/>
              <w:left w:val="single" w:sz="4" w:space="0" w:color="auto"/>
              <w:bottom w:val="single" w:sz="4" w:space="0" w:color="auto"/>
              <w:right w:val="single" w:sz="4" w:space="0" w:color="auto"/>
            </w:tcBorders>
            <w:vAlign w:val="center"/>
            <w:hideMark/>
          </w:tcPr>
          <w:p w14:paraId="79E110E8" w14:textId="77777777" w:rsidR="0096196C" w:rsidRPr="0096196C" w:rsidRDefault="0096196C" w:rsidP="0096196C">
            <w:pPr>
              <w:spacing w:after="0"/>
              <w:jc w:val="left"/>
              <w:rPr>
                <w:rFonts w:eastAsia="Times New Roman"/>
                <w:color w:val="000000"/>
                <w:sz w:val="16"/>
                <w:szCs w:val="16"/>
              </w:rPr>
            </w:pPr>
          </w:p>
        </w:tc>
        <w:tc>
          <w:tcPr>
            <w:tcW w:w="3680" w:type="dxa"/>
            <w:tcBorders>
              <w:top w:val="nil"/>
              <w:left w:val="nil"/>
              <w:bottom w:val="single" w:sz="4" w:space="0" w:color="auto"/>
              <w:right w:val="single" w:sz="4" w:space="0" w:color="auto"/>
            </w:tcBorders>
            <w:shd w:val="clear" w:color="auto" w:fill="auto"/>
            <w:hideMark/>
          </w:tcPr>
          <w:p w14:paraId="4A527EC1"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Amendments of the Action Plan and relevant internal regulations for the Tara River MAB Reserve</w:t>
            </w:r>
          </w:p>
        </w:tc>
        <w:tc>
          <w:tcPr>
            <w:tcW w:w="800" w:type="dxa"/>
            <w:tcBorders>
              <w:top w:val="nil"/>
              <w:left w:val="nil"/>
              <w:bottom w:val="single" w:sz="4" w:space="0" w:color="auto"/>
              <w:right w:val="single" w:sz="4" w:space="0" w:color="auto"/>
            </w:tcBorders>
            <w:shd w:val="clear" w:color="000000" w:fill="AEAAAA"/>
            <w:noWrap/>
            <w:vAlign w:val="bottom"/>
            <w:hideMark/>
          </w:tcPr>
          <w:p w14:paraId="59D5904C"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single" w:sz="4" w:space="0" w:color="auto"/>
              <w:left w:val="nil"/>
              <w:bottom w:val="single" w:sz="4" w:space="0" w:color="auto"/>
              <w:right w:val="single" w:sz="4" w:space="0" w:color="auto"/>
            </w:tcBorders>
            <w:shd w:val="clear" w:color="000000" w:fill="AEAAAA"/>
            <w:noWrap/>
            <w:vAlign w:val="bottom"/>
            <w:hideMark/>
          </w:tcPr>
          <w:p w14:paraId="710D99CF"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auto" w:fill="auto"/>
            <w:noWrap/>
            <w:vAlign w:val="bottom"/>
            <w:hideMark/>
          </w:tcPr>
          <w:p w14:paraId="31D2911D"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auto" w:fill="auto"/>
            <w:noWrap/>
            <w:vAlign w:val="bottom"/>
            <w:hideMark/>
          </w:tcPr>
          <w:p w14:paraId="7615C333"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auto" w:fill="auto"/>
            <w:noWrap/>
            <w:vAlign w:val="bottom"/>
            <w:hideMark/>
          </w:tcPr>
          <w:p w14:paraId="3BEE682D"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r>
      <w:tr w:rsidR="0096196C" w:rsidRPr="0096196C" w14:paraId="35595D68" w14:textId="77777777" w:rsidTr="0096196C">
        <w:trPr>
          <w:gridAfter w:val="6"/>
          <w:divId w:val="301007021"/>
          <w:wAfter w:w="7680" w:type="dxa"/>
          <w:trHeight w:val="804"/>
        </w:trPr>
        <w:tc>
          <w:tcPr>
            <w:tcW w:w="2220" w:type="dxa"/>
            <w:vMerge/>
            <w:tcBorders>
              <w:top w:val="nil"/>
              <w:left w:val="single" w:sz="4" w:space="0" w:color="auto"/>
              <w:bottom w:val="single" w:sz="4" w:space="0" w:color="auto"/>
              <w:right w:val="single" w:sz="4" w:space="0" w:color="auto"/>
            </w:tcBorders>
            <w:vAlign w:val="center"/>
            <w:hideMark/>
          </w:tcPr>
          <w:p w14:paraId="7F2D8BF9" w14:textId="77777777" w:rsidR="0096196C" w:rsidRPr="0096196C" w:rsidRDefault="0096196C" w:rsidP="0096196C">
            <w:pPr>
              <w:spacing w:after="0"/>
              <w:jc w:val="left"/>
              <w:rPr>
                <w:rFonts w:eastAsia="Times New Roman"/>
                <w:color w:val="000000"/>
                <w:sz w:val="16"/>
                <w:szCs w:val="16"/>
              </w:rPr>
            </w:pPr>
          </w:p>
        </w:tc>
        <w:tc>
          <w:tcPr>
            <w:tcW w:w="3680" w:type="dxa"/>
            <w:tcBorders>
              <w:top w:val="nil"/>
              <w:left w:val="nil"/>
              <w:bottom w:val="single" w:sz="4" w:space="0" w:color="auto"/>
              <w:right w:val="single" w:sz="4" w:space="0" w:color="auto"/>
            </w:tcBorders>
            <w:shd w:val="clear" w:color="auto" w:fill="auto"/>
            <w:vAlign w:val="bottom"/>
            <w:hideMark/>
          </w:tcPr>
          <w:p w14:paraId="115FCD1D"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xml:space="preserve">Revised management plans and design of buffer zones for Nature parks </w:t>
            </w:r>
            <w:proofErr w:type="spellStart"/>
            <w:r w:rsidRPr="0096196C">
              <w:rPr>
                <w:rFonts w:eastAsia="Times New Roman"/>
                <w:color w:val="000000"/>
                <w:sz w:val="16"/>
                <w:szCs w:val="16"/>
              </w:rPr>
              <w:t>Piva</w:t>
            </w:r>
            <w:proofErr w:type="spellEnd"/>
            <w:r w:rsidRPr="0096196C">
              <w:rPr>
                <w:rFonts w:eastAsia="Times New Roman"/>
                <w:color w:val="000000"/>
                <w:sz w:val="16"/>
                <w:szCs w:val="16"/>
              </w:rPr>
              <w:t xml:space="preserve"> and </w:t>
            </w:r>
            <w:proofErr w:type="spellStart"/>
            <w:r w:rsidRPr="0096196C">
              <w:rPr>
                <w:rFonts w:eastAsia="Times New Roman"/>
                <w:color w:val="000000"/>
                <w:sz w:val="16"/>
                <w:szCs w:val="16"/>
              </w:rPr>
              <w:t>Komovi</w:t>
            </w:r>
            <w:proofErr w:type="spellEnd"/>
            <w:r w:rsidRPr="0096196C">
              <w:rPr>
                <w:rFonts w:eastAsia="Times New Roman"/>
                <w:color w:val="000000"/>
                <w:sz w:val="16"/>
                <w:szCs w:val="16"/>
              </w:rPr>
              <w:t xml:space="preserve"> and National park </w:t>
            </w:r>
            <w:proofErr w:type="spellStart"/>
            <w:r w:rsidRPr="0096196C">
              <w:rPr>
                <w:rFonts w:eastAsia="Times New Roman"/>
                <w:color w:val="000000"/>
                <w:sz w:val="16"/>
                <w:szCs w:val="16"/>
              </w:rPr>
              <w:t>Biogradska</w:t>
            </w:r>
            <w:proofErr w:type="spellEnd"/>
            <w:r w:rsidRPr="0096196C">
              <w:rPr>
                <w:rFonts w:eastAsia="Times New Roman"/>
                <w:color w:val="000000"/>
                <w:sz w:val="16"/>
                <w:szCs w:val="16"/>
              </w:rPr>
              <w:t xml:space="preserve"> Gora</w:t>
            </w:r>
          </w:p>
        </w:tc>
        <w:tc>
          <w:tcPr>
            <w:tcW w:w="800" w:type="dxa"/>
            <w:tcBorders>
              <w:top w:val="nil"/>
              <w:left w:val="nil"/>
              <w:bottom w:val="single" w:sz="4" w:space="0" w:color="auto"/>
              <w:right w:val="single" w:sz="4" w:space="0" w:color="auto"/>
            </w:tcBorders>
            <w:shd w:val="clear" w:color="auto" w:fill="auto"/>
            <w:noWrap/>
            <w:vAlign w:val="bottom"/>
            <w:hideMark/>
          </w:tcPr>
          <w:p w14:paraId="234C9C8A"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4D1E2D27"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19B714E6"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1FA98C54"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46794503"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r>
      <w:tr w:rsidR="0096196C" w:rsidRPr="0096196C" w14:paraId="1FF9C86A" w14:textId="77777777" w:rsidTr="0096196C">
        <w:trPr>
          <w:gridAfter w:val="6"/>
          <w:divId w:val="301007021"/>
          <w:wAfter w:w="7680" w:type="dxa"/>
          <w:trHeight w:val="804"/>
        </w:trPr>
        <w:tc>
          <w:tcPr>
            <w:tcW w:w="2220" w:type="dxa"/>
            <w:vMerge/>
            <w:tcBorders>
              <w:top w:val="nil"/>
              <w:left w:val="single" w:sz="4" w:space="0" w:color="auto"/>
              <w:bottom w:val="single" w:sz="4" w:space="0" w:color="auto"/>
              <w:right w:val="single" w:sz="4" w:space="0" w:color="auto"/>
            </w:tcBorders>
            <w:vAlign w:val="center"/>
            <w:hideMark/>
          </w:tcPr>
          <w:p w14:paraId="4061260A" w14:textId="77777777" w:rsidR="0096196C" w:rsidRPr="0096196C" w:rsidRDefault="0096196C" w:rsidP="0096196C">
            <w:pPr>
              <w:spacing w:after="0"/>
              <w:jc w:val="left"/>
              <w:rPr>
                <w:rFonts w:eastAsia="Times New Roman"/>
                <w:color w:val="000000"/>
                <w:sz w:val="16"/>
                <w:szCs w:val="16"/>
              </w:rPr>
            </w:pPr>
          </w:p>
        </w:tc>
        <w:tc>
          <w:tcPr>
            <w:tcW w:w="3680" w:type="dxa"/>
            <w:tcBorders>
              <w:top w:val="nil"/>
              <w:left w:val="nil"/>
              <w:bottom w:val="nil"/>
              <w:right w:val="single" w:sz="4" w:space="0" w:color="auto"/>
            </w:tcBorders>
            <w:shd w:val="clear" w:color="auto" w:fill="auto"/>
            <w:vAlign w:val="center"/>
            <w:hideMark/>
          </w:tcPr>
          <w:p w14:paraId="69FD1D81"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xml:space="preserve">Capacity building in MAB management </w:t>
            </w:r>
            <w:proofErr w:type="spellStart"/>
            <w:r w:rsidRPr="0096196C">
              <w:rPr>
                <w:rFonts w:eastAsia="Times New Roman"/>
                <w:color w:val="000000"/>
                <w:sz w:val="16"/>
                <w:szCs w:val="16"/>
              </w:rPr>
              <w:t>standards&amp;best</w:t>
            </w:r>
            <w:proofErr w:type="spellEnd"/>
            <w:r w:rsidRPr="0096196C">
              <w:rPr>
                <w:rFonts w:eastAsia="Times New Roman"/>
                <w:color w:val="000000"/>
                <w:sz w:val="16"/>
                <w:szCs w:val="16"/>
              </w:rPr>
              <w:t xml:space="preserve"> practice (Tara MAB Reserve coordination body, Management of </w:t>
            </w:r>
            <w:proofErr w:type="spellStart"/>
            <w:r w:rsidRPr="0096196C">
              <w:rPr>
                <w:rFonts w:eastAsia="Times New Roman"/>
                <w:color w:val="000000"/>
                <w:sz w:val="16"/>
                <w:szCs w:val="16"/>
              </w:rPr>
              <w:t>Piva</w:t>
            </w:r>
            <w:proofErr w:type="spellEnd"/>
            <w:r w:rsidRPr="0096196C">
              <w:rPr>
                <w:rFonts w:eastAsia="Times New Roman"/>
                <w:color w:val="000000"/>
                <w:sz w:val="16"/>
                <w:szCs w:val="16"/>
              </w:rPr>
              <w:t xml:space="preserve">, </w:t>
            </w:r>
            <w:proofErr w:type="spellStart"/>
            <w:r w:rsidRPr="0096196C">
              <w:rPr>
                <w:rFonts w:eastAsia="Times New Roman"/>
                <w:color w:val="000000"/>
                <w:sz w:val="16"/>
                <w:szCs w:val="16"/>
              </w:rPr>
              <w:t>Komovi</w:t>
            </w:r>
            <w:proofErr w:type="spellEnd"/>
            <w:r w:rsidRPr="0096196C">
              <w:rPr>
                <w:rFonts w:eastAsia="Times New Roman"/>
                <w:color w:val="000000"/>
                <w:sz w:val="16"/>
                <w:szCs w:val="16"/>
              </w:rPr>
              <w:t xml:space="preserve">, </w:t>
            </w:r>
            <w:proofErr w:type="spellStart"/>
            <w:r w:rsidRPr="0096196C">
              <w:rPr>
                <w:rFonts w:eastAsia="Times New Roman"/>
                <w:color w:val="000000"/>
                <w:sz w:val="16"/>
                <w:szCs w:val="16"/>
              </w:rPr>
              <w:t>Biogradska</w:t>
            </w:r>
            <w:proofErr w:type="spellEnd"/>
            <w:r w:rsidRPr="0096196C">
              <w:rPr>
                <w:rFonts w:eastAsia="Times New Roman"/>
                <w:color w:val="000000"/>
                <w:sz w:val="16"/>
                <w:szCs w:val="16"/>
              </w:rPr>
              <w:t xml:space="preserve"> Gora)</w:t>
            </w:r>
          </w:p>
        </w:tc>
        <w:tc>
          <w:tcPr>
            <w:tcW w:w="800" w:type="dxa"/>
            <w:tcBorders>
              <w:top w:val="nil"/>
              <w:left w:val="nil"/>
              <w:bottom w:val="single" w:sz="4" w:space="0" w:color="auto"/>
              <w:right w:val="single" w:sz="4" w:space="0" w:color="auto"/>
            </w:tcBorders>
            <w:shd w:val="clear" w:color="auto" w:fill="auto"/>
            <w:noWrap/>
            <w:vAlign w:val="bottom"/>
            <w:hideMark/>
          </w:tcPr>
          <w:p w14:paraId="2E61CFD5"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auto" w:fill="auto"/>
            <w:noWrap/>
            <w:vAlign w:val="bottom"/>
            <w:hideMark/>
          </w:tcPr>
          <w:p w14:paraId="796EDC6B"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2D0ADDFF"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14F3537C"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55D67956"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r>
      <w:tr w:rsidR="0096196C" w:rsidRPr="0096196C" w14:paraId="160A89FF" w14:textId="77777777" w:rsidTr="0096196C">
        <w:trPr>
          <w:gridAfter w:val="6"/>
          <w:divId w:val="301007021"/>
          <w:wAfter w:w="7680" w:type="dxa"/>
          <w:trHeight w:val="1128"/>
        </w:trPr>
        <w:tc>
          <w:tcPr>
            <w:tcW w:w="2220" w:type="dxa"/>
            <w:vMerge/>
            <w:tcBorders>
              <w:top w:val="nil"/>
              <w:left w:val="single" w:sz="4" w:space="0" w:color="auto"/>
              <w:bottom w:val="single" w:sz="4" w:space="0" w:color="auto"/>
              <w:right w:val="single" w:sz="4" w:space="0" w:color="auto"/>
            </w:tcBorders>
            <w:vAlign w:val="center"/>
            <w:hideMark/>
          </w:tcPr>
          <w:p w14:paraId="4C8A3AC3" w14:textId="77777777" w:rsidR="0096196C" w:rsidRPr="0096196C" w:rsidRDefault="0096196C" w:rsidP="0096196C">
            <w:pPr>
              <w:spacing w:after="0"/>
              <w:jc w:val="left"/>
              <w:rPr>
                <w:rFonts w:eastAsia="Times New Roman"/>
                <w:color w:val="000000"/>
                <w:sz w:val="16"/>
                <w:szCs w:val="16"/>
              </w:rPr>
            </w:pPr>
          </w:p>
        </w:tc>
        <w:tc>
          <w:tcPr>
            <w:tcW w:w="3680" w:type="dxa"/>
            <w:tcBorders>
              <w:top w:val="single" w:sz="4" w:space="0" w:color="auto"/>
              <w:left w:val="nil"/>
              <w:bottom w:val="single" w:sz="4" w:space="0" w:color="auto"/>
              <w:right w:val="single" w:sz="4" w:space="0" w:color="auto"/>
            </w:tcBorders>
            <w:shd w:val="clear" w:color="auto" w:fill="auto"/>
            <w:vAlign w:val="bottom"/>
            <w:hideMark/>
          </w:tcPr>
          <w:p w14:paraId="6DFD23C7" w14:textId="77777777" w:rsidR="0096196C" w:rsidRPr="0096196C" w:rsidRDefault="0096196C" w:rsidP="0096196C">
            <w:pPr>
              <w:spacing w:after="0"/>
              <w:jc w:val="left"/>
              <w:rPr>
                <w:rFonts w:eastAsia="Times New Roman"/>
                <w:sz w:val="16"/>
                <w:szCs w:val="16"/>
              </w:rPr>
            </w:pPr>
            <w:proofErr w:type="spellStart"/>
            <w:r w:rsidRPr="0096196C">
              <w:rPr>
                <w:rFonts w:eastAsia="Times New Roman"/>
                <w:sz w:val="16"/>
                <w:szCs w:val="16"/>
              </w:rPr>
              <w:t>Skadar</w:t>
            </w:r>
            <w:proofErr w:type="spellEnd"/>
            <w:r w:rsidRPr="0096196C">
              <w:rPr>
                <w:rFonts w:eastAsia="Times New Roman"/>
                <w:sz w:val="16"/>
                <w:szCs w:val="16"/>
              </w:rPr>
              <w:t xml:space="preserve"> Lake National Park:  targeted re-assessment of habitats and BD </w:t>
            </w:r>
            <w:proofErr w:type="gramStart"/>
            <w:r w:rsidRPr="0096196C">
              <w:rPr>
                <w:rFonts w:eastAsia="Times New Roman"/>
                <w:sz w:val="16"/>
                <w:szCs w:val="16"/>
              </w:rPr>
              <w:t>values,  development</w:t>
            </w:r>
            <w:proofErr w:type="gramEnd"/>
            <w:r w:rsidRPr="0096196C">
              <w:rPr>
                <w:rFonts w:eastAsia="Times New Roman"/>
                <w:sz w:val="16"/>
                <w:szCs w:val="16"/>
              </w:rPr>
              <w:t xml:space="preserve"> of recommendations for spatial planning and zonation, support to Ramsar buffer zone designation, boating regulations, </w:t>
            </w:r>
            <w:proofErr w:type="spellStart"/>
            <w:r w:rsidRPr="0096196C">
              <w:rPr>
                <w:rFonts w:eastAsia="Times New Roman"/>
                <w:sz w:val="16"/>
                <w:szCs w:val="16"/>
              </w:rPr>
              <w:t>valorisation</w:t>
            </w:r>
            <w:proofErr w:type="spellEnd"/>
            <w:r w:rsidRPr="0096196C">
              <w:rPr>
                <w:rFonts w:eastAsia="Times New Roman"/>
                <w:sz w:val="16"/>
                <w:szCs w:val="16"/>
              </w:rPr>
              <w:t xml:space="preserve"> activities</w:t>
            </w:r>
          </w:p>
        </w:tc>
        <w:tc>
          <w:tcPr>
            <w:tcW w:w="800" w:type="dxa"/>
            <w:tcBorders>
              <w:top w:val="nil"/>
              <w:left w:val="nil"/>
              <w:bottom w:val="single" w:sz="4" w:space="0" w:color="auto"/>
              <w:right w:val="single" w:sz="4" w:space="0" w:color="auto"/>
            </w:tcBorders>
            <w:shd w:val="clear" w:color="000000" w:fill="AEAAAA"/>
            <w:noWrap/>
            <w:vAlign w:val="bottom"/>
            <w:hideMark/>
          </w:tcPr>
          <w:p w14:paraId="23527A70"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2E2FD8F4"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7CA2E04E"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auto" w:fill="auto"/>
            <w:noWrap/>
            <w:vAlign w:val="bottom"/>
            <w:hideMark/>
          </w:tcPr>
          <w:p w14:paraId="0F83FE1C"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auto" w:fill="auto"/>
            <w:noWrap/>
            <w:vAlign w:val="bottom"/>
            <w:hideMark/>
          </w:tcPr>
          <w:p w14:paraId="55B82FB1"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r>
      <w:tr w:rsidR="0096196C" w:rsidRPr="0096196C" w14:paraId="05F5567B" w14:textId="77777777" w:rsidTr="0096196C">
        <w:trPr>
          <w:gridAfter w:val="6"/>
          <w:divId w:val="301007021"/>
          <w:wAfter w:w="7680" w:type="dxa"/>
          <w:trHeight w:val="1116"/>
        </w:trPr>
        <w:tc>
          <w:tcPr>
            <w:tcW w:w="2220" w:type="dxa"/>
            <w:vMerge/>
            <w:tcBorders>
              <w:top w:val="nil"/>
              <w:left w:val="single" w:sz="4" w:space="0" w:color="auto"/>
              <w:bottom w:val="single" w:sz="4" w:space="0" w:color="auto"/>
              <w:right w:val="single" w:sz="4" w:space="0" w:color="auto"/>
            </w:tcBorders>
            <w:vAlign w:val="center"/>
            <w:hideMark/>
          </w:tcPr>
          <w:p w14:paraId="2D5CB64F" w14:textId="77777777" w:rsidR="0096196C" w:rsidRPr="0096196C" w:rsidRDefault="0096196C" w:rsidP="0096196C">
            <w:pPr>
              <w:spacing w:after="0"/>
              <w:jc w:val="left"/>
              <w:rPr>
                <w:rFonts w:eastAsia="Times New Roman"/>
                <w:color w:val="000000"/>
                <w:sz w:val="16"/>
                <w:szCs w:val="16"/>
              </w:rPr>
            </w:pPr>
          </w:p>
        </w:tc>
        <w:tc>
          <w:tcPr>
            <w:tcW w:w="3680" w:type="dxa"/>
            <w:tcBorders>
              <w:top w:val="nil"/>
              <w:left w:val="nil"/>
              <w:bottom w:val="single" w:sz="4" w:space="0" w:color="auto"/>
              <w:right w:val="single" w:sz="4" w:space="0" w:color="auto"/>
            </w:tcBorders>
            <w:shd w:val="clear" w:color="auto" w:fill="auto"/>
            <w:vAlign w:val="bottom"/>
            <w:hideMark/>
          </w:tcPr>
          <w:p w14:paraId="58CAB0CA" w14:textId="77777777" w:rsidR="0096196C" w:rsidRPr="0096196C" w:rsidRDefault="0096196C" w:rsidP="0096196C">
            <w:pPr>
              <w:spacing w:after="0"/>
              <w:jc w:val="left"/>
              <w:rPr>
                <w:rFonts w:eastAsia="Times New Roman"/>
                <w:sz w:val="16"/>
                <w:szCs w:val="16"/>
              </w:rPr>
            </w:pPr>
            <w:proofErr w:type="spellStart"/>
            <w:r w:rsidRPr="0096196C">
              <w:rPr>
                <w:rFonts w:eastAsia="Times New Roman"/>
                <w:sz w:val="16"/>
                <w:szCs w:val="16"/>
              </w:rPr>
              <w:t>Ulcinjska</w:t>
            </w:r>
            <w:proofErr w:type="spellEnd"/>
            <w:r w:rsidRPr="0096196C">
              <w:rPr>
                <w:rFonts w:eastAsia="Times New Roman"/>
                <w:sz w:val="16"/>
                <w:szCs w:val="16"/>
              </w:rPr>
              <w:t xml:space="preserve"> Solana Nature Park: development and targeted support for implementation of a business plan; revision of </w:t>
            </w:r>
            <w:proofErr w:type="spellStart"/>
            <w:r w:rsidRPr="0096196C">
              <w:rPr>
                <w:rFonts w:eastAsia="Times New Roman"/>
                <w:sz w:val="16"/>
                <w:szCs w:val="16"/>
              </w:rPr>
              <w:t>managament</w:t>
            </w:r>
            <w:proofErr w:type="spellEnd"/>
            <w:r w:rsidRPr="0096196C">
              <w:rPr>
                <w:rFonts w:eastAsia="Times New Roman"/>
                <w:sz w:val="16"/>
                <w:szCs w:val="16"/>
              </w:rPr>
              <w:t xml:space="preserve"> plan and support to management and operational planning in accordance with Ramsar principles and best practice</w:t>
            </w:r>
          </w:p>
        </w:tc>
        <w:tc>
          <w:tcPr>
            <w:tcW w:w="800" w:type="dxa"/>
            <w:tcBorders>
              <w:top w:val="nil"/>
              <w:left w:val="nil"/>
              <w:bottom w:val="single" w:sz="4" w:space="0" w:color="auto"/>
              <w:right w:val="single" w:sz="4" w:space="0" w:color="auto"/>
            </w:tcBorders>
            <w:shd w:val="clear" w:color="000000" w:fill="AEAAAA"/>
            <w:noWrap/>
            <w:vAlign w:val="bottom"/>
            <w:hideMark/>
          </w:tcPr>
          <w:p w14:paraId="72ED2925"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0F5062A3"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19E4B3CD"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75D275DE"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2600C0E8"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r>
      <w:tr w:rsidR="0096196C" w:rsidRPr="0096196C" w14:paraId="79888E8A" w14:textId="77777777" w:rsidTr="0096196C">
        <w:trPr>
          <w:gridAfter w:val="6"/>
          <w:divId w:val="301007021"/>
          <w:wAfter w:w="7680" w:type="dxa"/>
          <w:trHeight w:val="588"/>
        </w:trPr>
        <w:tc>
          <w:tcPr>
            <w:tcW w:w="2220" w:type="dxa"/>
            <w:vMerge w:val="restart"/>
            <w:tcBorders>
              <w:top w:val="nil"/>
              <w:left w:val="single" w:sz="4" w:space="0" w:color="auto"/>
              <w:bottom w:val="single" w:sz="4" w:space="0" w:color="auto"/>
              <w:right w:val="single" w:sz="4" w:space="0" w:color="auto"/>
            </w:tcBorders>
            <w:shd w:val="clear" w:color="auto" w:fill="auto"/>
            <w:hideMark/>
          </w:tcPr>
          <w:p w14:paraId="30036A20" w14:textId="77777777" w:rsidR="0096196C" w:rsidRPr="0096196C" w:rsidRDefault="0096196C" w:rsidP="0096196C">
            <w:pPr>
              <w:spacing w:after="0"/>
              <w:jc w:val="center"/>
              <w:rPr>
                <w:rFonts w:eastAsia="Times New Roman"/>
                <w:color w:val="000000"/>
                <w:sz w:val="16"/>
                <w:szCs w:val="16"/>
              </w:rPr>
            </w:pPr>
            <w:r w:rsidRPr="0096196C">
              <w:rPr>
                <w:rFonts w:eastAsia="Times New Roman"/>
                <w:color w:val="000000"/>
                <w:sz w:val="16"/>
                <w:szCs w:val="16"/>
              </w:rPr>
              <w:lastRenderedPageBreak/>
              <w:t>Output 1.2: Strengthened capacities of targeted PAs through incremental support for the implementation of the new management plan actions on patrolling, monitoring and enforcement, valorization of BD values; outreach to local communities</w:t>
            </w:r>
          </w:p>
        </w:tc>
        <w:tc>
          <w:tcPr>
            <w:tcW w:w="3680" w:type="dxa"/>
            <w:tcBorders>
              <w:top w:val="nil"/>
              <w:left w:val="nil"/>
              <w:bottom w:val="single" w:sz="4" w:space="0" w:color="auto"/>
              <w:right w:val="single" w:sz="4" w:space="0" w:color="auto"/>
            </w:tcBorders>
            <w:shd w:val="clear" w:color="auto" w:fill="auto"/>
            <w:hideMark/>
          </w:tcPr>
          <w:p w14:paraId="0E0B255F"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Enhanced capacities for patrolling</w:t>
            </w:r>
            <w:r w:rsidRPr="0096196C">
              <w:rPr>
                <w:rFonts w:eastAsia="Times New Roman"/>
                <w:sz w:val="16"/>
                <w:szCs w:val="16"/>
              </w:rPr>
              <w:t xml:space="preserve"> and monitoring</w:t>
            </w:r>
            <w:r w:rsidRPr="0096196C">
              <w:rPr>
                <w:rFonts w:eastAsia="Times New Roman"/>
                <w:color w:val="000000"/>
                <w:sz w:val="16"/>
                <w:szCs w:val="16"/>
              </w:rPr>
              <w:t xml:space="preserve"> (</w:t>
            </w:r>
            <w:proofErr w:type="spellStart"/>
            <w:r w:rsidRPr="0096196C">
              <w:rPr>
                <w:rFonts w:eastAsia="Times New Roman"/>
                <w:color w:val="000000"/>
                <w:sz w:val="16"/>
                <w:szCs w:val="16"/>
              </w:rPr>
              <w:t>Skadar</w:t>
            </w:r>
            <w:proofErr w:type="spellEnd"/>
            <w:r w:rsidRPr="0096196C">
              <w:rPr>
                <w:rFonts w:eastAsia="Times New Roman"/>
                <w:color w:val="000000"/>
                <w:sz w:val="16"/>
                <w:szCs w:val="16"/>
              </w:rPr>
              <w:t xml:space="preserve"> Lake, </w:t>
            </w:r>
            <w:proofErr w:type="spellStart"/>
            <w:r w:rsidRPr="0096196C">
              <w:rPr>
                <w:rFonts w:eastAsia="Times New Roman"/>
                <w:color w:val="000000"/>
                <w:sz w:val="16"/>
                <w:szCs w:val="16"/>
              </w:rPr>
              <w:t>Durmitor</w:t>
            </w:r>
            <w:proofErr w:type="spellEnd"/>
            <w:r w:rsidRPr="0096196C">
              <w:rPr>
                <w:rFonts w:eastAsia="Times New Roman"/>
                <w:color w:val="000000"/>
                <w:sz w:val="16"/>
                <w:szCs w:val="16"/>
              </w:rPr>
              <w:t xml:space="preserve">, </w:t>
            </w:r>
            <w:proofErr w:type="spellStart"/>
            <w:r w:rsidRPr="0096196C">
              <w:rPr>
                <w:rFonts w:eastAsia="Times New Roman"/>
                <w:color w:val="000000"/>
                <w:sz w:val="16"/>
                <w:szCs w:val="16"/>
              </w:rPr>
              <w:t>Biogradska</w:t>
            </w:r>
            <w:proofErr w:type="spellEnd"/>
            <w:r w:rsidRPr="0096196C">
              <w:rPr>
                <w:rFonts w:eastAsia="Times New Roman"/>
                <w:color w:val="000000"/>
                <w:sz w:val="16"/>
                <w:szCs w:val="16"/>
              </w:rPr>
              <w:t xml:space="preserve"> Gora)</w:t>
            </w:r>
          </w:p>
        </w:tc>
        <w:tc>
          <w:tcPr>
            <w:tcW w:w="800" w:type="dxa"/>
            <w:tcBorders>
              <w:top w:val="nil"/>
              <w:left w:val="nil"/>
              <w:bottom w:val="single" w:sz="4" w:space="0" w:color="auto"/>
              <w:right w:val="single" w:sz="4" w:space="0" w:color="auto"/>
            </w:tcBorders>
            <w:shd w:val="clear" w:color="000000" w:fill="AEAAAA"/>
            <w:noWrap/>
            <w:vAlign w:val="bottom"/>
            <w:hideMark/>
          </w:tcPr>
          <w:p w14:paraId="5CA55586"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4DCECF5E"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11F63340"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2D18D985"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2D5D90CB"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r>
      <w:tr w:rsidR="0096196C" w:rsidRPr="0096196C" w14:paraId="543106C3" w14:textId="77777777" w:rsidTr="0096196C">
        <w:trPr>
          <w:gridAfter w:val="6"/>
          <w:divId w:val="301007021"/>
          <w:wAfter w:w="7680" w:type="dxa"/>
          <w:trHeight w:val="612"/>
        </w:trPr>
        <w:tc>
          <w:tcPr>
            <w:tcW w:w="2220" w:type="dxa"/>
            <w:vMerge/>
            <w:tcBorders>
              <w:top w:val="nil"/>
              <w:left w:val="single" w:sz="4" w:space="0" w:color="auto"/>
              <w:bottom w:val="single" w:sz="4" w:space="0" w:color="auto"/>
              <w:right w:val="single" w:sz="4" w:space="0" w:color="auto"/>
            </w:tcBorders>
            <w:vAlign w:val="center"/>
            <w:hideMark/>
          </w:tcPr>
          <w:p w14:paraId="06D13953" w14:textId="77777777" w:rsidR="0096196C" w:rsidRPr="0096196C" w:rsidRDefault="0096196C" w:rsidP="0096196C">
            <w:pPr>
              <w:spacing w:after="0"/>
              <w:jc w:val="left"/>
              <w:rPr>
                <w:rFonts w:eastAsia="Times New Roman"/>
                <w:color w:val="000000"/>
                <w:sz w:val="16"/>
                <w:szCs w:val="16"/>
              </w:rPr>
            </w:pPr>
          </w:p>
        </w:tc>
        <w:tc>
          <w:tcPr>
            <w:tcW w:w="3680" w:type="dxa"/>
            <w:tcBorders>
              <w:top w:val="nil"/>
              <w:left w:val="nil"/>
              <w:bottom w:val="single" w:sz="4" w:space="0" w:color="auto"/>
              <w:right w:val="single" w:sz="4" w:space="0" w:color="auto"/>
            </w:tcBorders>
            <w:shd w:val="clear" w:color="auto" w:fill="auto"/>
            <w:hideMark/>
          </w:tcPr>
          <w:p w14:paraId="2390DBED" w14:textId="77777777" w:rsidR="0096196C" w:rsidRPr="0096196C" w:rsidRDefault="0096196C" w:rsidP="0096196C">
            <w:pPr>
              <w:spacing w:after="0"/>
              <w:jc w:val="left"/>
              <w:rPr>
                <w:rFonts w:eastAsia="Times New Roman"/>
                <w:sz w:val="16"/>
                <w:szCs w:val="16"/>
              </w:rPr>
            </w:pPr>
            <w:r w:rsidRPr="0096196C">
              <w:rPr>
                <w:rFonts w:eastAsia="Times New Roman"/>
                <w:sz w:val="16"/>
                <w:szCs w:val="16"/>
              </w:rPr>
              <w:t>Capacity building for law enforcement (</w:t>
            </w:r>
            <w:proofErr w:type="spellStart"/>
            <w:r w:rsidRPr="0096196C">
              <w:rPr>
                <w:rFonts w:eastAsia="Times New Roman"/>
                <w:sz w:val="16"/>
                <w:szCs w:val="16"/>
              </w:rPr>
              <w:t>Skadar</w:t>
            </w:r>
            <w:proofErr w:type="spellEnd"/>
            <w:r w:rsidRPr="0096196C">
              <w:rPr>
                <w:rFonts w:eastAsia="Times New Roman"/>
                <w:sz w:val="16"/>
                <w:szCs w:val="16"/>
              </w:rPr>
              <w:t xml:space="preserve"> Lake, </w:t>
            </w:r>
            <w:proofErr w:type="spellStart"/>
            <w:r w:rsidRPr="0096196C">
              <w:rPr>
                <w:rFonts w:eastAsia="Times New Roman"/>
                <w:sz w:val="16"/>
                <w:szCs w:val="16"/>
              </w:rPr>
              <w:t>Ulcinjska</w:t>
            </w:r>
            <w:proofErr w:type="spellEnd"/>
            <w:r w:rsidRPr="0096196C">
              <w:rPr>
                <w:rFonts w:eastAsia="Times New Roman"/>
                <w:sz w:val="16"/>
                <w:szCs w:val="16"/>
              </w:rPr>
              <w:t xml:space="preserve"> Solana, </w:t>
            </w:r>
            <w:proofErr w:type="spellStart"/>
            <w:proofErr w:type="gramStart"/>
            <w:r w:rsidRPr="0096196C">
              <w:rPr>
                <w:rFonts w:eastAsia="Times New Roman"/>
                <w:sz w:val="16"/>
                <w:szCs w:val="16"/>
              </w:rPr>
              <w:t>Orijen,Dragisnica</w:t>
            </w:r>
            <w:proofErr w:type="gramEnd"/>
            <w:r w:rsidRPr="0096196C">
              <w:rPr>
                <w:rFonts w:eastAsia="Times New Roman"/>
                <w:sz w:val="16"/>
                <w:szCs w:val="16"/>
              </w:rPr>
              <w:t>-Komarnica</w:t>
            </w:r>
            <w:proofErr w:type="spellEnd"/>
            <w:r w:rsidRPr="0096196C">
              <w:rPr>
                <w:rFonts w:eastAsia="Times New Roman"/>
                <w:sz w:val="16"/>
                <w:szCs w:val="16"/>
              </w:rPr>
              <w:t xml:space="preserve">) </w:t>
            </w:r>
          </w:p>
        </w:tc>
        <w:tc>
          <w:tcPr>
            <w:tcW w:w="800" w:type="dxa"/>
            <w:tcBorders>
              <w:top w:val="nil"/>
              <w:left w:val="nil"/>
              <w:bottom w:val="single" w:sz="4" w:space="0" w:color="auto"/>
              <w:right w:val="single" w:sz="4" w:space="0" w:color="auto"/>
            </w:tcBorders>
            <w:shd w:val="clear" w:color="auto" w:fill="auto"/>
            <w:noWrap/>
            <w:vAlign w:val="bottom"/>
            <w:hideMark/>
          </w:tcPr>
          <w:p w14:paraId="0751E479"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6BB6B379"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5B1007AA"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1102F561"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398C3DF1"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r>
      <w:tr w:rsidR="0096196C" w:rsidRPr="0096196C" w14:paraId="63D803FF" w14:textId="77777777" w:rsidTr="0096196C">
        <w:trPr>
          <w:gridAfter w:val="6"/>
          <w:divId w:val="301007021"/>
          <w:wAfter w:w="7680" w:type="dxa"/>
          <w:trHeight w:val="708"/>
        </w:trPr>
        <w:tc>
          <w:tcPr>
            <w:tcW w:w="2220" w:type="dxa"/>
            <w:vMerge/>
            <w:tcBorders>
              <w:top w:val="nil"/>
              <w:left w:val="single" w:sz="4" w:space="0" w:color="auto"/>
              <w:bottom w:val="single" w:sz="4" w:space="0" w:color="auto"/>
              <w:right w:val="single" w:sz="4" w:space="0" w:color="auto"/>
            </w:tcBorders>
            <w:vAlign w:val="center"/>
            <w:hideMark/>
          </w:tcPr>
          <w:p w14:paraId="77DD5A3A" w14:textId="77777777" w:rsidR="0096196C" w:rsidRPr="0096196C" w:rsidRDefault="0096196C" w:rsidP="0096196C">
            <w:pPr>
              <w:spacing w:after="0"/>
              <w:jc w:val="left"/>
              <w:rPr>
                <w:rFonts w:eastAsia="Times New Roman"/>
                <w:color w:val="000000"/>
                <w:sz w:val="16"/>
                <w:szCs w:val="16"/>
              </w:rPr>
            </w:pPr>
          </w:p>
        </w:tc>
        <w:tc>
          <w:tcPr>
            <w:tcW w:w="3680" w:type="dxa"/>
            <w:tcBorders>
              <w:top w:val="nil"/>
              <w:left w:val="nil"/>
              <w:bottom w:val="single" w:sz="4" w:space="0" w:color="auto"/>
              <w:right w:val="single" w:sz="4" w:space="0" w:color="auto"/>
            </w:tcBorders>
            <w:shd w:val="clear" w:color="auto" w:fill="auto"/>
            <w:hideMark/>
          </w:tcPr>
          <w:p w14:paraId="01DB58C9"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Community engagement (</w:t>
            </w:r>
            <w:proofErr w:type="spellStart"/>
            <w:r w:rsidRPr="0096196C">
              <w:rPr>
                <w:rFonts w:eastAsia="Times New Roman"/>
                <w:color w:val="000000"/>
                <w:sz w:val="16"/>
                <w:szCs w:val="16"/>
              </w:rPr>
              <w:t>Durmitor</w:t>
            </w:r>
            <w:proofErr w:type="spellEnd"/>
            <w:r w:rsidRPr="0096196C">
              <w:rPr>
                <w:rFonts w:eastAsia="Times New Roman"/>
                <w:color w:val="000000"/>
                <w:sz w:val="16"/>
                <w:szCs w:val="16"/>
              </w:rPr>
              <w:t xml:space="preserve">, </w:t>
            </w:r>
            <w:proofErr w:type="spellStart"/>
            <w:r w:rsidRPr="0096196C">
              <w:rPr>
                <w:rFonts w:eastAsia="Times New Roman"/>
                <w:color w:val="000000"/>
                <w:sz w:val="16"/>
                <w:szCs w:val="16"/>
              </w:rPr>
              <w:t>Biogradska</w:t>
            </w:r>
            <w:proofErr w:type="spellEnd"/>
            <w:r w:rsidRPr="0096196C">
              <w:rPr>
                <w:rFonts w:eastAsia="Times New Roman"/>
                <w:color w:val="000000"/>
                <w:sz w:val="16"/>
                <w:szCs w:val="16"/>
              </w:rPr>
              <w:t xml:space="preserve"> Gora, </w:t>
            </w:r>
            <w:proofErr w:type="spellStart"/>
            <w:r w:rsidRPr="0096196C">
              <w:rPr>
                <w:rFonts w:eastAsia="Times New Roman"/>
                <w:color w:val="000000"/>
                <w:sz w:val="16"/>
                <w:szCs w:val="16"/>
              </w:rPr>
              <w:t>Sinjajevina</w:t>
            </w:r>
            <w:proofErr w:type="spellEnd"/>
            <w:r w:rsidRPr="0096196C">
              <w:rPr>
                <w:rFonts w:eastAsia="Times New Roman"/>
                <w:color w:val="000000"/>
                <w:sz w:val="16"/>
                <w:szCs w:val="16"/>
              </w:rPr>
              <w:t xml:space="preserve">, </w:t>
            </w:r>
            <w:proofErr w:type="spellStart"/>
            <w:r w:rsidRPr="0096196C">
              <w:rPr>
                <w:rFonts w:eastAsia="Times New Roman"/>
                <w:color w:val="000000"/>
                <w:sz w:val="16"/>
                <w:szCs w:val="16"/>
              </w:rPr>
              <w:t>Skadar</w:t>
            </w:r>
            <w:proofErr w:type="spellEnd"/>
            <w:r w:rsidRPr="0096196C">
              <w:rPr>
                <w:rFonts w:eastAsia="Times New Roman"/>
                <w:color w:val="000000"/>
                <w:sz w:val="16"/>
                <w:szCs w:val="16"/>
              </w:rPr>
              <w:t xml:space="preserve"> Lake, </w:t>
            </w:r>
            <w:proofErr w:type="spellStart"/>
            <w:r w:rsidRPr="0096196C">
              <w:rPr>
                <w:rFonts w:eastAsia="Times New Roman"/>
                <w:color w:val="000000"/>
                <w:sz w:val="16"/>
                <w:szCs w:val="16"/>
              </w:rPr>
              <w:t>Ulcinjska</w:t>
            </w:r>
            <w:proofErr w:type="spellEnd"/>
            <w:r w:rsidRPr="0096196C">
              <w:rPr>
                <w:rFonts w:eastAsia="Times New Roman"/>
                <w:color w:val="000000"/>
                <w:sz w:val="16"/>
                <w:szCs w:val="16"/>
              </w:rPr>
              <w:t xml:space="preserve"> Solana)</w:t>
            </w:r>
          </w:p>
        </w:tc>
        <w:tc>
          <w:tcPr>
            <w:tcW w:w="800" w:type="dxa"/>
            <w:tcBorders>
              <w:top w:val="nil"/>
              <w:left w:val="nil"/>
              <w:bottom w:val="single" w:sz="4" w:space="0" w:color="auto"/>
              <w:right w:val="single" w:sz="4" w:space="0" w:color="auto"/>
            </w:tcBorders>
            <w:shd w:val="clear" w:color="auto" w:fill="auto"/>
            <w:noWrap/>
            <w:vAlign w:val="bottom"/>
            <w:hideMark/>
          </w:tcPr>
          <w:p w14:paraId="56E9D848"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auto" w:fill="auto"/>
            <w:noWrap/>
            <w:vAlign w:val="bottom"/>
            <w:hideMark/>
          </w:tcPr>
          <w:p w14:paraId="641B2403"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0041807A"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6BEA85AF"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1F1781B7"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r>
      <w:tr w:rsidR="0096196C" w:rsidRPr="0096196C" w14:paraId="4CFF3669" w14:textId="77777777" w:rsidTr="0096196C">
        <w:trPr>
          <w:gridAfter w:val="6"/>
          <w:divId w:val="301007021"/>
          <w:wAfter w:w="7680" w:type="dxa"/>
          <w:trHeight w:val="504"/>
        </w:trPr>
        <w:tc>
          <w:tcPr>
            <w:tcW w:w="2220" w:type="dxa"/>
            <w:vMerge/>
            <w:tcBorders>
              <w:top w:val="nil"/>
              <w:left w:val="single" w:sz="4" w:space="0" w:color="auto"/>
              <w:bottom w:val="single" w:sz="4" w:space="0" w:color="auto"/>
              <w:right w:val="single" w:sz="4" w:space="0" w:color="auto"/>
            </w:tcBorders>
            <w:vAlign w:val="center"/>
            <w:hideMark/>
          </w:tcPr>
          <w:p w14:paraId="711E4884" w14:textId="77777777" w:rsidR="0096196C" w:rsidRPr="0096196C" w:rsidRDefault="0096196C" w:rsidP="0096196C">
            <w:pPr>
              <w:spacing w:after="0"/>
              <w:jc w:val="left"/>
              <w:rPr>
                <w:rFonts w:eastAsia="Times New Roman"/>
                <w:color w:val="000000"/>
                <w:sz w:val="16"/>
                <w:szCs w:val="16"/>
              </w:rPr>
            </w:pPr>
          </w:p>
        </w:tc>
        <w:tc>
          <w:tcPr>
            <w:tcW w:w="3680" w:type="dxa"/>
            <w:tcBorders>
              <w:top w:val="nil"/>
              <w:left w:val="nil"/>
              <w:bottom w:val="single" w:sz="4" w:space="0" w:color="auto"/>
              <w:right w:val="single" w:sz="4" w:space="0" w:color="auto"/>
            </w:tcBorders>
            <w:shd w:val="clear" w:color="auto" w:fill="auto"/>
            <w:vAlign w:val="bottom"/>
            <w:hideMark/>
          </w:tcPr>
          <w:p w14:paraId="31D0EBF6"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Improved management planning (</w:t>
            </w:r>
            <w:proofErr w:type="spellStart"/>
            <w:r w:rsidRPr="0096196C">
              <w:rPr>
                <w:rFonts w:eastAsia="Times New Roman"/>
                <w:color w:val="000000"/>
                <w:sz w:val="16"/>
                <w:szCs w:val="16"/>
              </w:rPr>
              <w:t>Orjen</w:t>
            </w:r>
            <w:proofErr w:type="spellEnd"/>
            <w:r w:rsidRPr="0096196C">
              <w:rPr>
                <w:rFonts w:eastAsia="Times New Roman"/>
                <w:color w:val="000000"/>
                <w:sz w:val="16"/>
                <w:szCs w:val="16"/>
              </w:rPr>
              <w:t>)</w:t>
            </w:r>
          </w:p>
        </w:tc>
        <w:tc>
          <w:tcPr>
            <w:tcW w:w="800" w:type="dxa"/>
            <w:tcBorders>
              <w:top w:val="nil"/>
              <w:left w:val="nil"/>
              <w:bottom w:val="single" w:sz="4" w:space="0" w:color="auto"/>
              <w:right w:val="single" w:sz="4" w:space="0" w:color="auto"/>
            </w:tcBorders>
            <w:shd w:val="clear" w:color="auto" w:fill="auto"/>
            <w:noWrap/>
            <w:vAlign w:val="bottom"/>
            <w:hideMark/>
          </w:tcPr>
          <w:p w14:paraId="36F90785"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0AA25A47"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116E0AEC"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auto" w:fill="auto"/>
            <w:noWrap/>
            <w:vAlign w:val="bottom"/>
            <w:hideMark/>
          </w:tcPr>
          <w:p w14:paraId="45A5AAE5"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auto" w:fill="auto"/>
            <w:noWrap/>
            <w:vAlign w:val="bottom"/>
            <w:hideMark/>
          </w:tcPr>
          <w:p w14:paraId="7F99DEA4"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r>
      <w:tr w:rsidR="0096196C" w:rsidRPr="0096196C" w14:paraId="606E55F6" w14:textId="77777777" w:rsidTr="0096196C">
        <w:trPr>
          <w:gridAfter w:val="6"/>
          <w:divId w:val="301007021"/>
          <w:wAfter w:w="7680" w:type="dxa"/>
          <w:trHeight w:val="696"/>
        </w:trPr>
        <w:tc>
          <w:tcPr>
            <w:tcW w:w="2220" w:type="dxa"/>
            <w:vMerge/>
            <w:tcBorders>
              <w:top w:val="nil"/>
              <w:left w:val="single" w:sz="4" w:space="0" w:color="auto"/>
              <w:bottom w:val="single" w:sz="4" w:space="0" w:color="auto"/>
              <w:right w:val="single" w:sz="4" w:space="0" w:color="auto"/>
            </w:tcBorders>
            <w:vAlign w:val="center"/>
            <w:hideMark/>
          </w:tcPr>
          <w:p w14:paraId="75D7254B" w14:textId="77777777" w:rsidR="0096196C" w:rsidRPr="0096196C" w:rsidRDefault="0096196C" w:rsidP="0096196C">
            <w:pPr>
              <w:spacing w:after="0"/>
              <w:jc w:val="left"/>
              <w:rPr>
                <w:rFonts w:eastAsia="Times New Roman"/>
                <w:color w:val="000000"/>
                <w:sz w:val="16"/>
                <w:szCs w:val="16"/>
              </w:rPr>
            </w:pPr>
          </w:p>
        </w:tc>
        <w:tc>
          <w:tcPr>
            <w:tcW w:w="3680" w:type="dxa"/>
            <w:tcBorders>
              <w:top w:val="nil"/>
              <w:left w:val="nil"/>
              <w:bottom w:val="single" w:sz="4" w:space="0" w:color="auto"/>
              <w:right w:val="single" w:sz="4" w:space="0" w:color="auto"/>
            </w:tcBorders>
            <w:shd w:val="clear" w:color="auto" w:fill="auto"/>
            <w:vAlign w:val="bottom"/>
            <w:hideMark/>
          </w:tcPr>
          <w:p w14:paraId="59BEB591"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Monitoring and research for informed management (</w:t>
            </w:r>
            <w:proofErr w:type="spellStart"/>
            <w:r w:rsidRPr="0096196C">
              <w:rPr>
                <w:rFonts w:eastAsia="Times New Roman"/>
                <w:color w:val="000000"/>
                <w:sz w:val="16"/>
                <w:szCs w:val="16"/>
              </w:rPr>
              <w:t>Orjen</w:t>
            </w:r>
            <w:proofErr w:type="spellEnd"/>
            <w:r w:rsidRPr="0096196C">
              <w:rPr>
                <w:rFonts w:eastAsia="Times New Roman"/>
                <w:color w:val="000000"/>
                <w:sz w:val="16"/>
                <w:szCs w:val="16"/>
              </w:rPr>
              <w:t xml:space="preserve">, </w:t>
            </w:r>
            <w:proofErr w:type="spellStart"/>
            <w:r w:rsidRPr="0096196C">
              <w:rPr>
                <w:rFonts w:eastAsia="Times New Roman"/>
                <w:color w:val="000000"/>
                <w:sz w:val="16"/>
                <w:szCs w:val="16"/>
              </w:rPr>
              <w:t>Piva</w:t>
            </w:r>
            <w:proofErr w:type="spellEnd"/>
            <w:r w:rsidRPr="0096196C">
              <w:rPr>
                <w:rFonts w:eastAsia="Times New Roman"/>
                <w:color w:val="000000"/>
                <w:sz w:val="16"/>
                <w:szCs w:val="16"/>
              </w:rPr>
              <w:t xml:space="preserve">, </w:t>
            </w:r>
            <w:proofErr w:type="spellStart"/>
            <w:r w:rsidRPr="0096196C">
              <w:rPr>
                <w:rFonts w:eastAsia="Times New Roman"/>
                <w:color w:val="000000"/>
                <w:sz w:val="16"/>
                <w:szCs w:val="16"/>
              </w:rPr>
              <w:t>Komovi</w:t>
            </w:r>
            <w:proofErr w:type="spellEnd"/>
            <w:r w:rsidRPr="0096196C">
              <w:rPr>
                <w:rFonts w:eastAsia="Times New Roman"/>
                <w:color w:val="000000"/>
                <w:sz w:val="16"/>
                <w:szCs w:val="16"/>
              </w:rPr>
              <w:t>)</w:t>
            </w:r>
          </w:p>
        </w:tc>
        <w:tc>
          <w:tcPr>
            <w:tcW w:w="800" w:type="dxa"/>
            <w:tcBorders>
              <w:top w:val="nil"/>
              <w:left w:val="nil"/>
              <w:bottom w:val="single" w:sz="4" w:space="0" w:color="auto"/>
              <w:right w:val="single" w:sz="4" w:space="0" w:color="auto"/>
            </w:tcBorders>
            <w:shd w:val="clear" w:color="auto" w:fill="auto"/>
            <w:noWrap/>
            <w:vAlign w:val="bottom"/>
            <w:hideMark/>
          </w:tcPr>
          <w:p w14:paraId="04485751"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664A7785"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51D812E4"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auto" w:fill="auto"/>
            <w:noWrap/>
            <w:vAlign w:val="bottom"/>
            <w:hideMark/>
          </w:tcPr>
          <w:p w14:paraId="69598C0B"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auto" w:fill="auto"/>
            <w:noWrap/>
            <w:vAlign w:val="bottom"/>
            <w:hideMark/>
          </w:tcPr>
          <w:p w14:paraId="2B5E6C52"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r>
      <w:tr w:rsidR="0096196C" w:rsidRPr="0096196C" w14:paraId="31EECC21" w14:textId="77777777" w:rsidTr="0096196C">
        <w:trPr>
          <w:gridAfter w:val="6"/>
          <w:divId w:val="301007021"/>
          <w:wAfter w:w="7680" w:type="dxa"/>
          <w:trHeight w:val="660"/>
        </w:trPr>
        <w:tc>
          <w:tcPr>
            <w:tcW w:w="2220" w:type="dxa"/>
            <w:vMerge/>
            <w:tcBorders>
              <w:top w:val="nil"/>
              <w:left w:val="single" w:sz="4" w:space="0" w:color="auto"/>
              <w:bottom w:val="single" w:sz="4" w:space="0" w:color="auto"/>
              <w:right w:val="single" w:sz="4" w:space="0" w:color="auto"/>
            </w:tcBorders>
            <w:vAlign w:val="center"/>
            <w:hideMark/>
          </w:tcPr>
          <w:p w14:paraId="03E4A5D9" w14:textId="77777777" w:rsidR="0096196C" w:rsidRPr="0096196C" w:rsidRDefault="0096196C" w:rsidP="0096196C">
            <w:pPr>
              <w:spacing w:after="0"/>
              <w:jc w:val="left"/>
              <w:rPr>
                <w:rFonts w:eastAsia="Times New Roman"/>
                <w:color w:val="000000"/>
                <w:sz w:val="16"/>
                <w:szCs w:val="16"/>
              </w:rPr>
            </w:pPr>
          </w:p>
        </w:tc>
        <w:tc>
          <w:tcPr>
            <w:tcW w:w="3680" w:type="dxa"/>
            <w:tcBorders>
              <w:top w:val="nil"/>
              <w:left w:val="nil"/>
              <w:bottom w:val="single" w:sz="4" w:space="0" w:color="auto"/>
              <w:right w:val="single" w:sz="4" w:space="0" w:color="auto"/>
            </w:tcBorders>
            <w:shd w:val="clear" w:color="auto" w:fill="auto"/>
            <w:hideMark/>
          </w:tcPr>
          <w:p w14:paraId="75BB2363"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xml:space="preserve">Targeted support to </w:t>
            </w:r>
            <w:proofErr w:type="spellStart"/>
            <w:r w:rsidRPr="0096196C">
              <w:rPr>
                <w:rFonts w:eastAsia="Times New Roman"/>
                <w:color w:val="000000"/>
                <w:sz w:val="16"/>
                <w:szCs w:val="16"/>
              </w:rPr>
              <w:t>valorisation</w:t>
            </w:r>
            <w:proofErr w:type="spellEnd"/>
            <w:r w:rsidRPr="0096196C">
              <w:rPr>
                <w:rFonts w:eastAsia="Times New Roman"/>
                <w:color w:val="000000"/>
                <w:sz w:val="16"/>
                <w:szCs w:val="16"/>
              </w:rPr>
              <w:t xml:space="preserve"> and visitor infrastructure (</w:t>
            </w:r>
            <w:proofErr w:type="spellStart"/>
            <w:r w:rsidRPr="0096196C">
              <w:rPr>
                <w:rFonts w:eastAsia="Times New Roman"/>
                <w:color w:val="000000"/>
                <w:sz w:val="16"/>
                <w:szCs w:val="16"/>
              </w:rPr>
              <w:t>Ulcinjska</w:t>
            </w:r>
            <w:proofErr w:type="spellEnd"/>
            <w:r w:rsidRPr="0096196C">
              <w:rPr>
                <w:rFonts w:eastAsia="Times New Roman"/>
                <w:color w:val="000000"/>
                <w:sz w:val="16"/>
                <w:szCs w:val="16"/>
              </w:rPr>
              <w:t xml:space="preserve"> Solana, </w:t>
            </w:r>
            <w:proofErr w:type="spellStart"/>
            <w:r w:rsidRPr="0096196C">
              <w:rPr>
                <w:rFonts w:eastAsia="Times New Roman"/>
                <w:color w:val="000000"/>
                <w:sz w:val="16"/>
                <w:szCs w:val="16"/>
              </w:rPr>
              <w:t>Orjen</w:t>
            </w:r>
            <w:proofErr w:type="spellEnd"/>
            <w:r w:rsidRPr="0096196C">
              <w:rPr>
                <w:rFonts w:eastAsia="Times New Roman"/>
                <w:color w:val="000000"/>
                <w:sz w:val="16"/>
                <w:szCs w:val="16"/>
              </w:rPr>
              <w:t xml:space="preserve">, </w:t>
            </w:r>
            <w:proofErr w:type="spellStart"/>
            <w:r w:rsidRPr="0096196C">
              <w:rPr>
                <w:rFonts w:eastAsia="Times New Roman"/>
                <w:color w:val="000000"/>
                <w:sz w:val="16"/>
                <w:szCs w:val="16"/>
              </w:rPr>
              <w:t>Komovi</w:t>
            </w:r>
            <w:proofErr w:type="spellEnd"/>
            <w:r w:rsidRPr="0096196C">
              <w:rPr>
                <w:rFonts w:eastAsia="Times New Roman"/>
                <w:color w:val="000000"/>
                <w:sz w:val="16"/>
                <w:szCs w:val="16"/>
              </w:rPr>
              <w:t>)</w:t>
            </w:r>
          </w:p>
        </w:tc>
        <w:tc>
          <w:tcPr>
            <w:tcW w:w="800" w:type="dxa"/>
            <w:tcBorders>
              <w:top w:val="nil"/>
              <w:left w:val="nil"/>
              <w:bottom w:val="single" w:sz="4" w:space="0" w:color="auto"/>
              <w:right w:val="single" w:sz="4" w:space="0" w:color="auto"/>
            </w:tcBorders>
            <w:shd w:val="clear" w:color="000000" w:fill="AEAAAA"/>
            <w:noWrap/>
            <w:vAlign w:val="bottom"/>
            <w:hideMark/>
          </w:tcPr>
          <w:p w14:paraId="27497797"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487DA19D"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16ADE200"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27C3C4F0"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1C66E1BD"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r>
      <w:tr w:rsidR="0096196C" w:rsidRPr="0096196C" w14:paraId="498FBD2D" w14:textId="77777777" w:rsidTr="0096196C">
        <w:trPr>
          <w:gridAfter w:val="6"/>
          <w:divId w:val="301007021"/>
          <w:wAfter w:w="7680" w:type="dxa"/>
          <w:trHeight w:val="804"/>
        </w:trPr>
        <w:tc>
          <w:tcPr>
            <w:tcW w:w="2220" w:type="dxa"/>
            <w:vMerge/>
            <w:tcBorders>
              <w:top w:val="nil"/>
              <w:left w:val="single" w:sz="4" w:space="0" w:color="auto"/>
              <w:bottom w:val="single" w:sz="4" w:space="0" w:color="auto"/>
              <w:right w:val="single" w:sz="4" w:space="0" w:color="auto"/>
            </w:tcBorders>
            <w:vAlign w:val="center"/>
            <w:hideMark/>
          </w:tcPr>
          <w:p w14:paraId="3119D7DE" w14:textId="77777777" w:rsidR="0096196C" w:rsidRPr="0096196C" w:rsidRDefault="0096196C" w:rsidP="0096196C">
            <w:pPr>
              <w:spacing w:after="0"/>
              <w:jc w:val="left"/>
              <w:rPr>
                <w:rFonts w:eastAsia="Times New Roman"/>
                <w:color w:val="000000"/>
                <w:sz w:val="16"/>
                <w:szCs w:val="16"/>
              </w:rPr>
            </w:pPr>
          </w:p>
        </w:tc>
        <w:tc>
          <w:tcPr>
            <w:tcW w:w="3680" w:type="dxa"/>
            <w:tcBorders>
              <w:top w:val="nil"/>
              <w:left w:val="nil"/>
              <w:bottom w:val="single" w:sz="4" w:space="0" w:color="auto"/>
              <w:right w:val="single" w:sz="4" w:space="0" w:color="auto"/>
            </w:tcBorders>
            <w:shd w:val="clear" w:color="auto" w:fill="auto"/>
            <w:vAlign w:val="bottom"/>
            <w:hideMark/>
          </w:tcPr>
          <w:p w14:paraId="477B3D3C" w14:textId="77777777" w:rsidR="0096196C" w:rsidRPr="0096196C" w:rsidRDefault="0096196C" w:rsidP="0096196C">
            <w:pPr>
              <w:spacing w:after="0"/>
              <w:jc w:val="left"/>
              <w:rPr>
                <w:rFonts w:eastAsia="Times New Roman"/>
                <w:sz w:val="16"/>
                <w:szCs w:val="16"/>
              </w:rPr>
            </w:pPr>
            <w:r w:rsidRPr="0096196C">
              <w:rPr>
                <w:rFonts w:eastAsia="Times New Roman"/>
                <w:sz w:val="16"/>
                <w:szCs w:val="16"/>
              </w:rPr>
              <w:t xml:space="preserve">Pilot </w:t>
            </w:r>
            <w:proofErr w:type="spellStart"/>
            <w:r w:rsidRPr="0096196C">
              <w:rPr>
                <w:rFonts w:eastAsia="Times New Roman"/>
                <w:sz w:val="16"/>
                <w:szCs w:val="16"/>
              </w:rPr>
              <w:t>managament</w:t>
            </w:r>
            <w:proofErr w:type="spellEnd"/>
            <w:r w:rsidRPr="0096196C">
              <w:rPr>
                <w:rFonts w:eastAsia="Times New Roman"/>
                <w:sz w:val="16"/>
                <w:szCs w:val="16"/>
              </w:rPr>
              <w:t xml:space="preserve"> plan for coastal zone nature monuments; targeted support to implementation of advance management measures</w:t>
            </w:r>
          </w:p>
        </w:tc>
        <w:tc>
          <w:tcPr>
            <w:tcW w:w="800" w:type="dxa"/>
            <w:tcBorders>
              <w:top w:val="nil"/>
              <w:left w:val="nil"/>
              <w:bottom w:val="single" w:sz="4" w:space="0" w:color="auto"/>
              <w:right w:val="single" w:sz="4" w:space="0" w:color="auto"/>
            </w:tcBorders>
            <w:shd w:val="clear" w:color="auto" w:fill="auto"/>
            <w:noWrap/>
            <w:vAlign w:val="bottom"/>
            <w:hideMark/>
          </w:tcPr>
          <w:p w14:paraId="5DE8FB9D"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4E09A78D"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636DAD2E"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01999934"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auto" w:fill="auto"/>
            <w:noWrap/>
            <w:vAlign w:val="bottom"/>
            <w:hideMark/>
          </w:tcPr>
          <w:p w14:paraId="7C970B0C"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r>
      <w:tr w:rsidR="0096196C" w:rsidRPr="0096196C" w14:paraId="3E62D1E2" w14:textId="77777777" w:rsidTr="0096196C">
        <w:trPr>
          <w:gridAfter w:val="6"/>
          <w:divId w:val="301007021"/>
          <w:wAfter w:w="7680" w:type="dxa"/>
          <w:trHeight w:val="204"/>
        </w:trPr>
        <w:tc>
          <w:tcPr>
            <w:tcW w:w="9900" w:type="dxa"/>
            <w:gridSpan w:val="7"/>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2A59496E" w14:textId="77777777" w:rsidR="0096196C" w:rsidRPr="0096196C" w:rsidRDefault="0096196C" w:rsidP="0096196C">
            <w:pPr>
              <w:spacing w:after="0"/>
              <w:jc w:val="left"/>
              <w:rPr>
                <w:rFonts w:eastAsia="Times New Roman"/>
                <w:b/>
                <w:bCs/>
                <w:color w:val="000000"/>
                <w:sz w:val="16"/>
                <w:szCs w:val="16"/>
              </w:rPr>
            </w:pPr>
            <w:r w:rsidRPr="0096196C">
              <w:rPr>
                <w:rFonts w:eastAsia="Times New Roman"/>
                <w:b/>
                <w:bCs/>
                <w:color w:val="000000"/>
                <w:sz w:val="16"/>
                <w:szCs w:val="16"/>
              </w:rPr>
              <w:t xml:space="preserve">Outcome 2: Biodiversity conservation arrangements in place for the </w:t>
            </w:r>
            <w:proofErr w:type="gramStart"/>
            <w:r w:rsidRPr="0096196C">
              <w:rPr>
                <w:rFonts w:eastAsia="Times New Roman"/>
                <w:b/>
                <w:bCs/>
                <w:color w:val="000000"/>
                <w:sz w:val="16"/>
                <w:szCs w:val="16"/>
              </w:rPr>
              <w:t>hot-spots</w:t>
            </w:r>
            <w:proofErr w:type="gramEnd"/>
            <w:r w:rsidRPr="0096196C">
              <w:rPr>
                <w:rFonts w:eastAsia="Times New Roman"/>
                <w:b/>
                <w:bCs/>
                <w:color w:val="000000"/>
                <w:sz w:val="16"/>
                <w:szCs w:val="16"/>
              </w:rPr>
              <w:t xml:space="preserve"> outside the PAs</w:t>
            </w:r>
          </w:p>
        </w:tc>
      </w:tr>
      <w:tr w:rsidR="0096196C" w:rsidRPr="0096196C" w14:paraId="34B60B4C" w14:textId="77777777" w:rsidTr="0096196C">
        <w:trPr>
          <w:gridAfter w:val="6"/>
          <w:divId w:val="301007021"/>
          <w:wAfter w:w="7680" w:type="dxa"/>
          <w:trHeight w:val="576"/>
        </w:trPr>
        <w:tc>
          <w:tcPr>
            <w:tcW w:w="2220" w:type="dxa"/>
            <w:vMerge w:val="restart"/>
            <w:tcBorders>
              <w:top w:val="nil"/>
              <w:left w:val="single" w:sz="4" w:space="0" w:color="auto"/>
              <w:bottom w:val="single" w:sz="4" w:space="0" w:color="auto"/>
              <w:right w:val="single" w:sz="4" w:space="0" w:color="auto"/>
            </w:tcBorders>
            <w:shd w:val="clear" w:color="auto" w:fill="auto"/>
            <w:hideMark/>
          </w:tcPr>
          <w:p w14:paraId="701AAB88" w14:textId="77777777" w:rsidR="0096196C" w:rsidRPr="0096196C" w:rsidRDefault="0096196C" w:rsidP="0096196C">
            <w:pPr>
              <w:spacing w:after="0"/>
              <w:jc w:val="center"/>
              <w:rPr>
                <w:rFonts w:eastAsia="Times New Roman"/>
                <w:color w:val="000000"/>
                <w:sz w:val="16"/>
                <w:szCs w:val="16"/>
              </w:rPr>
            </w:pPr>
            <w:r w:rsidRPr="0096196C">
              <w:rPr>
                <w:rFonts w:eastAsia="Times New Roman"/>
                <w:color w:val="000000"/>
                <w:sz w:val="16"/>
                <w:szCs w:val="16"/>
              </w:rPr>
              <w:t xml:space="preserve">Output 2.1: Baseline studies and justification of priorities for protection of key biodiversity </w:t>
            </w:r>
            <w:proofErr w:type="gramStart"/>
            <w:r w:rsidRPr="0096196C">
              <w:rPr>
                <w:rFonts w:eastAsia="Times New Roman"/>
                <w:color w:val="000000"/>
                <w:sz w:val="16"/>
                <w:szCs w:val="16"/>
              </w:rPr>
              <w:t>hot-spots</w:t>
            </w:r>
            <w:proofErr w:type="gramEnd"/>
            <w:r w:rsidRPr="0096196C">
              <w:rPr>
                <w:rFonts w:eastAsia="Times New Roman"/>
                <w:color w:val="000000"/>
                <w:sz w:val="16"/>
                <w:szCs w:val="16"/>
              </w:rPr>
              <w:t xml:space="preserve"> outside PAs</w:t>
            </w:r>
          </w:p>
        </w:tc>
        <w:tc>
          <w:tcPr>
            <w:tcW w:w="3680" w:type="dxa"/>
            <w:tcBorders>
              <w:top w:val="nil"/>
              <w:left w:val="nil"/>
              <w:bottom w:val="single" w:sz="4" w:space="0" w:color="auto"/>
              <w:right w:val="single" w:sz="4" w:space="0" w:color="auto"/>
            </w:tcBorders>
            <w:shd w:val="clear" w:color="auto" w:fill="auto"/>
            <w:hideMark/>
          </w:tcPr>
          <w:p w14:paraId="4A3377D7" w14:textId="77777777" w:rsidR="0096196C" w:rsidRPr="0096196C" w:rsidRDefault="0096196C" w:rsidP="0096196C">
            <w:pPr>
              <w:spacing w:after="0"/>
              <w:jc w:val="left"/>
              <w:rPr>
                <w:rFonts w:eastAsia="Times New Roman"/>
                <w:sz w:val="16"/>
                <w:szCs w:val="16"/>
              </w:rPr>
            </w:pPr>
            <w:r w:rsidRPr="0096196C">
              <w:rPr>
                <w:rFonts w:eastAsia="Times New Roman"/>
                <w:sz w:val="16"/>
                <w:szCs w:val="16"/>
              </w:rPr>
              <w:t xml:space="preserve">Targeted BD assessment </w:t>
            </w:r>
            <w:proofErr w:type="spellStart"/>
            <w:r w:rsidRPr="0096196C">
              <w:rPr>
                <w:rFonts w:eastAsia="Times New Roman"/>
                <w:sz w:val="16"/>
                <w:szCs w:val="16"/>
              </w:rPr>
              <w:t>Orjen</w:t>
            </w:r>
            <w:proofErr w:type="spellEnd"/>
            <w:r w:rsidRPr="0096196C">
              <w:rPr>
                <w:rFonts w:eastAsia="Times New Roman"/>
                <w:sz w:val="16"/>
                <w:szCs w:val="16"/>
              </w:rPr>
              <w:t xml:space="preserve"> mountain massif (uncovered by previous study)</w:t>
            </w:r>
          </w:p>
        </w:tc>
        <w:tc>
          <w:tcPr>
            <w:tcW w:w="800" w:type="dxa"/>
            <w:tcBorders>
              <w:top w:val="nil"/>
              <w:left w:val="nil"/>
              <w:bottom w:val="single" w:sz="4" w:space="0" w:color="auto"/>
              <w:right w:val="single" w:sz="4" w:space="0" w:color="auto"/>
            </w:tcBorders>
            <w:shd w:val="clear" w:color="000000" w:fill="AEAAAA"/>
            <w:noWrap/>
            <w:vAlign w:val="bottom"/>
            <w:hideMark/>
          </w:tcPr>
          <w:p w14:paraId="338961A0"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auto" w:fill="auto"/>
            <w:noWrap/>
            <w:vAlign w:val="bottom"/>
            <w:hideMark/>
          </w:tcPr>
          <w:p w14:paraId="38730DE5"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auto" w:fill="auto"/>
            <w:noWrap/>
            <w:vAlign w:val="bottom"/>
            <w:hideMark/>
          </w:tcPr>
          <w:p w14:paraId="30E8CAB5"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auto" w:fill="auto"/>
            <w:noWrap/>
            <w:vAlign w:val="bottom"/>
            <w:hideMark/>
          </w:tcPr>
          <w:p w14:paraId="6DB5444A"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auto" w:fill="auto"/>
            <w:noWrap/>
            <w:vAlign w:val="bottom"/>
            <w:hideMark/>
          </w:tcPr>
          <w:p w14:paraId="5E09B01C"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r>
      <w:tr w:rsidR="0096196C" w:rsidRPr="0096196C" w14:paraId="61BFBCD9" w14:textId="77777777" w:rsidTr="0096196C">
        <w:trPr>
          <w:gridAfter w:val="6"/>
          <w:divId w:val="301007021"/>
          <w:wAfter w:w="7680" w:type="dxa"/>
          <w:trHeight w:val="564"/>
        </w:trPr>
        <w:tc>
          <w:tcPr>
            <w:tcW w:w="2220" w:type="dxa"/>
            <w:vMerge/>
            <w:tcBorders>
              <w:top w:val="nil"/>
              <w:left w:val="single" w:sz="4" w:space="0" w:color="auto"/>
              <w:bottom w:val="single" w:sz="4" w:space="0" w:color="auto"/>
              <w:right w:val="single" w:sz="4" w:space="0" w:color="auto"/>
            </w:tcBorders>
            <w:vAlign w:val="center"/>
            <w:hideMark/>
          </w:tcPr>
          <w:p w14:paraId="46DC3661" w14:textId="77777777" w:rsidR="0096196C" w:rsidRPr="0096196C" w:rsidRDefault="0096196C" w:rsidP="0096196C">
            <w:pPr>
              <w:spacing w:after="0"/>
              <w:jc w:val="left"/>
              <w:rPr>
                <w:rFonts w:eastAsia="Times New Roman"/>
                <w:color w:val="000000"/>
                <w:sz w:val="16"/>
                <w:szCs w:val="16"/>
              </w:rPr>
            </w:pPr>
          </w:p>
        </w:tc>
        <w:tc>
          <w:tcPr>
            <w:tcW w:w="3680" w:type="dxa"/>
            <w:tcBorders>
              <w:top w:val="nil"/>
              <w:left w:val="nil"/>
              <w:bottom w:val="single" w:sz="4" w:space="0" w:color="auto"/>
              <w:right w:val="single" w:sz="4" w:space="0" w:color="auto"/>
            </w:tcBorders>
            <w:shd w:val="clear" w:color="auto" w:fill="auto"/>
            <w:hideMark/>
          </w:tcPr>
          <w:p w14:paraId="091F03EE"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xml:space="preserve">Targeted BD assessment </w:t>
            </w:r>
            <w:proofErr w:type="spellStart"/>
            <w:r w:rsidRPr="0096196C">
              <w:rPr>
                <w:rFonts w:eastAsia="Times New Roman"/>
                <w:color w:val="000000"/>
                <w:sz w:val="16"/>
                <w:szCs w:val="16"/>
              </w:rPr>
              <w:t>Sinjajevina</w:t>
            </w:r>
            <w:proofErr w:type="spellEnd"/>
            <w:r w:rsidRPr="0096196C">
              <w:rPr>
                <w:rFonts w:eastAsia="Times New Roman"/>
                <w:color w:val="000000"/>
                <w:sz w:val="16"/>
                <w:szCs w:val="16"/>
              </w:rPr>
              <w:t xml:space="preserve"> (increment to the govt funding)</w:t>
            </w:r>
          </w:p>
        </w:tc>
        <w:tc>
          <w:tcPr>
            <w:tcW w:w="800" w:type="dxa"/>
            <w:tcBorders>
              <w:top w:val="nil"/>
              <w:left w:val="nil"/>
              <w:bottom w:val="single" w:sz="4" w:space="0" w:color="auto"/>
              <w:right w:val="single" w:sz="4" w:space="0" w:color="auto"/>
            </w:tcBorders>
            <w:shd w:val="clear" w:color="000000" w:fill="AEAAAA"/>
            <w:noWrap/>
            <w:vAlign w:val="bottom"/>
            <w:hideMark/>
          </w:tcPr>
          <w:p w14:paraId="05E66907"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7357E16B"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auto" w:fill="auto"/>
            <w:noWrap/>
            <w:vAlign w:val="bottom"/>
            <w:hideMark/>
          </w:tcPr>
          <w:p w14:paraId="0D6FC8B3"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auto" w:fill="auto"/>
            <w:noWrap/>
            <w:vAlign w:val="bottom"/>
            <w:hideMark/>
          </w:tcPr>
          <w:p w14:paraId="14733433"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auto" w:fill="auto"/>
            <w:noWrap/>
            <w:vAlign w:val="bottom"/>
            <w:hideMark/>
          </w:tcPr>
          <w:p w14:paraId="22A652B5"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r>
      <w:tr w:rsidR="0096196C" w:rsidRPr="0096196C" w14:paraId="0BDC3D5E" w14:textId="77777777" w:rsidTr="0096196C">
        <w:trPr>
          <w:gridAfter w:val="6"/>
          <w:divId w:val="301007021"/>
          <w:wAfter w:w="7680" w:type="dxa"/>
          <w:trHeight w:val="300"/>
        </w:trPr>
        <w:tc>
          <w:tcPr>
            <w:tcW w:w="2220" w:type="dxa"/>
            <w:vMerge/>
            <w:tcBorders>
              <w:top w:val="nil"/>
              <w:left w:val="single" w:sz="4" w:space="0" w:color="auto"/>
              <w:bottom w:val="single" w:sz="4" w:space="0" w:color="auto"/>
              <w:right w:val="single" w:sz="4" w:space="0" w:color="auto"/>
            </w:tcBorders>
            <w:vAlign w:val="center"/>
            <w:hideMark/>
          </w:tcPr>
          <w:p w14:paraId="13BCBB88" w14:textId="77777777" w:rsidR="0096196C" w:rsidRPr="0096196C" w:rsidRDefault="0096196C" w:rsidP="0096196C">
            <w:pPr>
              <w:spacing w:after="0"/>
              <w:jc w:val="left"/>
              <w:rPr>
                <w:rFonts w:eastAsia="Times New Roman"/>
                <w:color w:val="000000"/>
                <w:sz w:val="16"/>
                <w:szCs w:val="16"/>
              </w:rPr>
            </w:pPr>
          </w:p>
        </w:tc>
        <w:tc>
          <w:tcPr>
            <w:tcW w:w="3680" w:type="dxa"/>
            <w:tcBorders>
              <w:top w:val="nil"/>
              <w:left w:val="nil"/>
              <w:bottom w:val="single" w:sz="4" w:space="0" w:color="auto"/>
              <w:right w:val="single" w:sz="4" w:space="0" w:color="auto"/>
            </w:tcBorders>
            <w:shd w:val="clear" w:color="auto" w:fill="auto"/>
            <w:hideMark/>
          </w:tcPr>
          <w:p w14:paraId="4A731D0F"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xml:space="preserve">Targeted BD assessment </w:t>
            </w:r>
            <w:proofErr w:type="spellStart"/>
            <w:r w:rsidRPr="0096196C">
              <w:rPr>
                <w:rFonts w:eastAsia="Times New Roman"/>
                <w:color w:val="000000"/>
                <w:sz w:val="16"/>
                <w:szCs w:val="16"/>
              </w:rPr>
              <w:t>Rumija</w:t>
            </w:r>
            <w:proofErr w:type="spellEnd"/>
          </w:p>
        </w:tc>
        <w:tc>
          <w:tcPr>
            <w:tcW w:w="800" w:type="dxa"/>
            <w:tcBorders>
              <w:top w:val="nil"/>
              <w:left w:val="nil"/>
              <w:bottom w:val="nil"/>
              <w:right w:val="nil"/>
            </w:tcBorders>
            <w:shd w:val="clear" w:color="auto" w:fill="auto"/>
            <w:noWrap/>
            <w:vAlign w:val="bottom"/>
            <w:hideMark/>
          </w:tcPr>
          <w:p w14:paraId="3D2E9B52" w14:textId="77777777" w:rsidR="0096196C" w:rsidRPr="0096196C" w:rsidRDefault="0096196C" w:rsidP="0096196C">
            <w:pPr>
              <w:spacing w:after="0"/>
              <w:jc w:val="left"/>
              <w:rPr>
                <w:rFonts w:eastAsia="Times New Roman"/>
                <w:color w:val="000000"/>
                <w:sz w:val="16"/>
                <w:szCs w:val="16"/>
              </w:rPr>
            </w:pPr>
          </w:p>
        </w:tc>
        <w:tc>
          <w:tcPr>
            <w:tcW w:w="800" w:type="dxa"/>
            <w:tcBorders>
              <w:top w:val="nil"/>
              <w:left w:val="single" w:sz="4" w:space="0" w:color="auto"/>
              <w:bottom w:val="single" w:sz="4" w:space="0" w:color="auto"/>
              <w:right w:val="single" w:sz="4" w:space="0" w:color="auto"/>
            </w:tcBorders>
            <w:shd w:val="clear" w:color="000000" w:fill="AEAAAA"/>
            <w:noWrap/>
            <w:vAlign w:val="bottom"/>
            <w:hideMark/>
          </w:tcPr>
          <w:p w14:paraId="40096E95"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44E42325"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auto" w:fill="auto"/>
            <w:noWrap/>
            <w:vAlign w:val="bottom"/>
            <w:hideMark/>
          </w:tcPr>
          <w:p w14:paraId="7F25142F"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auto" w:fill="auto"/>
            <w:noWrap/>
            <w:vAlign w:val="bottom"/>
            <w:hideMark/>
          </w:tcPr>
          <w:p w14:paraId="4C8455CB"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r>
      <w:tr w:rsidR="0096196C" w:rsidRPr="0096196C" w14:paraId="03114F3C" w14:textId="77777777" w:rsidTr="0096196C">
        <w:trPr>
          <w:gridAfter w:val="6"/>
          <w:divId w:val="301007021"/>
          <w:wAfter w:w="7680" w:type="dxa"/>
          <w:trHeight w:val="300"/>
        </w:trPr>
        <w:tc>
          <w:tcPr>
            <w:tcW w:w="2220" w:type="dxa"/>
            <w:vMerge/>
            <w:tcBorders>
              <w:top w:val="nil"/>
              <w:left w:val="single" w:sz="4" w:space="0" w:color="auto"/>
              <w:bottom w:val="single" w:sz="4" w:space="0" w:color="auto"/>
              <w:right w:val="single" w:sz="4" w:space="0" w:color="auto"/>
            </w:tcBorders>
            <w:vAlign w:val="center"/>
            <w:hideMark/>
          </w:tcPr>
          <w:p w14:paraId="1B2AF2DA" w14:textId="77777777" w:rsidR="0096196C" w:rsidRPr="0096196C" w:rsidRDefault="0096196C" w:rsidP="0096196C">
            <w:pPr>
              <w:spacing w:after="0"/>
              <w:jc w:val="left"/>
              <w:rPr>
                <w:rFonts w:eastAsia="Times New Roman"/>
                <w:color w:val="000000"/>
                <w:sz w:val="16"/>
                <w:szCs w:val="16"/>
              </w:rPr>
            </w:pPr>
          </w:p>
        </w:tc>
        <w:tc>
          <w:tcPr>
            <w:tcW w:w="3680" w:type="dxa"/>
            <w:tcBorders>
              <w:top w:val="nil"/>
              <w:left w:val="nil"/>
              <w:bottom w:val="single" w:sz="4" w:space="0" w:color="auto"/>
              <w:right w:val="single" w:sz="4" w:space="0" w:color="auto"/>
            </w:tcBorders>
            <w:shd w:val="clear" w:color="auto" w:fill="auto"/>
            <w:vAlign w:val="bottom"/>
            <w:hideMark/>
          </w:tcPr>
          <w:p w14:paraId="59B35568"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Targeted BD assessment Bojana River</w:t>
            </w:r>
          </w:p>
        </w:tc>
        <w:tc>
          <w:tcPr>
            <w:tcW w:w="800" w:type="dxa"/>
            <w:tcBorders>
              <w:top w:val="single" w:sz="4" w:space="0" w:color="auto"/>
              <w:left w:val="nil"/>
              <w:bottom w:val="single" w:sz="4" w:space="0" w:color="auto"/>
              <w:right w:val="single" w:sz="4" w:space="0" w:color="auto"/>
            </w:tcBorders>
            <w:shd w:val="clear" w:color="000000" w:fill="AEAAAA"/>
            <w:noWrap/>
            <w:vAlign w:val="bottom"/>
            <w:hideMark/>
          </w:tcPr>
          <w:p w14:paraId="4FE06A2C"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6F55E955"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auto" w:fill="auto"/>
            <w:noWrap/>
            <w:vAlign w:val="bottom"/>
            <w:hideMark/>
          </w:tcPr>
          <w:p w14:paraId="4DE5496E"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auto" w:fill="auto"/>
            <w:noWrap/>
            <w:vAlign w:val="bottom"/>
            <w:hideMark/>
          </w:tcPr>
          <w:p w14:paraId="703EDBFF"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auto" w:fill="auto"/>
            <w:noWrap/>
            <w:vAlign w:val="bottom"/>
            <w:hideMark/>
          </w:tcPr>
          <w:p w14:paraId="368ABA14"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r>
      <w:tr w:rsidR="0096196C" w:rsidRPr="0096196C" w14:paraId="69ABA1C7" w14:textId="77777777" w:rsidTr="0096196C">
        <w:trPr>
          <w:gridAfter w:val="6"/>
          <w:divId w:val="301007021"/>
          <w:wAfter w:w="7680" w:type="dxa"/>
          <w:trHeight w:val="336"/>
        </w:trPr>
        <w:tc>
          <w:tcPr>
            <w:tcW w:w="2220" w:type="dxa"/>
            <w:vMerge/>
            <w:tcBorders>
              <w:top w:val="nil"/>
              <w:left w:val="single" w:sz="4" w:space="0" w:color="auto"/>
              <w:bottom w:val="single" w:sz="4" w:space="0" w:color="auto"/>
              <w:right w:val="single" w:sz="4" w:space="0" w:color="auto"/>
            </w:tcBorders>
            <w:vAlign w:val="center"/>
            <w:hideMark/>
          </w:tcPr>
          <w:p w14:paraId="4A196C97" w14:textId="77777777" w:rsidR="0096196C" w:rsidRPr="0096196C" w:rsidRDefault="0096196C" w:rsidP="0096196C">
            <w:pPr>
              <w:spacing w:after="0"/>
              <w:jc w:val="left"/>
              <w:rPr>
                <w:rFonts w:eastAsia="Times New Roman"/>
                <w:color w:val="000000"/>
                <w:sz w:val="16"/>
                <w:szCs w:val="16"/>
              </w:rPr>
            </w:pPr>
          </w:p>
        </w:tc>
        <w:tc>
          <w:tcPr>
            <w:tcW w:w="3680" w:type="dxa"/>
            <w:tcBorders>
              <w:top w:val="nil"/>
              <w:left w:val="nil"/>
              <w:bottom w:val="nil"/>
              <w:right w:val="nil"/>
            </w:tcBorders>
            <w:shd w:val="clear" w:color="auto" w:fill="auto"/>
            <w:noWrap/>
            <w:vAlign w:val="bottom"/>
            <w:hideMark/>
          </w:tcPr>
          <w:p w14:paraId="4C67B4C0"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xml:space="preserve">Targeted BD assessment </w:t>
            </w:r>
            <w:proofErr w:type="spellStart"/>
            <w:r w:rsidRPr="0096196C">
              <w:rPr>
                <w:rFonts w:eastAsia="Times New Roman"/>
                <w:color w:val="000000"/>
                <w:sz w:val="16"/>
                <w:szCs w:val="16"/>
              </w:rPr>
              <w:t>Đalovića</w:t>
            </w:r>
            <w:proofErr w:type="spellEnd"/>
            <w:r w:rsidRPr="0096196C">
              <w:rPr>
                <w:rFonts w:eastAsia="Times New Roman"/>
                <w:color w:val="000000"/>
                <w:sz w:val="16"/>
                <w:szCs w:val="16"/>
              </w:rPr>
              <w:t xml:space="preserve"> gorge</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14:paraId="418DF6B4"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7E3E1FC5"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auto" w:fill="auto"/>
            <w:noWrap/>
            <w:vAlign w:val="bottom"/>
            <w:hideMark/>
          </w:tcPr>
          <w:p w14:paraId="3055B43D"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auto" w:fill="auto"/>
            <w:noWrap/>
            <w:vAlign w:val="bottom"/>
            <w:hideMark/>
          </w:tcPr>
          <w:p w14:paraId="62F062BF"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auto" w:fill="auto"/>
            <w:noWrap/>
            <w:vAlign w:val="bottom"/>
            <w:hideMark/>
          </w:tcPr>
          <w:p w14:paraId="3B092A61"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r>
      <w:tr w:rsidR="0096196C" w:rsidRPr="0096196C" w14:paraId="1EA950CE" w14:textId="77777777" w:rsidTr="0096196C">
        <w:trPr>
          <w:gridAfter w:val="6"/>
          <w:divId w:val="301007021"/>
          <w:wAfter w:w="7680" w:type="dxa"/>
          <w:trHeight w:val="300"/>
        </w:trPr>
        <w:tc>
          <w:tcPr>
            <w:tcW w:w="2220" w:type="dxa"/>
            <w:vMerge/>
            <w:tcBorders>
              <w:top w:val="nil"/>
              <w:left w:val="single" w:sz="4" w:space="0" w:color="auto"/>
              <w:bottom w:val="single" w:sz="4" w:space="0" w:color="auto"/>
              <w:right w:val="single" w:sz="4" w:space="0" w:color="auto"/>
            </w:tcBorders>
            <w:vAlign w:val="center"/>
            <w:hideMark/>
          </w:tcPr>
          <w:p w14:paraId="786A47A0" w14:textId="77777777" w:rsidR="0096196C" w:rsidRPr="0096196C" w:rsidRDefault="0096196C" w:rsidP="0096196C">
            <w:pPr>
              <w:spacing w:after="0"/>
              <w:jc w:val="left"/>
              <w:rPr>
                <w:rFonts w:eastAsia="Times New Roman"/>
                <w:color w:val="000000"/>
                <w:sz w:val="16"/>
                <w:szCs w:val="16"/>
              </w:rPr>
            </w:pPr>
          </w:p>
        </w:tc>
        <w:tc>
          <w:tcPr>
            <w:tcW w:w="3680" w:type="dxa"/>
            <w:tcBorders>
              <w:top w:val="single" w:sz="4" w:space="0" w:color="auto"/>
              <w:left w:val="nil"/>
              <w:bottom w:val="single" w:sz="4" w:space="0" w:color="auto"/>
              <w:right w:val="single" w:sz="4" w:space="0" w:color="auto"/>
            </w:tcBorders>
            <w:shd w:val="clear" w:color="auto" w:fill="auto"/>
            <w:vAlign w:val="bottom"/>
            <w:hideMark/>
          </w:tcPr>
          <w:p w14:paraId="204ABA64"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xml:space="preserve">Targeted BD assessment </w:t>
            </w:r>
            <w:proofErr w:type="spellStart"/>
            <w:r w:rsidRPr="0096196C">
              <w:rPr>
                <w:rFonts w:eastAsia="Times New Roman"/>
                <w:color w:val="000000"/>
                <w:sz w:val="16"/>
                <w:szCs w:val="16"/>
              </w:rPr>
              <w:t>Mrtvica</w:t>
            </w:r>
            <w:proofErr w:type="spellEnd"/>
            <w:r w:rsidRPr="0096196C">
              <w:rPr>
                <w:rFonts w:eastAsia="Times New Roman"/>
                <w:color w:val="000000"/>
                <w:sz w:val="16"/>
                <w:szCs w:val="16"/>
              </w:rPr>
              <w:t xml:space="preserve"> canyon </w:t>
            </w:r>
          </w:p>
        </w:tc>
        <w:tc>
          <w:tcPr>
            <w:tcW w:w="800" w:type="dxa"/>
            <w:tcBorders>
              <w:top w:val="nil"/>
              <w:left w:val="nil"/>
              <w:bottom w:val="single" w:sz="4" w:space="0" w:color="auto"/>
              <w:right w:val="single" w:sz="4" w:space="0" w:color="auto"/>
            </w:tcBorders>
            <w:shd w:val="clear" w:color="auto" w:fill="auto"/>
            <w:noWrap/>
            <w:vAlign w:val="bottom"/>
            <w:hideMark/>
          </w:tcPr>
          <w:p w14:paraId="6DDD4C24"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nil"/>
              <w:right w:val="nil"/>
            </w:tcBorders>
            <w:shd w:val="clear" w:color="auto" w:fill="auto"/>
            <w:noWrap/>
            <w:vAlign w:val="bottom"/>
            <w:hideMark/>
          </w:tcPr>
          <w:p w14:paraId="5DBEFBA9" w14:textId="77777777" w:rsidR="0096196C" w:rsidRPr="0096196C" w:rsidRDefault="0096196C" w:rsidP="0096196C">
            <w:pPr>
              <w:spacing w:after="0"/>
              <w:jc w:val="left"/>
              <w:rPr>
                <w:rFonts w:eastAsia="Times New Roman"/>
                <w:color w:val="000000"/>
                <w:sz w:val="16"/>
                <w:szCs w:val="16"/>
              </w:rPr>
            </w:pPr>
          </w:p>
        </w:tc>
        <w:tc>
          <w:tcPr>
            <w:tcW w:w="800" w:type="dxa"/>
            <w:tcBorders>
              <w:top w:val="nil"/>
              <w:left w:val="nil"/>
              <w:bottom w:val="nil"/>
              <w:right w:val="nil"/>
            </w:tcBorders>
            <w:shd w:val="clear" w:color="000000" w:fill="AEAAAA"/>
            <w:noWrap/>
            <w:vAlign w:val="bottom"/>
            <w:hideMark/>
          </w:tcPr>
          <w:p w14:paraId="02C96288"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14:paraId="02D5B09C"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auto" w:fill="auto"/>
            <w:noWrap/>
            <w:vAlign w:val="bottom"/>
            <w:hideMark/>
          </w:tcPr>
          <w:p w14:paraId="5AE502CD"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r>
      <w:tr w:rsidR="0096196C" w:rsidRPr="0096196C" w14:paraId="74E45FD1" w14:textId="77777777" w:rsidTr="0096196C">
        <w:trPr>
          <w:gridAfter w:val="6"/>
          <w:divId w:val="301007021"/>
          <w:wAfter w:w="7680" w:type="dxa"/>
          <w:trHeight w:val="312"/>
        </w:trPr>
        <w:tc>
          <w:tcPr>
            <w:tcW w:w="2220" w:type="dxa"/>
            <w:vMerge/>
            <w:tcBorders>
              <w:top w:val="nil"/>
              <w:left w:val="single" w:sz="4" w:space="0" w:color="auto"/>
              <w:bottom w:val="single" w:sz="4" w:space="0" w:color="auto"/>
              <w:right w:val="single" w:sz="4" w:space="0" w:color="auto"/>
            </w:tcBorders>
            <w:vAlign w:val="center"/>
            <w:hideMark/>
          </w:tcPr>
          <w:p w14:paraId="608DB4F8" w14:textId="77777777" w:rsidR="0096196C" w:rsidRPr="0096196C" w:rsidRDefault="0096196C" w:rsidP="0096196C">
            <w:pPr>
              <w:spacing w:after="0"/>
              <w:jc w:val="left"/>
              <w:rPr>
                <w:rFonts w:eastAsia="Times New Roman"/>
                <w:color w:val="000000"/>
                <w:sz w:val="16"/>
                <w:szCs w:val="16"/>
              </w:rPr>
            </w:pPr>
          </w:p>
        </w:tc>
        <w:tc>
          <w:tcPr>
            <w:tcW w:w="3680" w:type="dxa"/>
            <w:tcBorders>
              <w:top w:val="nil"/>
              <w:left w:val="nil"/>
              <w:bottom w:val="single" w:sz="4" w:space="0" w:color="auto"/>
              <w:right w:val="single" w:sz="4" w:space="0" w:color="auto"/>
            </w:tcBorders>
            <w:shd w:val="clear" w:color="auto" w:fill="auto"/>
            <w:vAlign w:val="bottom"/>
            <w:hideMark/>
          </w:tcPr>
          <w:p w14:paraId="37646888"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xml:space="preserve">Targeted BD assessment </w:t>
            </w:r>
            <w:proofErr w:type="spellStart"/>
            <w:r w:rsidRPr="0096196C">
              <w:rPr>
                <w:rFonts w:eastAsia="Times New Roman"/>
                <w:color w:val="000000"/>
                <w:sz w:val="16"/>
                <w:szCs w:val="16"/>
              </w:rPr>
              <w:t>Golija</w:t>
            </w:r>
            <w:proofErr w:type="spellEnd"/>
            <w:r w:rsidRPr="0096196C">
              <w:rPr>
                <w:rFonts w:eastAsia="Times New Roman"/>
                <w:color w:val="000000"/>
                <w:sz w:val="16"/>
                <w:szCs w:val="16"/>
              </w:rPr>
              <w:t xml:space="preserve"> and </w:t>
            </w:r>
            <w:proofErr w:type="spellStart"/>
            <w:r w:rsidRPr="0096196C">
              <w:rPr>
                <w:rFonts w:eastAsia="Times New Roman"/>
                <w:color w:val="000000"/>
                <w:sz w:val="16"/>
                <w:szCs w:val="16"/>
              </w:rPr>
              <w:t>Ledenice</w:t>
            </w:r>
            <w:proofErr w:type="spellEnd"/>
          </w:p>
        </w:tc>
        <w:tc>
          <w:tcPr>
            <w:tcW w:w="800" w:type="dxa"/>
            <w:tcBorders>
              <w:top w:val="nil"/>
              <w:left w:val="nil"/>
              <w:bottom w:val="single" w:sz="4" w:space="0" w:color="auto"/>
              <w:right w:val="single" w:sz="4" w:space="0" w:color="auto"/>
            </w:tcBorders>
            <w:shd w:val="clear" w:color="auto" w:fill="auto"/>
            <w:noWrap/>
            <w:vAlign w:val="bottom"/>
            <w:hideMark/>
          </w:tcPr>
          <w:p w14:paraId="220B0C77"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single" w:sz="4" w:space="0" w:color="auto"/>
              <w:left w:val="nil"/>
              <w:bottom w:val="single" w:sz="4" w:space="0" w:color="auto"/>
              <w:right w:val="single" w:sz="4" w:space="0" w:color="auto"/>
            </w:tcBorders>
            <w:shd w:val="clear" w:color="000000" w:fill="AEAAAA"/>
            <w:noWrap/>
            <w:vAlign w:val="bottom"/>
            <w:hideMark/>
          </w:tcPr>
          <w:p w14:paraId="1CE9E9A7"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single" w:sz="4" w:space="0" w:color="auto"/>
              <w:left w:val="nil"/>
              <w:bottom w:val="single" w:sz="4" w:space="0" w:color="auto"/>
              <w:right w:val="single" w:sz="4" w:space="0" w:color="auto"/>
            </w:tcBorders>
            <w:shd w:val="clear" w:color="000000" w:fill="AEAAAA"/>
            <w:noWrap/>
            <w:vAlign w:val="bottom"/>
            <w:hideMark/>
          </w:tcPr>
          <w:p w14:paraId="54B57CE4"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auto" w:fill="auto"/>
            <w:noWrap/>
            <w:vAlign w:val="bottom"/>
            <w:hideMark/>
          </w:tcPr>
          <w:p w14:paraId="51850CC5"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auto" w:fill="auto"/>
            <w:noWrap/>
            <w:vAlign w:val="bottom"/>
            <w:hideMark/>
          </w:tcPr>
          <w:p w14:paraId="7847C884"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r>
      <w:tr w:rsidR="0096196C" w:rsidRPr="0096196C" w14:paraId="55AE0DA3" w14:textId="77777777" w:rsidTr="0096196C">
        <w:trPr>
          <w:gridAfter w:val="6"/>
          <w:divId w:val="301007021"/>
          <w:wAfter w:w="7680" w:type="dxa"/>
          <w:trHeight w:val="264"/>
        </w:trPr>
        <w:tc>
          <w:tcPr>
            <w:tcW w:w="2220" w:type="dxa"/>
            <w:vMerge/>
            <w:tcBorders>
              <w:top w:val="nil"/>
              <w:left w:val="single" w:sz="4" w:space="0" w:color="auto"/>
              <w:bottom w:val="single" w:sz="4" w:space="0" w:color="auto"/>
              <w:right w:val="single" w:sz="4" w:space="0" w:color="auto"/>
            </w:tcBorders>
            <w:vAlign w:val="center"/>
            <w:hideMark/>
          </w:tcPr>
          <w:p w14:paraId="783CDC78" w14:textId="77777777" w:rsidR="0096196C" w:rsidRPr="0096196C" w:rsidRDefault="0096196C" w:rsidP="0096196C">
            <w:pPr>
              <w:spacing w:after="0"/>
              <w:jc w:val="left"/>
              <w:rPr>
                <w:rFonts w:eastAsia="Times New Roman"/>
                <w:color w:val="000000"/>
                <w:sz w:val="16"/>
                <w:szCs w:val="16"/>
              </w:rPr>
            </w:pPr>
          </w:p>
        </w:tc>
        <w:tc>
          <w:tcPr>
            <w:tcW w:w="3680" w:type="dxa"/>
            <w:tcBorders>
              <w:top w:val="nil"/>
              <w:left w:val="nil"/>
              <w:bottom w:val="single" w:sz="4" w:space="0" w:color="auto"/>
              <w:right w:val="single" w:sz="4" w:space="0" w:color="auto"/>
            </w:tcBorders>
            <w:shd w:val="clear" w:color="auto" w:fill="auto"/>
            <w:vAlign w:val="bottom"/>
            <w:hideMark/>
          </w:tcPr>
          <w:p w14:paraId="51E2D80F"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xml:space="preserve">Targeted BD assessment Visitor and </w:t>
            </w:r>
            <w:proofErr w:type="spellStart"/>
            <w:r w:rsidRPr="0096196C">
              <w:rPr>
                <w:rFonts w:eastAsia="Times New Roman"/>
                <w:color w:val="000000"/>
                <w:sz w:val="16"/>
                <w:szCs w:val="16"/>
              </w:rPr>
              <w:t>Zeletin</w:t>
            </w:r>
            <w:proofErr w:type="spellEnd"/>
          </w:p>
        </w:tc>
        <w:tc>
          <w:tcPr>
            <w:tcW w:w="800" w:type="dxa"/>
            <w:tcBorders>
              <w:top w:val="nil"/>
              <w:left w:val="nil"/>
              <w:bottom w:val="nil"/>
              <w:right w:val="nil"/>
            </w:tcBorders>
            <w:shd w:val="clear" w:color="auto" w:fill="auto"/>
            <w:noWrap/>
            <w:vAlign w:val="bottom"/>
            <w:hideMark/>
          </w:tcPr>
          <w:p w14:paraId="0687AA05" w14:textId="77777777" w:rsidR="0096196C" w:rsidRPr="0096196C" w:rsidRDefault="0096196C" w:rsidP="0096196C">
            <w:pPr>
              <w:spacing w:after="0"/>
              <w:jc w:val="left"/>
              <w:rPr>
                <w:rFonts w:eastAsia="Times New Roman"/>
                <w:color w:val="000000"/>
                <w:sz w:val="16"/>
                <w:szCs w:val="16"/>
              </w:rPr>
            </w:pPr>
          </w:p>
        </w:tc>
        <w:tc>
          <w:tcPr>
            <w:tcW w:w="800" w:type="dxa"/>
            <w:tcBorders>
              <w:top w:val="nil"/>
              <w:left w:val="single" w:sz="4" w:space="0" w:color="auto"/>
              <w:bottom w:val="single" w:sz="4" w:space="0" w:color="auto"/>
              <w:right w:val="single" w:sz="4" w:space="0" w:color="auto"/>
            </w:tcBorders>
            <w:shd w:val="clear" w:color="000000" w:fill="AEAAAA"/>
            <w:noWrap/>
            <w:vAlign w:val="bottom"/>
            <w:hideMark/>
          </w:tcPr>
          <w:p w14:paraId="1D922AE1"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0B83C1E6"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auto" w:fill="auto"/>
            <w:noWrap/>
            <w:vAlign w:val="bottom"/>
            <w:hideMark/>
          </w:tcPr>
          <w:p w14:paraId="58B244F5"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auto" w:fill="auto"/>
            <w:noWrap/>
            <w:vAlign w:val="bottom"/>
            <w:hideMark/>
          </w:tcPr>
          <w:p w14:paraId="4A0C51E1"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r>
      <w:tr w:rsidR="0096196C" w:rsidRPr="0096196C" w14:paraId="344CE41B" w14:textId="77777777" w:rsidTr="0096196C">
        <w:trPr>
          <w:gridAfter w:val="6"/>
          <w:divId w:val="301007021"/>
          <w:wAfter w:w="7680" w:type="dxa"/>
          <w:trHeight w:val="804"/>
        </w:trPr>
        <w:tc>
          <w:tcPr>
            <w:tcW w:w="2220" w:type="dxa"/>
            <w:vMerge/>
            <w:tcBorders>
              <w:top w:val="nil"/>
              <w:left w:val="single" w:sz="4" w:space="0" w:color="auto"/>
              <w:bottom w:val="single" w:sz="4" w:space="0" w:color="auto"/>
              <w:right w:val="single" w:sz="4" w:space="0" w:color="auto"/>
            </w:tcBorders>
            <w:vAlign w:val="center"/>
            <w:hideMark/>
          </w:tcPr>
          <w:p w14:paraId="114E0B72" w14:textId="77777777" w:rsidR="0096196C" w:rsidRPr="0096196C" w:rsidRDefault="0096196C" w:rsidP="0096196C">
            <w:pPr>
              <w:spacing w:after="0"/>
              <w:jc w:val="left"/>
              <w:rPr>
                <w:rFonts w:eastAsia="Times New Roman"/>
                <w:color w:val="000000"/>
                <w:sz w:val="16"/>
                <w:szCs w:val="16"/>
              </w:rPr>
            </w:pPr>
          </w:p>
        </w:tc>
        <w:tc>
          <w:tcPr>
            <w:tcW w:w="3680" w:type="dxa"/>
            <w:tcBorders>
              <w:top w:val="nil"/>
              <w:left w:val="nil"/>
              <w:bottom w:val="single" w:sz="4" w:space="0" w:color="auto"/>
              <w:right w:val="single" w:sz="4" w:space="0" w:color="auto"/>
            </w:tcBorders>
            <w:shd w:val="clear" w:color="auto" w:fill="auto"/>
            <w:vAlign w:val="bottom"/>
            <w:hideMark/>
          </w:tcPr>
          <w:p w14:paraId="7A19D719"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xml:space="preserve">Management and/or action plan(s) for the specific area to ensure protection and </w:t>
            </w:r>
            <w:proofErr w:type="spellStart"/>
            <w:r w:rsidRPr="0096196C">
              <w:rPr>
                <w:rFonts w:eastAsia="Times New Roman"/>
                <w:color w:val="000000"/>
                <w:sz w:val="16"/>
                <w:szCs w:val="16"/>
              </w:rPr>
              <w:t>minimising</w:t>
            </w:r>
            <w:proofErr w:type="spellEnd"/>
            <w:r w:rsidRPr="0096196C">
              <w:rPr>
                <w:rFonts w:eastAsia="Times New Roman"/>
                <w:color w:val="000000"/>
                <w:sz w:val="16"/>
                <w:szCs w:val="16"/>
              </w:rPr>
              <w:t xml:space="preserve"> negative effects of potential development </w:t>
            </w:r>
          </w:p>
        </w:tc>
        <w:tc>
          <w:tcPr>
            <w:tcW w:w="800" w:type="dxa"/>
            <w:tcBorders>
              <w:top w:val="single" w:sz="4" w:space="0" w:color="auto"/>
              <w:left w:val="nil"/>
              <w:bottom w:val="single" w:sz="4" w:space="0" w:color="auto"/>
              <w:right w:val="single" w:sz="4" w:space="0" w:color="auto"/>
            </w:tcBorders>
            <w:shd w:val="clear" w:color="auto" w:fill="auto"/>
            <w:noWrap/>
            <w:vAlign w:val="bottom"/>
            <w:hideMark/>
          </w:tcPr>
          <w:p w14:paraId="4C5DCD3F"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auto" w:fill="auto"/>
            <w:noWrap/>
            <w:vAlign w:val="bottom"/>
            <w:hideMark/>
          </w:tcPr>
          <w:p w14:paraId="4597CAC5"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6B4ABC15"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2D1E6DA3"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auto" w:fill="auto"/>
            <w:noWrap/>
            <w:vAlign w:val="bottom"/>
            <w:hideMark/>
          </w:tcPr>
          <w:p w14:paraId="0360D15F"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r>
      <w:tr w:rsidR="0096196C" w:rsidRPr="0096196C" w14:paraId="2E457E55" w14:textId="77777777" w:rsidTr="0096196C">
        <w:trPr>
          <w:gridAfter w:val="6"/>
          <w:divId w:val="301007021"/>
          <w:wAfter w:w="7680" w:type="dxa"/>
          <w:trHeight w:val="336"/>
        </w:trPr>
        <w:tc>
          <w:tcPr>
            <w:tcW w:w="2220" w:type="dxa"/>
            <w:vMerge/>
            <w:tcBorders>
              <w:top w:val="nil"/>
              <w:left w:val="single" w:sz="4" w:space="0" w:color="auto"/>
              <w:bottom w:val="single" w:sz="4" w:space="0" w:color="auto"/>
              <w:right w:val="single" w:sz="4" w:space="0" w:color="auto"/>
            </w:tcBorders>
            <w:vAlign w:val="center"/>
            <w:hideMark/>
          </w:tcPr>
          <w:p w14:paraId="04D7BB4D" w14:textId="77777777" w:rsidR="0096196C" w:rsidRPr="0096196C" w:rsidRDefault="0096196C" w:rsidP="0096196C">
            <w:pPr>
              <w:spacing w:after="0"/>
              <w:jc w:val="left"/>
              <w:rPr>
                <w:rFonts w:eastAsia="Times New Roman"/>
                <w:color w:val="000000"/>
                <w:sz w:val="16"/>
                <w:szCs w:val="16"/>
              </w:rPr>
            </w:pPr>
          </w:p>
        </w:tc>
        <w:tc>
          <w:tcPr>
            <w:tcW w:w="3680" w:type="dxa"/>
            <w:tcBorders>
              <w:top w:val="nil"/>
              <w:left w:val="nil"/>
              <w:bottom w:val="single" w:sz="4" w:space="0" w:color="auto"/>
              <w:right w:val="single" w:sz="4" w:space="0" w:color="auto"/>
            </w:tcBorders>
            <w:shd w:val="clear" w:color="auto" w:fill="auto"/>
            <w:vAlign w:val="bottom"/>
            <w:hideMark/>
          </w:tcPr>
          <w:p w14:paraId="63392421"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xml:space="preserve">Restoration plans (Bojana River) </w:t>
            </w:r>
          </w:p>
        </w:tc>
        <w:tc>
          <w:tcPr>
            <w:tcW w:w="800" w:type="dxa"/>
            <w:tcBorders>
              <w:top w:val="nil"/>
              <w:left w:val="nil"/>
              <w:bottom w:val="single" w:sz="4" w:space="0" w:color="auto"/>
              <w:right w:val="single" w:sz="4" w:space="0" w:color="auto"/>
            </w:tcBorders>
            <w:shd w:val="clear" w:color="auto" w:fill="auto"/>
            <w:noWrap/>
            <w:vAlign w:val="bottom"/>
            <w:hideMark/>
          </w:tcPr>
          <w:p w14:paraId="222BF7CE"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auto" w:fill="auto"/>
            <w:noWrap/>
            <w:vAlign w:val="bottom"/>
            <w:hideMark/>
          </w:tcPr>
          <w:p w14:paraId="0BCE704F"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09B72B58"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53067BA0"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auto" w:fill="auto"/>
            <w:noWrap/>
            <w:vAlign w:val="bottom"/>
            <w:hideMark/>
          </w:tcPr>
          <w:p w14:paraId="3AC18CDB"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r>
      <w:tr w:rsidR="0096196C" w:rsidRPr="0096196C" w14:paraId="08D9A7CD" w14:textId="77777777" w:rsidTr="0096196C">
        <w:trPr>
          <w:gridAfter w:val="6"/>
          <w:divId w:val="301007021"/>
          <w:wAfter w:w="7680" w:type="dxa"/>
          <w:trHeight w:val="420"/>
        </w:trPr>
        <w:tc>
          <w:tcPr>
            <w:tcW w:w="2220" w:type="dxa"/>
            <w:vMerge w:val="restart"/>
            <w:tcBorders>
              <w:top w:val="nil"/>
              <w:left w:val="single" w:sz="4" w:space="0" w:color="auto"/>
              <w:bottom w:val="single" w:sz="4" w:space="0" w:color="auto"/>
              <w:right w:val="single" w:sz="4" w:space="0" w:color="auto"/>
            </w:tcBorders>
            <w:shd w:val="clear" w:color="auto" w:fill="auto"/>
            <w:hideMark/>
          </w:tcPr>
          <w:p w14:paraId="3B0C5560" w14:textId="77777777" w:rsidR="0096196C" w:rsidRPr="0096196C" w:rsidRDefault="0096196C" w:rsidP="0096196C">
            <w:pPr>
              <w:spacing w:after="0"/>
              <w:jc w:val="center"/>
              <w:rPr>
                <w:rFonts w:eastAsia="Times New Roman"/>
                <w:color w:val="000000"/>
                <w:sz w:val="16"/>
                <w:szCs w:val="16"/>
              </w:rPr>
            </w:pPr>
            <w:r w:rsidRPr="0096196C">
              <w:rPr>
                <w:rFonts w:eastAsia="Times New Roman"/>
                <w:color w:val="000000"/>
                <w:sz w:val="16"/>
                <w:szCs w:val="16"/>
              </w:rPr>
              <w:t>Output 2.2: The Spatial Plan for Montenegro and the General Regulation Plan are developed and adopted with a due consideration of biodiversity conservation priorities and concrete solutions for valuable BD conservation outside PAs</w:t>
            </w:r>
          </w:p>
        </w:tc>
        <w:tc>
          <w:tcPr>
            <w:tcW w:w="3680" w:type="dxa"/>
            <w:vMerge w:val="restart"/>
            <w:tcBorders>
              <w:top w:val="nil"/>
              <w:left w:val="single" w:sz="4" w:space="0" w:color="auto"/>
              <w:bottom w:val="single" w:sz="4" w:space="0" w:color="000000"/>
              <w:right w:val="single" w:sz="4" w:space="0" w:color="auto"/>
            </w:tcBorders>
            <w:shd w:val="clear" w:color="auto" w:fill="auto"/>
            <w:hideMark/>
          </w:tcPr>
          <w:p w14:paraId="63341D30" w14:textId="77777777" w:rsidR="0096196C" w:rsidRPr="0096196C" w:rsidRDefault="0096196C" w:rsidP="0096196C">
            <w:pPr>
              <w:spacing w:after="0"/>
              <w:jc w:val="center"/>
              <w:rPr>
                <w:rFonts w:eastAsia="Times New Roman"/>
                <w:sz w:val="16"/>
                <w:szCs w:val="16"/>
              </w:rPr>
            </w:pPr>
            <w:r w:rsidRPr="0096196C">
              <w:rPr>
                <w:rFonts w:eastAsia="Times New Roman"/>
                <w:sz w:val="16"/>
                <w:szCs w:val="16"/>
              </w:rPr>
              <w:t xml:space="preserve"> Baseline studies (former Protection Study) on BD mainstreaming dimension to cover the unprotected KBAs and biodiversity </w:t>
            </w:r>
            <w:proofErr w:type="spellStart"/>
            <w:r w:rsidRPr="0096196C">
              <w:rPr>
                <w:rFonts w:eastAsia="Times New Roman"/>
                <w:sz w:val="16"/>
                <w:szCs w:val="16"/>
              </w:rPr>
              <w:t>centres</w:t>
            </w:r>
            <w:proofErr w:type="spellEnd"/>
            <w:r w:rsidRPr="0096196C">
              <w:rPr>
                <w:rFonts w:eastAsia="Times New Roman"/>
                <w:sz w:val="16"/>
                <w:szCs w:val="16"/>
              </w:rPr>
              <w:t xml:space="preserve">: part of </w:t>
            </w:r>
            <w:proofErr w:type="spellStart"/>
            <w:r w:rsidRPr="0096196C">
              <w:rPr>
                <w:rFonts w:eastAsia="Times New Roman"/>
                <w:sz w:val="16"/>
                <w:szCs w:val="16"/>
              </w:rPr>
              <w:t>Orjen</w:t>
            </w:r>
            <w:proofErr w:type="spellEnd"/>
            <w:r w:rsidRPr="0096196C">
              <w:rPr>
                <w:rFonts w:eastAsia="Times New Roman"/>
                <w:sz w:val="16"/>
                <w:szCs w:val="16"/>
              </w:rPr>
              <w:t xml:space="preserve">, </w:t>
            </w:r>
            <w:proofErr w:type="spellStart"/>
            <w:r w:rsidRPr="0096196C">
              <w:rPr>
                <w:rFonts w:eastAsia="Times New Roman"/>
                <w:sz w:val="16"/>
                <w:szCs w:val="16"/>
              </w:rPr>
              <w:t>Sinjajevina</w:t>
            </w:r>
            <w:proofErr w:type="spellEnd"/>
            <w:r w:rsidRPr="0096196C">
              <w:rPr>
                <w:rFonts w:eastAsia="Times New Roman"/>
                <w:sz w:val="16"/>
                <w:szCs w:val="16"/>
              </w:rPr>
              <w:t xml:space="preserve">, </w:t>
            </w:r>
            <w:proofErr w:type="spellStart"/>
            <w:r w:rsidRPr="0096196C">
              <w:rPr>
                <w:rFonts w:eastAsia="Times New Roman"/>
                <w:sz w:val="16"/>
                <w:szCs w:val="16"/>
              </w:rPr>
              <w:t>Rumija</w:t>
            </w:r>
            <w:proofErr w:type="spellEnd"/>
            <w:r w:rsidRPr="0096196C">
              <w:rPr>
                <w:rFonts w:eastAsia="Times New Roman"/>
                <w:sz w:val="16"/>
                <w:szCs w:val="16"/>
              </w:rPr>
              <w:t xml:space="preserve">, Bojana River, </w:t>
            </w:r>
            <w:proofErr w:type="spellStart"/>
            <w:r w:rsidRPr="0096196C">
              <w:rPr>
                <w:rFonts w:eastAsia="Times New Roman"/>
                <w:sz w:val="16"/>
                <w:szCs w:val="16"/>
              </w:rPr>
              <w:t>Đalovića</w:t>
            </w:r>
            <w:proofErr w:type="spellEnd"/>
            <w:r w:rsidRPr="0096196C">
              <w:rPr>
                <w:rFonts w:eastAsia="Times New Roman"/>
                <w:sz w:val="16"/>
                <w:szCs w:val="16"/>
              </w:rPr>
              <w:t xml:space="preserve"> gorge, </w:t>
            </w:r>
            <w:proofErr w:type="spellStart"/>
            <w:r w:rsidRPr="0096196C">
              <w:rPr>
                <w:rFonts w:eastAsia="Times New Roman"/>
                <w:sz w:val="16"/>
                <w:szCs w:val="16"/>
              </w:rPr>
              <w:t>Mrtvice</w:t>
            </w:r>
            <w:proofErr w:type="spellEnd"/>
            <w:r w:rsidRPr="0096196C">
              <w:rPr>
                <w:rFonts w:eastAsia="Times New Roman"/>
                <w:sz w:val="16"/>
                <w:szCs w:val="16"/>
              </w:rPr>
              <w:t xml:space="preserve"> canyon, </w:t>
            </w:r>
            <w:proofErr w:type="spellStart"/>
            <w:r w:rsidRPr="0096196C">
              <w:rPr>
                <w:rFonts w:eastAsia="Times New Roman"/>
                <w:sz w:val="16"/>
                <w:szCs w:val="16"/>
              </w:rPr>
              <w:t>Golija</w:t>
            </w:r>
            <w:proofErr w:type="spellEnd"/>
            <w:r w:rsidRPr="0096196C">
              <w:rPr>
                <w:rFonts w:eastAsia="Times New Roman"/>
                <w:sz w:val="16"/>
                <w:szCs w:val="16"/>
              </w:rPr>
              <w:t xml:space="preserve"> and </w:t>
            </w:r>
            <w:proofErr w:type="spellStart"/>
            <w:r w:rsidRPr="0096196C">
              <w:rPr>
                <w:rFonts w:eastAsia="Times New Roman"/>
                <w:sz w:val="16"/>
                <w:szCs w:val="16"/>
              </w:rPr>
              <w:t>Ledenice</w:t>
            </w:r>
            <w:proofErr w:type="spellEnd"/>
            <w:r w:rsidRPr="0096196C">
              <w:rPr>
                <w:rFonts w:eastAsia="Times New Roman"/>
                <w:sz w:val="16"/>
                <w:szCs w:val="16"/>
              </w:rPr>
              <w:t xml:space="preserve">, Visitor and </w:t>
            </w:r>
            <w:proofErr w:type="spellStart"/>
            <w:r w:rsidRPr="0096196C">
              <w:rPr>
                <w:rFonts w:eastAsia="Times New Roman"/>
                <w:sz w:val="16"/>
                <w:szCs w:val="16"/>
              </w:rPr>
              <w:t>Zeletin</w:t>
            </w:r>
            <w:proofErr w:type="spellEnd"/>
            <w:r w:rsidRPr="0096196C">
              <w:rPr>
                <w:rFonts w:eastAsia="Times New Roman"/>
                <w:sz w:val="16"/>
                <w:szCs w:val="16"/>
              </w:rPr>
              <w:t xml:space="preserve"> as </w:t>
            </w:r>
            <w:proofErr w:type="gramStart"/>
            <w:r w:rsidRPr="0096196C">
              <w:rPr>
                <w:rFonts w:eastAsia="Times New Roman"/>
                <w:sz w:val="16"/>
                <w:szCs w:val="16"/>
              </w:rPr>
              <w:t>a</w:t>
            </w:r>
            <w:proofErr w:type="gramEnd"/>
            <w:r w:rsidRPr="0096196C">
              <w:rPr>
                <w:rFonts w:eastAsia="Times New Roman"/>
                <w:sz w:val="16"/>
                <w:szCs w:val="16"/>
              </w:rPr>
              <w:t xml:space="preserve"> input to Spatial Plan content development and new General Regulation Plan</w:t>
            </w:r>
          </w:p>
        </w:tc>
        <w:tc>
          <w:tcPr>
            <w:tcW w:w="800" w:type="dxa"/>
            <w:tcBorders>
              <w:top w:val="nil"/>
              <w:left w:val="nil"/>
              <w:bottom w:val="single" w:sz="4" w:space="0" w:color="auto"/>
              <w:right w:val="single" w:sz="4" w:space="0" w:color="auto"/>
            </w:tcBorders>
            <w:shd w:val="clear" w:color="000000" w:fill="AEAAAA"/>
            <w:noWrap/>
            <w:vAlign w:val="bottom"/>
            <w:hideMark/>
          </w:tcPr>
          <w:p w14:paraId="6150A80E"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6E4C1752"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782796C0"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21CF4E98"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auto" w:fill="auto"/>
            <w:noWrap/>
            <w:vAlign w:val="bottom"/>
            <w:hideMark/>
          </w:tcPr>
          <w:p w14:paraId="2906E706"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r>
      <w:tr w:rsidR="0096196C" w:rsidRPr="0096196C" w14:paraId="1F5DF144" w14:textId="77777777" w:rsidTr="0096196C">
        <w:trPr>
          <w:gridAfter w:val="6"/>
          <w:divId w:val="301007021"/>
          <w:wAfter w:w="7680" w:type="dxa"/>
          <w:trHeight w:val="1248"/>
        </w:trPr>
        <w:tc>
          <w:tcPr>
            <w:tcW w:w="2220" w:type="dxa"/>
            <w:vMerge/>
            <w:tcBorders>
              <w:top w:val="nil"/>
              <w:left w:val="single" w:sz="4" w:space="0" w:color="auto"/>
              <w:bottom w:val="single" w:sz="4" w:space="0" w:color="auto"/>
              <w:right w:val="single" w:sz="4" w:space="0" w:color="auto"/>
            </w:tcBorders>
            <w:vAlign w:val="center"/>
            <w:hideMark/>
          </w:tcPr>
          <w:p w14:paraId="2107160D" w14:textId="77777777" w:rsidR="0096196C" w:rsidRPr="0096196C" w:rsidRDefault="0096196C" w:rsidP="0096196C">
            <w:pPr>
              <w:spacing w:after="0"/>
              <w:jc w:val="left"/>
              <w:rPr>
                <w:rFonts w:eastAsia="Times New Roman"/>
                <w:color w:val="000000"/>
                <w:sz w:val="16"/>
                <w:szCs w:val="16"/>
              </w:rPr>
            </w:pPr>
          </w:p>
        </w:tc>
        <w:tc>
          <w:tcPr>
            <w:tcW w:w="3680" w:type="dxa"/>
            <w:vMerge/>
            <w:tcBorders>
              <w:top w:val="nil"/>
              <w:left w:val="single" w:sz="4" w:space="0" w:color="auto"/>
              <w:bottom w:val="single" w:sz="4" w:space="0" w:color="000000"/>
              <w:right w:val="single" w:sz="4" w:space="0" w:color="auto"/>
            </w:tcBorders>
            <w:vAlign w:val="center"/>
            <w:hideMark/>
          </w:tcPr>
          <w:p w14:paraId="27E5BB81" w14:textId="77777777" w:rsidR="0096196C" w:rsidRPr="0096196C" w:rsidRDefault="0096196C" w:rsidP="0096196C">
            <w:pPr>
              <w:spacing w:after="0"/>
              <w:jc w:val="left"/>
              <w:rPr>
                <w:rFonts w:eastAsia="Times New Roman"/>
                <w:sz w:val="16"/>
                <w:szCs w:val="16"/>
              </w:rPr>
            </w:pPr>
          </w:p>
        </w:tc>
        <w:tc>
          <w:tcPr>
            <w:tcW w:w="800" w:type="dxa"/>
            <w:tcBorders>
              <w:top w:val="nil"/>
              <w:left w:val="nil"/>
              <w:bottom w:val="single" w:sz="4" w:space="0" w:color="auto"/>
              <w:right w:val="single" w:sz="4" w:space="0" w:color="auto"/>
            </w:tcBorders>
            <w:shd w:val="clear" w:color="auto" w:fill="auto"/>
            <w:noWrap/>
            <w:vAlign w:val="bottom"/>
            <w:hideMark/>
          </w:tcPr>
          <w:p w14:paraId="335701FB"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2BF3C3EA"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41AFB7A8"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0D258518"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auto" w:fill="auto"/>
            <w:noWrap/>
            <w:vAlign w:val="bottom"/>
            <w:hideMark/>
          </w:tcPr>
          <w:p w14:paraId="736FB41F"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r>
      <w:tr w:rsidR="0096196C" w:rsidRPr="0096196C" w14:paraId="0720B562" w14:textId="77777777" w:rsidTr="0096196C">
        <w:trPr>
          <w:gridAfter w:val="6"/>
          <w:divId w:val="301007021"/>
          <w:wAfter w:w="7680" w:type="dxa"/>
          <w:trHeight w:val="612"/>
        </w:trPr>
        <w:tc>
          <w:tcPr>
            <w:tcW w:w="2220" w:type="dxa"/>
            <w:vMerge/>
            <w:tcBorders>
              <w:top w:val="nil"/>
              <w:left w:val="single" w:sz="4" w:space="0" w:color="auto"/>
              <w:bottom w:val="single" w:sz="4" w:space="0" w:color="auto"/>
              <w:right w:val="single" w:sz="4" w:space="0" w:color="auto"/>
            </w:tcBorders>
            <w:vAlign w:val="center"/>
            <w:hideMark/>
          </w:tcPr>
          <w:p w14:paraId="71FD75AC" w14:textId="77777777" w:rsidR="0096196C" w:rsidRPr="0096196C" w:rsidRDefault="0096196C" w:rsidP="0096196C">
            <w:pPr>
              <w:spacing w:after="0"/>
              <w:jc w:val="left"/>
              <w:rPr>
                <w:rFonts w:eastAsia="Times New Roman"/>
                <w:color w:val="000000"/>
                <w:sz w:val="16"/>
                <w:szCs w:val="16"/>
              </w:rPr>
            </w:pPr>
          </w:p>
        </w:tc>
        <w:tc>
          <w:tcPr>
            <w:tcW w:w="3680" w:type="dxa"/>
            <w:tcBorders>
              <w:top w:val="nil"/>
              <w:left w:val="nil"/>
              <w:bottom w:val="single" w:sz="4" w:space="0" w:color="auto"/>
              <w:right w:val="single" w:sz="4" w:space="0" w:color="auto"/>
            </w:tcBorders>
            <w:shd w:val="clear" w:color="auto" w:fill="auto"/>
            <w:hideMark/>
          </w:tcPr>
          <w:p w14:paraId="23983BA0"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Spatial Plan content development where it concerns the concept of corridors important for biodiversity conservation</w:t>
            </w:r>
          </w:p>
        </w:tc>
        <w:tc>
          <w:tcPr>
            <w:tcW w:w="800" w:type="dxa"/>
            <w:tcBorders>
              <w:top w:val="nil"/>
              <w:left w:val="nil"/>
              <w:bottom w:val="single" w:sz="4" w:space="0" w:color="auto"/>
              <w:right w:val="single" w:sz="4" w:space="0" w:color="auto"/>
            </w:tcBorders>
            <w:shd w:val="clear" w:color="000000" w:fill="AEAAAA"/>
            <w:noWrap/>
            <w:vAlign w:val="bottom"/>
            <w:hideMark/>
          </w:tcPr>
          <w:p w14:paraId="22343195"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auto" w:fill="auto"/>
            <w:noWrap/>
            <w:vAlign w:val="bottom"/>
            <w:hideMark/>
          </w:tcPr>
          <w:p w14:paraId="475EED68"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auto" w:fill="auto"/>
            <w:noWrap/>
            <w:vAlign w:val="bottom"/>
            <w:hideMark/>
          </w:tcPr>
          <w:p w14:paraId="1FC6852D"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auto" w:fill="auto"/>
            <w:noWrap/>
            <w:vAlign w:val="bottom"/>
            <w:hideMark/>
          </w:tcPr>
          <w:p w14:paraId="1DEFD363"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auto" w:fill="auto"/>
            <w:noWrap/>
            <w:vAlign w:val="bottom"/>
            <w:hideMark/>
          </w:tcPr>
          <w:p w14:paraId="148D2DBF"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r>
      <w:tr w:rsidR="0096196C" w:rsidRPr="0096196C" w14:paraId="16F6CB09" w14:textId="77777777" w:rsidTr="0096196C">
        <w:trPr>
          <w:gridAfter w:val="6"/>
          <w:divId w:val="301007021"/>
          <w:wAfter w:w="7680" w:type="dxa"/>
          <w:trHeight w:val="1716"/>
        </w:trPr>
        <w:tc>
          <w:tcPr>
            <w:tcW w:w="2220" w:type="dxa"/>
            <w:tcBorders>
              <w:top w:val="nil"/>
              <w:left w:val="single" w:sz="4" w:space="0" w:color="auto"/>
              <w:bottom w:val="single" w:sz="4" w:space="0" w:color="auto"/>
              <w:right w:val="single" w:sz="4" w:space="0" w:color="auto"/>
            </w:tcBorders>
            <w:shd w:val="clear" w:color="auto" w:fill="auto"/>
            <w:hideMark/>
          </w:tcPr>
          <w:p w14:paraId="0CDB1E89" w14:textId="77777777" w:rsidR="0096196C" w:rsidRPr="0096196C" w:rsidRDefault="0096196C" w:rsidP="0096196C">
            <w:pPr>
              <w:spacing w:after="0"/>
              <w:jc w:val="center"/>
              <w:rPr>
                <w:rFonts w:eastAsia="Times New Roman"/>
                <w:color w:val="000000"/>
                <w:sz w:val="16"/>
                <w:szCs w:val="16"/>
              </w:rPr>
            </w:pPr>
            <w:r w:rsidRPr="0096196C">
              <w:rPr>
                <w:rFonts w:eastAsia="Times New Roman"/>
                <w:color w:val="000000"/>
                <w:sz w:val="16"/>
                <w:szCs w:val="16"/>
              </w:rPr>
              <w:lastRenderedPageBreak/>
              <w:t>Output 2.3: Concrete mechanisms for KBA protection outside PAs identified and set for implementation</w:t>
            </w:r>
          </w:p>
        </w:tc>
        <w:tc>
          <w:tcPr>
            <w:tcW w:w="3680" w:type="dxa"/>
            <w:tcBorders>
              <w:top w:val="nil"/>
              <w:left w:val="nil"/>
              <w:bottom w:val="single" w:sz="4" w:space="0" w:color="auto"/>
              <w:right w:val="single" w:sz="4" w:space="0" w:color="auto"/>
            </w:tcBorders>
            <w:shd w:val="clear" w:color="auto" w:fill="auto"/>
            <w:hideMark/>
          </w:tcPr>
          <w:p w14:paraId="4D2F2E82"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xml:space="preserve">Velika </w:t>
            </w:r>
            <w:proofErr w:type="spellStart"/>
            <w:r w:rsidRPr="0096196C">
              <w:rPr>
                <w:rFonts w:eastAsia="Times New Roman"/>
                <w:color w:val="000000"/>
                <w:sz w:val="16"/>
                <w:szCs w:val="16"/>
              </w:rPr>
              <w:t>plaža</w:t>
            </w:r>
            <w:proofErr w:type="spellEnd"/>
            <w:r w:rsidRPr="0096196C">
              <w:rPr>
                <w:rFonts w:eastAsia="Times New Roman"/>
                <w:color w:val="000000"/>
                <w:sz w:val="16"/>
                <w:szCs w:val="16"/>
              </w:rPr>
              <w:t xml:space="preserve"> with Ada Bojana and </w:t>
            </w:r>
            <w:proofErr w:type="spellStart"/>
            <w:r w:rsidRPr="0096196C">
              <w:rPr>
                <w:rFonts w:eastAsia="Times New Roman"/>
                <w:color w:val="000000"/>
                <w:sz w:val="16"/>
                <w:szCs w:val="16"/>
              </w:rPr>
              <w:t>Šasko</w:t>
            </w:r>
            <w:proofErr w:type="spellEnd"/>
            <w:r w:rsidRPr="0096196C">
              <w:rPr>
                <w:rFonts w:eastAsia="Times New Roman"/>
                <w:color w:val="000000"/>
                <w:sz w:val="16"/>
                <w:szCs w:val="16"/>
              </w:rPr>
              <w:t xml:space="preserve"> lake: mapping of flagship habitats/</w:t>
            </w:r>
            <w:proofErr w:type="gramStart"/>
            <w:r w:rsidRPr="0096196C">
              <w:rPr>
                <w:rFonts w:eastAsia="Times New Roman"/>
                <w:color w:val="000000"/>
                <w:sz w:val="16"/>
                <w:szCs w:val="16"/>
              </w:rPr>
              <w:t>species;  Define</w:t>
            </w:r>
            <w:proofErr w:type="gramEnd"/>
            <w:r w:rsidRPr="0096196C">
              <w:rPr>
                <w:rFonts w:eastAsia="Times New Roman"/>
                <w:color w:val="000000"/>
                <w:sz w:val="16"/>
                <w:szCs w:val="16"/>
              </w:rPr>
              <w:t xml:space="preserve"> the program and protection measures for significant species and habitats in these localities, and leave a minimally required natural habitat area, Develop hazard studies by habitats and populations of targeted species of the identified conflict area, with associated unit areas; support to preparation of Urbanistic project</w:t>
            </w:r>
          </w:p>
        </w:tc>
        <w:tc>
          <w:tcPr>
            <w:tcW w:w="800" w:type="dxa"/>
            <w:tcBorders>
              <w:top w:val="nil"/>
              <w:left w:val="nil"/>
              <w:bottom w:val="single" w:sz="4" w:space="0" w:color="auto"/>
              <w:right w:val="single" w:sz="4" w:space="0" w:color="auto"/>
            </w:tcBorders>
            <w:shd w:val="clear" w:color="000000" w:fill="AEAAAA"/>
            <w:noWrap/>
            <w:vAlign w:val="bottom"/>
            <w:hideMark/>
          </w:tcPr>
          <w:p w14:paraId="261808AB"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031160FD"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auto" w:fill="auto"/>
            <w:noWrap/>
            <w:vAlign w:val="bottom"/>
            <w:hideMark/>
          </w:tcPr>
          <w:p w14:paraId="4CC28DB8"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auto" w:fill="auto"/>
            <w:noWrap/>
            <w:vAlign w:val="bottom"/>
            <w:hideMark/>
          </w:tcPr>
          <w:p w14:paraId="5EC3B472"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auto" w:fill="auto"/>
            <w:noWrap/>
            <w:vAlign w:val="bottom"/>
            <w:hideMark/>
          </w:tcPr>
          <w:p w14:paraId="14EE59C6"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r>
      <w:tr w:rsidR="0096196C" w:rsidRPr="0096196C" w14:paraId="3961E583" w14:textId="77777777" w:rsidTr="0096196C">
        <w:trPr>
          <w:gridAfter w:val="6"/>
          <w:divId w:val="301007021"/>
          <w:wAfter w:w="7680" w:type="dxa"/>
          <w:trHeight w:val="204"/>
        </w:trPr>
        <w:tc>
          <w:tcPr>
            <w:tcW w:w="9900" w:type="dxa"/>
            <w:gridSpan w:val="7"/>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14D7E466"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Component 2: BD mainstreaming into sectoral policies and practices</w:t>
            </w:r>
          </w:p>
        </w:tc>
      </w:tr>
      <w:tr w:rsidR="0096196C" w:rsidRPr="0096196C" w14:paraId="7511810A" w14:textId="77777777" w:rsidTr="0096196C">
        <w:trPr>
          <w:gridAfter w:val="6"/>
          <w:divId w:val="301007021"/>
          <w:wAfter w:w="7680" w:type="dxa"/>
          <w:trHeight w:val="204"/>
        </w:trPr>
        <w:tc>
          <w:tcPr>
            <w:tcW w:w="9900" w:type="dxa"/>
            <w:gridSpan w:val="7"/>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7BAE9EDD" w14:textId="77777777" w:rsidR="0096196C" w:rsidRPr="0096196C" w:rsidRDefault="0096196C" w:rsidP="0096196C">
            <w:pPr>
              <w:spacing w:after="0"/>
              <w:jc w:val="left"/>
              <w:rPr>
                <w:rFonts w:eastAsia="Times New Roman"/>
                <w:b/>
                <w:bCs/>
                <w:color w:val="000000"/>
                <w:sz w:val="16"/>
                <w:szCs w:val="16"/>
              </w:rPr>
            </w:pPr>
            <w:r w:rsidRPr="0096196C">
              <w:rPr>
                <w:rFonts w:eastAsia="Times New Roman"/>
                <w:b/>
                <w:bCs/>
                <w:color w:val="000000"/>
                <w:sz w:val="16"/>
                <w:szCs w:val="16"/>
              </w:rPr>
              <w:t>Outcome 3: BD conservation considerations mainstreamed for sustainable tourism development</w:t>
            </w:r>
          </w:p>
        </w:tc>
      </w:tr>
      <w:tr w:rsidR="0096196C" w:rsidRPr="0096196C" w14:paraId="6DC3915C" w14:textId="77777777" w:rsidTr="0096196C">
        <w:trPr>
          <w:gridAfter w:val="6"/>
          <w:divId w:val="301007021"/>
          <w:wAfter w:w="7680" w:type="dxa"/>
          <w:trHeight w:val="876"/>
        </w:trPr>
        <w:tc>
          <w:tcPr>
            <w:tcW w:w="2220" w:type="dxa"/>
            <w:vMerge w:val="restart"/>
            <w:tcBorders>
              <w:top w:val="nil"/>
              <w:left w:val="single" w:sz="4" w:space="0" w:color="auto"/>
              <w:bottom w:val="single" w:sz="4" w:space="0" w:color="000000"/>
              <w:right w:val="single" w:sz="4" w:space="0" w:color="auto"/>
            </w:tcBorders>
            <w:shd w:val="clear" w:color="auto" w:fill="auto"/>
            <w:hideMark/>
          </w:tcPr>
          <w:p w14:paraId="3B90471B" w14:textId="77777777" w:rsidR="0096196C" w:rsidRPr="0096196C" w:rsidRDefault="0096196C" w:rsidP="0096196C">
            <w:pPr>
              <w:spacing w:after="0"/>
              <w:jc w:val="center"/>
              <w:rPr>
                <w:rFonts w:eastAsia="Times New Roman"/>
                <w:color w:val="000000"/>
                <w:sz w:val="16"/>
                <w:szCs w:val="16"/>
              </w:rPr>
            </w:pPr>
            <w:r w:rsidRPr="0096196C">
              <w:rPr>
                <w:rFonts w:eastAsia="Times New Roman"/>
                <w:color w:val="000000"/>
                <w:sz w:val="16"/>
                <w:szCs w:val="16"/>
              </w:rPr>
              <w:t>Output 3.1: Best-practice standards for nature-based BD friendly tourism developed and endorsed</w:t>
            </w:r>
          </w:p>
        </w:tc>
        <w:tc>
          <w:tcPr>
            <w:tcW w:w="3680" w:type="dxa"/>
            <w:tcBorders>
              <w:top w:val="nil"/>
              <w:left w:val="nil"/>
              <w:bottom w:val="single" w:sz="4" w:space="0" w:color="auto"/>
              <w:right w:val="single" w:sz="4" w:space="0" w:color="auto"/>
            </w:tcBorders>
            <w:shd w:val="clear" w:color="auto" w:fill="auto"/>
            <w:hideMark/>
          </w:tcPr>
          <w:p w14:paraId="2904B4FF"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xml:space="preserve">BD dimension (criteria, verification mechanisms etc.) to the </w:t>
            </w:r>
            <w:proofErr w:type="spellStart"/>
            <w:r w:rsidRPr="0096196C">
              <w:rPr>
                <w:rFonts w:eastAsia="Times New Roman"/>
                <w:color w:val="000000"/>
                <w:sz w:val="16"/>
                <w:szCs w:val="16"/>
              </w:rPr>
              <w:t>existingnational</w:t>
            </w:r>
            <w:proofErr w:type="spellEnd"/>
            <w:r w:rsidRPr="0096196C">
              <w:rPr>
                <w:rFonts w:eastAsia="Times New Roman"/>
                <w:color w:val="000000"/>
                <w:sz w:val="16"/>
                <w:szCs w:val="16"/>
              </w:rPr>
              <w:t xml:space="preserve"> voluntary certification system for hotels and tourism operators. Introduction/testing of a BD-sensitive certification system</w:t>
            </w:r>
          </w:p>
        </w:tc>
        <w:tc>
          <w:tcPr>
            <w:tcW w:w="800" w:type="dxa"/>
            <w:tcBorders>
              <w:top w:val="nil"/>
              <w:left w:val="nil"/>
              <w:bottom w:val="single" w:sz="4" w:space="0" w:color="auto"/>
              <w:right w:val="single" w:sz="4" w:space="0" w:color="auto"/>
            </w:tcBorders>
            <w:shd w:val="clear" w:color="000000" w:fill="AEAAAA"/>
            <w:noWrap/>
            <w:vAlign w:val="bottom"/>
            <w:hideMark/>
          </w:tcPr>
          <w:p w14:paraId="34A05A7A"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06BBCADF"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auto" w:fill="auto"/>
            <w:noWrap/>
            <w:vAlign w:val="bottom"/>
            <w:hideMark/>
          </w:tcPr>
          <w:p w14:paraId="6D628A9A"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auto" w:fill="auto"/>
            <w:noWrap/>
            <w:vAlign w:val="bottom"/>
            <w:hideMark/>
          </w:tcPr>
          <w:p w14:paraId="786C1B9F"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auto" w:fill="auto"/>
            <w:noWrap/>
            <w:vAlign w:val="bottom"/>
            <w:hideMark/>
          </w:tcPr>
          <w:p w14:paraId="666C8F55"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r>
      <w:tr w:rsidR="0096196C" w:rsidRPr="0096196C" w14:paraId="431576CE" w14:textId="77777777" w:rsidTr="0096196C">
        <w:trPr>
          <w:gridAfter w:val="6"/>
          <w:divId w:val="301007021"/>
          <w:wAfter w:w="7680" w:type="dxa"/>
          <w:trHeight w:val="1884"/>
        </w:trPr>
        <w:tc>
          <w:tcPr>
            <w:tcW w:w="2220" w:type="dxa"/>
            <w:vMerge/>
            <w:tcBorders>
              <w:top w:val="nil"/>
              <w:left w:val="single" w:sz="4" w:space="0" w:color="auto"/>
              <w:bottom w:val="single" w:sz="4" w:space="0" w:color="000000"/>
              <w:right w:val="single" w:sz="4" w:space="0" w:color="auto"/>
            </w:tcBorders>
            <w:vAlign w:val="center"/>
            <w:hideMark/>
          </w:tcPr>
          <w:p w14:paraId="02AC5C54" w14:textId="77777777" w:rsidR="0096196C" w:rsidRPr="0096196C" w:rsidRDefault="0096196C" w:rsidP="0096196C">
            <w:pPr>
              <w:spacing w:after="0"/>
              <w:jc w:val="left"/>
              <w:rPr>
                <w:rFonts w:eastAsia="Times New Roman"/>
                <w:color w:val="000000"/>
                <w:sz w:val="16"/>
                <w:szCs w:val="16"/>
              </w:rPr>
            </w:pPr>
          </w:p>
        </w:tc>
        <w:tc>
          <w:tcPr>
            <w:tcW w:w="3680" w:type="dxa"/>
            <w:tcBorders>
              <w:top w:val="nil"/>
              <w:left w:val="nil"/>
              <w:bottom w:val="single" w:sz="4" w:space="0" w:color="auto"/>
              <w:right w:val="single" w:sz="4" w:space="0" w:color="auto"/>
            </w:tcBorders>
            <w:shd w:val="clear" w:color="auto" w:fill="auto"/>
            <w:hideMark/>
          </w:tcPr>
          <w:p w14:paraId="295EB731"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BD conservation considerations for post-COVID tourism sector recovery plans (recommendations to ensure that the economic recovery and development plans are prepared with due account of increased environmental pressure and possible biodiversity loss associated with the speedy recovery measures; tourism recovery scenarios that are environmentally sensitive and do not impose additional risks of biodiversity loss)</w:t>
            </w:r>
          </w:p>
        </w:tc>
        <w:tc>
          <w:tcPr>
            <w:tcW w:w="800" w:type="dxa"/>
            <w:tcBorders>
              <w:top w:val="nil"/>
              <w:left w:val="nil"/>
              <w:bottom w:val="single" w:sz="4" w:space="0" w:color="auto"/>
              <w:right w:val="single" w:sz="4" w:space="0" w:color="auto"/>
            </w:tcBorders>
            <w:shd w:val="clear" w:color="000000" w:fill="AEAAAA"/>
            <w:noWrap/>
            <w:vAlign w:val="bottom"/>
            <w:hideMark/>
          </w:tcPr>
          <w:p w14:paraId="31A6A0E1"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6076AC8E"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auto" w:fill="auto"/>
            <w:noWrap/>
            <w:vAlign w:val="bottom"/>
            <w:hideMark/>
          </w:tcPr>
          <w:p w14:paraId="43C6B51A"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auto" w:fill="auto"/>
            <w:noWrap/>
            <w:vAlign w:val="bottom"/>
            <w:hideMark/>
          </w:tcPr>
          <w:p w14:paraId="391E8767"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auto" w:fill="auto"/>
            <w:noWrap/>
            <w:vAlign w:val="bottom"/>
            <w:hideMark/>
          </w:tcPr>
          <w:p w14:paraId="633D55E7"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r>
      <w:tr w:rsidR="0096196C" w:rsidRPr="0096196C" w14:paraId="18D5699D" w14:textId="77777777" w:rsidTr="0096196C">
        <w:trPr>
          <w:gridAfter w:val="6"/>
          <w:divId w:val="301007021"/>
          <w:wAfter w:w="7680" w:type="dxa"/>
          <w:trHeight w:val="588"/>
        </w:trPr>
        <w:tc>
          <w:tcPr>
            <w:tcW w:w="2220" w:type="dxa"/>
            <w:vMerge/>
            <w:tcBorders>
              <w:top w:val="nil"/>
              <w:left w:val="single" w:sz="4" w:space="0" w:color="auto"/>
              <w:bottom w:val="single" w:sz="4" w:space="0" w:color="000000"/>
              <w:right w:val="single" w:sz="4" w:space="0" w:color="auto"/>
            </w:tcBorders>
            <w:vAlign w:val="center"/>
            <w:hideMark/>
          </w:tcPr>
          <w:p w14:paraId="297B884A" w14:textId="77777777" w:rsidR="0096196C" w:rsidRPr="0096196C" w:rsidRDefault="0096196C" w:rsidP="0096196C">
            <w:pPr>
              <w:spacing w:after="0"/>
              <w:jc w:val="left"/>
              <w:rPr>
                <w:rFonts w:eastAsia="Times New Roman"/>
                <w:color w:val="000000"/>
                <w:sz w:val="16"/>
                <w:szCs w:val="16"/>
              </w:rPr>
            </w:pPr>
          </w:p>
        </w:tc>
        <w:tc>
          <w:tcPr>
            <w:tcW w:w="3680" w:type="dxa"/>
            <w:tcBorders>
              <w:top w:val="nil"/>
              <w:left w:val="nil"/>
              <w:bottom w:val="single" w:sz="4" w:space="0" w:color="auto"/>
              <w:right w:val="single" w:sz="4" w:space="0" w:color="auto"/>
            </w:tcBorders>
            <w:shd w:val="clear" w:color="auto" w:fill="auto"/>
            <w:hideMark/>
          </w:tcPr>
          <w:p w14:paraId="0328555B" w14:textId="77777777" w:rsidR="0096196C" w:rsidRPr="0096196C" w:rsidRDefault="0096196C" w:rsidP="0096196C">
            <w:pPr>
              <w:spacing w:after="0"/>
              <w:jc w:val="left"/>
              <w:rPr>
                <w:rFonts w:eastAsia="Times New Roman"/>
                <w:sz w:val="16"/>
                <w:szCs w:val="16"/>
              </w:rPr>
            </w:pPr>
            <w:r w:rsidRPr="0096196C">
              <w:rPr>
                <w:rFonts w:eastAsia="Times New Roman"/>
                <w:sz w:val="16"/>
                <w:szCs w:val="16"/>
              </w:rPr>
              <w:t>Training for the local community to introduce the certification schemes and gain better understanding of their benefits</w:t>
            </w:r>
          </w:p>
        </w:tc>
        <w:tc>
          <w:tcPr>
            <w:tcW w:w="800" w:type="dxa"/>
            <w:tcBorders>
              <w:top w:val="nil"/>
              <w:left w:val="nil"/>
              <w:bottom w:val="single" w:sz="4" w:space="0" w:color="auto"/>
              <w:right w:val="single" w:sz="4" w:space="0" w:color="auto"/>
            </w:tcBorders>
            <w:shd w:val="clear" w:color="auto" w:fill="auto"/>
            <w:noWrap/>
            <w:vAlign w:val="bottom"/>
            <w:hideMark/>
          </w:tcPr>
          <w:p w14:paraId="3D5F28B3"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06A92E0E"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23587D18"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14C3C96E"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auto" w:fill="auto"/>
            <w:noWrap/>
            <w:vAlign w:val="bottom"/>
            <w:hideMark/>
          </w:tcPr>
          <w:p w14:paraId="36132DEB"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r>
      <w:tr w:rsidR="0096196C" w:rsidRPr="0096196C" w14:paraId="5376BE37" w14:textId="77777777" w:rsidTr="0096196C">
        <w:trPr>
          <w:gridAfter w:val="6"/>
          <w:divId w:val="301007021"/>
          <w:wAfter w:w="7680" w:type="dxa"/>
          <w:trHeight w:val="1248"/>
        </w:trPr>
        <w:tc>
          <w:tcPr>
            <w:tcW w:w="2220" w:type="dxa"/>
            <w:vMerge w:val="restart"/>
            <w:tcBorders>
              <w:top w:val="nil"/>
              <w:left w:val="single" w:sz="4" w:space="0" w:color="auto"/>
              <w:bottom w:val="nil"/>
              <w:right w:val="single" w:sz="4" w:space="0" w:color="auto"/>
            </w:tcBorders>
            <w:shd w:val="clear" w:color="auto" w:fill="auto"/>
            <w:hideMark/>
          </w:tcPr>
          <w:p w14:paraId="4E416C53" w14:textId="77777777" w:rsidR="0096196C" w:rsidRPr="0096196C" w:rsidRDefault="0096196C" w:rsidP="0096196C">
            <w:pPr>
              <w:spacing w:after="0"/>
              <w:jc w:val="center"/>
              <w:rPr>
                <w:rFonts w:eastAsia="Times New Roman"/>
                <w:color w:val="000000"/>
                <w:sz w:val="16"/>
                <w:szCs w:val="16"/>
              </w:rPr>
            </w:pPr>
            <w:r w:rsidRPr="0096196C">
              <w:rPr>
                <w:rFonts w:eastAsia="Times New Roman"/>
                <w:color w:val="000000"/>
                <w:sz w:val="16"/>
                <w:szCs w:val="16"/>
              </w:rPr>
              <w:t>Output 3.2: Small-scale tourism business are stimulated to introduce biodiversity-sensitive business models</w:t>
            </w:r>
          </w:p>
        </w:tc>
        <w:tc>
          <w:tcPr>
            <w:tcW w:w="3680" w:type="dxa"/>
            <w:tcBorders>
              <w:top w:val="nil"/>
              <w:left w:val="nil"/>
              <w:bottom w:val="single" w:sz="4" w:space="0" w:color="auto"/>
              <w:right w:val="single" w:sz="4" w:space="0" w:color="auto"/>
            </w:tcBorders>
            <w:shd w:val="clear" w:color="auto" w:fill="auto"/>
            <w:hideMark/>
          </w:tcPr>
          <w:p w14:paraId="3EE58026"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Targeted support to pilot tourism businesses with the development/amendment of the Destination Plans/Master Plans/Business recovery models, with a due recognition of the nature values and biodiversity threat assessments for the tourism destinations/offers in the post-COVID environment</w:t>
            </w:r>
          </w:p>
        </w:tc>
        <w:tc>
          <w:tcPr>
            <w:tcW w:w="800" w:type="dxa"/>
            <w:tcBorders>
              <w:top w:val="nil"/>
              <w:left w:val="nil"/>
              <w:bottom w:val="single" w:sz="4" w:space="0" w:color="auto"/>
              <w:right w:val="single" w:sz="4" w:space="0" w:color="auto"/>
            </w:tcBorders>
            <w:shd w:val="clear" w:color="auto" w:fill="auto"/>
            <w:noWrap/>
            <w:vAlign w:val="bottom"/>
            <w:hideMark/>
          </w:tcPr>
          <w:p w14:paraId="0571FD09"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010503D6"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3870D9BF"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5C5E4648"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auto" w:fill="auto"/>
            <w:noWrap/>
            <w:vAlign w:val="bottom"/>
            <w:hideMark/>
          </w:tcPr>
          <w:p w14:paraId="27BB31EB"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r>
      <w:tr w:rsidR="0096196C" w:rsidRPr="0096196C" w14:paraId="1D8DC526" w14:textId="77777777" w:rsidTr="0096196C">
        <w:trPr>
          <w:gridAfter w:val="6"/>
          <w:divId w:val="301007021"/>
          <w:wAfter w:w="7680" w:type="dxa"/>
          <w:trHeight w:val="1908"/>
        </w:trPr>
        <w:tc>
          <w:tcPr>
            <w:tcW w:w="2220" w:type="dxa"/>
            <w:vMerge/>
            <w:tcBorders>
              <w:top w:val="nil"/>
              <w:left w:val="single" w:sz="4" w:space="0" w:color="auto"/>
              <w:bottom w:val="nil"/>
              <w:right w:val="single" w:sz="4" w:space="0" w:color="auto"/>
            </w:tcBorders>
            <w:vAlign w:val="center"/>
            <w:hideMark/>
          </w:tcPr>
          <w:p w14:paraId="0D6C2684" w14:textId="77777777" w:rsidR="0096196C" w:rsidRPr="0096196C" w:rsidRDefault="0096196C" w:rsidP="0096196C">
            <w:pPr>
              <w:spacing w:after="0"/>
              <w:jc w:val="left"/>
              <w:rPr>
                <w:rFonts w:eastAsia="Times New Roman"/>
                <w:color w:val="000000"/>
                <w:sz w:val="16"/>
                <w:szCs w:val="16"/>
              </w:rPr>
            </w:pPr>
          </w:p>
        </w:tc>
        <w:tc>
          <w:tcPr>
            <w:tcW w:w="3680" w:type="dxa"/>
            <w:tcBorders>
              <w:top w:val="nil"/>
              <w:left w:val="nil"/>
              <w:bottom w:val="single" w:sz="4" w:space="0" w:color="auto"/>
              <w:right w:val="single" w:sz="4" w:space="0" w:color="auto"/>
            </w:tcBorders>
            <w:shd w:val="clear" w:color="auto" w:fill="auto"/>
            <w:hideMark/>
          </w:tcPr>
          <w:p w14:paraId="090E43F6"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xml:space="preserve">Targeted support to small-scale tourism business development towards the more offerings of biodiversity-sensitive nature-based tourism products. Access to best practice and guidance for local business actors, municipal tourist </w:t>
            </w:r>
            <w:proofErr w:type="spellStart"/>
            <w:r w:rsidRPr="0096196C">
              <w:rPr>
                <w:rFonts w:eastAsia="Times New Roman"/>
                <w:color w:val="000000"/>
                <w:sz w:val="16"/>
                <w:szCs w:val="16"/>
              </w:rPr>
              <w:t>organisations</w:t>
            </w:r>
            <w:proofErr w:type="spellEnd"/>
            <w:r w:rsidRPr="0096196C">
              <w:rPr>
                <w:rFonts w:eastAsia="Times New Roman"/>
                <w:color w:val="000000"/>
                <w:sz w:val="16"/>
                <w:szCs w:val="16"/>
              </w:rPr>
              <w:t xml:space="preserve"> and local communities wishing to engage in development of biodiversity-sensitive nature-based tourism products. Assessment of potential services and products </w:t>
            </w:r>
            <w:proofErr w:type="gramStart"/>
            <w:r w:rsidRPr="0096196C">
              <w:rPr>
                <w:rFonts w:eastAsia="Times New Roman"/>
                <w:color w:val="000000"/>
                <w:sz w:val="16"/>
                <w:szCs w:val="16"/>
              </w:rPr>
              <w:t>with regard to</w:t>
            </w:r>
            <w:proofErr w:type="gramEnd"/>
            <w:r w:rsidRPr="0096196C">
              <w:rPr>
                <w:rFonts w:eastAsia="Times New Roman"/>
                <w:color w:val="000000"/>
                <w:sz w:val="16"/>
                <w:szCs w:val="16"/>
              </w:rPr>
              <w:t xml:space="preserve"> their viability.</w:t>
            </w:r>
          </w:p>
        </w:tc>
        <w:tc>
          <w:tcPr>
            <w:tcW w:w="800" w:type="dxa"/>
            <w:tcBorders>
              <w:top w:val="nil"/>
              <w:left w:val="nil"/>
              <w:bottom w:val="single" w:sz="4" w:space="0" w:color="auto"/>
              <w:right w:val="single" w:sz="4" w:space="0" w:color="auto"/>
            </w:tcBorders>
            <w:shd w:val="clear" w:color="auto" w:fill="auto"/>
            <w:noWrap/>
            <w:vAlign w:val="bottom"/>
            <w:hideMark/>
          </w:tcPr>
          <w:p w14:paraId="0351FC14"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7B403838"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69B9BBF2"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156C3092"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72901BF7"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r>
      <w:tr w:rsidR="0096196C" w:rsidRPr="0096196C" w14:paraId="3C9D5699" w14:textId="77777777" w:rsidTr="0096196C">
        <w:trPr>
          <w:gridAfter w:val="6"/>
          <w:divId w:val="301007021"/>
          <w:wAfter w:w="7680" w:type="dxa"/>
          <w:trHeight w:val="588"/>
        </w:trPr>
        <w:tc>
          <w:tcPr>
            <w:tcW w:w="2220"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62D1045D" w14:textId="77777777" w:rsidR="0096196C" w:rsidRPr="0096196C" w:rsidRDefault="0096196C" w:rsidP="0096196C">
            <w:pPr>
              <w:spacing w:after="0"/>
              <w:jc w:val="center"/>
              <w:rPr>
                <w:rFonts w:eastAsia="Times New Roman"/>
                <w:color w:val="000000"/>
                <w:sz w:val="16"/>
                <w:szCs w:val="16"/>
              </w:rPr>
            </w:pPr>
            <w:r w:rsidRPr="0096196C">
              <w:rPr>
                <w:rFonts w:eastAsia="Times New Roman"/>
                <w:color w:val="000000"/>
                <w:sz w:val="16"/>
                <w:szCs w:val="16"/>
              </w:rPr>
              <w:t>Output 3.3: Public-private partnerships in tourism as a post-COVID resilience mechanism for responsible tourism development</w:t>
            </w:r>
          </w:p>
        </w:tc>
        <w:tc>
          <w:tcPr>
            <w:tcW w:w="3680" w:type="dxa"/>
            <w:tcBorders>
              <w:top w:val="nil"/>
              <w:left w:val="nil"/>
              <w:bottom w:val="single" w:sz="4" w:space="0" w:color="auto"/>
              <w:right w:val="single" w:sz="4" w:space="0" w:color="auto"/>
            </w:tcBorders>
            <w:shd w:val="clear" w:color="000000" w:fill="FFFFFF"/>
            <w:hideMark/>
          </w:tcPr>
          <w:p w14:paraId="07A16185" w14:textId="77777777" w:rsidR="0096196C" w:rsidRPr="0096196C" w:rsidRDefault="0096196C" w:rsidP="0096196C">
            <w:pPr>
              <w:spacing w:after="0"/>
              <w:jc w:val="left"/>
              <w:rPr>
                <w:rFonts w:eastAsia="Times New Roman"/>
                <w:sz w:val="16"/>
                <w:szCs w:val="16"/>
              </w:rPr>
            </w:pPr>
            <w:r w:rsidRPr="0096196C">
              <w:rPr>
                <w:rFonts w:eastAsia="Times New Roman"/>
                <w:sz w:val="16"/>
                <w:szCs w:val="16"/>
              </w:rPr>
              <w:t>Action plan for public-private partnership initiatives for responsible tourism recovery</w:t>
            </w:r>
          </w:p>
        </w:tc>
        <w:tc>
          <w:tcPr>
            <w:tcW w:w="800" w:type="dxa"/>
            <w:tcBorders>
              <w:top w:val="nil"/>
              <w:left w:val="nil"/>
              <w:bottom w:val="single" w:sz="4" w:space="0" w:color="auto"/>
              <w:right w:val="single" w:sz="4" w:space="0" w:color="auto"/>
            </w:tcBorders>
            <w:shd w:val="clear" w:color="000000" w:fill="AEAAAA"/>
            <w:noWrap/>
            <w:vAlign w:val="bottom"/>
            <w:hideMark/>
          </w:tcPr>
          <w:p w14:paraId="5526D6D9"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auto" w:fill="auto"/>
            <w:noWrap/>
            <w:vAlign w:val="bottom"/>
            <w:hideMark/>
          </w:tcPr>
          <w:p w14:paraId="4E0D3120"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auto" w:fill="auto"/>
            <w:noWrap/>
            <w:vAlign w:val="bottom"/>
            <w:hideMark/>
          </w:tcPr>
          <w:p w14:paraId="6B2280D9"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auto" w:fill="auto"/>
            <w:noWrap/>
            <w:vAlign w:val="bottom"/>
            <w:hideMark/>
          </w:tcPr>
          <w:p w14:paraId="25B5F813"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auto" w:fill="auto"/>
            <w:noWrap/>
            <w:vAlign w:val="bottom"/>
            <w:hideMark/>
          </w:tcPr>
          <w:p w14:paraId="50FAB277"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r>
      <w:tr w:rsidR="0096196C" w:rsidRPr="0096196C" w14:paraId="3FB5C34F" w14:textId="77777777" w:rsidTr="0096196C">
        <w:trPr>
          <w:gridAfter w:val="6"/>
          <w:divId w:val="301007021"/>
          <w:wAfter w:w="7680" w:type="dxa"/>
          <w:trHeight w:val="648"/>
        </w:trPr>
        <w:tc>
          <w:tcPr>
            <w:tcW w:w="2220" w:type="dxa"/>
            <w:vMerge/>
            <w:tcBorders>
              <w:top w:val="single" w:sz="4" w:space="0" w:color="auto"/>
              <w:left w:val="single" w:sz="4" w:space="0" w:color="auto"/>
              <w:bottom w:val="single" w:sz="4" w:space="0" w:color="000000"/>
              <w:right w:val="single" w:sz="4" w:space="0" w:color="auto"/>
            </w:tcBorders>
            <w:vAlign w:val="center"/>
            <w:hideMark/>
          </w:tcPr>
          <w:p w14:paraId="7B0FFD7A" w14:textId="77777777" w:rsidR="0096196C" w:rsidRPr="0096196C" w:rsidRDefault="0096196C" w:rsidP="0096196C">
            <w:pPr>
              <w:spacing w:after="0"/>
              <w:jc w:val="left"/>
              <w:rPr>
                <w:rFonts w:eastAsia="Times New Roman"/>
                <w:color w:val="000000"/>
                <w:sz w:val="16"/>
                <w:szCs w:val="16"/>
              </w:rPr>
            </w:pPr>
          </w:p>
        </w:tc>
        <w:tc>
          <w:tcPr>
            <w:tcW w:w="3680" w:type="dxa"/>
            <w:tcBorders>
              <w:top w:val="nil"/>
              <w:left w:val="nil"/>
              <w:bottom w:val="single" w:sz="4" w:space="0" w:color="auto"/>
              <w:right w:val="single" w:sz="4" w:space="0" w:color="auto"/>
            </w:tcBorders>
            <w:shd w:val="clear" w:color="auto" w:fill="auto"/>
            <w:hideMark/>
          </w:tcPr>
          <w:p w14:paraId="2F7C1F9E" w14:textId="77777777" w:rsidR="0096196C" w:rsidRPr="0096196C" w:rsidRDefault="0096196C" w:rsidP="0096196C">
            <w:pPr>
              <w:spacing w:after="0"/>
              <w:jc w:val="left"/>
              <w:rPr>
                <w:rFonts w:eastAsia="Times New Roman"/>
                <w:sz w:val="16"/>
                <w:szCs w:val="16"/>
              </w:rPr>
            </w:pPr>
            <w:r w:rsidRPr="0096196C">
              <w:rPr>
                <w:rFonts w:eastAsia="Times New Roman"/>
                <w:sz w:val="16"/>
                <w:szCs w:val="16"/>
              </w:rPr>
              <w:t>Support to model partnership(</w:t>
            </w:r>
            <w:proofErr w:type="gramStart"/>
            <w:r w:rsidRPr="0096196C">
              <w:rPr>
                <w:rFonts w:eastAsia="Times New Roman"/>
                <w:sz w:val="16"/>
                <w:szCs w:val="16"/>
              </w:rPr>
              <w:t>s)  -</w:t>
            </w:r>
            <w:proofErr w:type="gramEnd"/>
            <w:r w:rsidRPr="0096196C">
              <w:rPr>
                <w:rFonts w:eastAsia="Times New Roman"/>
                <w:sz w:val="16"/>
                <w:szCs w:val="16"/>
              </w:rPr>
              <w:t xml:space="preserve"> targeted implementation of the Action plan</w:t>
            </w:r>
          </w:p>
        </w:tc>
        <w:tc>
          <w:tcPr>
            <w:tcW w:w="800" w:type="dxa"/>
            <w:tcBorders>
              <w:top w:val="nil"/>
              <w:left w:val="nil"/>
              <w:bottom w:val="single" w:sz="4" w:space="0" w:color="auto"/>
              <w:right w:val="single" w:sz="4" w:space="0" w:color="auto"/>
            </w:tcBorders>
            <w:shd w:val="clear" w:color="auto" w:fill="auto"/>
            <w:noWrap/>
            <w:vAlign w:val="bottom"/>
            <w:hideMark/>
          </w:tcPr>
          <w:p w14:paraId="47D5B243"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6C248137"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4F7E02C1"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303C95FC"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1F529F4B"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r>
      <w:tr w:rsidR="0096196C" w:rsidRPr="0096196C" w14:paraId="7CC099B8" w14:textId="77777777" w:rsidTr="0096196C">
        <w:trPr>
          <w:gridAfter w:val="6"/>
          <w:divId w:val="301007021"/>
          <w:wAfter w:w="7680" w:type="dxa"/>
          <w:trHeight w:val="768"/>
        </w:trPr>
        <w:tc>
          <w:tcPr>
            <w:tcW w:w="2220" w:type="dxa"/>
            <w:vMerge w:val="restart"/>
            <w:tcBorders>
              <w:top w:val="nil"/>
              <w:left w:val="single" w:sz="4" w:space="0" w:color="auto"/>
              <w:bottom w:val="single" w:sz="4" w:space="0" w:color="000000"/>
              <w:right w:val="single" w:sz="4" w:space="0" w:color="auto"/>
            </w:tcBorders>
            <w:shd w:val="clear" w:color="auto" w:fill="auto"/>
            <w:hideMark/>
          </w:tcPr>
          <w:p w14:paraId="3B1276FB" w14:textId="77777777" w:rsidR="0096196C" w:rsidRPr="0096196C" w:rsidRDefault="0096196C" w:rsidP="0096196C">
            <w:pPr>
              <w:spacing w:after="0"/>
              <w:jc w:val="center"/>
              <w:rPr>
                <w:rFonts w:eastAsia="Times New Roman"/>
                <w:color w:val="000000"/>
                <w:sz w:val="16"/>
                <w:szCs w:val="16"/>
              </w:rPr>
            </w:pPr>
            <w:r w:rsidRPr="0096196C">
              <w:rPr>
                <w:rFonts w:eastAsia="Times New Roman"/>
                <w:color w:val="000000"/>
                <w:sz w:val="16"/>
                <w:szCs w:val="16"/>
              </w:rPr>
              <w:t>Output 3.4: PAs integrated into sustainable tourism development</w:t>
            </w:r>
          </w:p>
        </w:tc>
        <w:tc>
          <w:tcPr>
            <w:tcW w:w="3680" w:type="dxa"/>
            <w:tcBorders>
              <w:top w:val="nil"/>
              <w:left w:val="nil"/>
              <w:bottom w:val="single" w:sz="4" w:space="0" w:color="auto"/>
              <w:right w:val="single" w:sz="4" w:space="0" w:color="auto"/>
            </w:tcBorders>
            <w:shd w:val="clear" w:color="000000" w:fill="FFFFFF"/>
            <w:hideMark/>
          </w:tcPr>
          <w:p w14:paraId="4E6B4763" w14:textId="77777777" w:rsidR="0096196C" w:rsidRPr="0096196C" w:rsidRDefault="0096196C" w:rsidP="0096196C">
            <w:pPr>
              <w:spacing w:after="0"/>
              <w:jc w:val="left"/>
              <w:rPr>
                <w:rFonts w:eastAsia="Times New Roman"/>
                <w:sz w:val="16"/>
                <w:szCs w:val="16"/>
              </w:rPr>
            </w:pPr>
            <w:r w:rsidRPr="0096196C">
              <w:rPr>
                <w:rFonts w:eastAsia="Times New Roman"/>
                <w:sz w:val="16"/>
                <w:szCs w:val="16"/>
              </w:rPr>
              <w:t>Development and packaging of tourism products for targeted PAs (</w:t>
            </w:r>
            <w:proofErr w:type="spellStart"/>
            <w:r w:rsidRPr="0096196C">
              <w:rPr>
                <w:rFonts w:eastAsia="Times New Roman"/>
                <w:sz w:val="16"/>
                <w:szCs w:val="16"/>
              </w:rPr>
              <w:t>Durmitor</w:t>
            </w:r>
            <w:proofErr w:type="spellEnd"/>
            <w:r w:rsidRPr="0096196C">
              <w:rPr>
                <w:rFonts w:eastAsia="Times New Roman"/>
                <w:sz w:val="16"/>
                <w:szCs w:val="16"/>
              </w:rPr>
              <w:t xml:space="preserve">, </w:t>
            </w:r>
            <w:proofErr w:type="spellStart"/>
            <w:r w:rsidRPr="0096196C">
              <w:rPr>
                <w:rFonts w:eastAsia="Times New Roman"/>
                <w:sz w:val="16"/>
                <w:szCs w:val="16"/>
              </w:rPr>
              <w:t>Ulcinjska</w:t>
            </w:r>
            <w:proofErr w:type="spellEnd"/>
            <w:r w:rsidRPr="0096196C">
              <w:rPr>
                <w:rFonts w:eastAsia="Times New Roman"/>
                <w:sz w:val="16"/>
                <w:szCs w:val="16"/>
              </w:rPr>
              <w:t xml:space="preserve"> Solana, </w:t>
            </w:r>
            <w:proofErr w:type="spellStart"/>
            <w:r w:rsidRPr="0096196C">
              <w:rPr>
                <w:rFonts w:eastAsia="Times New Roman"/>
                <w:sz w:val="16"/>
                <w:szCs w:val="16"/>
              </w:rPr>
              <w:t>Orjen</w:t>
            </w:r>
            <w:proofErr w:type="spellEnd"/>
            <w:r w:rsidRPr="0096196C">
              <w:rPr>
                <w:rFonts w:eastAsia="Times New Roman"/>
                <w:sz w:val="16"/>
                <w:szCs w:val="16"/>
              </w:rPr>
              <w:t>, coastal area PAs-monuments of nature)</w:t>
            </w:r>
          </w:p>
        </w:tc>
        <w:tc>
          <w:tcPr>
            <w:tcW w:w="800" w:type="dxa"/>
            <w:tcBorders>
              <w:top w:val="nil"/>
              <w:left w:val="nil"/>
              <w:bottom w:val="single" w:sz="4" w:space="0" w:color="auto"/>
              <w:right w:val="single" w:sz="4" w:space="0" w:color="auto"/>
            </w:tcBorders>
            <w:shd w:val="clear" w:color="000000" w:fill="FFFFFF"/>
            <w:noWrap/>
            <w:vAlign w:val="bottom"/>
            <w:hideMark/>
          </w:tcPr>
          <w:p w14:paraId="049E7065"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4D4A747C"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3C638FD0"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52910570"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208A8297"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r>
      <w:tr w:rsidR="0096196C" w:rsidRPr="0096196C" w14:paraId="126741AB" w14:textId="77777777" w:rsidTr="0096196C">
        <w:trPr>
          <w:gridAfter w:val="6"/>
          <w:divId w:val="301007021"/>
          <w:wAfter w:w="7680" w:type="dxa"/>
          <w:trHeight w:val="636"/>
        </w:trPr>
        <w:tc>
          <w:tcPr>
            <w:tcW w:w="2220" w:type="dxa"/>
            <w:vMerge/>
            <w:tcBorders>
              <w:top w:val="nil"/>
              <w:left w:val="single" w:sz="4" w:space="0" w:color="auto"/>
              <w:bottom w:val="single" w:sz="4" w:space="0" w:color="000000"/>
              <w:right w:val="single" w:sz="4" w:space="0" w:color="auto"/>
            </w:tcBorders>
            <w:vAlign w:val="center"/>
            <w:hideMark/>
          </w:tcPr>
          <w:p w14:paraId="03D610E6" w14:textId="77777777" w:rsidR="0096196C" w:rsidRPr="0096196C" w:rsidRDefault="0096196C" w:rsidP="0096196C">
            <w:pPr>
              <w:spacing w:after="0"/>
              <w:jc w:val="left"/>
              <w:rPr>
                <w:rFonts w:eastAsia="Times New Roman"/>
                <w:color w:val="000000"/>
                <w:sz w:val="16"/>
                <w:szCs w:val="16"/>
              </w:rPr>
            </w:pPr>
          </w:p>
        </w:tc>
        <w:tc>
          <w:tcPr>
            <w:tcW w:w="3680" w:type="dxa"/>
            <w:tcBorders>
              <w:top w:val="nil"/>
              <w:left w:val="nil"/>
              <w:bottom w:val="single" w:sz="4" w:space="0" w:color="auto"/>
              <w:right w:val="single" w:sz="4" w:space="0" w:color="auto"/>
            </w:tcBorders>
            <w:shd w:val="clear" w:color="auto" w:fill="auto"/>
            <w:hideMark/>
          </w:tcPr>
          <w:p w14:paraId="4652EE25"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xml:space="preserve">Targeted investment support for promotion of tourism products and development of marketing plans </w:t>
            </w:r>
          </w:p>
        </w:tc>
        <w:tc>
          <w:tcPr>
            <w:tcW w:w="800" w:type="dxa"/>
            <w:tcBorders>
              <w:top w:val="nil"/>
              <w:left w:val="nil"/>
              <w:bottom w:val="single" w:sz="4" w:space="0" w:color="auto"/>
              <w:right w:val="single" w:sz="4" w:space="0" w:color="auto"/>
            </w:tcBorders>
            <w:shd w:val="clear" w:color="000000" w:fill="AEAAAA"/>
            <w:noWrap/>
            <w:vAlign w:val="bottom"/>
            <w:hideMark/>
          </w:tcPr>
          <w:p w14:paraId="7686C9D2"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2BF968F6"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1A3C7FF5"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1E05A4A3"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5989B164"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r>
      <w:tr w:rsidR="0096196C" w:rsidRPr="0096196C" w14:paraId="31388242" w14:textId="77777777" w:rsidTr="0096196C">
        <w:trPr>
          <w:gridAfter w:val="6"/>
          <w:divId w:val="301007021"/>
          <w:wAfter w:w="7680" w:type="dxa"/>
          <w:trHeight w:val="612"/>
        </w:trPr>
        <w:tc>
          <w:tcPr>
            <w:tcW w:w="2220" w:type="dxa"/>
            <w:vMerge/>
            <w:tcBorders>
              <w:top w:val="nil"/>
              <w:left w:val="single" w:sz="4" w:space="0" w:color="auto"/>
              <w:bottom w:val="single" w:sz="4" w:space="0" w:color="000000"/>
              <w:right w:val="single" w:sz="4" w:space="0" w:color="auto"/>
            </w:tcBorders>
            <w:vAlign w:val="center"/>
            <w:hideMark/>
          </w:tcPr>
          <w:p w14:paraId="1E4EE5A9" w14:textId="77777777" w:rsidR="0096196C" w:rsidRPr="0096196C" w:rsidRDefault="0096196C" w:rsidP="0096196C">
            <w:pPr>
              <w:spacing w:after="0"/>
              <w:jc w:val="left"/>
              <w:rPr>
                <w:rFonts w:eastAsia="Times New Roman"/>
                <w:color w:val="000000"/>
                <w:sz w:val="16"/>
                <w:szCs w:val="16"/>
              </w:rPr>
            </w:pPr>
          </w:p>
        </w:tc>
        <w:tc>
          <w:tcPr>
            <w:tcW w:w="3680" w:type="dxa"/>
            <w:tcBorders>
              <w:top w:val="nil"/>
              <w:left w:val="nil"/>
              <w:bottom w:val="single" w:sz="4" w:space="0" w:color="auto"/>
              <w:right w:val="single" w:sz="4" w:space="0" w:color="auto"/>
            </w:tcBorders>
            <w:shd w:val="clear" w:color="auto" w:fill="auto"/>
            <w:hideMark/>
          </w:tcPr>
          <w:p w14:paraId="53CD4222"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Branding and marketing of products and services in the targeted PAs</w:t>
            </w:r>
          </w:p>
        </w:tc>
        <w:tc>
          <w:tcPr>
            <w:tcW w:w="800" w:type="dxa"/>
            <w:tcBorders>
              <w:top w:val="nil"/>
              <w:left w:val="nil"/>
              <w:bottom w:val="single" w:sz="4" w:space="0" w:color="auto"/>
              <w:right w:val="single" w:sz="4" w:space="0" w:color="auto"/>
            </w:tcBorders>
            <w:shd w:val="clear" w:color="000000" w:fill="AEAAAA"/>
            <w:noWrap/>
            <w:vAlign w:val="bottom"/>
            <w:hideMark/>
          </w:tcPr>
          <w:p w14:paraId="046F05F8"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3244B8FC"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117976BD"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7BCCE64E"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7EAC40A2"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r>
      <w:tr w:rsidR="0096196C" w:rsidRPr="0096196C" w14:paraId="2EC653BC" w14:textId="77777777" w:rsidTr="0096196C">
        <w:trPr>
          <w:gridAfter w:val="6"/>
          <w:divId w:val="301007021"/>
          <w:wAfter w:w="7680" w:type="dxa"/>
          <w:trHeight w:val="204"/>
        </w:trPr>
        <w:tc>
          <w:tcPr>
            <w:tcW w:w="9900" w:type="dxa"/>
            <w:gridSpan w:val="7"/>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5FE9FE1C" w14:textId="77777777" w:rsidR="0096196C" w:rsidRPr="0096196C" w:rsidRDefault="0096196C" w:rsidP="0096196C">
            <w:pPr>
              <w:spacing w:after="0"/>
              <w:jc w:val="left"/>
              <w:rPr>
                <w:rFonts w:eastAsia="Times New Roman"/>
                <w:b/>
                <w:bCs/>
                <w:color w:val="000000"/>
                <w:sz w:val="16"/>
                <w:szCs w:val="16"/>
              </w:rPr>
            </w:pPr>
            <w:r w:rsidRPr="0096196C">
              <w:rPr>
                <w:rFonts w:eastAsia="Times New Roman"/>
                <w:b/>
                <w:bCs/>
                <w:color w:val="000000"/>
                <w:sz w:val="16"/>
                <w:szCs w:val="16"/>
              </w:rPr>
              <w:t>Outcome 4: BD conservation considerations mainstreamed into forestry policies and practices around KBAs</w:t>
            </w:r>
          </w:p>
        </w:tc>
      </w:tr>
      <w:tr w:rsidR="0096196C" w:rsidRPr="0096196C" w14:paraId="3E5A85BD" w14:textId="77777777" w:rsidTr="0096196C">
        <w:trPr>
          <w:gridAfter w:val="6"/>
          <w:divId w:val="301007021"/>
          <w:wAfter w:w="7680" w:type="dxa"/>
          <w:trHeight w:val="612"/>
        </w:trPr>
        <w:tc>
          <w:tcPr>
            <w:tcW w:w="2220" w:type="dxa"/>
            <w:vMerge w:val="restart"/>
            <w:tcBorders>
              <w:top w:val="nil"/>
              <w:left w:val="single" w:sz="4" w:space="0" w:color="auto"/>
              <w:bottom w:val="single" w:sz="4" w:space="0" w:color="000000"/>
              <w:right w:val="single" w:sz="4" w:space="0" w:color="auto"/>
            </w:tcBorders>
            <w:shd w:val="clear" w:color="auto" w:fill="auto"/>
            <w:hideMark/>
          </w:tcPr>
          <w:p w14:paraId="09872BCA" w14:textId="77777777" w:rsidR="0096196C" w:rsidRPr="0096196C" w:rsidRDefault="0096196C" w:rsidP="0096196C">
            <w:pPr>
              <w:spacing w:after="0"/>
              <w:jc w:val="center"/>
              <w:rPr>
                <w:rFonts w:eastAsia="Times New Roman"/>
                <w:color w:val="000000"/>
                <w:sz w:val="16"/>
                <w:szCs w:val="16"/>
              </w:rPr>
            </w:pPr>
            <w:r w:rsidRPr="0096196C">
              <w:rPr>
                <w:rFonts w:eastAsia="Times New Roman"/>
                <w:color w:val="000000"/>
                <w:sz w:val="16"/>
                <w:szCs w:val="16"/>
              </w:rPr>
              <w:lastRenderedPageBreak/>
              <w:t>Output 4.1: Best-practice standards mainstreaming biodiversity-friendly forestry practices developed and endorsed</w:t>
            </w:r>
          </w:p>
        </w:tc>
        <w:tc>
          <w:tcPr>
            <w:tcW w:w="3680" w:type="dxa"/>
            <w:tcBorders>
              <w:top w:val="nil"/>
              <w:left w:val="nil"/>
              <w:bottom w:val="single" w:sz="4" w:space="0" w:color="auto"/>
              <w:right w:val="single" w:sz="4" w:space="0" w:color="auto"/>
            </w:tcBorders>
            <w:shd w:val="clear" w:color="auto" w:fill="auto"/>
            <w:hideMark/>
          </w:tcPr>
          <w:p w14:paraId="21A7ABB7"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Regulations and incentives for increased production of NTFP generating income for local communities</w:t>
            </w:r>
          </w:p>
        </w:tc>
        <w:tc>
          <w:tcPr>
            <w:tcW w:w="800" w:type="dxa"/>
            <w:tcBorders>
              <w:top w:val="nil"/>
              <w:left w:val="nil"/>
              <w:bottom w:val="single" w:sz="4" w:space="0" w:color="auto"/>
              <w:right w:val="single" w:sz="4" w:space="0" w:color="auto"/>
            </w:tcBorders>
            <w:shd w:val="clear" w:color="000000" w:fill="AEAAAA"/>
            <w:noWrap/>
            <w:vAlign w:val="bottom"/>
            <w:hideMark/>
          </w:tcPr>
          <w:p w14:paraId="38736253"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3D8FD1A2"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516A18A1"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auto" w:fill="auto"/>
            <w:noWrap/>
            <w:vAlign w:val="bottom"/>
            <w:hideMark/>
          </w:tcPr>
          <w:p w14:paraId="6E3FBE17"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auto" w:fill="auto"/>
            <w:noWrap/>
            <w:vAlign w:val="bottom"/>
            <w:hideMark/>
          </w:tcPr>
          <w:p w14:paraId="1E6C5DE3"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r>
      <w:tr w:rsidR="0096196C" w:rsidRPr="0096196C" w14:paraId="1BC686ED" w14:textId="77777777" w:rsidTr="0096196C">
        <w:trPr>
          <w:gridAfter w:val="6"/>
          <w:divId w:val="301007021"/>
          <w:wAfter w:w="7680" w:type="dxa"/>
          <w:trHeight w:val="444"/>
        </w:trPr>
        <w:tc>
          <w:tcPr>
            <w:tcW w:w="2220" w:type="dxa"/>
            <w:vMerge/>
            <w:tcBorders>
              <w:top w:val="nil"/>
              <w:left w:val="single" w:sz="4" w:space="0" w:color="auto"/>
              <w:bottom w:val="single" w:sz="4" w:space="0" w:color="000000"/>
              <w:right w:val="single" w:sz="4" w:space="0" w:color="auto"/>
            </w:tcBorders>
            <w:vAlign w:val="center"/>
            <w:hideMark/>
          </w:tcPr>
          <w:p w14:paraId="31C966F2" w14:textId="77777777" w:rsidR="0096196C" w:rsidRPr="0096196C" w:rsidRDefault="0096196C" w:rsidP="0096196C">
            <w:pPr>
              <w:spacing w:after="0"/>
              <w:jc w:val="left"/>
              <w:rPr>
                <w:rFonts w:eastAsia="Times New Roman"/>
                <w:color w:val="000000"/>
                <w:sz w:val="16"/>
                <w:szCs w:val="16"/>
              </w:rPr>
            </w:pPr>
          </w:p>
        </w:tc>
        <w:tc>
          <w:tcPr>
            <w:tcW w:w="3680" w:type="dxa"/>
            <w:tcBorders>
              <w:top w:val="nil"/>
              <w:left w:val="nil"/>
              <w:bottom w:val="single" w:sz="4" w:space="0" w:color="auto"/>
              <w:right w:val="single" w:sz="4" w:space="0" w:color="auto"/>
            </w:tcBorders>
            <w:shd w:val="clear" w:color="auto" w:fill="auto"/>
            <w:hideMark/>
          </w:tcPr>
          <w:p w14:paraId="167F301A"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Support to associations of NFTP harvesters</w:t>
            </w:r>
          </w:p>
        </w:tc>
        <w:tc>
          <w:tcPr>
            <w:tcW w:w="800" w:type="dxa"/>
            <w:tcBorders>
              <w:top w:val="nil"/>
              <w:left w:val="nil"/>
              <w:bottom w:val="single" w:sz="4" w:space="0" w:color="auto"/>
              <w:right w:val="single" w:sz="4" w:space="0" w:color="auto"/>
            </w:tcBorders>
            <w:shd w:val="clear" w:color="000000" w:fill="AEAAAA"/>
            <w:noWrap/>
            <w:vAlign w:val="bottom"/>
            <w:hideMark/>
          </w:tcPr>
          <w:p w14:paraId="28651549"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48EE6211"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7C350A20"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19D279AB"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3A925B54"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r>
      <w:tr w:rsidR="0096196C" w:rsidRPr="0096196C" w14:paraId="538C75CE" w14:textId="77777777" w:rsidTr="0096196C">
        <w:trPr>
          <w:gridAfter w:val="6"/>
          <w:divId w:val="301007021"/>
          <w:wAfter w:w="7680" w:type="dxa"/>
          <w:trHeight w:val="456"/>
        </w:trPr>
        <w:tc>
          <w:tcPr>
            <w:tcW w:w="2220" w:type="dxa"/>
            <w:vMerge/>
            <w:tcBorders>
              <w:top w:val="nil"/>
              <w:left w:val="single" w:sz="4" w:space="0" w:color="auto"/>
              <w:bottom w:val="single" w:sz="4" w:space="0" w:color="000000"/>
              <w:right w:val="single" w:sz="4" w:space="0" w:color="auto"/>
            </w:tcBorders>
            <w:vAlign w:val="center"/>
            <w:hideMark/>
          </w:tcPr>
          <w:p w14:paraId="2A32EAAC" w14:textId="77777777" w:rsidR="0096196C" w:rsidRPr="0096196C" w:rsidRDefault="0096196C" w:rsidP="0096196C">
            <w:pPr>
              <w:spacing w:after="0"/>
              <w:jc w:val="left"/>
              <w:rPr>
                <w:rFonts w:eastAsia="Times New Roman"/>
                <w:color w:val="000000"/>
                <w:sz w:val="16"/>
                <w:szCs w:val="16"/>
              </w:rPr>
            </w:pPr>
          </w:p>
        </w:tc>
        <w:tc>
          <w:tcPr>
            <w:tcW w:w="3680" w:type="dxa"/>
            <w:tcBorders>
              <w:top w:val="nil"/>
              <w:left w:val="nil"/>
              <w:bottom w:val="single" w:sz="4" w:space="0" w:color="auto"/>
              <w:right w:val="single" w:sz="4" w:space="0" w:color="auto"/>
            </w:tcBorders>
            <w:shd w:val="clear" w:color="auto" w:fill="auto"/>
            <w:hideMark/>
          </w:tcPr>
          <w:p w14:paraId="7E618147"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xml:space="preserve">Amendments to Law on Forests </w:t>
            </w:r>
            <w:proofErr w:type="spellStart"/>
            <w:r w:rsidRPr="0096196C">
              <w:rPr>
                <w:rFonts w:eastAsia="Times New Roman"/>
                <w:color w:val="000000"/>
                <w:sz w:val="16"/>
                <w:szCs w:val="16"/>
              </w:rPr>
              <w:t>clarifiying</w:t>
            </w:r>
            <w:proofErr w:type="spellEnd"/>
            <w:r w:rsidRPr="0096196C">
              <w:rPr>
                <w:rFonts w:eastAsia="Times New Roman"/>
                <w:color w:val="000000"/>
                <w:sz w:val="16"/>
                <w:szCs w:val="16"/>
              </w:rPr>
              <w:t xml:space="preserve"> the use of NFTP</w:t>
            </w:r>
          </w:p>
        </w:tc>
        <w:tc>
          <w:tcPr>
            <w:tcW w:w="800" w:type="dxa"/>
            <w:tcBorders>
              <w:top w:val="nil"/>
              <w:left w:val="nil"/>
              <w:bottom w:val="single" w:sz="4" w:space="0" w:color="auto"/>
              <w:right w:val="single" w:sz="4" w:space="0" w:color="auto"/>
            </w:tcBorders>
            <w:shd w:val="clear" w:color="000000" w:fill="AEAAAA"/>
            <w:noWrap/>
            <w:vAlign w:val="bottom"/>
            <w:hideMark/>
          </w:tcPr>
          <w:p w14:paraId="7DA974DA"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68F4DD55"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auto" w:fill="auto"/>
            <w:noWrap/>
            <w:vAlign w:val="bottom"/>
            <w:hideMark/>
          </w:tcPr>
          <w:p w14:paraId="14DBF5C0"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auto" w:fill="auto"/>
            <w:noWrap/>
            <w:vAlign w:val="bottom"/>
            <w:hideMark/>
          </w:tcPr>
          <w:p w14:paraId="556F817E"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auto" w:fill="auto"/>
            <w:noWrap/>
            <w:vAlign w:val="bottom"/>
            <w:hideMark/>
          </w:tcPr>
          <w:p w14:paraId="31C7A833"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r>
      <w:tr w:rsidR="0096196C" w:rsidRPr="0096196C" w14:paraId="098C9E1E" w14:textId="77777777" w:rsidTr="0096196C">
        <w:trPr>
          <w:gridAfter w:val="6"/>
          <w:divId w:val="301007021"/>
          <w:wAfter w:w="7680" w:type="dxa"/>
          <w:trHeight w:val="384"/>
        </w:trPr>
        <w:tc>
          <w:tcPr>
            <w:tcW w:w="2220" w:type="dxa"/>
            <w:vMerge/>
            <w:tcBorders>
              <w:top w:val="nil"/>
              <w:left w:val="single" w:sz="4" w:space="0" w:color="auto"/>
              <w:bottom w:val="single" w:sz="4" w:space="0" w:color="000000"/>
              <w:right w:val="single" w:sz="4" w:space="0" w:color="auto"/>
            </w:tcBorders>
            <w:vAlign w:val="center"/>
            <w:hideMark/>
          </w:tcPr>
          <w:p w14:paraId="4E905267" w14:textId="77777777" w:rsidR="0096196C" w:rsidRPr="0096196C" w:rsidRDefault="0096196C" w:rsidP="0096196C">
            <w:pPr>
              <w:spacing w:after="0"/>
              <w:jc w:val="left"/>
              <w:rPr>
                <w:rFonts w:eastAsia="Times New Roman"/>
                <w:color w:val="000000"/>
                <w:sz w:val="16"/>
                <w:szCs w:val="16"/>
              </w:rPr>
            </w:pPr>
          </w:p>
        </w:tc>
        <w:tc>
          <w:tcPr>
            <w:tcW w:w="3680" w:type="dxa"/>
            <w:tcBorders>
              <w:top w:val="nil"/>
              <w:left w:val="nil"/>
              <w:bottom w:val="single" w:sz="4" w:space="0" w:color="auto"/>
              <w:right w:val="single" w:sz="4" w:space="0" w:color="auto"/>
            </w:tcBorders>
            <w:shd w:val="clear" w:color="auto" w:fill="auto"/>
            <w:hideMark/>
          </w:tcPr>
          <w:p w14:paraId="11B608D8"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Model Forest Development Plan</w:t>
            </w:r>
          </w:p>
        </w:tc>
        <w:tc>
          <w:tcPr>
            <w:tcW w:w="800" w:type="dxa"/>
            <w:tcBorders>
              <w:top w:val="nil"/>
              <w:left w:val="nil"/>
              <w:bottom w:val="single" w:sz="4" w:space="0" w:color="auto"/>
              <w:right w:val="single" w:sz="4" w:space="0" w:color="auto"/>
            </w:tcBorders>
            <w:shd w:val="clear" w:color="000000" w:fill="AEAAAA"/>
            <w:noWrap/>
            <w:vAlign w:val="bottom"/>
            <w:hideMark/>
          </w:tcPr>
          <w:p w14:paraId="0F7E0EA1"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7203E6E4"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auto" w:fill="auto"/>
            <w:noWrap/>
            <w:vAlign w:val="bottom"/>
            <w:hideMark/>
          </w:tcPr>
          <w:p w14:paraId="1ABD9FB5"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auto" w:fill="auto"/>
            <w:noWrap/>
            <w:vAlign w:val="bottom"/>
            <w:hideMark/>
          </w:tcPr>
          <w:p w14:paraId="77A4A55D"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auto" w:fill="auto"/>
            <w:noWrap/>
            <w:vAlign w:val="bottom"/>
            <w:hideMark/>
          </w:tcPr>
          <w:p w14:paraId="0268CCFC"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r>
      <w:tr w:rsidR="0096196C" w:rsidRPr="0096196C" w14:paraId="46B7934A" w14:textId="77777777" w:rsidTr="0096196C">
        <w:trPr>
          <w:gridAfter w:val="6"/>
          <w:divId w:val="301007021"/>
          <w:wAfter w:w="7680" w:type="dxa"/>
          <w:trHeight w:val="912"/>
        </w:trPr>
        <w:tc>
          <w:tcPr>
            <w:tcW w:w="2220" w:type="dxa"/>
            <w:vMerge/>
            <w:tcBorders>
              <w:top w:val="nil"/>
              <w:left w:val="single" w:sz="4" w:space="0" w:color="auto"/>
              <w:bottom w:val="single" w:sz="4" w:space="0" w:color="000000"/>
              <w:right w:val="single" w:sz="4" w:space="0" w:color="auto"/>
            </w:tcBorders>
            <w:vAlign w:val="center"/>
            <w:hideMark/>
          </w:tcPr>
          <w:p w14:paraId="729A8BB6" w14:textId="77777777" w:rsidR="0096196C" w:rsidRPr="0096196C" w:rsidRDefault="0096196C" w:rsidP="0096196C">
            <w:pPr>
              <w:spacing w:after="0"/>
              <w:jc w:val="left"/>
              <w:rPr>
                <w:rFonts w:eastAsia="Times New Roman"/>
                <w:color w:val="000000"/>
                <w:sz w:val="16"/>
                <w:szCs w:val="16"/>
              </w:rPr>
            </w:pPr>
          </w:p>
        </w:tc>
        <w:tc>
          <w:tcPr>
            <w:tcW w:w="3680" w:type="dxa"/>
            <w:tcBorders>
              <w:top w:val="nil"/>
              <w:left w:val="nil"/>
              <w:bottom w:val="single" w:sz="4" w:space="0" w:color="auto"/>
              <w:right w:val="single" w:sz="4" w:space="0" w:color="auto"/>
            </w:tcBorders>
            <w:shd w:val="clear" w:color="auto" w:fill="auto"/>
            <w:hideMark/>
          </w:tcPr>
          <w:p w14:paraId="2DEEB966"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xml:space="preserve">Support to private forest managers with development and targeted implementation </w:t>
            </w:r>
            <w:proofErr w:type="gramStart"/>
            <w:r w:rsidRPr="0096196C">
              <w:rPr>
                <w:rFonts w:eastAsia="Times New Roman"/>
                <w:color w:val="000000"/>
                <w:sz w:val="16"/>
                <w:szCs w:val="16"/>
              </w:rPr>
              <w:t>of  Forest</w:t>
            </w:r>
            <w:proofErr w:type="gramEnd"/>
            <w:r w:rsidRPr="0096196C">
              <w:rPr>
                <w:rFonts w:eastAsia="Times New Roman"/>
                <w:color w:val="000000"/>
                <w:sz w:val="16"/>
                <w:szCs w:val="16"/>
              </w:rPr>
              <w:t xml:space="preserve"> Management Plans, setting out BD-sensitive targets, adaptive management planning and comprehensive reporting</w:t>
            </w:r>
          </w:p>
        </w:tc>
        <w:tc>
          <w:tcPr>
            <w:tcW w:w="800" w:type="dxa"/>
            <w:tcBorders>
              <w:top w:val="nil"/>
              <w:left w:val="nil"/>
              <w:bottom w:val="single" w:sz="4" w:space="0" w:color="auto"/>
              <w:right w:val="single" w:sz="4" w:space="0" w:color="auto"/>
            </w:tcBorders>
            <w:shd w:val="clear" w:color="000000" w:fill="AEAAAA"/>
            <w:noWrap/>
            <w:vAlign w:val="bottom"/>
            <w:hideMark/>
          </w:tcPr>
          <w:p w14:paraId="3A4B452A"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74A91E31"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16F83803"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4B898875"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auto" w:fill="auto"/>
            <w:noWrap/>
            <w:vAlign w:val="bottom"/>
            <w:hideMark/>
          </w:tcPr>
          <w:p w14:paraId="7644C146"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r>
      <w:tr w:rsidR="0096196C" w:rsidRPr="0096196C" w14:paraId="29CD690B" w14:textId="77777777" w:rsidTr="0096196C">
        <w:trPr>
          <w:gridAfter w:val="6"/>
          <w:divId w:val="301007021"/>
          <w:wAfter w:w="7680" w:type="dxa"/>
          <w:trHeight w:val="612"/>
        </w:trPr>
        <w:tc>
          <w:tcPr>
            <w:tcW w:w="2220" w:type="dxa"/>
            <w:vMerge/>
            <w:tcBorders>
              <w:top w:val="nil"/>
              <w:left w:val="single" w:sz="4" w:space="0" w:color="auto"/>
              <w:bottom w:val="single" w:sz="4" w:space="0" w:color="000000"/>
              <w:right w:val="single" w:sz="4" w:space="0" w:color="auto"/>
            </w:tcBorders>
            <w:vAlign w:val="center"/>
            <w:hideMark/>
          </w:tcPr>
          <w:p w14:paraId="0B9A5747" w14:textId="77777777" w:rsidR="0096196C" w:rsidRPr="0096196C" w:rsidRDefault="0096196C" w:rsidP="0096196C">
            <w:pPr>
              <w:spacing w:after="0"/>
              <w:jc w:val="left"/>
              <w:rPr>
                <w:rFonts w:eastAsia="Times New Roman"/>
                <w:color w:val="000000"/>
                <w:sz w:val="16"/>
                <w:szCs w:val="16"/>
              </w:rPr>
            </w:pPr>
          </w:p>
        </w:tc>
        <w:tc>
          <w:tcPr>
            <w:tcW w:w="3680" w:type="dxa"/>
            <w:tcBorders>
              <w:top w:val="nil"/>
              <w:left w:val="nil"/>
              <w:bottom w:val="single" w:sz="4" w:space="0" w:color="auto"/>
              <w:right w:val="single" w:sz="4" w:space="0" w:color="auto"/>
            </w:tcBorders>
            <w:shd w:val="clear" w:color="auto" w:fill="auto"/>
            <w:hideMark/>
          </w:tcPr>
          <w:p w14:paraId="3B12E6A8"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Incentives for biodiversity-positive entrepreneurship in forestry - development and piloting</w:t>
            </w:r>
          </w:p>
        </w:tc>
        <w:tc>
          <w:tcPr>
            <w:tcW w:w="800" w:type="dxa"/>
            <w:tcBorders>
              <w:top w:val="nil"/>
              <w:left w:val="nil"/>
              <w:bottom w:val="single" w:sz="4" w:space="0" w:color="auto"/>
              <w:right w:val="single" w:sz="4" w:space="0" w:color="auto"/>
            </w:tcBorders>
            <w:shd w:val="clear" w:color="auto" w:fill="auto"/>
            <w:noWrap/>
            <w:vAlign w:val="bottom"/>
            <w:hideMark/>
          </w:tcPr>
          <w:p w14:paraId="5F2786C8"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0A6A9900"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367C4F85"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5A0375D6"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51CC6862"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r>
      <w:tr w:rsidR="0096196C" w:rsidRPr="0096196C" w14:paraId="71EF6EF9" w14:textId="77777777" w:rsidTr="0096196C">
        <w:trPr>
          <w:gridAfter w:val="6"/>
          <w:divId w:val="301007021"/>
          <w:wAfter w:w="7680" w:type="dxa"/>
          <w:trHeight w:val="1296"/>
        </w:trPr>
        <w:tc>
          <w:tcPr>
            <w:tcW w:w="2220" w:type="dxa"/>
            <w:vMerge w:val="restart"/>
            <w:tcBorders>
              <w:top w:val="nil"/>
              <w:left w:val="single" w:sz="4" w:space="0" w:color="auto"/>
              <w:bottom w:val="nil"/>
              <w:right w:val="single" w:sz="4" w:space="0" w:color="auto"/>
            </w:tcBorders>
            <w:shd w:val="clear" w:color="auto" w:fill="auto"/>
            <w:hideMark/>
          </w:tcPr>
          <w:p w14:paraId="4843A4FC" w14:textId="77777777" w:rsidR="0096196C" w:rsidRPr="0096196C" w:rsidRDefault="0096196C" w:rsidP="0096196C">
            <w:pPr>
              <w:spacing w:after="0"/>
              <w:jc w:val="center"/>
              <w:rPr>
                <w:rFonts w:eastAsia="Times New Roman"/>
                <w:color w:val="000000"/>
                <w:sz w:val="16"/>
                <w:szCs w:val="16"/>
              </w:rPr>
            </w:pPr>
            <w:r w:rsidRPr="0096196C">
              <w:rPr>
                <w:rFonts w:eastAsia="Times New Roman"/>
                <w:color w:val="000000"/>
                <w:sz w:val="16"/>
                <w:szCs w:val="16"/>
              </w:rPr>
              <w:t>Output 4.2: Strengthened resilience of High-Conservation Value forests built through targeted technical assistance</w:t>
            </w:r>
          </w:p>
        </w:tc>
        <w:tc>
          <w:tcPr>
            <w:tcW w:w="3680" w:type="dxa"/>
            <w:tcBorders>
              <w:top w:val="nil"/>
              <w:left w:val="nil"/>
              <w:bottom w:val="single" w:sz="4" w:space="0" w:color="auto"/>
              <w:right w:val="single" w:sz="4" w:space="0" w:color="auto"/>
            </w:tcBorders>
            <w:shd w:val="clear" w:color="auto" w:fill="auto"/>
            <w:hideMark/>
          </w:tcPr>
          <w:p w14:paraId="661D3727"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xml:space="preserve">Feasibility analysis: current practices related to fire prevention and management for High-Conservation Value forests (protected and protection forest </w:t>
            </w:r>
            <w:proofErr w:type="spellStart"/>
            <w:r w:rsidRPr="0096196C">
              <w:rPr>
                <w:rFonts w:eastAsia="Times New Roman"/>
                <w:color w:val="000000"/>
                <w:sz w:val="16"/>
                <w:szCs w:val="16"/>
              </w:rPr>
              <w:t>categoriries</w:t>
            </w:r>
            <w:proofErr w:type="spellEnd"/>
            <w:r w:rsidRPr="0096196C">
              <w:rPr>
                <w:rFonts w:eastAsia="Times New Roman"/>
                <w:color w:val="000000"/>
                <w:sz w:val="16"/>
                <w:szCs w:val="16"/>
              </w:rPr>
              <w:t xml:space="preserve">), regulatory obstacles, capacity </w:t>
            </w:r>
            <w:proofErr w:type="gramStart"/>
            <w:r w:rsidRPr="0096196C">
              <w:rPr>
                <w:rFonts w:eastAsia="Times New Roman"/>
                <w:color w:val="000000"/>
                <w:sz w:val="16"/>
                <w:szCs w:val="16"/>
              </w:rPr>
              <w:t>constraints,  analysis</w:t>
            </w:r>
            <w:proofErr w:type="gramEnd"/>
            <w:r w:rsidRPr="0096196C">
              <w:rPr>
                <w:rFonts w:eastAsia="Times New Roman"/>
                <w:color w:val="000000"/>
                <w:sz w:val="16"/>
                <w:szCs w:val="16"/>
              </w:rPr>
              <w:t xml:space="preserve"> of applicable best practice in HCVF management</w:t>
            </w:r>
          </w:p>
        </w:tc>
        <w:tc>
          <w:tcPr>
            <w:tcW w:w="800" w:type="dxa"/>
            <w:tcBorders>
              <w:top w:val="nil"/>
              <w:left w:val="nil"/>
              <w:bottom w:val="single" w:sz="4" w:space="0" w:color="auto"/>
              <w:right w:val="single" w:sz="4" w:space="0" w:color="auto"/>
            </w:tcBorders>
            <w:shd w:val="clear" w:color="000000" w:fill="AEAAAA"/>
            <w:noWrap/>
            <w:vAlign w:val="bottom"/>
            <w:hideMark/>
          </w:tcPr>
          <w:p w14:paraId="09D9CAAF"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auto" w:fill="auto"/>
            <w:noWrap/>
            <w:vAlign w:val="bottom"/>
            <w:hideMark/>
          </w:tcPr>
          <w:p w14:paraId="03414430"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auto" w:fill="auto"/>
            <w:noWrap/>
            <w:vAlign w:val="bottom"/>
            <w:hideMark/>
          </w:tcPr>
          <w:p w14:paraId="79E1AA25"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auto" w:fill="auto"/>
            <w:noWrap/>
            <w:vAlign w:val="bottom"/>
            <w:hideMark/>
          </w:tcPr>
          <w:p w14:paraId="61493CEF"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auto" w:fill="auto"/>
            <w:noWrap/>
            <w:vAlign w:val="bottom"/>
            <w:hideMark/>
          </w:tcPr>
          <w:p w14:paraId="51B39888"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r>
      <w:tr w:rsidR="0096196C" w:rsidRPr="0096196C" w14:paraId="5F2BFCB9" w14:textId="77777777" w:rsidTr="0096196C">
        <w:trPr>
          <w:gridAfter w:val="6"/>
          <w:divId w:val="301007021"/>
          <w:wAfter w:w="7680" w:type="dxa"/>
          <w:trHeight w:val="960"/>
        </w:trPr>
        <w:tc>
          <w:tcPr>
            <w:tcW w:w="2220" w:type="dxa"/>
            <w:vMerge/>
            <w:tcBorders>
              <w:top w:val="nil"/>
              <w:left w:val="single" w:sz="4" w:space="0" w:color="auto"/>
              <w:bottom w:val="nil"/>
              <w:right w:val="single" w:sz="4" w:space="0" w:color="auto"/>
            </w:tcBorders>
            <w:vAlign w:val="center"/>
            <w:hideMark/>
          </w:tcPr>
          <w:p w14:paraId="098130EF" w14:textId="77777777" w:rsidR="0096196C" w:rsidRPr="0096196C" w:rsidRDefault="0096196C" w:rsidP="0096196C">
            <w:pPr>
              <w:spacing w:after="0"/>
              <w:jc w:val="left"/>
              <w:rPr>
                <w:rFonts w:eastAsia="Times New Roman"/>
                <w:color w:val="000000"/>
                <w:sz w:val="16"/>
                <w:szCs w:val="16"/>
              </w:rPr>
            </w:pPr>
          </w:p>
        </w:tc>
        <w:tc>
          <w:tcPr>
            <w:tcW w:w="3680" w:type="dxa"/>
            <w:tcBorders>
              <w:top w:val="nil"/>
              <w:left w:val="nil"/>
              <w:bottom w:val="single" w:sz="4" w:space="0" w:color="auto"/>
              <w:right w:val="single" w:sz="4" w:space="0" w:color="auto"/>
            </w:tcBorders>
            <w:shd w:val="clear" w:color="auto" w:fill="auto"/>
            <w:hideMark/>
          </w:tcPr>
          <w:p w14:paraId="3C3EF8A5" w14:textId="77777777" w:rsidR="0096196C" w:rsidRPr="0096196C" w:rsidRDefault="0096196C" w:rsidP="0096196C">
            <w:pPr>
              <w:spacing w:after="0"/>
              <w:jc w:val="left"/>
              <w:rPr>
                <w:rFonts w:eastAsia="Times New Roman"/>
                <w:sz w:val="16"/>
                <w:szCs w:val="16"/>
              </w:rPr>
            </w:pPr>
            <w:r w:rsidRPr="0096196C">
              <w:rPr>
                <w:rFonts w:eastAsia="Times New Roman"/>
                <w:sz w:val="16"/>
                <w:szCs w:val="16"/>
              </w:rPr>
              <w:t xml:space="preserve">Demonstration of best practice for fire remediation and testing of applicable restoration techniques; targeted reforestation of demo </w:t>
            </w:r>
            <w:proofErr w:type="gramStart"/>
            <w:r w:rsidRPr="0096196C">
              <w:rPr>
                <w:rFonts w:eastAsia="Times New Roman"/>
                <w:sz w:val="16"/>
                <w:szCs w:val="16"/>
              </w:rPr>
              <w:t>plots;  support</w:t>
            </w:r>
            <w:proofErr w:type="gramEnd"/>
            <w:r w:rsidRPr="0096196C">
              <w:rPr>
                <w:rFonts w:eastAsia="Times New Roman"/>
                <w:sz w:val="16"/>
                <w:szCs w:val="16"/>
              </w:rPr>
              <w:t xml:space="preserve"> to private nurseries </w:t>
            </w:r>
          </w:p>
        </w:tc>
        <w:tc>
          <w:tcPr>
            <w:tcW w:w="800" w:type="dxa"/>
            <w:tcBorders>
              <w:top w:val="nil"/>
              <w:left w:val="nil"/>
              <w:bottom w:val="single" w:sz="4" w:space="0" w:color="auto"/>
              <w:right w:val="single" w:sz="4" w:space="0" w:color="auto"/>
            </w:tcBorders>
            <w:shd w:val="clear" w:color="auto" w:fill="auto"/>
            <w:noWrap/>
            <w:vAlign w:val="bottom"/>
            <w:hideMark/>
          </w:tcPr>
          <w:p w14:paraId="56D5B824"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600633FD"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690554DD"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0C9587F7"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5F8DD4DD"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r>
      <w:tr w:rsidR="0096196C" w:rsidRPr="0096196C" w14:paraId="32C2D323" w14:textId="77777777" w:rsidTr="0096196C">
        <w:trPr>
          <w:gridAfter w:val="6"/>
          <w:divId w:val="301007021"/>
          <w:wAfter w:w="7680" w:type="dxa"/>
          <w:trHeight w:val="924"/>
        </w:trPr>
        <w:tc>
          <w:tcPr>
            <w:tcW w:w="2220" w:type="dxa"/>
            <w:vMerge/>
            <w:tcBorders>
              <w:top w:val="nil"/>
              <w:left w:val="single" w:sz="4" w:space="0" w:color="auto"/>
              <w:bottom w:val="nil"/>
              <w:right w:val="single" w:sz="4" w:space="0" w:color="auto"/>
            </w:tcBorders>
            <w:vAlign w:val="center"/>
            <w:hideMark/>
          </w:tcPr>
          <w:p w14:paraId="358B2843" w14:textId="77777777" w:rsidR="0096196C" w:rsidRPr="0096196C" w:rsidRDefault="0096196C" w:rsidP="0096196C">
            <w:pPr>
              <w:spacing w:after="0"/>
              <w:jc w:val="left"/>
              <w:rPr>
                <w:rFonts w:eastAsia="Times New Roman"/>
                <w:color w:val="000000"/>
                <w:sz w:val="16"/>
                <w:szCs w:val="16"/>
              </w:rPr>
            </w:pPr>
          </w:p>
        </w:tc>
        <w:tc>
          <w:tcPr>
            <w:tcW w:w="3680" w:type="dxa"/>
            <w:tcBorders>
              <w:top w:val="nil"/>
              <w:left w:val="nil"/>
              <w:bottom w:val="single" w:sz="4" w:space="0" w:color="auto"/>
              <w:right w:val="single" w:sz="4" w:space="0" w:color="auto"/>
            </w:tcBorders>
            <w:shd w:val="clear" w:color="auto" w:fill="auto"/>
            <w:hideMark/>
          </w:tcPr>
          <w:p w14:paraId="36947120" w14:textId="77777777" w:rsidR="0096196C" w:rsidRPr="0096196C" w:rsidRDefault="0096196C" w:rsidP="0096196C">
            <w:pPr>
              <w:spacing w:after="0"/>
              <w:jc w:val="left"/>
              <w:rPr>
                <w:rFonts w:eastAsia="Times New Roman"/>
                <w:sz w:val="16"/>
                <w:szCs w:val="16"/>
              </w:rPr>
            </w:pPr>
            <w:r w:rsidRPr="0096196C">
              <w:rPr>
                <w:rFonts w:eastAsia="Times New Roman"/>
                <w:sz w:val="16"/>
                <w:szCs w:val="16"/>
              </w:rPr>
              <w:t>Best practice guide for fire remediation and test the management/finance models for the restoration of privately owned degraded forests, with a focus on KBAs</w:t>
            </w:r>
          </w:p>
        </w:tc>
        <w:tc>
          <w:tcPr>
            <w:tcW w:w="800" w:type="dxa"/>
            <w:tcBorders>
              <w:top w:val="nil"/>
              <w:left w:val="nil"/>
              <w:bottom w:val="single" w:sz="4" w:space="0" w:color="auto"/>
              <w:right w:val="single" w:sz="4" w:space="0" w:color="auto"/>
            </w:tcBorders>
            <w:shd w:val="clear" w:color="auto" w:fill="auto"/>
            <w:noWrap/>
            <w:vAlign w:val="bottom"/>
            <w:hideMark/>
          </w:tcPr>
          <w:p w14:paraId="77C4A9D8"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auto" w:fill="auto"/>
            <w:noWrap/>
            <w:vAlign w:val="bottom"/>
            <w:hideMark/>
          </w:tcPr>
          <w:p w14:paraId="4EB4BFC6"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auto" w:fill="auto"/>
            <w:noWrap/>
            <w:vAlign w:val="bottom"/>
            <w:hideMark/>
          </w:tcPr>
          <w:p w14:paraId="072DF5F6"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auto" w:fill="auto"/>
            <w:noWrap/>
            <w:vAlign w:val="bottom"/>
            <w:hideMark/>
          </w:tcPr>
          <w:p w14:paraId="0941887B"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321D8D4F"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r>
      <w:tr w:rsidR="0096196C" w:rsidRPr="0096196C" w14:paraId="52F2347A" w14:textId="77777777" w:rsidTr="0096196C">
        <w:trPr>
          <w:gridAfter w:val="6"/>
          <w:divId w:val="301007021"/>
          <w:wAfter w:w="7680" w:type="dxa"/>
          <w:trHeight w:val="660"/>
        </w:trPr>
        <w:tc>
          <w:tcPr>
            <w:tcW w:w="2220" w:type="dxa"/>
            <w:vMerge/>
            <w:tcBorders>
              <w:top w:val="nil"/>
              <w:left w:val="single" w:sz="4" w:space="0" w:color="auto"/>
              <w:bottom w:val="nil"/>
              <w:right w:val="single" w:sz="4" w:space="0" w:color="auto"/>
            </w:tcBorders>
            <w:vAlign w:val="center"/>
            <w:hideMark/>
          </w:tcPr>
          <w:p w14:paraId="772AAB78" w14:textId="77777777" w:rsidR="0096196C" w:rsidRPr="0096196C" w:rsidRDefault="0096196C" w:rsidP="0096196C">
            <w:pPr>
              <w:spacing w:after="0"/>
              <w:jc w:val="left"/>
              <w:rPr>
                <w:rFonts w:eastAsia="Times New Roman"/>
                <w:color w:val="000000"/>
                <w:sz w:val="16"/>
                <w:szCs w:val="16"/>
              </w:rPr>
            </w:pPr>
          </w:p>
        </w:tc>
        <w:tc>
          <w:tcPr>
            <w:tcW w:w="3680" w:type="dxa"/>
            <w:tcBorders>
              <w:top w:val="nil"/>
              <w:left w:val="nil"/>
              <w:bottom w:val="single" w:sz="4" w:space="0" w:color="auto"/>
              <w:right w:val="single" w:sz="4" w:space="0" w:color="auto"/>
            </w:tcBorders>
            <w:shd w:val="clear" w:color="auto" w:fill="auto"/>
            <w:hideMark/>
          </w:tcPr>
          <w:p w14:paraId="3B011EEB" w14:textId="77777777" w:rsidR="0096196C" w:rsidRPr="0096196C" w:rsidRDefault="0096196C" w:rsidP="0096196C">
            <w:pPr>
              <w:spacing w:after="0"/>
              <w:jc w:val="left"/>
              <w:rPr>
                <w:rFonts w:eastAsia="Times New Roman"/>
                <w:sz w:val="16"/>
                <w:szCs w:val="16"/>
              </w:rPr>
            </w:pPr>
            <w:r w:rsidRPr="0096196C">
              <w:rPr>
                <w:rFonts w:eastAsia="Times New Roman"/>
                <w:sz w:val="16"/>
                <w:szCs w:val="16"/>
              </w:rPr>
              <w:t>Management/finance models for the restoration of privately owned degraded forests, with a focus on KBAs</w:t>
            </w:r>
          </w:p>
        </w:tc>
        <w:tc>
          <w:tcPr>
            <w:tcW w:w="800" w:type="dxa"/>
            <w:tcBorders>
              <w:top w:val="nil"/>
              <w:left w:val="nil"/>
              <w:bottom w:val="single" w:sz="4" w:space="0" w:color="auto"/>
              <w:right w:val="single" w:sz="4" w:space="0" w:color="auto"/>
            </w:tcBorders>
            <w:shd w:val="clear" w:color="auto" w:fill="auto"/>
            <w:noWrap/>
            <w:vAlign w:val="bottom"/>
            <w:hideMark/>
          </w:tcPr>
          <w:p w14:paraId="350BEED2"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auto" w:fill="auto"/>
            <w:noWrap/>
            <w:vAlign w:val="bottom"/>
            <w:hideMark/>
          </w:tcPr>
          <w:p w14:paraId="25D5B2C7"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auto" w:fill="auto"/>
            <w:noWrap/>
            <w:vAlign w:val="bottom"/>
            <w:hideMark/>
          </w:tcPr>
          <w:p w14:paraId="12383085"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10AA28F3"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6AF1A274"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r>
      <w:tr w:rsidR="0096196C" w:rsidRPr="0096196C" w14:paraId="35EA10D8" w14:textId="77777777" w:rsidTr="0096196C">
        <w:trPr>
          <w:gridAfter w:val="6"/>
          <w:divId w:val="301007021"/>
          <w:wAfter w:w="7680" w:type="dxa"/>
          <w:trHeight w:val="1548"/>
        </w:trPr>
        <w:tc>
          <w:tcPr>
            <w:tcW w:w="2220" w:type="dxa"/>
            <w:vMerge/>
            <w:tcBorders>
              <w:top w:val="nil"/>
              <w:left w:val="single" w:sz="4" w:space="0" w:color="auto"/>
              <w:bottom w:val="nil"/>
              <w:right w:val="single" w:sz="4" w:space="0" w:color="auto"/>
            </w:tcBorders>
            <w:vAlign w:val="center"/>
            <w:hideMark/>
          </w:tcPr>
          <w:p w14:paraId="30D3FB5F" w14:textId="77777777" w:rsidR="0096196C" w:rsidRPr="0096196C" w:rsidRDefault="0096196C" w:rsidP="0096196C">
            <w:pPr>
              <w:spacing w:after="0"/>
              <w:jc w:val="left"/>
              <w:rPr>
                <w:rFonts w:eastAsia="Times New Roman"/>
                <w:color w:val="000000"/>
                <w:sz w:val="16"/>
                <w:szCs w:val="16"/>
              </w:rPr>
            </w:pPr>
          </w:p>
        </w:tc>
        <w:tc>
          <w:tcPr>
            <w:tcW w:w="3680" w:type="dxa"/>
            <w:tcBorders>
              <w:top w:val="nil"/>
              <w:left w:val="nil"/>
              <w:bottom w:val="single" w:sz="4" w:space="0" w:color="auto"/>
              <w:right w:val="single" w:sz="4" w:space="0" w:color="auto"/>
            </w:tcBorders>
            <w:shd w:val="clear" w:color="auto" w:fill="auto"/>
            <w:hideMark/>
          </w:tcPr>
          <w:p w14:paraId="4F5F3730" w14:textId="77777777" w:rsidR="0096196C" w:rsidRPr="0096196C" w:rsidRDefault="0096196C" w:rsidP="0096196C">
            <w:pPr>
              <w:spacing w:after="0"/>
              <w:jc w:val="left"/>
              <w:rPr>
                <w:rFonts w:eastAsia="Times New Roman"/>
                <w:sz w:val="16"/>
                <w:szCs w:val="16"/>
              </w:rPr>
            </w:pPr>
            <w:r w:rsidRPr="0096196C">
              <w:rPr>
                <w:rFonts w:eastAsia="Times New Roman"/>
                <w:sz w:val="16"/>
                <w:szCs w:val="16"/>
              </w:rPr>
              <w:t xml:space="preserve">Coordination of the wildland fire management activities </w:t>
            </w:r>
            <w:proofErr w:type="spellStart"/>
            <w:r w:rsidRPr="0096196C">
              <w:rPr>
                <w:rFonts w:eastAsia="Times New Roman"/>
                <w:sz w:val="16"/>
                <w:szCs w:val="16"/>
              </w:rPr>
              <w:t>activities</w:t>
            </w:r>
            <w:proofErr w:type="spellEnd"/>
            <w:r w:rsidRPr="0096196C">
              <w:rPr>
                <w:rFonts w:eastAsia="Times New Roman"/>
                <w:sz w:val="16"/>
                <w:szCs w:val="16"/>
              </w:rPr>
              <w:t xml:space="preserve"> (planning and implementation of wildfire preparedness, wildfire suppression, hazardous fuels reduction, landscape restoration and rehabilitation, fire reporting and communication and education). Support to rapid response community fire-fighting teams</w:t>
            </w:r>
          </w:p>
        </w:tc>
        <w:tc>
          <w:tcPr>
            <w:tcW w:w="800" w:type="dxa"/>
            <w:tcBorders>
              <w:top w:val="nil"/>
              <w:left w:val="nil"/>
              <w:bottom w:val="single" w:sz="4" w:space="0" w:color="auto"/>
              <w:right w:val="single" w:sz="4" w:space="0" w:color="auto"/>
            </w:tcBorders>
            <w:shd w:val="clear" w:color="auto" w:fill="auto"/>
            <w:noWrap/>
            <w:vAlign w:val="bottom"/>
            <w:hideMark/>
          </w:tcPr>
          <w:p w14:paraId="12D517D0"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13FF4535"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430EB009"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25842270"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5929DC02"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r>
      <w:tr w:rsidR="0096196C" w:rsidRPr="0096196C" w14:paraId="412DAA3D" w14:textId="77777777" w:rsidTr="0096196C">
        <w:trPr>
          <w:gridAfter w:val="6"/>
          <w:divId w:val="301007021"/>
          <w:wAfter w:w="7680" w:type="dxa"/>
          <w:trHeight w:val="204"/>
        </w:trPr>
        <w:tc>
          <w:tcPr>
            <w:tcW w:w="9900" w:type="dxa"/>
            <w:gridSpan w:val="7"/>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6F94F952" w14:textId="77777777" w:rsidR="0096196C" w:rsidRPr="0096196C" w:rsidRDefault="0096196C" w:rsidP="0096196C">
            <w:pPr>
              <w:spacing w:after="0"/>
              <w:jc w:val="left"/>
              <w:rPr>
                <w:rFonts w:eastAsia="Times New Roman"/>
                <w:b/>
                <w:bCs/>
                <w:color w:val="000000"/>
                <w:sz w:val="16"/>
                <w:szCs w:val="16"/>
              </w:rPr>
            </w:pPr>
            <w:r w:rsidRPr="0096196C">
              <w:rPr>
                <w:rFonts w:eastAsia="Times New Roman"/>
                <w:b/>
                <w:bCs/>
                <w:color w:val="000000"/>
                <w:sz w:val="16"/>
                <w:szCs w:val="16"/>
              </w:rPr>
              <w:t>Outcome 5: BD conservation considerations mainstreamed into agricultural policies and practices around KBAs</w:t>
            </w:r>
          </w:p>
        </w:tc>
      </w:tr>
      <w:tr w:rsidR="0096196C" w:rsidRPr="0096196C" w14:paraId="70CC0D95" w14:textId="77777777" w:rsidTr="0096196C">
        <w:trPr>
          <w:gridAfter w:val="6"/>
          <w:divId w:val="301007021"/>
          <w:wAfter w:w="7680" w:type="dxa"/>
          <w:trHeight w:val="1224"/>
        </w:trPr>
        <w:tc>
          <w:tcPr>
            <w:tcW w:w="2220" w:type="dxa"/>
            <w:vMerge w:val="restart"/>
            <w:tcBorders>
              <w:top w:val="nil"/>
              <w:left w:val="single" w:sz="4" w:space="0" w:color="auto"/>
              <w:bottom w:val="nil"/>
              <w:right w:val="single" w:sz="4" w:space="0" w:color="auto"/>
            </w:tcBorders>
            <w:shd w:val="clear" w:color="auto" w:fill="auto"/>
            <w:hideMark/>
          </w:tcPr>
          <w:p w14:paraId="0FE8ABEC" w14:textId="77777777" w:rsidR="0096196C" w:rsidRPr="0096196C" w:rsidRDefault="0096196C" w:rsidP="0096196C">
            <w:pPr>
              <w:spacing w:after="0"/>
              <w:jc w:val="center"/>
              <w:rPr>
                <w:rFonts w:eastAsia="Times New Roman"/>
                <w:color w:val="000000"/>
                <w:sz w:val="16"/>
                <w:szCs w:val="16"/>
              </w:rPr>
            </w:pPr>
            <w:r w:rsidRPr="0096196C">
              <w:rPr>
                <w:rFonts w:eastAsia="Times New Roman"/>
                <w:color w:val="000000"/>
                <w:sz w:val="16"/>
                <w:szCs w:val="16"/>
              </w:rPr>
              <w:t>Output 5.1: Biodiversity conservation incentives for “green” small-scale farming introduced</w:t>
            </w:r>
          </w:p>
        </w:tc>
        <w:tc>
          <w:tcPr>
            <w:tcW w:w="3680" w:type="dxa"/>
            <w:tcBorders>
              <w:top w:val="nil"/>
              <w:left w:val="nil"/>
              <w:bottom w:val="single" w:sz="4" w:space="0" w:color="auto"/>
              <w:right w:val="single" w:sz="4" w:space="0" w:color="auto"/>
            </w:tcBorders>
            <w:shd w:val="clear" w:color="auto" w:fill="auto"/>
            <w:hideMark/>
          </w:tcPr>
          <w:p w14:paraId="6C183454"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xml:space="preserve">SWOT analysis of the existing agricultural subsidies. Recommendations on how existing direct payments scheme can be amended to support agricultural producers to encourage them to switch to more sustainable and biodiversity-friendly agricultural practices </w:t>
            </w:r>
          </w:p>
        </w:tc>
        <w:tc>
          <w:tcPr>
            <w:tcW w:w="800" w:type="dxa"/>
            <w:tcBorders>
              <w:top w:val="nil"/>
              <w:left w:val="nil"/>
              <w:bottom w:val="single" w:sz="4" w:space="0" w:color="auto"/>
              <w:right w:val="single" w:sz="4" w:space="0" w:color="auto"/>
            </w:tcBorders>
            <w:shd w:val="clear" w:color="000000" w:fill="AEAAAA"/>
            <w:noWrap/>
            <w:vAlign w:val="bottom"/>
            <w:hideMark/>
          </w:tcPr>
          <w:p w14:paraId="779C722C"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47D50555"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auto" w:fill="auto"/>
            <w:noWrap/>
            <w:vAlign w:val="bottom"/>
            <w:hideMark/>
          </w:tcPr>
          <w:p w14:paraId="523A77C0"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auto" w:fill="auto"/>
            <w:noWrap/>
            <w:vAlign w:val="bottom"/>
            <w:hideMark/>
          </w:tcPr>
          <w:p w14:paraId="2810F3D7"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auto" w:fill="auto"/>
            <w:noWrap/>
            <w:vAlign w:val="bottom"/>
            <w:hideMark/>
          </w:tcPr>
          <w:p w14:paraId="2D6758F2"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r>
      <w:tr w:rsidR="0096196C" w:rsidRPr="0096196C" w14:paraId="1B5F32FF" w14:textId="77777777" w:rsidTr="0096196C">
        <w:trPr>
          <w:gridAfter w:val="6"/>
          <w:divId w:val="301007021"/>
          <w:wAfter w:w="7680" w:type="dxa"/>
          <w:trHeight w:val="1680"/>
        </w:trPr>
        <w:tc>
          <w:tcPr>
            <w:tcW w:w="2220" w:type="dxa"/>
            <w:vMerge/>
            <w:tcBorders>
              <w:top w:val="nil"/>
              <w:left w:val="single" w:sz="4" w:space="0" w:color="auto"/>
              <w:bottom w:val="nil"/>
              <w:right w:val="single" w:sz="4" w:space="0" w:color="auto"/>
            </w:tcBorders>
            <w:vAlign w:val="center"/>
            <w:hideMark/>
          </w:tcPr>
          <w:p w14:paraId="5F320CE1" w14:textId="77777777" w:rsidR="0096196C" w:rsidRPr="0096196C" w:rsidRDefault="0096196C" w:rsidP="0096196C">
            <w:pPr>
              <w:spacing w:after="0"/>
              <w:jc w:val="left"/>
              <w:rPr>
                <w:rFonts w:eastAsia="Times New Roman"/>
                <w:color w:val="000000"/>
                <w:sz w:val="16"/>
                <w:szCs w:val="16"/>
              </w:rPr>
            </w:pPr>
          </w:p>
        </w:tc>
        <w:tc>
          <w:tcPr>
            <w:tcW w:w="3680" w:type="dxa"/>
            <w:tcBorders>
              <w:top w:val="nil"/>
              <w:left w:val="nil"/>
              <w:bottom w:val="single" w:sz="4" w:space="0" w:color="auto"/>
              <w:right w:val="single" w:sz="4" w:space="0" w:color="auto"/>
            </w:tcBorders>
            <w:shd w:val="clear" w:color="auto" w:fill="auto"/>
            <w:hideMark/>
          </w:tcPr>
          <w:p w14:paraId="1E250867"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xml:space="preserve">"Green" subsidies </w:t>
            </w:r>
            <w:proofErr w:type="spellStart"/>
            <w:r w:rsidRPr="0096196C">
              <w:rPr>
                <w:rFonts w:eastAsia="Times New Roman"/>
                <w:color w:val="000000"/>
                <w:sz w:val="16"/>
                <w:szCs w:val="16"/>
              </w:rPr>
              <w:t>programme</w:t>
            </w:r>
            <w:proofErr w:type="spellEnd"/>
            <w:r w:rsidRPr="0096196C">
              <w:rPr>
                <w:rFonts w:eastAsia="Times New Roman"/>
                <w:color w:val="000000"/>
                <w:sz w:val="16"/>
                <w:szCs w:val="16"/>
              </w:rPr>
              <w:t xml:space="preserve"> </w:t>
            </w:r>
            <w:proofErr w:type="spellStart"/>
            <w:proofErr w:type="gramStart"/>
            <w:r w:rsidRPr="0096196C">
              <w:rPr>
                <w:rFonts w:eastAsia="Times New Roman"/>
                <w:color w:val="000000"/>
                <w:sz w:val="16"/>
                <w:szCs w:val="16"/>
              </w:rPr>
              <w:t>design:plan</w:t>
            </w:r>
            <w:proofErr w:type="spellEnd"/>
            <w:proofErr w:type="gramEnd"/>
            <w:r w:rsidRPr="0096196C">
              <w:rPr>
                <w:rFonts w:eastAsia="Times New Roman"/>
                <w:color w:val="000000"/>
                <w:sz w:val="16"/>
                <w:szCs w:val="16"/>
              </w:rPr>
              <w:t xml:space="preserve"> for </w:t>
            </w:r>
            <w:proofErr w:type="spellStart"/>
            <w:r w:rsidRPr="0096196C">
              <w:rPr>
                <w:rFonts w:eastAsia="Times New Roman"/>
                <w:color w:val="000000"/>
                <w:sz w:val="16"/>
                <w:szCs w:val="16"/>
              </w:rPr>
              <w:t>operationalisation</w:t>
            </w:r>
            <w:proofErr w:type="spellEnd"/>
            <w:r w:rsidRPr="0096196C">
              <w:rPr>
                <w:rFonts w:eastAsia="Times New Roman"/>
                <w:color w:val="000000"/>
                <w:sz w:val="16"/>
                <w:szCs w:val="16"/>
              </w:rPr>
              <w:t>, an institutional framework, selection criteria for participants and eligibility criteria for farming activities/technologies/equipment, check-up criteria and mechanisms, capacity building activities, administration of the financial resources of the green payments program, reporting, monitoring and evaluation mechanisms</w:t>
            </w:r>
          </w:p>
        </w:tc>
        <w:tc>
          <w:tcPr>
            <w:tcW w:w="800" w:type="dxa"/>
            <w:tcBorders>
              <w:top w:val="nil"/>
              <w:left w:val="nil"/>
              <w:bottom w:val="single" w:sz="4" w:space="0" w:color="auto"/>
              <w:right w:val="single" w:sz="4" w:space="0" w:color="auto"/>
            </w:tcBorders>
            <w:shd w:val="clear" w:color="000000" w:fill="AEAAAA"/>
            <w:noWrap/>
            <w:vAlign w:val="bottom"/>
            <w:hideMark/>
          </w:tcPr>
          <w:p w14:paraId="0DC02A24"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201D6EF0"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auto" w:fill="auto"/>
            <w:noWrap/>
            <w:vAlign w:val="bottom"/>
            <w:hideMark/>
          </w:tcPr>
          <w:p w14:paraId="2435A815"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auto" w:fill="auto"/>
            <w:noWrap/>
            <w:vAlign w:val="bottom"/>
            <w:hideMark/>
          </w:tcPr>
          <w:p w14:paraId="397DFEA1"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auto" w:fill="auto"/>
            <w:noWrap/>
            <w:vAlign w:val="bottom"/>
            <w:hideMark/>
          </w:tcPr>
          <w:p w14:paraId="319E2787"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r>
      <w:tr w:rsidR="0096196C" w:rsidRPr="0096196C" w14:paraId="148D101D" w14:textId="77777777" w:rsidTr="0096196C">
        <w:trPr>
          <w:gridAfter w:val="6"/>
          <w:divId w:val="301007021"/>
          <w:wAfter w:w="7680" w:type="dxa"/>
          <w:trHeight w:val="1080"/>
        </w:trPr>
        <w:tc>
          <w:tcPr>
            <w:tcW w:w="2220" w:type="dxa"/>
            <w:vMerge/>
            <w:tcBorders>
              <w:top w:val="nil"/>
              <w:left w:val="single" w:sz="4" w:space="0" w:color="auto"/>
              <w:bottom w:val="nil"/>
              <w:right w:val="single" w:sz="4" w:space="0" w:color="auto"/>
            </w:tcBorders>
            <w:vAlign w:val="center"/>
            <w:hideMark/>
          </w:tcPr>
          <w:p w14:paraId="2E342905" w14:textId="77777777" w:rsidR="0096196C" w:rsidRPr="0096196C" w:rsidRDefault="0096196C" w:rsidP="0096196C">
            <w:pPr>
              <w:spacing w:after="0"/>
              <w:jc w:val="left"/>
              <w:rPr>
                <w:rFonts w:eastAsia="Times New Roman"/>
                <w:color w:val="000000"/>
                <w:sz w:val="16"/>
                <w:szCs w:val="16"/>
              </w:rPr>
            </w:pPr>
          </w:p>
        </w:tc>
        <w:tc>
          <w:tcPr>
            <w:tcW w:w="3680" w:type="dxa"/>
            <w:tcBorders>
              <w:top w:val="nil"/>
              <w:left w:val="nil"/>
              <w:bottom w:val="single" w:sz="4" w:space="0" w:color="auto"/>
              <w:right w:val="single" w:sz="4" w:space="0" w:color="auto"/>
            </w:tcBorders>
            <w:shd w:val="clear" w:color="auto" w:fill="auto"/>
            <w:hideMark/>
          </w:tcPr>
          <w:p w14:paraId="22166A21"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xml:space="preserve">Support to "green" payment scheme: preparation and dissemination of the information package; consultation with proponents; screening of proposals; M&amp;E of the “green” payment </w:t>
            </w:r>
            <w:proofErr w:type="spellStart"/>
            <w:proofErr w:type="gramStart"/>
            <w:r w:rsidRPr="0096196C">
              <w:rPr>
                <w:rFonts w:eastAsia="Times New Roman"/>
                <w:color w:val="000000"/>
                <w:sz w:val="16"/>
                <w:szCs w:val="16"/>
              </w:rPr>
              <w:t>programme</w:t>
            </w:r>
            <w:proofErr w:type="spellEnd"/>
            <w:r w:rsidRPr="0096196C">
              <w:rPr>
                <w:rFonts w:eastAsia="Times New Roman"/>
                <w:color w:val="000000"/>
                <w:sz w:val="16"/>
                <w:szCs w:val="16"/>
              </w:rPr>
              <w:t xml:space="preserve"> ;</w:t>
            </w:r>
            <w:proofErr w:type="gramEnd"/>
            <w:r w:rsidRPr="0096196C">
              <w:rPr>
                <w:rFonts w:eastAsia="Times New Roman"/>
                <w:color w:val="000000"/>
                <w:sz w:val="16"/>
                <w:szCs w:val="16"/>
              </w:rPr>
              <w:t xml:space="preserve"> results and lessons learned</w:t>
            </w:r>
          </w:p>
        </w:tc>
        <w:tc>
          <w:tcPr>
            <w:tcW w:w="800" w:type="dxa"/>
            <w:tcBorders>
              <w:top w:val="nil"/>
              <w:left w:val="nil"/>
              <w:bottom w:val="single" w:sz="4" w:space="0" w:color="auto"/>
              <w:right w:val="single" w:sz="4" w:space="0" w:color="auto"/>
            </w:tcBorders>
            <w:shd w:val="clear" w:color="000000" w:fill="AEAAAA"/>
            <w:noWrap/>
            <w:vAlign w:val="bottom"/>
            <w:hideMark/>
          </w:tcPr>
          <w:p w14:paraId="50F22823"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74FAB0BC"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505B1D53"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5280CAE6"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31F4B9EA"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r>
      <w:tr w:rsidR="0096196C" w:rsidRPr="0096196C" w14:paraId="2C101287" w14:textId="77777777" w:rsidTr="0096196C">
        <w:trPr>
          <w:gridAfter w:val="6"/>
          <w:divId w:val="301007021"/>
          <w:wAfter w:w="7680" w:type="dxa"/>
          <w:trHeight w:val="948"/>
        </w:trPr>
        <w:tc>
          <w:tcPr>
            <w:tcW w:w="2220" w:type="dxa"/>
            <w:vMerge w:val="restart"/>
            <w:tcBorders>
              <w:top w:val="single" w:sz="4" w:space="0" w:color="auto"/>
              <w:left w:val="single" w:sz="4" w:space="0" w:color="auto"/>
              <w:bottom w:val="nil"/>
              <w:right w:val="single" w:sz="4" w:space="0" w:color="auto"/>
            </w:tcBorders>
            <w:shd w:val="clear" w:color="auto" w:fill="auto"/>
            <w:hideMark/>
          </w:tcPr>
          <w:p w14:paraId="02AFF4AB" w14:textId="77777777" w:rsidR="0096196C" w:rsidRPr="0096196C" w:rsidRDefault="0096196C" w:rsidP="0096196C">
            <w:pPr>
              <w:spacing w:after="0"/>
              <w:jc w:val="center"/>
              <w:rPr>
                <w:rFonts w:eastAsia="Times New Roman"/>
                <w:color w:val="000000"/>
                <w:sz w:val="16"/>
                <w:szCs w:val="16"/>
              </w:rPr>
            </w:pPr>
            <w:r w:rsidRPr="0096196C">
              <w:rPr>
                <w:rFonts w:eastAsia="Times New Roman"/>
                <w:color w:val="000000"/>
                <w:sz w:val="16"/>
                <w:szCs w:val="16"/>
              </w:rPr>
              <w:t xml:space="preserve">Output 5.2: </w:t>
            </w:r>
            <w:proofErr w:type="spellStart"/>
            <w:r w:rsidRPr="0096196C">
              <w:rPr>
                <w:rFonts w:eastAsia="Times New Roman"/>
                <w:color w:val="000000"/>
                <w:sz w:val="16"/>
                <w:szCs w:val="16"/>
              </w:rPr>
              <w:t>Agro</w:t>
            </w:r>
            <w:proofErr w:type="spellEnd"/>
            <w:r w:rsidRPr="0096196C">
              <w:rPr>
                <w:rFonts w:eastAsia="Times New Roman"/>
                <w:color w:val="000000"/>
                <w:sz w:val="16"/>
                <w:szCs w:val="16"/>
              </w:rPr>
              <w:t>-environmental measures introduced to promote sustainable use of agricultural lands within the biodiversity buffer zones</w:t>
            </w:r>
          </w:p>
        </w:tc>
        <w:tc>
          <w:tcPr>
            <w:tcW w:w="3680" w:type="dxa"/>
            <w:tcBorders>
              <w:top w:val="nil"/>
              <w:left w:val="nil"/>
              <w:bottom w:val="single" w:sz="4" w:space="0" w:color="auto"/>
              <w:right w:val="single" w:sz="4" w:space="0" w:color="auto"/>
            </w:tcBorders>
            <w:shd w:val="clear" w:color="auto" w:fill="auto"/>
            <w:hideMark/>
          </w:tcPr>
          <w:p w14:paraId="3349E637"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Technical/financial support to agricultural producers in a practical application of innovative BD-sensitive trends and techniques (</w:t>
            </w:r>
            <w:proofErr w:type="spellStart"/>
            <w:r w:rsidRPr="0096196C">
              <w:rPr>
                <w:rFonts w:eastAsia="Times New Roman"/>
                <w:color w:val="000000"/>
                <w:sz w:val="16"/>
                <w:szCs w:val="16"/>
              </w:rPr>
              <w:t>agro</w:t>
            </w:r>
            <w:proofErr w:type="spellEnd"/>
            <w:r w:rsidRPr="0096196C">
              <w:rPr>
                <w:rFonts w:eastAsia="Times New Roman"/>
                <w:color w:val="000000"/>
                <w:sz w:val="16"/>
                <w:szCs w:val="16"/>
              </w:rPr>
              <w:t>-environmental pilots)</w:t>
            </w:r>
          </w:p>
        </w:tc>
        <w:tc>
          <w:tcPr>
            <w:tcW w:w="800" w:type="dxa"/>
            <w:tcBorders>
              <w:top w:val="nil"/>
              <w:left w:val="nil"/>
              <w:bottom w:val="single" w:sz="4" w:space="0" w:color="auto"/>
              <w:right w:val="single" w:sz="4" w:space="0" w:color="auto"/>
            </w:tcBorders>
            <w:shd w:val="clear" w:color="auto" w:fill="auto"/>
            <w:noWrap/>
            <w:vAlign w:val="bottom"/>
            <w:hideMark/>
          </w:tcPr>
          <w:p w14:paraId="35119843"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7F0B095E"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657362D7"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16A3D083"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2582F57A"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r>
      <w:tr w:rsidR="0096196C" w:rsidRPr="0096196C" w14:paraId="19F37500" w14:textId="77777777" w:rsidTr="0096196C">
        <w:trPr>
          <w:gridAfter w:val="6"/>
          <w:divId w:val="301007021"/>
          <w:wAfter w:w="7680" w:type="dxa"/>
          <w:trHeight w:val="552"/>
        </w:trPr>
        <w:tc>
          <w:tcPr>
            <w:tcW w:w="2220" w:type="dxa"/>
            <w:vMerge/>
            <w:tcBorders>
              <w:top w:val="single" w:sz="4" w:space="0" w:color="auto"/>
              <w:left w:val="single" w:sz="4" w:space="0" w:color="auto"/>
              <w:bottom w:val="nil"/>
              <w:right w:val="single" w:sz="4" w:space="0" w:color="auto"/>
            </w:tcBorders>
            <w:vAlign w:val="center"/>
            <w:hideMark/>
          </w:tcPr>
          <w:p w14:paraId="7FA38A46" w14:textId="77777777" w:rsidR="0096196C" w:rsidRPr="0096196C" w:rsidRDefault="0096196C" w:rsidP="0096196C">
            <w:pPr>
              <w:spacing w:after="0"/>
              <w:jc w:val="left"/>
              <w:rPr>
                <w:rFonts w:eastAsia="Times New Roman"/>
                <w:color w:val="000000"/>
                <w:sz w:val="16"/>
                <w:szCs w:val="16"/>
              </w:rPr>
            </w:pPr>
          </w:p>
        </w:tc>
        <w:tc>
          <w:tcPr>
            <w:tcW w:w="3680" w:type="dxa"/>
            <w:tcBorders>
              <w:top w:val="nil"/>
              <w:left w:val="nil"/>
              <w:bottom w:val="single" w:sz="4" w:space="0" w:color="auto"/>
              <w:right w:val="single" w:sz="4" w:space="0" w:color="auto"/>
            </w:tcBorders>
            <w:shd w:val="clear" w:color="auto" w:fill="auto"/>
            <w:hideMark/>
          </w:tcPr>
          <w:p w14:paraId="3FFC9957"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Assessment of results, analysis of effectiveness and efficiency</w:t>
            </w:r>
          </w:p>
        </w:tc>
        <w:tc>
          <w:tcPr>
            <w:tcW w:w="800" w:type="dxa"/>
            <w:tcBorders>
              <w:top w:val="nil"/>
              <w:left w:val="nil"/>
              <w:bottom w:val="single" w:sz="4" w:space="0" w:color="auto"/>
              <w:right w:val="single" w:sz="4" w:space="0" w:color="auto"/>
            </w:tcBorders>
            <w:shd w:val="clear" w:color="auto" w:fill="auto"/>
            <w:noWrap/>
            <w:vAlign w:val="bottom"/>
            <w:hideMark/>
          </w:tcPr>
          <w:p w14:paraId="58936676"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auto" w:fill="auto"/>
            <w:noWrap/>
            <w:vAlign w:val="bottom"/>
            <w:hideMark/>
          </w:tcPr>
          <w:p w14:paraId="29CE9E20"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7695029F"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4D92752A"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06A59937"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r>
      <w:tr w:rsidR="0096196C" w:rsidRPr="0096196C" w14:paraId="3C821F37" w14:textId="77777777" w:rsidTr="0096196C">
        <w:trPr>
          <w:gridAfter w:val="6"/>
          <w:divId w:val="301007021"/>
          <w:wAfter w:w="7680" w:type="dxa"/>
          <w:trHeight w:val="204"/>
        </w:trPr>
        <w:tc>
          <w:tcPr>
            <w:tcW w:w="9900" w:type="dxa"/>
            <w:gridSpan w:val="7"/>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2BDC464F" w14:textId="77777777" w:rsidR="0096196C" w:rsidRPr="0096196C" w:rsidRDefault="0096196C" w:rsidP="0096196C">
            <w:pPr>
              <w:spacing w:after="0"/>
              <w:jc w:val="left"/>
              <w:rPr>
                <w:rFonts w:eastAsia="Times New Roman"/>
                <w:b/>
                <w:bCs/>
                <w:color w:val="000000"/>
                <w:sz w:val="16"/>
                <w:szCs w:val="16"/>
              </w:rPr>
            </w:pPr>
            <w:r w:rsidRPr="0096196C">
              <w:rPr>
                <w:rFonts w:eastAsia="Times New Roman"/>
                <w:color w:val="000000"/>
                <w:sz w:val="16"/>
                <w:szCs w:val="16"/>
              </w:rPr>
              <w:t xml:space="preserve">Outcome 6: </w:t>
            </w:r>
            <w:r w:rsidRPr="0096196C">
              <w:rPr>
                <w:rFonts w:eastAsia="Times New Roman"/>
                <w:bCs/>
                <w:color w:val="000000"/>
                <w:sz w:val="16"/>
                <w:szCs w:val="16"/>
              </w:rPr>
              <w:t xml:space="preserve">Knowledge management </w:t>
            </w:r>
            <w:r w:rsidRPr="0096196C">
              <w:rPr>
                <w:rFonts w:eastAsia="Times New Roman"/>
                <w:color w:val="000000"/>
                <w:sz w:val="16"/>
                <w:szCs w:val="16"/>
              </w:rPr>
              <w:t>and</w:t>
            </w:r>
            <w:r w:rsidRPr="0096196C">
              <w:rPr>
                <w:rFonts w:eastAsia="Times New Roman"/>
                <w:b/>
                <w:bCs/>
                <w:color w:val="000000"/>
                <w:sz w:val="16"/>
                <w:szCs w:val="16"/>
              </w:rPr>
              <w:t xml:space="preserve"> M&amp;E</w:t>
            </w:r>
          </w:p>
        </w:tc>
      </w:tr>
      <w:tr w:rsidR="0096196C" w:rsidRPr="0096196C" w14:paraId="74E27D77" w14:textId="77777777" w:rsidTr="0096196C">
        <w:trPr>
          <w:divId w:val="301007021"/>
          <w:trHeight w:val="204"/>
        </w:trPr>
        <w:tc>
          <w:tcPr>
            <w:tcW w:w="9900" w:type="dxa"/>
            <w:gridSpan w:val="7"/>
            <w:vMerge w:val="restart"/>
            <w:tcBorders>
              <w:top w:val="single" w:sz="4" w:space="0" w:color="auto"/>
              <w:left w:val="single" w:sz="4" w:space="0" w:color="auto"/>
              <w:bottom w:val="nil"/>
              <w:right w:val="single" w:sz="4" w:space="0" w:color="000000"/>
            </w:tcBorders>
            <w:shd w:val="clear" w:color="auto" w:fill="auto"/>
            <w:hideMark/>
          </w:tcPr>
          <w:p w14:paraId="66F444A3" w14:textId="77777777" w:rsidR="0096196C" w:rsidRPr="0096196C" w:rsidRDefault="0096196C" w:rsidP="0096196C">
            <w:pPr>
              <w:spacing w:after="0"/>
              <w:jc w:val="left"/>
              <w:rPr>
                <w:rFonts w:eastAsia="Times New Roman"/>
                <w:color w:val="000000"/>
                <w:sz w:val="16"/>
                <w:szCs w:val="16"/>
              </w:rPr>
            </w:pPr>
            <w:r w:rsidRPr="0096196C">
              <w:rPr>
                <w:rFonts w:eastAsia="Times New Roman"/>
                <w:b/>
                <w:bCs/>
                <w:color w:val="000000"/>
                <w:sz w:val="16"/>
                <w:szCs w:val="16"/>
              </w:rPr>
              <w:t xml:space="preserve">Output 6.1: Knowledge products and lessons learned documented </w:t>
            </w:r>
            <w:r w:rsidRPr="0096196C">
              <w:rPr>
                <w:rFonts w:eastAsia="Times New Roman"/>
                <w:color w:val="000000"/>
                <w:sz w:val="16"/>
                <w:szCs w:val="16"/>
              </w:rPr>
              <w:t>and disseminated</w:t>
            </w:r>
            <w:r w:rsidRPr="0096196C">
              <w:rPr>
                <w:rFonts w:eastAsia="Times New Roman"/>
                <w:color w:val="000000"/>
                <w:sz w:val="16"/>
                <w:szCs w:val="16"/>
              </w:rPr>
              <w:br/>
              <w:t>Output 6.2: Project monitoring and evaluation</w:t>
            </w:r>
          </w:p>
        </w:tc>
        <w:tc>
          <w:tcPr>
            <w:tcW w:w="3680" w:type="dxa"/>
            <w:tcBorders>
              <w:top w:val="single" w:sz="4" w:space="0" w:color="auto"/>
              <w:left w:val="nil"/>
              <w:bottom w:val="single" w:sz="4" w:space="0" w:color="auto"/>
              <w:right w:val="single" w:sz="4" w:space="0" w:color="auto"/>
            </w:tcBorders>
            <w:shd w:val="clear" w:color="auto" w:fill="auto"/>
            <w:noWrap/>
            <w:vAlign w:val="bottom"/>
            <w:hideMark/>
          </w:tcPr>
          <w:p w14:paraId="43FA223E"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xml:space="preserve">MTR </w:t>
            </w:r>
          </w:p>
        </w:tc>
        <w:tc>
          <w:tcPr>
            <w:tcW w:w="800" w:type="dxa"/>
            <w:tcBorders>
              <w:top w:val="single" w:sz="4" w:space="0" w:color="auto"/>
              <w:left w:val="nil"/>
              <w:bottom w:val="single" w:sz="4" w:space="0" w:color="auto"/>
              <w:right w:val="single" w:sz="4" w:space="0" w:color="auto"/>
            </w:tcBorders>
            <w:shd w:val="clear" w:color="auto" w:fill="auto"/>
            <w:noWrap/>
            <w:vAlign w:val="bottom"/>
            <w:hideMark/>
          </w:tcPr>
          <w:p w14:paraId="6E00761E"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single" w:sz="4" w:space="0" w:color="auto"/>
              <w:left w:val="nil"/>
              <w:bottom w:val="single" w:sz="4" w:space="0" w:color="auto"/>
              <w:right w:val="single" w:sz="4" w:space="0" w:color="auto"/>
            </w:tcBorders>
            <w:shd w:val="clear" w:color="auto" w:fill="auto"/>
            <w:noWrap/>
            <w:vAlign w:val="bottom"/>
            <w:hideMark/>
          </w:tcPr>
          <w:p w14:paraId="22C055AF"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single" w:sz="4" w:space="0" w:color="auto"/>
              <w:left w:val="nil"/>
              <w:bottom w:val="single" w:sz="4" w:space="0" w:color="auto"/>
              <w:right w:val="single" w:sz="4" w:space="0" w:color="auto"/>
            </w:tcBorders>
            <w:shd w:val="clear" w:color="000000" w:fill="AEAAAA"/>
            <w:noWrap/>
            <w:vAlign w:val="bottom"/>
            <w:hideMark/>
          </w:tcPr>
          <w:p w14:paraId="47A3ECEC"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single" w:sz="4" w:space="0" w:color="auto"/>
              <w:left w:val="nil"/>
              <w:bottom w:val="single" w:sz="4" w:space="0" w:color="auto"/>
              <w:right w:val="single" w:sz="4" w:space="0" w:color="auto"/>
            </w:tcBorders>
            <w:shd w:val="clear" w:color="auto" w:fill="auto"/>
            <w:noWrap/>
            <w:vAlign w:val="bottom"/>
            <w:hideMark/>
          </w:tcPr>
          <w:p w14:paraId="76C4E51C"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single" w:sz="4" w:space="0" w:color="auto"/>
              <w:left w:val="nil"/>
              <w:bottom w:val="single" w:sz="4" w:space="0" w:color="auto"/>
              <w:right w:val="single" w:sz="4" w:space="0" w:color="auto"/>
            </w:tcBorders>
            <w:shd w:val="clear" w:color="auto" w:fill="auto"/>
            <w:noWrap/>
            <w:vAlign w:val="bottom"/>
            <w:hideMark/>
          </w:tcPr>
          <w:p w14:paraId="7A965908"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r>
      <w:tr w:rsidR="0096196C" w:rsidRPr="0096196C" w14:paraId="0BB5D3B2" w14:textId="77777777" w:rsidTr="0096196C">
        <w:trPr>
          <w:gridAfter w:val="6"/>
          <w:divId w:val="301007021"/>
          <w:wAfter w:w="7680" w:type="dxa"/>
          <w:trHeight w:val="360"/>
        </w:trPr>
        <w:tc>
          <w:tcPr>
            <w:tcW w:w="2220" w:type="dxa"/>
            <w:vMerge/>
            <w:tcBorders>
              <w:top w:val="single" w:sz="4" w:space="0" w:color="auto"/>
              <w:left w:val="single" w:sz="4" w:space="0" w:color="auto"/>
              <w:bottom w:val="nil"/>
              <w:right w:val="single" w:sz="4" w:space="0" w:color="auto"/>
            </w:tcBorders>
            <w:shd w:val="clear" w:color="auto" w:fill="auto"/>
            <w:vAlign w:val="center"/>
            <w:hideMark/>
          </w:tcPr>
          <w:p w14:paraId="2FF43E49" w14:textId="77777777" w:rsidR="0096196C" w:rsidRPr="0096196C" w:rsidRDefault="0096196C" w:rsidP="0096196C">
            <w:pPr>
              <w:spacing w:after="0"/>
              <w:jc w:val="left"/>
              <w:rPr>
                <w:rFonts w:eastAsia="Times New Roman"/>
                <w:color w:val="000000"/>
                <w:sz w:val="16"/>
                <w:szCs w:val="16"/>
              </w:rPr>
            </w:pPr>
          </w:p>
        </w:tc>
        <w:tc>
          <w:tcPr>
            <w:tcW w:w="3680" w:type="dxa"/>
            <w:tcBorders>
              <w:top w:val="single" w:sz="4" w:space="0" w:color="auto"/>
              <w:left w:val="nil"/>
              <w:bottom w:val="single" w:sz="4" w:space="0" w:color="auto"/>
              <w:right w:val="single" w:sz="4" w:space="0" w:color="auto"/>
            </w:tcBorders>
            <w:shd w:val="clear" w:color="auto" w:fill="auto"/>
            <w:noWrap/>
            <w:vAlign w:val="bottom"/>
            <w:hideMark/>
          </w:tcPr>
          <w:p w14:paraId="48063A54"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xml:space="preserve"> Final Evaluation </w:t>
            </w:r>
          </w:p>
        </w:tc>
        <w:tc>
          <w:tcPr>
            <w:tcW w:w="800" w:type="dxa"/>
            <w:tcBorders>
              <w:top w:val="single" w:sz="4" w:space="0" w:color="auto"/>
              <w:left w:val="nil"/>
              <w:bottom w:val="single" w:sz="4" w:space="0" w:color="auto"/>
              <w:right w:val="single" w:sz="4" w:space="0" w:color="auto"/>
            </w:tcBorders>
            <w:shd w:val="clear" w:color="000000" w:fill="AEAAAA"/>
            <w:noWrap/>
            <w:vAlign w:val="bottom"/>
            <w:hideMark/>
          </w:tcPr>
          <w:p w14:paraId="31F8911E"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single" w:sz="4" w:space="0" w:color="auto"/>
              <w:left w:val="nil"/>
              <w:bottom w:val="single" w:sz="4" w:space="0" w:color="auto"/>
              <w:right w:val="single" w:sz="4" w:space="0" w:color="auto"/>
            </w:tcBorders>
            <w:shd w:val="clear" w:color="000000" w:fill="AEAAAA"/>
            <w:noWrap/>
            <w:vAlign w:val="bottom"/>
            <w:hideMark/>
          </w:tcPr>
          <w:p w14:paraId="27E3F541"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single" w:sz="4" w:space="0" w:color="auto"/>
              <w:left w:val="nil"/>
              <w:bottom w:val="single" w:sz="4" w:space="0" w:color="auto"/>
              <w:right w:val="single" w:sz="4" w:space="0" w:color="auto"/>
            </w:tcBorders>
            <w:shd w:val="clear" w:color="000000" w:fill="AEAAAA"/>
            <w:noWrap/>
            <w:vAlign w:val="bottom"/>
            <w:hideMark/>
          </w:tcPr>
          <w:p w14:paraId="6F4491C8"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single" w:sz="4" w:space="0" w:color="auto"/>
              <w:left w:val="nil"/>
              <w:bottom w:val="single" w:sz="4" w:space="0" w:color="auto"/>
              <w:right w:val="single" w:sz="4" w:space="0" w:color="auto"/>
            </w:tcBorders>
            <w:shd w:val="clear" w:color="000000" w:fill="AEAAAA"/>
            <w:noWrap/>
            <w:vAlign w:val="bottom"/>
            <w:hideMark/>
          </w:tcPr>
          <w:p w14:paraId="34999753"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single" w:sz="4" w:space="0" w:color="auto"/>
              <w:left w:val="nil"/>
              <w:bottom w:val="single" w:sz="4" w:space="0" w:color="auto"/>
              <w:right w:val="single" w:sz="4" w:space="0" w:color="auto"/>
            </w:tcBorders>
            <w:shd w:val="clear" w:color="000000" w:fill="AEAAAA"/>
            <w:noWrap/>
            <w:vAlign w:val="bottom"/>
            <w:hideMark/>
          </w:tcPr>
          <w:p w14:paraId="034F13C3"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r>
      <w:tr w:rsidR="0096196C" w:rsidRPr="0096196C" w14:paraId="4503FDAA" w14:textId="77777777" w:rsidTr="0096196C">
        <w:trPr>
          <w:divId w:val="301007021"/>
          <w:trHeight w:val="204"/>
        </w:trPr>
        <w:tc>
          <w:tcPr>
            <w:tcW w:w="9900" w:type="dxa"/>
            <w:gridSpan w:val="7"/>
            <w:vMerge/>
            <w:tcBorders>
              <w:top w:val="single" w:sz="4" w:space="0" w:color="auto"/>
              <w:left w:val="single" w:sz="4" w:space="0" w:color="auto"/>
              <w:bottom w:val="single" w:sz="4" w:space="0" w:color="auto"/>
              <w:right w:val="single" w:sz="4" w:space="0" w:color="000000"/>
            </w:tcBorders>
            <w:shd w:val="clear" w:color="auto" w:fill="auto"/>
            <w:vAlign w:val="center"/>
            <w:hideMark/>
          </w:tcPr>
          <w:p w14:paraId="5986FB74" w14:textId="77777777" w:rsidR="0096196C" w:rsidRPr="0096196C" w:rsidRDefault="0096196C" w:rsidP="0096196C">
            <w:pPr>
              <w:spacing w:after="0"/>
              <w:jc w:val="left"/>
              <w:rPr>
                <w:rFonts w:eastAsia="Times New Roman"/>
                <w:color w:val="000000"/>
                <w:sz w:val="16"/>
                <w:szCs w:val="16"/>
              </w:rPr>
            </w:pPr>
          </w:p>
        </w:tc>
        <w:tc>
          <w:tcPr>
            <w:tcW w:w="3680" w:type="dxa"/>
            <w:tcBorders>
              <w:top w:val="nil"/>
              <w:left w:val="nil"/>
              <w:bottom w:val="single" w:sz="4" w:space="0" w:color="auto"/>
              <w:right w:val="single" w:sz="4" w:space="0" w:color="auto"/>
            </w:tcBorders>
            <w:shd w:val="clear" w:color="auto" w:fill="auto"/>
            <w:noWrap/>
            <w:vAlign w:val="bottom"/>
            <w:hideMark/>
          </w:tcPr>
          <w:p w14:paraId="2A696CEC"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KM &amp; communication support</w:t>
            </w:r>
          </w:p>
        </w:tc>
        <w:tc>
          <w:tcPr>
            <w:tcW w:w="800" w:type="dxa"/>
            <w:tcBorders>
              <w:top w:val="nil"/>
              <w:left w:val="nil"/>
              <w:bottom w:val="single" w:sz="4" w:space="0" w:color="auto"/>
              <w:right w:val="single" w:sz="4" w:space="0" w:color="auto"/>
            </w:tcBorders>
            <w:shd w:val="clear" w:color="000000" w:fill="AEAAAA"/>
            <w:noWrap/>
            <w:vAlign w:val="bottom"/>
            <w:hideMark/>
          </w:tcPr>
          <w:p w14:paraId="2984517C"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5436BAEB"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52AD9E0A"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6994C936"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c>
          <w:tcPr>
            <w:tcW w:w="800" w:type="dxa"/>
            <w:tcBorders>
              <w:top w:val="nil"/>
              <w:left w:val="nil"/>
              <w:bottom w:val="single" w:sz="4" w:space="0" w:color="auto"/>
              <w:right w:val="single" w:sz="4" w:space="0" w:color="auto"/>
            </w:tcBorders>
            <w:shd w:val="clear" w:color="000000" w:fill="AEAAAA"/>
            <w:noWrap/>
            <w:vAlign w:val="bottom"/>
            <w:hideMark/>
          </w:tcPr>
          <w:p w14:paraId="0BF805D2" w14:textId="77777777" w:rsidR="0096196C" w:rsidRPr="0096196C" w:rsidRDefault="0096196C" w:rsidP="0096196C">
            <w:pPr>
              <w:spacing w:after="0"/>
              <w:jc w:val="left"/>
              <w:rPr>
                <w:rFonts w:eastAsia="Times New Roman"/>
                <w:color w:val="000000"/>
                <w:sz w:val="16"/>
                <w:szCs w:val="16"/>
              </w:rPr>
            </w:pPr>
            <w:r w:rsidRPr="0096196C">
              <w:rPr>
                <w:rFonts w:eastAsia="Times New Roman"/>
                <w:color w:val="000000"/>
                <w:sz w:val="16"/>
                <w:szCs w:val="16"/>
              </w:rPr>
              <w:t> </w:t>
            </w:r>
          </w:p>
        </w:tc>
      </w:tr>
    </w:tbl>
    <w:p w14:paraId="65FBB753" w14:textId="0D2AEC1E" w:rsidR="00D5549F" w:rsidRPr="003B6A69" w:rsidRDefault="000B36D0" w:rsidP="00D5549F">
      <w:r w:rsidRPr="003B6A69">
        <w:fldChar w:fldCharType="end"/>
      </w:r>
    </w:p>
    <w:p w14:paraId="311D0879" w14:textId="77777777" w:rsidR="00FC4379" w:rsidRPr="003B6A69" w:rsidRDefault="00FC4379" w:rsidP="00D5549F">
      <w:pPr>
        <w:sectPr w:rsidR="00FC4379" w:rsidRPr="003B6A69" w:rsidSect="00FC4379">
          <w:pgSz w:w="12240" w:h="15840"/>
          <w:pgMar w:top="1440" w:right="1440" w:bottom="1440" w:left="1440" w:header="720" w:footer="720" w:gutter="0"/>
          <w:cols w:space="720"/>
          <w:titlePg/>
          <w:docGrid w:linePitch="360"/>
        </w:sectPr>
      </w:pPr>
    </w:p>
    <w:p w14:paraId="0C3DB150" w14:textId="620FF4DD" w:rsidR="000A3BDA" w:rsidRPr="003B6A69" w:rsidRDefault="000A3BDA">
      <w:pPr>
        <w:spacing w:after="0"/>
        <w:jc w:val="left"/>
        <w:rPr>
          <w:rFonts w:asciiTheme="minorHAnsi" w:hAnsiTheme="minorHAnsi" w:cstheme="minorHAnsi"/>
          <w:b/>
          <w:bCs/>
          <w:szCs w:val="22"/>
          <w:lang w:val="en-GB"/>
        </w:rPr>
      </w:pPr>
    </w:p>
    <w:p w14:paraId="3E0AE748" w14:textId="2247F8C8" w:rsidR="00D1090B" w:rsidRPr="003B6A69" w:rsidRDefault="00D1090B" w:rsidP="00D1090B">
      <w:pPr>
        <w:pStyle w:val="Heading2"/>
        <w:rPr>
          <w:lang w:val="en-GB"/>
        </w:rPr>
      </w:pPr>
      <w:bookmarkStart w:id="67" w:name="_Annex_4:_Monitoring"/>
      <w:bookmarkStart w:id="68" w:name="_Toc82018277"/>
      <w:bookmarkEnd w:id="67"/>
      <w:r w:rsidRPr="003B6A69">
        <w:rPr>
          <w:lang w:val="en-GB"/>
        </w:rPr>
        <w:t xml:space="preserve">Annex </w:t>
      </w:r>
      <w:r w:rsidR="006C1C66" w:rsidRPr="003B6A69">
        <w:rPr>
          <w:lang w:val="en-GB"/>
        </w:rPr>
        <w:t>4</w:t>
      </w:r>
      <w:r w:rsidRPr="003B6A69">
        <w:rPr>
          <w:lang w:val="en-GB"/>
        </w:rPr>
        <w:t xml:space="preserve">: </w:t>
      </w:r>
      <w:r w:rsidRPr="003B6A69">
        <w:rPr>
          <w:rFonts w:cstheme="minorHAnsi"/>
          <w:szCs w:val="22"/>
        </w:rPr>
        <w:t>Monitoring Plan</w:t>
      </w:r>
      <w:bookmarkEnd w:id="68"/>
    </w:p>
    <w:p w14:paraId="758498F0" w14:textId="77777777" w:rsidR="004641C4" w:rsidRPr="003B6A69" w:rsidRDefault="004641C4" w:rsidP="004641C4">
      <w:r w:rsidRPr="003B6A69">
        <w:t>This Monitoring Plan and the M&amp;E Plan and Budget in Section VI of this project document will both guide monitoring and evaluation at the project level for the duration of project implementation.</w:t>
      </w:r>
    </w:p>
    <w:tbl>
      <w:tblPr>
        <w:tblW w:w="1351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Grid>
        <w:gridCol w:w="1426"/>
        <w:gridCol w:w="1840"/>
        <w:gridCol w:w="1425"/>
        <w:gridCol w:w="1401"/>
        <w:gridCol w:w="1669"/>
        <w:gridCol w:w="1264"/>
        <w:gridCol w:w="1118"/>
        <w:gridCol w:w="1737"/>
        <w:gridCol w:w="1633"/>
      </w:tblGrid>
      <w:tr w:rsidR="004641C4" w:rsidRPr="003B6A69" w14:paraId="37241C1D" w14:textId="77777777" w:rsidTr="00BD4C79">
        <w:trPr>
          <w:tblHeader/>
        </w:trPr>
        <w:tc>
          <w:tcPr>
            <w:tcW w:w="138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AEC35D5" w14:textId="77777777" w:rsidR="004641C4" w:rsidRPr="003B6A69" w:rsidRDefault="004641C4" w:rsidP="004641C4">
            <w:pPr>
              <w:spacing w:afterLines="60" w:after="144"/>
              <w:jc w:val="center"/>
              <w:rPr>
                <w:rFonts w:asciiTheme="minorHAnsi" w:hAnsiTheme="minorHAnsi" w:cstheme="minorHAnsi"/>
                <w:b/>
                <w:sz w:val="18"/>
                <w:szCs w:val="18"/>
                <w:lang w:eastAsia="ja-JP"/>
              </w:rPr>
            </w:pPr>
            <w:bookmarkStart w:id="69" w:name="_Hlk14150778"/>
            <w:r w:rsidRPr="003B6A69">
              <w:rPr>
                <w:rFonts w:asciiTheme="minorHAnsi" w:hAnsiTheme="minorHAnsi" w:cstheme="minorHAnsi"/>
                <w:b/>
                <w:sz w:val="18"/>
                <w:szCs w:val="18"/>
                <w:lang w:eastAsia="ja-JP"/>
              </w:rPr>
              <w:t>Monitoring</w:t>
            </w:r>
          </w:p>
        </w:tc>
        <w:tc>
          <w:tcPr>
            <w:tcW w:w="184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2DA15F4" w14:textId="77777777" w:rsidR="004641C4" w:rsidRPr="003B6A69" w:rsidRDefault="004641C4" w:rsidP="004641C4">
            <w:pPr>
              <w:spacing w:afterLines="60" w:after="144"/>
              <w:jc w:val="center"/>
              <w:rPr>
                <w:rFonts w:asciiTheme="minorHAnsi" w:hAnsiTheme="minorHAnsi" w:cstheme="minorHAnsi"/>
                <w:b/>
                <w:sz w:val="18"/>
                <w:szCs w:val="18"/>
                <w:lang w:eastAsia="ja-JP"/>
              </w:rPr>
            </w:pPr>
            <w:r w:rsidRPr="003B6A69">
              <w:rPr>
                <w:rFonts w:asciiTheme="minorHAnsi" w:hAnsiTheme="minorHAnsi" w:cstheme="minorHAnsi"/>
                <w:b/>
                <w:sz w:val="18"/>
                <w:szCs w:val="18"/>
                <w:lang w:eastAsia="ja-JP"/>
              </w:rPr>
              <w:t>Indicators</w:t>
            </w:r>
          </w:p>
        </w:tc>
        <w:tc>
          <w:tcPr>
            <w:tcW w:w="142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38908EF" w14:textId="77777777" w:rsidR="004641C4" w:rsidRPr="003B6A69" w:rsidRDefault="004641C4" w:rsidP="004641C4">
            <w:pPr>
              <w:spacing w:afterLines="60" w:after="144"/>
              <w:jc w:val="center"/>
              <w:rPr>
                <w:rFonts w:asciiTheme="minorHAnsi" w:hAnsiTheme="minorHAnsi" w:cstheme="minorHAnsi"/>
                <w:b/>
                <w:sz w:val="18"/>
                <w:szCs w:val="18"/>
                <w:lang w:eastAsia="ja-JP"/>
              </w:rPr>
            </w:pPr>
            <w:r w:rsidRPr="003B6A69">
              <w:rPr>
                <w:rFonts w:asciiTheme="minorHAnsi" w:hAnsiTheme="minorHAnsi" w:cstheme="minorHAnsi"/>
                <w:b/>
                <w:sz w:val="18"/>
                <w:szCs w:val="18"/>
                <w:lang w:eastAsia="ja-JP"/>
              </w:rPr>
              <w:t>Targets</w:t>
            </w:r>
          </w:p>
        </w:tc>
        <w:tc>
          <w:tcPr>
            <w:tcW w:w="140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B2883C2" w14:textId="77777777" w:rsidR="004641C4" w:rsidRPr="003B6A69" w:rsidRDefault="004641C4" w:rsidP="004641C4">
            <w:pPr>
              <w:spacing w:afterLines="60" w:after="144"/>
              <w:jc w:val="center"/>
              <w:rPr>
                <w:rFonts w:asciiTheme="minorHAnsi" w:hAnsiTheme="minorHAnsi" w:cstheme="minorHAnsi"/>
                <w:b/>
                <w:sz w:val="18"/>
                <w:szCs w:val="18"/>
                <w:lang w:eastAsia="ja-JP"/>
              </w:rPr>
            </w:pPr>
            <w:r w:rsidRPr="003B6A69">
              <w:rPr>
                <w:rFonts w:asciiTheme="minorHAnsi" w:hAnsiTheme="minorHAnsi" w:cstheme="minorHAnsi"/>
                <w:b/>
                <w:sz w:val="18"/>
                <w:szCs w:val="18"/>
                <w:lang w:eastAsia="ja-JP"/>
              </w:rPr>
              <w:t>Comments on indicators and targets</w:t>
            </w:r>
          </w:p>
        </w:tc>
        <w:tc>
          <w:tcPr>
            <w:tcW w:w="167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C534F2B" w14:textId="77777777" w:rsidR="004641C4" w:rsidRPr="003B6A69" w:rsidRDefault="004641C4" w:rsidP="004641C4">
            <w:pPr>
              <w:spacing w:afterLines="60" w:after="144"/>
              <w:jc w:val="center"/>
              <w:rPr>
                <w:rFonts w:asciiTheme="minorHAnsi" w:hAnsiTheme="minorHAnsi" w:cstheme="minorHAnsi"/>
                <w:b/>
                <w:bCs/>
                <w:sz w:val="18"/>
                <w:szCs w:val="18"/>
                <w:lang w:eastAsia="ja-JP"/>
              </w:rPr>
            </w:pPr>
            <w:r w:rsidRPr="003B6A69">
              <w:rPr>
                <w:rFonts w:asciiTheme="minorHAnsi" w:hAnsiTheme="minorHAnsi" w:cstheme="minorHAnsi"/>
                <w:b/>
                <w:sz w:val="18"/>
                <w:szCs w:val="18"/>
                <w:lang w:eastAsia="ja-JP"/>
              </w:rPr>
              <w:t>Data source/Collection Methods</w:t>
            </w:r>
            <w:r w:rsidRPr="003B6A69">
              <w:rPr>
                <w:rFonts w:asciiTheme="minorHAnsi" w:hAnsiTheme="minorHAnsi" w:cstheme="minorHAnsi"/>
                <w:b/>
                <w:bCs/>
                <w:sz w:val="18"/>
                <w:szCs w:val="18"/>
                <w:vertAlign w:val="superscript"/>
                <w:lang w:eastAsia="ja-JP"/>
              </w:rPr>
              <w:footnoteReference w:id="16"/>
            </w:r>
          </w:p>
        </w:tc>
        <w:tc>
          <w:tcPr>
            <w:tcW w:w="127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310E61D" w14:textId="77777777" w:rsidR="004641C4" w:rsidRPr="003B6A69" w:rsidRDefault="004641C4" w:rsidP="004641C4">
            <w:pPr>
              <w:spacing w:afterLines="60" w:after="144"/>
              <w:jc w:val="center"/>
              <w:rPr>
                <w:rFonts w:asciiTheme="minorHAnsi" w:hAnsiTheme="minorHAnsi" w:cstheme="minorHAnsi"/>
                <w:b/>
                <w:sz w:val="18"/>
                <w:szCs w:val="18"/>
                <w:lang w:eastAsia="ja-JP"/>
              </w:rPr>
            </w:pPr>
            <w:r w:rsidRPr="003B6A69">
              <w:rPr>
                <w:rFonts w:asciiTheme="minorHAnsi" w:hAnsiTheme="minorHAnsi" w:cstheme="minorHAnsi"/>
                <w:b/>
                <w:sz w:val="18"/>
                <w:szCs w:val="18"/>
                <w:lang w:eastAsia="ja-JP"/>
              </w:rPr>
              <w:t>Frequency</w:t>
            </w:r>
          </w:p>
        </w:tc>
        <w:tc>
          <w:tcPr>
            <w:tcW w:w="111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A589093" w14:textId="77777777" w:rsidR="004641C4" w:rsidRPr="003B6A69" w:rsidRDefault="004641C4" w:rsidP="004641C4">
            <w:pPr>
              <w:spacing w:afterLines="60" w:after="144"/>
              <w:jc w:val="center"/>
              <w:rPr>
                <w:rFonts w:asciiTheme="minorHAnsi" w:hAnsiTheme="minorHAnsi" w:cstheme="minorHAnsi"/>
                <w:b/>
                <w:sz w:val="18"/>
                <w:szCs w:val="18"/>
                <w:lang w:eastAsia="ja-JP"/>
              </w:rPr>
            </w:pPr>
            <w:r w:rsidRPr="003B6A69">
              <w:rPr>
                <w:rFonts w:asciiTheme="minorHAnsi" w:hAnsiTheme="minorHAnsi" w:cstheme="minorHAnsi"/>
                <w:b/>
                <w:sz w:val="18"/>
                <w:szCs w:val="18"/>
                <w:lang w:eastAsia="ja-JP"/>
              </w:rPr>
              <w:t>Responsible for data collection</w:t>
            </w:r>
          </w:p>
        </w:tc>
        <w:tc>
          <w:tcPr>
            <w:tcW w:w="175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2AF0710" w14:textId="77777777" w:rsidR="004641C4" w:rsidRPr="003B6A69" w:rsidRDefault="004641C4" w:rsidP="004641C4">
            <w:pPr>
              <w:spacing w:afterLines="60" w:after="144"/>
              <w:jc w:val="center"/>
              <w:rPr>
                <w:rFonts w:asciiTheme="minorHAnsi" w:hAnsiTheme="minorHAnsi" w:cstheme="minorHAnsi"/>
                <w:b/>
                <w:sz w:val="18"/>
                <w:szCs w:val="18"/>
                <w:lang w:eastAsia="ja-JP"/>
              </w:rPr>
            </w:pPr>
            <w:r w:rsidRPr="003B6A69">
              <w:rPr>
                <w:rFonts w:asciiTheme="minorHAnsi" w:hAnsiTheme="minorHAnsi" w:cstheme="minorHAnsi"/>
                <w:b/>
                <w:sz w:val="18"/>
                <w:szCs w:val="18"/>
                <w:lang w:eastAsia="ja-JP"/>
              </w:rPr>
              <w:t>Means of verification</w:t>
            </w:r>
          </w:p>
        </w:tc>
        <w:tc>
          <w:tcPr>
            <w:tcW w:w="163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FAE9202" w14:textId="77777777" w:rsidR="004641C4" w:rsidRPr="003B6A69" w:rsidRDefault="004641C4" w:rsidP="004641C4">
            <w:pPr>
              <w:spacing w:afterLines="60" w:after="144"/>
              <w:jc w:val="center"/>
              <w:rPr>
                <w:rFonts w:asciiTheme="minorHAnsi" w:hAnsiTheme="minorHAnsi" w:cstheme="minorHAnsi"/>
                <w:b/>
                <w:bCs/>
                <w:sz w:val="18"/>
                <w:szCs w:val="18"/>
                <w:lang w:eastAsia="ja-JP"/>
              </w:rPr>
            </w:pPr>
            <w:r w:rsidRPr="003B6A69">
              <w:rPr>
                <w:rFonts w:asciiTheme="minorHAnsi" w:hAnsiTheme="minorHAnsi" w:cstheme="minorHAnsi"/>
                <w:b/>
                <w:bCs/>
                <w:sz w:val="18"/>
                <w:szCs w:val="18"/>
                <w:lang w:eastAsia="ja-JP"/>
              </w:rPr>
              <w:t>Risks/Assumptions</w:t>
            </w:r>
          </w:p>
        </w:tc>
      </w:tr>
      <w:tr w:rsidR="004641C4" w:rsidRPr="003B6A69" w14:paraId="2C4F2588" w14:textId="77777777" w:rsidTr="00BD4C79">
        <w:tc>
          <w:tcPr>
            <w:tcW w:w="1382" w:type="dxa"/>
            <w:vMerge w:val="restart"/>
            <w:tcBorders>
              <w:top w:val="single" w:sz="4" w:space="0" w:color="auto"/>
              <w:left w:val="single" w:sz="4" w:space="0" w:color="auto"/>
              <w:right w:val="single" w:sz="4" w:space="0" w:color="auto"/>
            </w:tcBorders>
          </w:tcPr>
          <w:p w14:paraId="7F5756A7" w14:textId="77777777" w:rsidR="004641C4" w:rsidRPr="003B6A69" w:rsidRDefault="004641C4" w:rsidP="004641C4">
            <w:pPr>
              <w:spacing w:afterLines="60" w:after="144"/>
              <w:jc w:val="left"/>
              <w:rPr>
                <w:rFonts w:asciiTheme="minorHAnsi" w:hAnsiTheme="minorHAnsi" w:cstheme="minorHAnsi"/>
                <w:b/>
                <w:sz w:val="18"/>
                <w:szCs w:val="18"/>
                <w:lang w:eastAsia="ja-JP"/>
              </w:rPr>
            </w:pPr>
            <w:r w:rsidRPr="003B6A69">
              <w:rPr>
                <w:rFonts w:asciiTheme="minorHAnsi" w:hAnsiTheme="minorHAnsi" w:cstheme="minorHAnsi"/>
                <w:b/>
                <w:sz w:val="18"/>
                <w:szCs w:val="18"/>
                <w:lang w:eastAsia="ja-JP"/>
              </w:rPr>
              <w:t xml:space="preserve">Project Objective: To ensure strengthened capacities for protection of the internationally recognized biodiversity </w:t>
            </w:r>
            <w:proofErr w:type="gramStart"/>
            <w:r w:rsidRPr="003B6A69">
              <w:rPr>
                <w:rFonts w:asciiTheme="minorHAnsi" w:hAnsiTheme="minorHAnsi" w:cstheme="minorHAnsi"/>
                <w:b/>
                <w:sz w:val="18"/>
                <w:szCs w:val="18"/>
                <w:lang w:eastAsia="ja-JP"/>
              </w:rPr>
              <w:t>hot-spots</w:t>
            </w:r>
            <w:proofErr w:type="gramEnd"/>
            <w:r w:rsidRPr="003B6A69">
              <w:rPr>
                <w:rFonts w:asciiTheme="minorHAnsi" w:hAnsiTheme="minorHAnsi" w:cstheme="minorHAnsi"/>
                <w:b/>
                <w:sz w:val="18"/>
                <w:szCs w:val="18"/>
                <w:lang w:eastAsia="ja-JP"/>
              </w:rPr>
              <w:t xml:space="preserve"> of Montenegro and mainstream biodiversity conservation and sustainable use objectives into the land use planning framework and sectoral practices around the KBAs</w:t>
            </w:r>
          </w:p>
        </w:tc>
        <w:tc>
          <w:tcPr>
            <w:tcW w:w="1840" w:type="dxa"/>
            <w:tcBorders>
              <w:top w:val="single" w:sz="4" w:space="0" w:color="auto"/>
              <w:left w:val="single" w:sz="4" w:space="0" w:color="auto"/>
              <w:bottom w:val="single" w:sz="4" w:space="0" w:color="auto"/>
              <w:right w:val="single" w:sz="4" w:space="0" w:color="auto"/>
            </w:tcBorders>
          </w:tcPr>
          <w:p w14:paraId="54A447DE" w14:textId="77777777" w:rsidR="004641C4" w:rsidRPr="003B6A69" w:rsidRDefault="004641C4" w:rsidP="004641C4">
            <w:pPr>
              <w:jc w:val="left"/>
              <w:rPr>
                <w:bCs/>
                <w:i/>
                <w:sz w:val="18"/>
                <w:szCs w:val="18"/>
              </w:rPr>
            </w:pPr>
            <w:r w:rsidRPr="003B6A69">
              <w:rPr>
                <w:b/>
                <w:bCs/>
                <w:sz w:val="18"/>
                <w:szCs w:val="18"/>
                <w:u w:val="single"/>
              </w:rPr>
              <w:t>Mandatory</w:t>
            </w:r>
            <w:r w:rsidRPr="003B6A69">
              <w:rPr>
                <w:bCs/>
                <w:sz w:val="18"/>
                <w:szCs w:val="18"/>
                <w:u w:val="single"/>
              </w:rPr>
              <w:t xml:space="preserve"> Indicator 1:</w:t>
            </w:r>
            <w:r w:rsidRPr="003B6A69">
              <w:rPr>
                <w:bCs/>
                <w:sz w:val="18"/>
                <w:szCs w:val="18"/>
              </w:rPr>
              <w:t xml:space="preserve">  # direct project beneficiaries disaggregated by gender (individual people) (GEF Core Indicator 11)</w:t>
            </w:r>
          </w:p>
          <w:p w14:paraId="3D65EB96" w14:textId="77777777" w:rsidR="004641C4" w:rsidRPr="003B6A69" w:rsidRDefault="004641C4" w:rsidP="004641C4">
            <w:pPr>
              <w:jc w:val="left"/>
              <w:rPr>
                <w:bCs/>
                <w:i/>
                <w:sz w:val="18"/>
                <w:szCs w:val="18"/>
              </w:rPr>
            </w:pPr>
          </w:p>
          <w:p w14:paraId="0A0BAE77" w14:textId="77777777" w:rsidR="004641C4" w:rsidRPr="003B6A69" w:rsidRDefault="004641C4" w:rsidP="004641C4">
            <w:pPr>
              <w:spacing w:afterLines="60" w:after="144"/>
              <w:rPr>
                <w:rFonts w:ascii="Calibri Light" w:hAnsi="Calibri Light" w:cs="Calibri Light"/>
                <w:bCs/>
                <w:sz w:val="18"/>
                <w:szCs w:val="18"/>
                <w:lang w:eastAsia="ja-JP"/>
              </w:rPr>
            </w:pPr>
          </w:p>
        </w:tc>
        <w:tc>
          <w:tcPr>
            <w:tcW w:w="1427" w:type="dxa"/>
            <w:tcBorders>
              <w:top w:val="single" w:sz="4" w:space="0" w:color="auto"/>
              <w:left w:val="single" w:sz="4" w:space="0" w:color="auto"/>
              <w:bottom w:val="single" w:sz="4" w:space="0" w:color="auto"/>
              <w:right w:val="single" w:sz="4" w:space="0" w:color="auto"/>
            </w:tcBorders>
          </w:tcPr>
          <w:p w14:paraId="7D30BDF4" w14:textId="77777777" w:rsidR="004641C4" w:rsidRPr="003B6A69" w:rsidRDefault="004641C4" w:rsidP="004641C4">
            <w:pPr>
              <w:spacing w:afterLines="60" w:after="144"/>
              <w:jc w:val="left"/>
              <w:rPr>
                <w:rFonts w:asciiTheme="minorHAnsi" w:hAnsiTheme="minorHAnsi" w:cstheme="minorHAnsi"/>
                <w:sz w:val="18"/>
                <w:szCs w:val="18"/>
                <w:lang w:eastAsia="ja-JP"/>
              </w:rPr>
            </w:pPr>
            <w:r w:rsidRPr="003B6A69">
              <w:rPr>
                <w:bCs/>
                <w:i/>
                <w:sz w:val="18"/>
                <w:szCs w:val="18"/>
              </w:rPr>
              <w:t>50,000 (incl. 27,000 women)</w:t>
            </w:r>
          </w:p>
        </w:tc>
        <w:tc>
          <w:tcPr>
            <w:tcW w:w="1407" w:type="dxa"/>
            <w:tcBorders>
              <w:top w:val="single" w:sz="4" w:space="0" w:color="auto"/>
              <w:left w:val="single" w:sz="4" w:space="0" w:color="auto"/>
              <w:bottom w:val="single" w:sz="4" w:space="0" w:color="auto"/>
              <w:right w:val="single" w:sz="4" w:space="0" w:color="auto"/>
            </w:tcBorders>
          </w:tcPr>
          <w:p w14:paraId="51F438B8" w14:textId="77777777" w:rsidR="004641C4" w:rsidRPr="003B6A69" w:rsidRDefault="004641C4" w:rsidP="004641C4">
            <w:pPr>
              <w:spacing w:afterLines="60" w:after="144"/>
              <w:jc w:val="left"/>
              <w:rPr>
                <w:rFonts w:asciiTheme="minorHAnsi" w:hAnsiTheme="minorHAnsi" w:cstheme="minorHAnsi"/>
                <w:sz w:val="18"/>
                <w:szCs w:val="18"/>
                <w:lang w:eastAsia="ja-JP"/>
              </w:rPr>
            </w:pPr>
            <w:r w:rsidRPr="003B6A69">
              <w:rPr>
                <w:rFonts w:asciiTheme="minorHAnsi" w:hAnsiTheme="minorHAnsi" w:cstheme="minorHAnsi"/>
                <w:sz w:val="18"/>
                <w:szCs w:val="18"/>
                <w:lang w:eastAsia="ja-JP"/>
              </w:rPr>
              <w:t>A detailed methodology for assessment will be commissioned and verified at the project Inception stage</w:t>
            </w:r>
          </w:p>
        </w:tc>
        <w:tc>
          <w:tcPr>
            <w:tcW w:w="1675" w:type="dxa"/>
            <w:tcBorders>
              <w:top w:val="single" w:sz="4" w:space="0" w:color="auto"/>
              <w:left w:val="single" w:sz="4" w:space="0" w:color="auto"/>
              <w:bottom w:val="single" w:sz="4" w:space="0" w:color="auto"/>
              <w:right w:val="single" w:sz="4" w:space="0" w:color="auto"/>
            </w:tcBorders>
          </w:tcPr>
          <w:p w14:paraId="2130C715" w14:textId="77777777" w:rsidR="004641C4" w:rsidRPr="003B6A69" w:rsidRDefault="004641C4" w:rsidP="004641C4">
            <w:pPr>
              <w:spacing w:afterLines="60" w:after="144"/>
              <w:jc w:val="left"/>
              <w:rPr>
                <w:rFonts w:asciiTheme="minorHAnsi" w:hAnsiTheme="minorHAnsi" w:cstheme="minorHAnsi"/>
                <w:sz w:val="18"/>
                <w:szCs w:val="18"/>
                <w:lang w:eastAsia="ja-JP"/>
              </w:rPr>
            </w:pPr>
            <w:r w:rsidRPr="003B6A69">
              <w:rPr>
                <w:rFonts w:asciiTheme="minorHAnsi" w:hAnsiTheme="minorHAnsi" w:cstheme="minorHAnsi"/>
                <w:sz w:val="18"/>
                <w:szCs w:val="18"/>
                <w:lang w:eastAsia="ja-JP"/>
              </w:rPr>
              <w:t xml:space="preserve">Annual project team analysis of number of people directly benefiting from project activities, according to the assessment methodology developed and verified at the project inception stage. Project internal sources such as lists of training participants and KM product distribution lists, will be </w:t>
            </w:r>
            <w:proofErr w:type="spellStart"/>
            <w:r w:rsidRPr="003B6A69">
              <w:rPr>
                <w:rFonts w:asciiTheme="minorHAnsi" w:hAnsiTheme="minorHAnsi" w:cstheme="minorHAnsi"/>
                <w:sz w:val="18"/>
                <w:szCs w:val="18"/>
                <w:lang w:eastAsia="ja-JP"/>
              </w:rPr>
              <w:t>analysed</w:t>
            </w:r>
            <w:proofErr w:type="spellEnd"/>
            <w:r w:rsidRPr="003B6A69">
              <w:rPr>
                <w:rFonts w:asciiTheme="minorHAnsi" w:hAnsiTheme="minorHAnsi" w:cstheme="minorHAnsi"/>
                <w:sz w:val="18"/>
                <w:szCs w:val="18"/>
                <w:lang w:eastAsia="ja-JP"/>
              </w:rPr>
              <w:t xml:space="preserve"> as data sources. Project beneficiary institutions will be approached to contribute to data collection, such as: PA staff participating in project capacity building and knowledge product </w:t>
            </w:r>
            <w:proofErr w:type="spellStart"/>
            <w:r w:rsidRPr="003B6A69">
              <w:rPr>
                <w:rFonts w:asciiTheme="minorHAnsi" w:hAnsiTheme="minorHAnsi" w:cstheme="minorHAnsi"/>
                <w:sz w:val="18"/>
                <w:szCs w:val="18"/>
                <w:lang w:eastAsia="ja-JP"/>
              </w:rPr>
              <w:t>devt</w:t>
            </w:r>
            <w:proofErr w:type="spellEnd"/>
            <w:r w:rsidRPr="003B6A69">
              <w:rPr>
                <w:rFonts w:asciiTheme="minorHAnsi" w:hAnsiTheme="minorHAnsi" w:cstheme="minorHAnsi"/>
                <w:sz w:val="18"/>
                <w:szCs w:val="18"/>
                <w:lang w:eastAsia="ja-JP"/>
              </w:rPr>
              <w:t xml:space="preserve">; PA </w:t>
            </w:r>
            <w:r w:rsidRPr="003B6A69">
              <w:rPr>
                <w:rFonts w:asciiTheme="minorHAnsi" w:hAnsiTheme="minorHAnsi" w:cstheme="minorHAnsi"/>
                <w:sz w:val="18"/>
                <w:szCs w:val="18"/>
                <w:lang w:eastAsia="ja-JP"/>
              </w:rPr>
              <w:lastRenderedPageBreak/>
              <w:t xml:space="preserve">management, staff of PENP and </w:t>
            </w:r>
            <w:proofErr w:type="spellStart"/>
            <w:r w:rsidRPr="003B6A69">
              <w:rPr>
                <w:rFonts w:asciiTheme="minorHAnsi" w:hAnsiTheme="minorHAnsi" w:cstheme="minorHAnsi"/>
                <w:sz w:val="18"/>
                <w:szCs w:val="18"/>
                <w:lang w:eastAsia="ja-JP"/>
              </w:rPr>
              <w:t>Morsko</w:t>
            </w:r>
            <w:proofErr w:type="spellEnd"/>
            <w:r w:rsidRPr="003B6A69">
              <w:rPr>
                <w:rFonts w:asciiTheme="minorHAnsi" w:hAnsiTheme="minorHAnsi" w:cstheme="minorHAnsi"/>
                <w:sz w:val="18"/>
                <w:szCs w:val="18"/>
                <w:lang w:eastAsia="ja-JP"/>
              </w:rPr>
              <w:t xml:space="preserve"> Dobro with access to innovative PA management tools and practices; spatial planning developers and practitioners; research institutions and associations, NEPA staff engaged in BD assessments and research and development of PA protection studies; tourism, forestry and agricultural policy developers; HCVF forest managers and private forest owners in the focus of the project; financial institutions in charge of </w:t>
            </w:r>
            <w:proofErr w:type="spellStart"/>
            <w:r w:rsidRPr="003B6A69">
              <w:rPr>
                <w:rFonts w:asciiTheme="minorHAnsi" w:hAnsiTheme="minorHAnsi" w:cstheme="minorHAnsi"/>
                <w:sz w:val="18"/>
                <w:szCs w:val="18"/>
                <w:lang w:eastAsia="ja-JP"/>
              </w:rPr>
              <w:t>agro</w:t>
            </w:r>
            <w:proofErr w:type="spellEnd"/>
            <w:r w:rsidRPr="003B6A69">
              <w:rPr>
                <w:rFonts w:asciiTheme="minorHAnsi" w:hAnsiTheme="minorHAnsi" w:cstheme="minorHAnsi"/>
                <w:sz w:val="18"/>
                <w:szCs w:val="18"/>
                <w:lang w:eastAsia="ja-JP"/>
              </w:rPr>
              <w:t>-environmental subsidies.</w:t>
            </w:r>
          </w:p>
        </w:tc>
        <w:tc>
          <w:tcPr>
            <w:tcW w:w="1277" w:type="dxa"/>
            <w:tcBorders>
              <w:top w:val="single" w:sz="4" w:space="0" w:color="auto"/>
              <w:left w:val="single" w:sz="4" w:space="0" w:color="auto"/>
              <w:bottom w:val="single" w:sz="4" w:space="0" w:color="auto"/>
              <w:right w:val="single" w:sz="4" w:space="0" w:color="auto"/>
            </w:tcBorders>
          </w:tcPr>
          <w:p w14:paraId="67523B1B" w14:textId="77777777" w:rsidR="004641C4" w:rsidRPr="003B6A69" w:rsidRDefault="004641C4" w:rsidP="004641C4">
            <w:pPr>
              <w:spacing w:afterLines="60" w:after="144"/>
              <w:jc w:val="left"/>
              <w:rPr>
                <w:rFonts w:asciiTheme="minorHAnsi" w:hAnsiTheme="minorHAnsi" w:cstheme="minorHAnsi"/>
                <w:sz w:val="18"/>
                <w:szCs w:val="18"/>
                <w:lang w:eastAsia="ja-JP"/>
              </w:rPr>
            </w:pPr>
            <w:r w:rsidRPr="003B6A69">
              <w:rPr>
                <w:rFonts w:asciiTheme="minorHAnsi" w:hAnsiTheme="minorHAnsi" w:cstheme="minorHAnsi"/>
                <w:sz w:val="18"/>
                <w:szCs w:val="18"/>
                <w:lang w:eastAsia="ja-JP"/>
              </w:rPr>
              <w:lastRenderedPageBreak/>
              <w:t xml:space="preserve">Annually </w:t>
            </w:r>
          </w:p>
          <w:p w14:paraId="58B269C7" w14:textId="77777777" w:rsidR="004641C4" w:rsidRPr="003B6A69" w:rsidRDefault="004641C4" w:rsidP="004641C4">
            <w:pPr>
              <w:spacing w:afterLines="60" w:after="144"/>
              <w:jc w:val="left"/>
              <w:rPr>
                <w:rFonts w:asciiTheme="minorHAnsi" w:hAnsiTheme="minorHAnsi" w:cstheme="minorHAnsi"/>
                <w:sz w:val="18"/>
                <w:szCs w:val="18"/>
                <w:lang w:eastAsia="ja-JP"/>
              </w:rPr>
            </w:pPr>
          </w:p>
          <w:p w14:paraId="4F90D182" w14:textId="77777777" w:rsidR="004641C4" w:rsidRPr="003B6A69" w:rsidRDefault="004641C4" w:rsidP="004641C4">
            <w:pPr>
              <w:spacing w:afterLines="60" w:after="144"/>
              <w:jc w:val="left"/>
              <w:rPr>
                <w:rFonts w:asciiTheme="minorHAnsi" w:hAnsiTheme="minorHAnsi" w:cstheme="minorHAnsi"/>
                <w:sz w:val="18"/>
                <w:szCs w:val="18"/>
                <w:lang w:eastAsia="ja-JP"/>
              </w:rPr>
            </w:pPr>
            <w:r w:rsidRPr="003B6A69">
              <w:rPr>
                <w:rFonts w:asciiTheme="minorHAnsi" w:hAnsiTheme="minorHAnsi" w:cstheme="minorHAnsi"/>
                <w:sz w:val="18"/>
                <w:szCs w:val="18"/>
                <w:lang w:eastAsia="ja-JP"/>
              </w:rPr>
              <w:t>Reported in DO tab of the GEF PIR</w:t>
            </w:r>
          </w:p>
        </w:tc>
        <w:tc>
          <w:tcPr>
            <w:tcW w:w="1118" w:type="dxa"/>
            <w:tcBorders>
              <w:top w:val="single" w:sz="4" w:space="0" w:color="auto"/>
              <w:left w:val="single" w:sz="4" w:space="0" w:color="auto"/>
              <w:bottom w:val="single" w:sz="4" w:space="0" w:color="auto"/>
              <w:right w:val="single" w:sz="4" w:space="0" w:color="auto"/>
            </w:tcBorders>
          </w:tcPr>
          <w:p w14:paraId="01C23662" w14:textId="77777777" w:rsidR="004641C4" w:rsidRPr="003B6A69" w:rsidRDefault="004641C4" w:rsidP="004641C4">
            <w:pPr>
              <w:spacing w:afterLines="60" w:after="144"/>
              <w:jc w:val="left"/>
              <w:rPr>
                <w:rFonts w:asciiTheme="minorHAnsi" w:hAnsiTheme="minorHAnsi" w:cstheme="minorHAnsi"/>
                <w:sz w:val="18"/>
                <w:szCs w:val="18"/>
                <w:lang w:eastAsia="ja-JP"/>
              </w:rPr>
            </w:pPr>
            <w:r w:rsidRPr="003B6A69">
              <w:rPr>
                <w:rFonts w:asciiTheme="minorHAnsi" w:hAnsiTheme="minorHAnsi" w:cstheme="minorHAnsi"/>
                <w:sz w:val="18"/>
                <w:szCs w:val="18"/>
                <w:lang w:eastAsia="ja-JP"/>
              </w:rPr>
              <w:t>Project team</w:t>
            </w:r>
          </w:p>
        </w:tc>
        <w:tc>
          <w:tcPr>
            <w:tcW w:w="1754" w:type="dxa"/>
            <w:tcBorders>
              <w:top w:val="single" w:sz="4" w:space="0" w:color="auto"/>
              <w:left w:val="single" w:sz="4" w:space="0" w:color="auto"/>
              <w:bottom w:val="single" w:sz="4" w:space="0" w:color="auto"/>
              <w:right w:val="single" w:sz="4" w:space="0" w:color="auto"/>
            </w:tcBorders>
          </w:tcPr>
          <w:p w14:paraId="12ACEC07" w14:textId="77777777" w:rsidR="004641C4" w:rsidRPr="003B6A69" w:rsidRDefault="004641C4" w:rsidP="004641C4">
            <w:pPr>
              <w:rPr>
                <w:rFonts w:ascii="Calibri Light" w:hAnsi="Calibri Light" w:cs="Calibri Light"/>
                <w:bCs/>
                <w:sz w:val="18"/>
                <w:szCs w:val="18"/>
                <w:lang w:eastAsia="ja-JP"/>
              </w:rPr>
            </w:pPr>
            <w:r w:rsidRPr="003B6A69">
              <w:rPr>
                <w:rFonts w:ascii="Calibri Light" w:hAnsi="Calibri Light" w:cs="Calibri Light"/>
                <w:bCs/>
                <w:sz w:val="18"/>
                <w:szCs w:val="18"/>
                <w:lang w:eastAsia="ja-JP"/>
              </w:rPr>
              <w:t xml:space="preserve">Number of the following key beneficiary groups </w:t>
            </w:r>
            <w:proofErr w:type="spellStart"/>
            <w:r w:rsidRPr="003B6A69">
              <w:rPr>
                <w:rFonts w:ascii="Calibri Light" w:hAnsi="Calibri Light" w:cs="Calibri Light"/>
                <w:bCs/>
                <w:sz w:val="18"/>
                <w:szCs w:val="18"/>
                <w:lang w:eastAsia="ja-JP"/>
              </w:rPr>
              <w:t>analysed</w:t>
            </w:r>
            <w:proofErr w:type="spellEnd"/>
            <w:r w:rsidRPr="003B6A69">
              <w:rPr>
                <w:rFonts w:ascii="Calibri Light" w:hAnsi="Calibri Light" w:cs="Calibri Light"/>
                <w:bCs/>
                <w:sz w:val="18"/>
                <w:szCs w:val="18"/>
                <w:lang w:eastAsia="ja-JP"/>
              </w:rPr>
              <w:t>:</w:t>
            </w:r>
          </w:p>
          <w:p w14:paraId="0EE77249" w14:textId="77777777" w:rsidR="004641C4" w:rsidRPr="003B6A69" w:rsidRDefault="004641C4" w:rsidP="004641C4">
            <w:pPr>
              <w:rPr>
                <w:rFonts w:ascii="Calibri Light" w:hAnsi="Calibri Light" w:cs="Calibri Light"/>
                <w:bCs/>
                <w:sz w:val="18"/>
                <w:szCs w:val="18"/>
                <w:lang w:eastAsia="ja-JP"/>
              </w:rPr>
            </w:pPr>
            <w:r w:rsidRPr="003B6A69">
              <w:rPr>
                <w:rFonts w:ascii="Calibri Light" w:hAnsi="Calibri Light" w:cs="Calibri Light"/>
                <w:bCs/>
                <w:sz w:val="18"/>
                <w:szCs w:val="18"/>
                <w:lang w:eastAsia="ja-JP"/>
              </w:rPr>
              <w:t xml:space="preserve"> pilot PA staff and associated management authorities</w:t>
            </w:r>
          </w:p>
          <w:p w14:paraId="6018054D" w14:textId="77777777" w:rsidR="004641C4" w:rsidRPr="003B6A69" w:rsidRDefault="004641C4" w:rsidP="004641C4">
            <w:pPr>
              <w:rPr>
                <w:rFonts w:ascii="Calibri Light" w:hAnsi="Calibri Light" w:cs="Calibri Light"/>
                <w:bCs/>
                <w:sz w:val="18"/>
                <w:szCs w:val="18"/>
                <w:lang w:eastAsia="ja-JP"/>
              </w:rPr>
            </w:pPr>
            <w:r w:rsidRPr="003B6A69">
              <w:rPr>
                <w:rFonts w:ascii="Calibri Light" w:hAnsi="Calibri Light" w:cs="Calibri Light"/>
                <w:bCs/>
                <w:sz w:val="18"/>
                <w:szCs w:val="18"/>
                <w:lang w:eastAsia="ja-JP"/>
              </w:rPr>
              <w:t>Users of PA tourism offer and related services</w:t>
            </w:r>
          </w:p>
          <w:p w14:paraId="14905050" w14:textId="77777777" w:rsidR="004641C4" w:rsidRPr="003B6A69" w:rsidRDefault="004641C4" w:rsidP="004641C4">
            <w:pPr>
              <w:rPr>
                <w:rFonts w:ascii="Calibri Light" w:hAnsi="Calibri Light" w:cs="Calibri Light"/>
                <w:bCs/>
                <w:sz w:val="18"/>
                <w:szCs w:val="18"/>
                <w:lang w:eastAsia="ja-JP"/>
              </w:rPr>
            </w:pPr>
            <w:r w:rsidRPr="003B6A69">
              <w:rPr>
                <w:rFonts w:ascii="Calibri Light" w:hAnsi="Calibri Light" w:cs="Calibri Light"/>
                <w:bCs/>
                <w:sz w:val="18"/>
                <w:szCs w:val="18"/>
                <w:lang w:eastAsia="ja-JP"/>
              </w:rPr>
              <w:t>Community representatives involved in project activities around KBAs</w:t>
            </w:r>
          </w:p>
          <w:p w14:paraId="7F65D1C5" w14:textId="77777777" w:rsidR="004641C4" w:rsidRPr="003B6A69" w:rsidRDefault="004641C4" w:rsidP="004641C4">
            <w:pPr>
              <w:rPr>
                <w:rFonts w:ascii="Calibri Light" w:hAnsi="Calibri Light" w:cs="Calibri Light"/>
                <w:bCs/>
                <w:sz w:val="18"/>
                <w:szCs w:val="18"/>
                <w:lang w:eastAsia="ja-JP"/>
              </w:rPr>
            </w:pPr>
            <w:r w:rsidRPr="003B6A69">
              <w:rPr>
                <w:rFonts w:ascii="Calibri Light" w:hAnsi="Calibri Light" w:cs="Calibri Light"/>
                <w:bCs/>
                <w:sz w:val="18"/>
                <w:szCs w:val="18"/>
                <w:lang w:eastAsia="ja-JP"/>
              </w:rPr>
              <w:t>Spatial planning managers and practitioners</w:t>
            </w:r>
          </w:p>
          <w:p w14:paraId="002D6210" w14:textId="77777777" w:rsidR="004641C4" w:rsidRPr="003B6A69" w:rsidRDefault="004641C4" w:rsidP="004641C4">
            <w:pPr>
              <w:spacing w:afterLines="60" w:after="144"/>
              <w:jc w:val="left"/>
              <w:rPr>
                <w:rFonts w:ascii="Calibri Light" w:hAnsi="Calibri Light" w:cs="Calibri Light"/>
                <w:bCs/>
                <w:sz w:val="18"/>
                <w:szCs w:val="18"/>
                <w:lang w:eastAsia="ja-JP"/>
              </w:rPr>
            </w:pPr>
            <w:r w:rsidRPr="003B6A69">
              <w:rPr>
                <w:rFonts w:ascii="Calibri Light" w:hAnsi="Calibri Light" w:cs="Calibri Light"/>
                <w:bCs/>
                <w:sz w:val="18"/>
                <w:szCs w:val="18"/>
                <w:lang w:eastAsia="ja-JP"/>
              </w:rPr>
              <w:t xml:space="preserve">Tourism sector businesses and individual partners </w:t>
            </w:r>
          </w:p>
          <w:p w14:paraId="6817BE13" w14:textId="77777777" w:rsidR="004641C4" w:rsidRPr="003B6A69" w:rsidRDefault="004641C4" w:rsidP="004641C4">
            <w:pPr>
              <w:spacing w:afterLines="60" w:after="144"/>
              <w:jc w:val="left"/>
              <w:rPr>
                <w:rFonts w:ascii="Calibri Light" w:hAnsi="Calibri Light" w:cs="Calibri Light"/>
                <w:bCs/>
                <w:sz w:val="18"/>
                <w:szCs w:val="18"/>
                <w:lang w:eastAsia="ja-JP"/>
              </w:rPr>
            </w:pPr>
            <w:r w:rsidRPr="003B6A69">
              <w:rPr>
                <w:rFonts w:ascii="Calibri Light" w:hAnsi="Calibri Light" w:cs="Calibri Light"/>
                <w:bCs/>
                <w:sz w:val="18"/>
                <w:szCs w:val="18"/>
                <w:lang w:eastAsia="ja-JP"/>
              </w:rPr>
              <w:t>Tourism policy developers</w:t>
            </w:r>
          </w:p>
          <w:p w14:paraId="71E3DCEE" w14:textId="77777777" w:rsidR="004641C4" w:rsidRPr="003B6A69" w:rsidRDefault="004641C4" w:rsidP="004641C4">
            <w:pPr>
              <w:spacing w:afterLines="60" w:after="144"/>
              <w:jc w:val="left"/>
              <w:rPr>
                <w:rFonts w:ascii="Calibri Light" w:hAnsi="Calibri Light" w:cs="Calibri Light"/>
                <w:bCs/>
                <w:sz w:val="18"/>
                <w:szCs w:val="18"/>
                <w:lang w:eastAsia="ja-JP"/>
              </w:rPr>
            </w:pPr>
            <w:r w:rsidRPr="003B6A69">
              <w:rPr>
                <w:rFonts w:ascii="Calibri Light" w:hAnsi="Calibri Light" w:cs="Calibri Light"/>
                <w:bCs/>
                <w:sz w:val="18"/>
                <w:szCs w:val="18"/>
                <w:lang w:eastAsia="ja-JP"/>
              </w:rPr>
              <w:t>Forestry policy developers</w:t>
            </w:r>
          </w:p>
          <w:p w14:paraId="4D9F929E" w14:textId="77777777" w:rsidR="004641C4" w:rsidRPr="003B6A69" w:rsidRDefault="004641C4" w:rsidP="004641C4">
            <w:pPr>
              <w:spacing w:afterLines="60" w:after="144"/>
              <w:jc w:val="left"/>
              <w:rPr>
                <w:rFonts w:ascii="Calibri Light" w:hAnsi="Calibri Light" w:cs="Calibri Light"/>
                <w:bCs/>
                <w:sz w:val="18"/>
                <w:szCs w:val="18"/>
                <w:lang w:eastAsia="ja-JP"/>
              </w:rPr>
            </w:pPr>
            <w:r w:rsidRPr="003B6A69">
              <w:rPr>
                <w:rFonts w:ascii="Calibri Light" w:hAnsi="Calibri Light" w:cs="Calibri Light"/>
                <w:bCs/>
                <w:sz w:val="18"/>
                <w:szCs w:val="18"/>
                <w:lang w:eastAsia="ja-JP"/>
              </w:rPr>
              <w:lastRenderedPageBreak/>
              <w:t>Private forest owners</w:t>
            </w:r>
          </w:p>
          <w:p w14:paraId="7DC8907C" w14:textId="77777777" w:rsidR="004641C4" w:rsidRPr="003B6A69" w:rsidRDefault="004641C4" w:rsidP="004641C4">
            <w:pPr>
              <w:spacing w:afterLines="60" w:after="144"/>
              <w:jc w:val="left"/>
              <w:rPr>
                <w:rFonts w:ascii="Calibri Light" w:hAnsi="Calibri Light" w:cs="Calibri Light"/>
                <w:bCs/>
                <w:sz w:val="18"/>
                <w:szCs w:val="18"/>
                <w:lang w:eastAsia="ja-JP"/>
              </w:rPr>
            </w:pPr>
            <w:r w:rsidRPr="003B6A69">
              <w:rPr>
                <w:rFonts w:ascii="Calibri Light" w:hAnsi="Calibri Light" w:cs="Calibri Light"/>
                <w:bCs/>
                <w:sz w:val="18"/>
                <w:szCs w:val="18"/>
                <w:lang w:eastAsia="ja-JP"/>
              </w:rPr>
              <w:t>HCVF managers</w:t>
            </w:r>
          </w:p>
          <w:p w14:paraId="125BE421" w14:textId="77777777" w:rsidR="004641C4" w:rsidRPr="003B6A69" w:rsidRDefault="004641C4" w:rsidP="004641C4">
            <w:pPr>
              <w:spacing w:afterLines="60" w:after="144"/>
              <w:jc w:val="left"/>
              <w:rPr>
                <w:rFonts w:ascii="Calibri Light" w:hAnsi="Calibri Light" w:cs="Calibri Light"/>
                <w:bCs/>
                <w:sz w:val="18"/>
                <w:szCs w:val="18"/>
                <w:lang w:eastAsia="ja-JP"/>
              </w:rPr>
            </w:pPr>
            <w:r w:rsidRPr="003B6A69">
              <w:rPr>
                <w:rFonts w:ascii="Calibri Light" w:hAnsi="Calibri Light" w:cs="Calibri Light"/>
                <w:bCs/>
                <w:sz w:val="18"/>
                <w:szCs w:val="18"/>
                <w:lang w:eastAsia="ja-JP"/>
              </w:rPr>
              <w:t>Municipal authorities engaged in spatial planning and sectoral regulations’ enforcement</w:t>
            </w:r>
          </w:p>
          <w:p w14:paraId="6A4B7BDC" w14:textId="77777777" w:rsidR="004641C4" w:rsidRPr="003B6A69" w:rsidRDefault="004641C4" w:rsidP="004641C4">
            <w:pPr>
              <w:spacing w:afterLines="60" w:after="144"/>
              <w:jc w:val="left"/>
              <w:rPr>
                <w:rFonts w:ascii="Calibri Light" w:hAnsi="Calibri Light" w:cs="Calibri Light"/>
                <w:bCs/>
                <w:sz w:val="18"/>
                <w:szCs w:val="18"/>
                <w:lang w:eastAsia="ja-JP"/>
              </w:rPr>
            </w:pPr>
            <w:proofErr w:type="spellStart"/>
            <w:r w:rsidRPr="003B6A69">
              <w:rPr>
                <w:rFonts w:ascii="Calibri Light" w:hAnsi="Calibri Light" w:cs="Calibri Light"/>
                <w:bCs/>
                <w:sz w:val="18"/>
                <w:szCs w:val="18"/>
                <w:lang w:eastAsia="ja-JP"/>
              </w:rPr>
              <w:t>Agro</w:t>
            </w:r>
            <w:proofErr w:type="spellEnd"/>
            <w:r w:rsidRPr="003B6A69">
              <w:rPr>
                <w:rFonts w:ascii="Calibri Light" w:hAnsi="Calibri Light" w:cs="Calibri Light"/>
                <w:bCs/>
                <w:sz w:val="18"/>
                <w:szCs w:val="18"/>
                <w:lang w:eastAsia="ja-JP"/>
              </w:rPr>
              <w:t>-environmental policy developers</w:t>
            </w:r>
          </w:p>
          <w:p w14:paraId="6CDB97C3" w14:textId="77777777" w:rsidR="004641C4" w:rsidRPr="003B6A69" w:rsidRDefault="004641C4" w:rsidP="004641C4">
            <w:pPr>
              <w:spacing w:afterLines="60" w:after="144"/>
              <w:jc w:val="left"/>
              <w:rPr>
                <w:rFonts w:ascii="Calibri Light" w:hAnsi="Calibri Light" w:cs="Calibri Light"/>
                <w:bCs/>
                <w:sz w:val="18"/>
                <w:szCs w:val="18"/>
                <w:lang w:eastAsia="ja-JP"/>
              </w:rPr>
            </w:pPr>
            <w:r w:rsidRPr="003B6A69">
              <w:rPr>
                <w:rFonts w:ascii="Calibri Light" w:hAnsi="Calibri Light" w:cs="Calibri Light"/>
                <w:bCs/>
                <w:sz w:val="18"/>
                <w:szCs w:val="18"/>
                <w:lang w:eastAsia="ja-JP"/>
              </w:rPr>
              <w:t>Green farmers</w:t>
            </w:r>
          </w:p>
        </w:tc>
        <w:tc>
          <w:tcPr>
            <w:tcW w:w="1633" w:type="dxa"/>
            <w:tcBorders>
              <w:top w:val="single" w:sz="4" w:space="0" w:color="auto"/>
              <w:left w:val="single" w:sz="4" w:space="0" w:color="auto"/>
              <w:bottom w:val="single" w:sz="4" w:space="0" w:color="auto"/>
              <w:right w:val="single" w:sz="4" w:space="0" w:color="auto"/>
            </w:tcBorders>
          </w:tcPr>
          <w:p w14:paraId="3F5A02CF" w14:textId="77777777" w:rsidR="004641C4" w:rsidRPr="003B6A69" w:rsidRDefault="004641C4" w:rsidP="004641C4">
            <w:pPr>
              <w:rPr>
                <w:rFonts w:ascii="Calibri Light" w:hAnsi="Calibri Light" w:cs="Calibri Light"/>
                <w:bCs/>
                <w:sz w:val="18"/>
                <w:szCs w:val="18"/>
                <w:lang w:eastAsia="ja-JP"/>
              </w:rPr>
            </w:pPr>
            <w:r w:rsidRPr="003B6A69">
              <w:rPr>
                <w:rFonts w:ascii="Calibri Light" w:hAnsi="Calibri Light" w:cs="Calibri Light"/>
                <w:bCs/>
                <w:sz w:val="18"/>
                <w:szCs w:val="18"/>
                <w:lang w:eastAsia="ja-JP"/>
              </w:rPr>
              <w:lastRenderedPageBreak/>
              <w:t>- No large-scale staff turnover in participating enterprises, government institutions, and targeted PAs</w:t>
            </w:r>
          </w:p>
          <w:p w14:paraId="7B2A997C" w14:textId="77777777" w:rsidR="004641C4" w:rsidRPr="003B6A69" w:rsidRDefault="004641C4" w:rsidP="004641C4">
            <w:pPr>
              <w:spacing w:afterLines="60" w:after="144"/>
              <w:jc w:val="left"/>
              <w:rPr>
                <w:rFonts w:asciiTheme="minorHAnsi" w:hAnsiTheme="minorHAnsi" w:cstheme="minorHAnsi"/>
                <w:sz w:val="18"/>
                <w:szCs w:val="18"/>
                <w:lang w:eastAsia="ja-JP"/>
              </w:rPr>
            </w:pPr>
            <w:r w:rsidRPr="003B6A69">
              <w:rPr>
                <w:rFonts w:ascii="Calibri Light" w:hAnsi="Calibri Light" w:cs="Calibri Light"/>
                <w:bCs/>
                <w:sz w:val="18"/>
                <w:szCs w:val="18"/>
                <w:lang w:eastAsia="ja-JP"/>
              </w:rPr>
              <w:t>- Communities residing within and in the vicinity of KBAs will benefit from project outcomes</w:t>
            </w:r>
          </w:p>
        </w:tc>
      </w:tr>
      <w:tr w:rsidR="004641C4" w:rsidRPr="003B6A69" w14:paraId="128A26BA" w14:textId="77777777" w:rsidTr="00BD4C79">
        <w:tc>
          <w:tcPr>
            <w:tcW w:w="0" w:type="auto"/>
            <w:vMerge/>
            <w:tcBorders>
              <w:left w:val="single" w:sz="4" w:space="0" w:color="auto"/>
              <w:bottom w:val="single" w:sz="4" w:space="0" w:color="auto"/>
              <w:right w:val="single" w:sz="4" w:space="0" w:color="auto"/>
            </w:tcBorders>
            <w:vAlign w:val="center"/>
          </w:tcPr>
          <w:p w14:paraId="735F9311" w14:textId="77777777" w:rsidR="004641C4" w:rsidRPr="003B6A69" w:rsidRDefault="004641C4" w:rsidP="004641C4">
            <w:pPr>
              <w:spacing w:after="0"/>
              <w:jc w:val="left"/>
              <w:rPr>
                <w:rFonts w:asciiTheme="minorHAnsi" w:hAnsiTheme="minorHAnsi" w:cstheme="minorHAnsi"/>
                <w:b/>
                <w:sz w:val="18"/>
                <w:szCs w:val="18"/>
                <w:lang w:eastAsia="ja-JP"/>
              </w:rPr>
            </w:pPr>
          </w:p>
        </w:tc>
        <w:tc>
          <w:tcPr>
            <w:tcW w:w="1840" w:type="dxa"/>
            <w:tcBorders>
              <w:top w:val="single" w:sz="4" w:space="0" w:color="auto"/>
              <w:left w:val="single" w:sz="4" w:space="0" w:color="auto"/>
              <w:bottom w:val="single" w:sz="4" w:space="0" w:color="auto"/>
              <w:right w:val="single" w:sz="4" w:space="0" w:color="auto"/>
            </w:tcBorders>
          </w:tcPr>
          <w:p w14:paraId="3499EA03" w14:textId="77777777" w:rsidR="004641C4" w:rsidRPr="003B6A69" w:rsidRDefault="004641C4" w:rsidP="004641C4">
            <w:pPr>
              <w:spacing w:afterLines="60" w:after="144"/>
              <w:rPr>
                <w:rFonts w:asciiTheme="minorHAnsi" w:hAnsiTheme="minorHAnsi" w:cstheme="minorHAnsi"/>
                <w:bCs/>
                <w:sz w:val="18"/>
                <w:szCs w:val="18"/>
                <w:lang w:eastAsia="ja-JP"/>
              </w:rPr>
            </w:pPr>
            <w:r w:rsidRPr="003B6A69">
              <w:rPr>
                <w:b/>
                <w:bCs/>
                <w:sz w:val="18"/>
                <w:szCs w:val="18"/>
                <w:u w:val="single"/>
              </w:rPr>
              <w:t>Mandatory</w:t>
            </w:r>
            <w:r w:rsidRPr="003B6A69">
              <w:rPr>
                <w:bCs/>
                <w:sz w:val="18"/>
                <w:szCs w:val="18"/>
                <w:u w:val="single"/>
              </w:rPr>
              <w:t xml:space="preserve"> </w:t>
            </w:r>
            <w:r w:rsidRPr="003B6A69">
              <w:rPr>
                <w:bCs/>
                <w:i/>
                <w:sz w:val="18"/>
                <w:szCs w:val="18"/>
              </w:rPr>
              <w:t>Indicator 2:</w:t>
            </w:r>
            <w:r w:rsidRPr="003B6A69">
              <w:rPr>
                <w:rFonts w:ascii="Times New Roman" w:eastAsia="Times New Roman" w:hAnsi="Times New Roman"/>
                <w:szCs w:val="20"/>
              </w:rPr>
              <w:t xml:space="preserve"> </w:t>
            </w:r>
            <w:r w:rsidRPr="003B6A69">
              <w:rPr>
                <w:bCs/>
                <w:sz w:val="18"/>
                <w:szCs w:val="18"/>
              </w:rPr>
              <w:t xml:space="preserve">Terrestrial protected areas under improved management for conservation and sustainable use </w:t>
            </w:r>
            <w:r w:rsidRPr="003B6A69">
              <w:rPr>
                <w:bCs/>
                <w:sz w:val="18"/>
                <w:szCs w:val="18"/>
              </w:rPr>
              <w:lastRenderedPageBreak/>
              <w:t>(Hectares) (GEF Core Indicator 1)</w:t>
            </w:r>
          </w:p>
        </w:tc>
        <w:tc>
          <w:tcPr>
            <w:tcW w:w="1427" w:type="dxa"/>
            <w:tcBorders>
              <w:top w:val="single" w:sz="4" w:space="0" w:color="auto"/>
              <w:left w:val="single" w:sz="4" w:space="0" w:color="auto"/>
              <w:bottom w:val="single" w:sz="4" w:space="0" w:color="auto"/>
              <w:right w:val="single" w:sz="4" w:space="0" w:color="auto"/>
            </w:tcBorders>
          </w:tcPr>
          <w:p w14:paraId="0FB3523B" w14:textId="77777777" w:rsidR="004641C4" w:rsidRPr="003B6A69" w:rsidRDefault="004641C4" w:rsidP="004641C4">
            <w:pPr>
              <w:spacing w:afterLines="60" w:after="144"/>
              <w:jc w:val="left"/>
              <w:rPr>
                <w:rFonts w:ascii="Calibri Light" w:hAnsi="Calibri Light" w:cs="Calibri Light"/>
                <w:bCs/>
                <w:sz w:val="18"/>
                <w:szCs w:val="18"/>
                <w:lang w:eastAsia="ja-JP"/>
              </w:rPr>
            </w:pPr>
            <w:r w:rsidRPr="003B6A69">
              <w:rPr>
                <w:bCs/>
                <w:i/>
                <w:sz w:val="18"/>
                <w:szCs w:val="18"/>
              </w:rPr>
              <w:lastRenderedPageBreak/>
              <w:t>145,767 ha</w:t>
            </w:r>
          </w:p>
        </w:tc>
        <w:tc>
          <w:tcPr>
            <w:tcW w:w="1407" w:type="dxa"/>
            <w:tcBorders>
              <w:top w:val="single" w:sz="4" w:space="0" w:color="auto"/>
              <w:left w:val="single" w:sz="4" w:space="0" w:color="auto"/>
              <w:bottom w:val="single" w:sz="4" w:space="0" w:color="auto"/>
              <w:right w:val="single" w:sz="4" w:space="0" w:color="auto"/>
            </w:tcBorders>
          </w:tcPr>
          <w:p w14:paraId="6D664C71" w14:textId="77777777" w:rsidR="004641C4" w:rsidRPr="003B6A69" w:rsidRDefault="004641C4" w:rsidP="004641C4">
            <w:pPr>
              <w:spacing w:afterLines="60" w:after="144"/>
              <w:jc w:val="left"/>
              <w:rPr>
                <w:rFonts w:asciiTheme="minorHAnsi" w:hAnsiTheme="minorHAnsi" w:cstheme="minorHAnsi"/>
                <w:sz w:val="18"/>
                <w:szCs w:val="18"/>
                <w:lang w:eastAsia="ja-JP"/>
              </w:rPr>
            </w:pPr>
            <w:r w:rsidRPr="003B6A69">
              <w:rPr>
                <w:rFonts w:asciiTheme="minorHAnsi" w:hAnsiTheme="minorHAnsi" w:cstheme="minorHAnsi"/>
                <w:sz w:val="18"/>
                <w:szCs w:val="18"/>
                <w:lang w:eastAsia="ja-JP"/>
              </w:rPr>
              <w:t>Coverage of pilot PAs as detailed in the Core Indicator Worksheet</w:t>
            </w:r>
          </w:p>
        </w:tc>
        <w:tc>
          <w:tcPr>
            <w:tcW w:w="1675" w:type="dxa"/>
            <w:tcBorders>
              <w:top w:val="single" w:sz="4" w:space="0" w:color="auto"/>
              <w:left w:val="single" w:sz="4" w:space="0" w:color="auto"/>
              <w:bottom w:val="single" w:sz="4" w:space="0" w:color="auto"/>
              <w:right w:val="single" w:sz="4" w:space="0" w:color="auto"/>
            </w:tcBorders>
          </w:tcPr>
          <w:p w14:paraId="088F6EEF" w14:textId="77777777" w:rsidR="004641C4" w:rsidRPr="003B6A69" w:rsidRDefault="004641C4" w:rsidP="004641C4">
            <w:pPr>
              <w:spacing w:afterLines="60" w:after="144"/>
              <w:jc w:val="left"/>
              <w:rPr>
                <w:rFonts w:asciiTheme="minorHAnsi" w:hAnsiTheme="minorHAnsi" w:cstheme="minorHAnsi"/>
                <w:sz w:val="18"/>
                <w:szCs w:val="18"/>
                <w:lang w:eastAsia="ja-JP"/>
              </w:rPr>
            </w:pPr>
            <w:r w:rsidRPr="003B6A69">
              <w:rPr>
                <w:rFonts w:asciiTheme="minorHAnsi" w:hAnsiTheme="minorHAnsi" w:cstheme="minorHAnsi"/>
                <w:sz w:val="18"/>
                <w:szCs w:val="18"/>
                <w:lang w:eastAsia="ja-JP"/>
              </w:rPr>
              <w:t>Project reporting on activities directly targeting the pilot PAs</w:t>
            </w:r>
          </w:p>
          <w:p w14:paraId="019F7F40" w14:textId="77777777" w:rsidR="004641C4" w:rsidRPr="003B6A69" w:rsidRDefault="004641C4" w:rsidP="004641C4">
            <w:pPr>
              <w:spacing w:afterLines="60" w:after="144"/>
              <w:jc w:val="left"/>
              <w:rPr>
                <w:rFonts w:asciiTheme="minorHAnsi" w:hAnsiTheme="minorHAnsi" w:cstheme="minorHAnsi"/>
                <w:sz w:val="18"/>
                <w:szCs w:val="18"/>
                <w:lang w:eastAsia="ja-JP"/>
              </w:rPr>
            </w:pPr>
            <w:r w:rsidRPr="003B6A69">
              <w:rPr>
                <w:rFonts w:asciiTheme="minorHAnsi" w:hAnsiTheme="minorHAnsi" w:cstheme="minorHAnsi"/>
                <w:sz w:val="18"/>
                <w:szCs w:val="18"/>
                <w:lang w:eastAsia="ja-JP"/>
              </w:rPr>
              <w:t>METT assessment</w:t>
            </w:r>
          </w:p>
          <w:p w14:paraId="5EE1651C" w14:textId="77777777" w:rsidR="004641C4" w:rsidRPr="003B6A69" w:rsidRDefault="004641C4" w:rsidP="004641C4">
            <w:pPr>
              <w:spacing w:afterLines="60" w:after="144"/>
              <w:jc w:val="left"/>
              <w:rPr>
                <w:rFonts w:asciiTheme="minorHAnsi" w:hAnsiTheme="minorHAnsi" w:cstheme="minorHAnsi"/>
                <w:sz w:val="18"/>
                <w:szCs w:val="18"/>
                <w:lang w:eastAsia="ja-JP"/>
              </w:rPr>
            </w:pPr>
            <w:r w:rsidRPr="003B6A69">
              <w:rPr>
                <w:rFonts w:asciiTheme="minorHAnsi" w:hAnsiTheme="minorHAnsi" w:cstheme="minorHAnsi"/>
                <w:sz w:val="18"/>
                <w:szCs w:val="18"/>
                <w:lang w:eastAsia="ja-JP"/>
              </w:rPr>
              <w:lastRenderedPageBreak/>
              <w:t xml:space="preserve">PA, PENP and </w:t>
            </w:r>
            <w:proofErr w:type="spellStart"/>
            <w:r w:rsidRPr="003B6A69">
              <w:rPr>
                <w:rFonts w:asciiTheme="minorHAnsi" w:hAnsiTheme="minorHAnsi" w:cstheme="minorHAnsi"/>
                <w:sz w:val="18"/>
                <w:szCs w:val="18"/>
                <w:lang w:eastAsia="ja-JP"/>
              </w:rPr>
              <w:t>Morsko</w:t>
            </w:r>
            <w:proofErr w:type="spellEnd"/>
            <w:r w:rsidRPr="003B6A69">
              <w:rPr>
                <w:rFonts w:asciiTheme="minorHAnsi" w:hAnsiTheme="minorHAnsi" w:cstheme="minorHAnsi"/>
                <w:sz w:val="18"/>
                <w:szCs w:val="18"/>
                <w:lang w:eastAsia="ja-JP"/>
              </w:rPr>
              <w:t xml:space="preserve"> Dobro annual reports </w:t>
            </w:r>
          </w:p>
        </w:tc>
        <w:tc>
          <w:tcPr>
            <w:tcW w:w="1277" w:type="dxa"/>
            <w:tcBorders>
              <w:top w:val="single" w:sz="4" w:space="0" w:color="auto"/>
              <w:left w:val="single" w:sz="4" w:space="0" w:color="auto"/>
              <w:bottom w:val="single" w:sz="4" w:space="0" w:color="auto"/>
              <w:right w:val="single" w:sz="4" w:space="0" w:color="auto"/>
            </w:tcBorders>
          </w:tcPr>
          <w:p w14:paraId="07F0B91F" w14:textId="77777777" w:rsidR="004641C4" w:rsidRPr="003B6A69" w:rsidRDefault="004641C4" w:rsidP="004641C4">
            <w:pPr>
              <w:spacing w:afterLines="60" w:after="144"/>
              <w:jc w:val="left"/>
              <w:rPr>
                <w:rFonts w:asciiTheme="minorHAnsi" w:hAnsiTheme="minorHAnsi" w:cstheme="minorHAnsi"/>
                <w:sz w:val="18"/>
                <w:szCs w:val="18"/>
                <w:lang w:eastAsia="ja-JP"/>
              </w:rPr>
            </w:pPr>
            <w:r w:rsidRPr="003B6A69">
              <w:rPr>
                <w:rFonts w:asciiTheme="minorHAnsi" w:hAnsiTheme="minorHAnsi" w:cstheme="minorHAnsi"/>
                <w:sz w:val="18"/>
                <w:szCs w:val="18"/>
                <w:lang w:eastAsia="ja-JP"/>
              </w:rPr>
              <w:lastRenderedPageBreak/>
              <w:t xml:space="preserve">Annually </w:t>
            </w:r>
          </w:p>
          <w:p w14:paraId="38FA7FF4" w14:textId="77777777" w:rsidR="004641C4" w:rsidRPr="003B6A69" w:rsidRDefault="004641C4" w:rsidP="004641C4">
            <w:pPr>
              <w:spacing w:afterLines="60" w:after="144"/>
              <w:jc w:val="left"/>
              <w:rPr>
                <w:rFonts w:asciiTheme="minorHAnsi" w:hAnsiTheme="minorHAnsi" w:cstheme="minorHAnsi"/>
                <w:sz w:val="18"/>
                <w:szCs w:val="18"/>
                <w:lang w:eastAsia="ja-JP"/>
              </w:rPr>
            </w:pPr>
          </w:p>
          <w:p w14:paraId="7D0B7520" w14:textId="77777777" w:rsidR="004641C4" w:rsidRPr="003B6A69" w:rsidRDefault="004641C4" w:rsidP="004641C4">
            <w:pPr>
              <w:spacing w:afterLines="60" w:after="144"/>
              <w:jc w:val="left"/>
              <w:rPr>
                <w:rFonts w:asciiTheme="minorHAnsi" w:hAnsiTheme="minorHAnsi" w:cstheme="minorHAnsi"/>
                <w:sz w:val="18"/>
                <w:szCs w:val="18"/>
                <w:lang w:eastAsia="ja-JP"/>
              </w:rPr>
            </w:pPr>
            <w:r w:rsidRPr="003B6A69">
              <w:rPr>
                <w:rFonts w:asciiTheme="minorHAnsi" w:hAnsiTheme="minorHAnsi" w:cstheme="minorHAnsi"/>
                <w:sz w:val="18"/>
                <w:szCs w:val="18"/>
                <w:lang w:eastAsia="ja-JP"/>
              </w:rPr>
              <w:t>Reported in DO tab of the GEF PIR</w:t>
            </w:r>
          </w:p>
        </w:tc>
        <w:tc>
          <w:tcPr>
            <w:tcW w:w="1118" w:type="dxa"/>
            <w:tcBorders>
              <w:top w:val="single" w:sz="4" w:space="0" w:color="auto"/>
              <w:left w:val="single" w:sz="4" w:space="0" w:color="auto"/>
              <w:bottom w:val="single" w:sz="4" w:space="0" w:color="auto"/>
              <w:right w:val="single" w:sz="4" w:space="0" w:color="auto"/>
            </w:tcBorders>
          </w:tcPr>
          <w:p w14:paraId="3B994363" w14:textId="77777777" w:rsidR="004641C4" w:rsidRPr="003B6A69" w:rsidRDefault="004641C4" w:rsidP="004641C4">
            <w:pPr>
              <w:spacing w:afterLines="60" w:after="144"/>
              <w:jc w:val="left"/>
              <w:rPr>
                <w:rFonts w:asciiTheme="minorHAnsi" w:hAnsiTheme="minorHAnsi" w:cstheme="minorHAnsi"/>
                <w:sz w:val="18"/>
                <w:szCs w:val="18"/>
                <w:lang w:eastAsia="ja-JP"/>
              </w:rPr>
            </w:pPr>
            <w:r w:rsidRPr="003B6A69">
              <w:rPr>
                <w:rFonts w:asciiTheme="minorHAnsi" w:hAnsiTheme="minorHAnsi" w:cstheme="minorHAnsi"/>
                <w:sz w:val="18"/>
                <w:szCs w:val="18"/>
                <w:lang w:eastAsia="ja-JP"/>
              </w:rPr>
              <w:t>Project team</w:t>
            </w:r>
          </w:p>
        </w:tc>
        <w:tc>
          <w:tcPr>
            <w:tcW w:w="1754" w:type="dxa"/>
            <w:tcBorders>
              <w:top w:val="single" w:sz="4" w:space="0" w:color="auto"/>
              <w:left w:val="single" w:sz="4" w:space="0" w:color="auto"/>
              <w:bottom w:val="single" w:sz="4" w:space="0" w:color="auto"/>
              <w:right w:val="single" w:sz="4" w:space="0" w:color="auto"/>
            </w:tcBorders>
          </w:tcPr>
          <w:p w14:paraId="01BB0310" w14:textId="77777777" w:rsidR="004641C4" w:rsidRPr="003B6A69" w:rsidRDefault="004641C4" w:rsidP="004641C4">
            <w:pPr>
              <w:spacing w:afterLines="60" w:after="144"/>
              <w:jc w:val="left"/>
              <w:rPr>
                <w:rFonts w:asciiTheme="minorHAnsi" w:hAnsiTheme="minorHAnsi" w:cstheme="minorHAnsi"/>
                <w:sz w:val="18"/>
                <w:szCs w:val="18"/>
                <w:lang w:eastAsia="ja-JP"/>
              </w:rPr>
            </w:pPr>
            <w:r w:rsidRPr="003B6A69">
              <w:rPr>
                <w:rFonts w:ascii="Calibri Light" w:hAnsi="Calibri Light" w:cs="Calibri Light"/>
                <w:bCs/>
                <w:sz w:val="18"/>
                <w:szCs w:val="18"/>
                <w:lang w:eastAsia="ja-JP"/>
              </w:rPr>
              <w:t xml:space="preserve">Project reports and documentation; Successful completion of project activities for relevant project components, as </w:t>
            </w:r>
            <w:r w:rsidRPr="003B6A69">
              <w:rPr>
                <w:rFonts w:ascii="Calibri Light" w:hAnsi="Calibri Light" w:cs="Calibri Light"/>
                <w:bCs/>
                <w:sz w:val="18"/>
                <w:szCs w:val="18"/>
                <w:lang w:eastAsia="ja-JP"/>
              </w:rPr>
              <w:lastRenderedPageBreak/>
              <w:t>verified by the MTR and TE.</w:t>
            </w:r>
          </w:p>
        </w:tc>
        <w:tc>
          <w:tcPr>
            <w:tcW w:w="1633" w:type="dxa"/>
            <w:tcBorders>
              <w:top w:val="single" w:sz="4" w:space="0" w:color="auto"/>
              <w:left w:val="single" w:sz="4" w:space="0" w:color="auto"/>
              <w:bottom w:val="single" w:sz="4" w:space="0" w:color="auto"/>
              <w:right w:val="single" w:sz="4" w:space="0" w:color="auto"/>
            </w:tcBorders>
          </w:tcPr>
          <w:p w14:paraId="7E7124F8" w14:textId="77777777" w:rsidR="004641C4" w:rsidRPr="003B6A69" w:rsidRDefault="004641C4" w:rsidP="004641C4">
            <w:pPr>
              <w:rPr>
                <w:rFonts w:ascii="Calibri Light" w:hAnsi="Calibri Light" w:cs="Calibri Light"/>
                <w:bCs/>
                <w:sz w:val="18"/>
                <w:szCs w:val="18"/>
                <w:lang w:eastAsia="ja-JP"/>
              </w:rPr>
            </w:pPr>
            <w:r w:rsidRPr="003B6A69">
              <w:rPr>
                <w:rFonts w:ascii="Calibri Light" w:hAnsi="Calibri Light" w:cs="Calibri Light"/>
                <w:bCs/>
                <w:sz w:val="18"/>
                <w:szCs w:val="18"/>
                <w:lang w:eastAsia="ja-JP"/>
              </w:rPr>
              <w:lastRenderedPageBreak/>
              <w:t xml:space="preserve">- Project risk management strategy is instrumental in management of moderate/high </w:t>
            </w:r>
            <w:r w:rsidRPr="003B6A69">
              <w:rPr>
                <w:rFonts w:ascii="Calibri Light" w:hAnsi="Calibri Light" w:cs="Calibri Light"/>
                <w:bCs/>
                <w:sz w:val="18"/>
                <w:szCs w:val="18"/>
                <w:lang w:eastAsia="ja-JP"/>
              </w:rPr>
              <w:lastRenderedPageBreak/>
              <w:t>risks that derail implementation</w:t>
            </w:r>
          </w:p>
          <w:p w14:paraId="55A44C16" w14:textId="77777777" w:rsidR="004641C4" w:rsidRPr="003B6A69" w:rsidRDefault="004641C4" w:rsidP="004641C4">
            <w:pPr>
              <w:rPr>
                <w:rFonts w:ascii="Calibri Light" w:hAnsi="Calibri Light" w:cs="Calibri Light"/>
                <w:bCs/>
                <w:sz w:val="18"/>
                <w:szCs w:val="18"/>
                <w:lang w:eastAsia="ja-JP"/>
              </w:rPr>
            </w:pPr>
            <w:r w:rsidRPr="003B6A69">
              <w:rPr>
                <w:rFonts w:ascii="Calibri Light" w:hAnsi="Calibri Light" w:cs="Calibri Light"/>
                <w:bCs/>
                <w:sz w:val="18"/>
                <w:szCs w:val="18"/>
                <w:lang w:eastAsia="ja-JP"/>
              </w:rPr>
              <w:t xml:space="preserve">- Project </w:t>
            </w:r>
            <w:proofErr w:type="spellStart"/>
            <w:r w:rsidRPr="003B6A69">
              <w:rPr>
                <w:rFonts w:ascii="Calibri Light" w:hAnsi="Calibri Light" w:cs="Calibri Light"/>
                <w:bCs/>
                <w:sz w:val="18"/>
                <w:szCs w:val="18"/>
                <w:lang w:eastAsia="ja-JP"/>
              </w:rPr>
              <w:t>cofinancing</w:t>
            </w:r>
            <w:proofErr w:type="spellEnd"/>
            <w:r w:rsidRPr="003B6A69">
              <w:rPr>
                <w:rFonts w:ascii="Calibri Light" w:hAnsi="Calibri Light" w:cs="Calibri Light"/>
                <w:bCs/>
                <w:sz w:val="18"/>
                <w:szCs w:val="18"/>
                <w:lang w:eastAsia="ja-JP"/>
              </w:rPr>
              <w:t xml:space="preserve"> materialized </w:t>
            </w:r>
          </w:p>
          <w:p w14:paraId="1B07BA7E" w14:textId="77777777" w:rsidR="004641C4" w:rsidRPr="003B6A69" w:rsidRDefault="004641C4" w:rsidP="004641C4">
            <w:pPr>
              <w:rPr>
                <w:rFonts w:ascii="Calibri Light" w:hAnsi="Calibri Light" w:cs="Calibri Light"/>
                <w:bCs/>
                <w:sz w:val="18"/>
                <w:szCs w:val="18"/>
                <w:lang w:eastAsia="ja-JP"/>
              </w:rPr>
            </w:pPr>
          </w:p>
        </w:tc>
      </w:tr>
      <w:tr w:rsidR="004641C4" w:rsidRPr="003B6A69" w14:paraId="7ECC7A95" w14:textId="77777777" w:rsidTr="00BD4C79">
        <w:tc>
          <w:tcPr>
            <w:tcW w:w="0" w:type="auto"/>
            <w:tcBorders>
              <w:top w:val="single" w:sz="4" w:space="0" w:color="auto"/>
              <w:left w:val="single" w:sz="4" w:space="0" w:color="auto"/>
              <w:bottom w:val="single" w:sz="4" w:space="0" w:color="auto"/>
              <w:right w:val="single" w:sz="4" w:space="0" w:color="auto"/>
            </w:tcBorders>
            <w:vAlign w:val="center"/>
            <w:hideMark/>
          </w:tcPr>
          <w:p w14:paraId="58FC74D3" w14:textId="77777777" w:rsidR="004641C4" w:rsidRPr="003B6A69" w:rsidRDefault="004641C4" w:rsidP="004641C4">
            <w:pPr>
              <w:spacing w:after="0"/>
              <w:jc w:val="left"/>
              <w:rPr>
                <w:rFonts w:asciiTheme="minorHAnsi" w:hAnsiTheme="minorHAnsi" w:cstheme="minorHAnsi"/>
                <w:b/>
                <w:sz w:val="18"/>
                <w:szCs w:val="18"/>
                <w:lang w:eastAsia="ja-JP"/>
              </w:rPr>
            </w:pPr>
          </w:p>
        </w:tc>
        <w:tc>
          <w:tcPr>
            <w:tcW w:w="1840" w:type="dxa"/>
            <w:tcBorders>
              <w:top w:val="single" w:sz="4" w:space="0" w:color="auto"/>
              <w:left w:val="single" w:sz="4" w:space="0" w:color="auto"/>
              <w:bottom w:val="single" w:sz="4" w:space="0" w:color="auto"/>
              <w:right w:val="single" w:sz="4" w:space="0" w:color="auto"/>
            </w:tcBorders>
            <w:hideMark/>
          </w:tcPr>
          <w:p w14:paraId="681AB8E3" w14:textId="38ABE158" w:rsidR="004641C4" w:rsidRPr="00FB7E71" w:rsidRDefault="004641C4" w:rsidP="00E42C0F">
            <w:pPr>
              <w:spacing w:afterLines="60" w:after="144"/>
              <w:rPr>
                <w:bCs/>
                <w:i/>
                <w:sz w:val="18"/>
                <w:szCs w:val="18"/>
                <w:highlight w:val="cyan"/>
              </w:rPr>
            </w:pPr>
            <w:r w:rsidRPr="00FB7E71">
              <w:rPr>
                <w:bCs/>
                <w:i/>
                <w:sz w:val="18"/>
                <w:szCs w:val="18"/>
                <w:highlight w:val="cyan"/>
              </w:rPr>
              <w:t xml:space="preserve">Indicator 3: </w:t>
            </w:r>
            <w:r w:rsidR="00E42C0F" w:rsidRPr="00FB7E71">
              <w:rPr>
                <w:bCs/>
                <w:sz w:val="18"/>
                <w:szCs w:val="18"/>
                <w:highlight w:val="cyan"/>
              </w:rPr>
              <w:t xml:space="preserve">Area of landscapes under improved management to benefit biodiversity </w:t>
            </w:r>
            <w:r w:rsidRPr="00FB7E71">
              <w:rPr>
                <w:bCs/>
                <w:sz w:val="18"/>
                <w:szCs w:val="18"/>
                <w:highlight w:val="cyan"/>
              </w:rPr>
              <w:t>(GEF Core Indicator 4.</w:t>
            </w:r>
            <w:r w:rsidR="00E42C0F" w:rsidRPr="00FB7E71">
              <w:rPr>
                <w:bCs/>
                <w:sz w:val="18"/>
                <w:szCs w:val="18"/>
                <w:highlight w:val="cyan"/>
              </w:rPr>
              <w:t>1</w:t>
            </w:r>
            <w:r w:rsidRPr="00FB7E71">
              <w:rPr>
                <w:bCs/>
                <w:sz w:val="18"/>
                <w:szCs w:val="18"/>
                <w:highlight w:val="cyan"/>
              </w:rPr>
              <w:t>)</w:t>
            </w:r>
          </w:p>
        </w:tc>
        <w:tc>
          <w:tcPr>
            <w:tcW w:w="1427" w:type="dxa"/>
            <w:tcBorders>
              <w:top w:val="single" w:sz="4" w:space="0" w:color="auto"/>
              <w:left w:val="single" w:sz="4" w:space="0" w:color="auto"/>
              <w:bottom w:val="single" w:sz="4" w:space="0" w:color="auto"/>
              <w:right w:val="single" w:sz="4" w:space="0" w:color="auto"/>
            </w:tcBorders>
            <w:hideMark/>
          </w:tcPr>
          <w:p w14:paraId="6433CE6E" w14:textId="5A2E44A7" w:rsidR="004641C4" w:rsidRPr="00FB7E71" w:rsidRDefault="00FB7E71" w:rsidP="004641C4">
            <w:pPr>
              <w:spacing w:afterLines="60" w:after="144"/>
              <w:jc w:val="left"/>
              <w:rPr>
                <w:bCs/>
                <w:i/>
                <w:sz w:val="18"/>
                <w:szCs w:val="18"/>
                <w:highlight w:val="cyan"/>
              </w:rPr>
            </w:pPr>
            <w:r w:rsidRPr="00FB7E71">
              <w:rPr>
                <w:bCs/>
                <w:i/>
                <w:sz w:val="18"/>
                <w:szCs w:val="18"/>
                <w:highlight w:val="cyan"/>
              </w:rPr>
              <w:t>8</w:t>
            </w:r>
            <w:r w:rsidR="004641C4" w:rsidRPr="00FB7E71">
              <w:rPr>
                <w:bCs/>
                <w:i/>
                <w:sz w:val="18"/>
                <w:szCs w:val="18"/>
                <w:highlight w:val="cyan"/>
              </w:rPr>
              <w:t>0,000 ha</w:t>
            </w:r>
          </w:p>
        </w:tc>
        <w:tc>
          <w:tcPr>
            <w:tcW w:w="1407" w:type="dxa"/>
            <w:tcBorders>
              <w:top w:val="single" w:sz="4" w:space="0" w:color="auto"/>
              <w:left w:val="single" w:sz="4" w:space="0" w:color="auto"/>
              <w:bottom w:val="single" w:sz="4" w:space="0" w:color="auto"/>
              <w:right w:val="single" w:sz="4" w:space="0" w:color="auto"/>
            </w:tcBorders>
            <w:hideMark/>
          </w:tcPr>
          <w:p w14:paraId="3283365E" w14:textId="3B4ACDD7" w:rsidR="004641C4" w:rsidRPr="00FB7E71" w:rsidRDefault="004641C4" w:rsidP="00FB7E71">
            <w:pPr>
              <w:spacing w:afterLines="60" w:after="144"/>
              <w:jc w:val="left"/>
              <w:rPr>
                <w:rFonts w:asciiTheme="minorHAnsi" w:hAnsiTheme="minorHAnsi" w:cstheme="minorHAnsi"/>
                <w:sz w:val="18"/>
                <w:szCs w:val="18"/>
                <w:highlight w:val="cyan"/>
                <w:lang w:eastAsia="ja-JP"/>
              </w:rPr>
            </w:pPr>
            <w:r w:rsidRPr="00FB7E71">
              <w:rPr>
                <w:rFonts w:asciiTheme="minorHAnsi" w:hAnsiTheme="minorHAnsi" w:cstheme="minorHAnsi"/>
                <w:sz w:val="18"/>
                <w:szCs w:val="18"/>
                <w:highlight w:val="cyan"/>
                <w:lang w:eastAsia="ja-JP"/>
              </w:rPr>
              <w:t xml:space="preserve">Direct impact on the area of land under </w:t>
            </w:r>
            <w:r w:rsidR="00FB7E71" w:rsidRPr="00FB7E71">
              <w:rPr>
                <w:rFonts w:asciiTheme="minorHAnsi" w:hAnsiTheme="minorHAnsi" w:cstheme="minorHAnsi"/>
                <w:sz w:val="18"/>
                <w:szCs w:val="18"/>
                <w:highlight w:val="cyan"/>
                <w:lang w:eastAsia="ja-JP"/>
              </w:rPr>
              <w:t xml:space="preserve">sustainable </w:t>
            </w:r>
            <w:r w:rsidRPr="00FB7E71">
              <w:rPr>
                <w:rFonts w:asciiTheme="minorHAnsi" w:hAnsiTheme="minorHAnsi" w:cstheme="minorHAnsi"/>
                <w:sz w:val="18"/>
                <w:szCs w:val="18"/>
                <w:highlight w:val="cyan"/>
                <w:lang w:eastAsia="ja-JP"/>
              </w:rPr>
              <w:t>forestry (50,000 ha) and agriculture (20,000 ha) inside the biodiversity buffer zones</w:t>
            </w:r>
            <w:r w:rsidR="00E42C0F" w:rsidRPr="00FB7E71">
              <w:rPr>
                <w:rFonts w:asciiTheme="minorHAnsi" w:hAnsiTheme="minorHAnsi" w:cstheme="minorHAnsi"/>
                <w:sz w:val="18"/>
                <w:szCs w:val="18"/>
                <w:highlight w:val="cyan"/>
                <w:lang w:eastAsia="ja-JP"/>
              </w:rPr>
              <w:t xml:space="preserve">; KBAs under improved management to benefit BD (10,000 ha) </w:t>
            </w:r>
          </w:p>
        </w:tc>
        <w:tc>
          <w:tcPr>
            <w:tcW w:w="1675" w:type="dxa"/>
            <w:tcBorders>
              <w:top w:val="single" w:sz="4" w:space="0" w:color="auto"/>
              <w:left w:val="single" w:sz="4" w:space="0" w:color="auto"/>
              <w:bottom w:val="single" w:sz="4" w:space="0" w:color="auto"/>
              <w:right w:val="single" w:sz="4" w:space="0" w:color="auto"/>
            </w:tcBorders>
            <w:hideMark/>
          </w:tcPr>
          <w:p w14:paraId="6EC976E8" w14:textId="77777777" w:rsidR="004641C4" w:rsidRPr="00FB7E71" w:rsidRDefault="004641C4" w:rsidP="004641C4">
            <w:pPr>
              <w:spacing w:afterLines="60" w:after="144"/>
              <w:jc w:val="left"/>
              <w:rPr>
                <w:rFonts w:asciiTheme="minorHAnsi" w:hAnsiTheme="minorHAnsi" w:cstheme="minorHAnsi"/>
                <w:sz w:val="18"/>
                <w:szCs w:val="18"/>
                <w:highlight w:val="cyan"/>
                <w:lang w:eastAsia="ja-JP"/>
              </w:rPr>
            </w:pPr>
            <w:r w:rsidRPr="00FB7E71">
              <w:rPr>
                <w:rFonts w:asciiTheme="minorHAnsi" w:hAnsiTheme="minorHAnsi" w:cstheme="minorHAnsi"/>
                <w:sz w:val="18"/>
                <w:szCs w:val="18"/>
                <w:highlight w:val="cyan"/>
                <w:lang w:eastAsia="ja-JP"/>
              </w:rPr>
              <w:t>Expert mapping according to the methodology used for project impact area mapping (HCVF and agricultural areas around KBAs inside the BD buffer zones) at the PIF stage</w:t>
            </w:r>
          </w:p>
          <w:p w14:paraId="41E39C6A" w14:textId="64723FDC" w:rsidR="004641C4" w:rsidRPr="00FB7E71" w:rsidRDefault="004641C4" w:rsidP="004641C4">
            <w:pPr>
              <w:spacing w:afterLines="60" w:after="144"/>
              <w:jc w:val="left"/>
              <w:rPr>
                <w:rFonts w:asciiTheme="minorHAnsi" w:hAnsiTheme="minorHAnsi" w:cstheme="minorHAnsi"/>
                <w:sz w:val="18"/>
                <w:szCs w:val="18"/>
                <w:highlight w:val="cyan"/>
                <w:lang w:eastAsia="ja-JP"/>
              </w:rPr>
            </w:pPr>
            <w:r w:rsidRPr="00FB7E71">
              <w:rPr>
                <w:rFonts w:asciiTheme="minorHAnsi" w:hAnsiTheme="minorHAnsi" w:cstheme="minorHAnsi"/>
                <w:sz w:val="18"/>
                <w:szCs w:val="18"/>
                <w:highlight w:val="cyan"/>
                <w:lang w:eastAsia="ja-JP"/>
              </w:rPr>
              <w:t>Direct impact coverage reporting on Outcomes</w:t>
            </w:r>
            <w:r w:rsidR="00FB7E71" w:rsidRPr="00FB7E71">
              <w:rPr>
                <w:rFonts w:asciiTheme="minorHAnsi" w:hAnsiTheme="minorHAnsi" w:cstheme="minorHAnsi"/>
                <w:sz w:val="18"/>
                <w:szCs w:val="18"/>
                <w:highlight w:val="cyan"/>
                <w:lang w:eastAsia="ja-JP"/>
              </w:rPr>
              <w:t xml:space="preserve"> 2,</w:t>
            </w:r>
            <w:r w:rsidRPr="00FB7E71">
              <w:rPr>
                <w:rFonts w:asciiTheme="minorHAnsi" w:hAnsiTheme="minorHAnsi" w:cstheme="minorHAnsi"/>
                <w:sz w:val="18"/>
                <w:szCs w:val="18"/>
                <w:highlight w:val="cyan"/>
                <w:lang w:eastAsia="ja-JP"/>
              </w:rPr>
              <w:t xml:space="preserve"> 4 and 5 </w:t>
            </w:r>
          </w:p>
          <w:p w14:paraId="53F46B58" w14:textId="77777777" w:rsidR="004641C4" w:rsidRPr="00FB7E71" w:rsidRDefault="004641C4" w:rsidP="004641C4">
            <w:pPr>
              <w:spacing w:afterLines="60" w:after="144"/>
              <w:jc w:val="left"/>
              <w:rPr>
                <w:rFonts w:asciiTheme="minorHAnsi" w:hAnsiTheme="minorHAnsi" w:cstheme="minorHAnsi"/>
                <w:sz w:val="18"/>
                <w:szCs w:val="18"/>
                <w:highlight w:val="cyan"/>
                <w:lang w:eastAsia="ja-JP"/>
              </w:rPr>
            </w:pPr>
          </w:p>
        </w:tc>
        <w:tc>
          <w:tcPr>
            <w:tcW w:w="1277" w:type="dxa"/>
            <w:tcBorders>
              <w:top w:val="single" w:sz="4" w:space="0" w:color="auto"/>
              <w:left w:val="single" w:sz="4" w:space="0" w:color="auto"/>
              <w:bottom w:val="single" w:sz="4" w:space="0" w:color="auto"/>
              <w:right w:val="single" w:sz="4" w:space="0" w:color="auto"/>
            </w:tcBorders>
          </w:tcPr>
          <w:p w14:paraId="62C6EAD4" w14:textId="77777777" w:rsidR="004641C4" w:rsidRPr="00FB7E71" w:rsidRDefault="004641C4" w:rsidP="004641C4">
            <w:pPr>
              <w:spacing w:afterLines="60" w:after="144"/>
              <w:jc w:val="left"/>
              <w:rPr>
                <w:rFonts w:asciiTheme="minorHAnsi" w:hAnsiTheme="minorHAnsi" w:cstheme="minorHAnsi"/>
                <w:sz w:val="18"/>
                <w:szCs w:val="18"/>
                <w:highlight w:val="cyan"/>
                <w:lang w:eastAsia="ja-JP"/>
              </w:rPr>
            </w:pPr>
            <w:r w:rsidRPr="00FB7E71">
              <w:rPr>
                <w:rFonts w:asciiTheme="minorHAnsi" w:hAnsiTheme="minorHAnsi" w:cstheme="minorHAnsi"/>
                <w:sz w:val="18"/>
                <w:szCs w:val="18"/>
                <w:highlight w:val="cyan"/>
                <w:lang w:eastAsia="ja-JP"/>
              </w:rPr>
              <w:t xml:space="preserve">Annually </w:t>
            </w:r>
          </w:p>
          <w:p w14:paraId="042BBB62" w14:textId="77777777" w:rsidR="004641C4" w:rsidRPr="00FB7E71" w:rsidRDefault="004641C4" w:rsidP="004641C4">
            <w:pPr>
              <w:spacing w:afterLines="60" w:after="144"/>
              <w:jc w:val="left"/>
              <w:rPr>
                <w:rFonts w:asciiTheme="minorHAnsi" w:hAnsiTheme="minorHAnsi" w:cstheme="minorHAnsi"/>
                <w:sz w:val="18"/>
                <w:szCs w:val="18"/>
                <w:highlight w:val="cyan"/>
                <w:lang w:eastAsia="ja-JP"/>
              </w:rPr>
            </w:pPr>
          </w:p>
          <w:p w14:paraId="1CC05574" w14:textId="77777777" w:rsidR="004641C4" w:rsidRPr="00FB7E71" w:rsidRDefault="004641C4" w:rsidP="004641C4">
            <w:pPr>
              <w:spacing w:afterLines="60" w:after="144"/>
              <w:jc w:val="left"/>
              <w:rPr>
                <w:rFonts w:asciiTheme="minorHAnsi" w:hAnsiTheme="minorHAnsi" w:cstheme="minorHAnsi"/>
                <w:sz w:val="18"/>
                <w:szCs w:val="18"/>
                <w:highlight w:val="cyan"/>
                <w:lang w:eastAsia="ja-JP"/>
              </w:rPr>
            </w:pPr>
            <w:r w:rsidRPr="00FB7E71">
              <w:rPr>
                <w:rFonts w:asciiTheme="minorHAnsi" w:hAnsiTheme="minorHAnsi" w:cstheme="minorHAnsi"/>
                <w:sz w:val="18"/>
                <w:szCs w:val="18"/>
                <w:highlight w:val="cyan"/>
                <w:lang w:eastAsia="ja-JP"/>
              </w:rPr>
              <w:t>Reported in DO tab of the GEF PIR</w:t>
            </w:r>
          </w:p>
        </w:tc>
        <w:tc>
          <w:tcPr>
            <w:tcW w:w="1118" w:type="dxa"/>
            <w:tcBorders>
              <w:top w:val="single" w:sz="4" w:space="0" w:color="auto"/>
              <w:left w:val="single" w:sz="4" w:space="0" w:color="auto"/>
              <w:bottom w:val="single" w:sz="4" w:space="0" w:color="auto"/>
              <w:right w:val="single" w:sz="4" w:space="0" w:color="auto"/>
            </w:tcBorders>
            <w:hideMark/>
          </w:tcPr>
          <w:p w14:paraId="199AF51F" w14:textId="77777777" w:rsidR="004641C4" w:rsidRPr="00FB7E71" w:rsidRDefault="004641C4" w:rsidP="004641C4">
            <w:pPr>
              <w:spacing w:afterLines="60" w:after="144"/>
              <w:jc w:val="left"/>
              <w:rPr>
                <w:rFonts w:asciiTheme="minorHAnsi" w:hAnsiTheme="minorHAnsi" w:cstheme="minorHAnsi"/>
                <w:sz w:val="18"/>
                <w:szCs w:val="18"/>
                <w:highlight w:val="cyan"/>
                <w:lang w:eastAsia="ja-JP"/>
              </w:rPr>
            </w:pPr>
            <w:r w:rsidRPr="00FB7E71">
              <w:rPr>
                <w:rFonts w:asciiTheme="minorHAnsi" w:hAnsiTheme="minorHAnsi" w:cstheme="minorHAnsi"/>
                <w:sz w:val="18"/>
                <w:szCs w:val="18"/>
                <w:highlight w:val="cyan"/>
                <w:lang w:eastAsia="ja-JP"/>
              </w:rPr>
              <w:t>Project team; Terminal evaluation consultant.</w:t>
            </w:r>
          </w:p>
        </w:tc>
        <w:tc>
          <w:tcPr>
            <w:tcW w:w="1754" w:type="dxa"/>
            <w:tcBorders>
              <w:top w:val="single" w:sz="4" w:space="0" w:color="auto"/>
              <w:left w:val="single" w:sz="4" w:space="0" w:color="auto"/>
              <w:bottom w:val="single" w:sz="4" w:space="0" w:color="auto"/>
              <w:right w:val="single" w:sz="4" w:space="0" w:color="auto"/>
            </w:tcBorders>
            <w:hideMark/>
          </w:tcPr>
          <w:p w14:paraId="68BA5FA8" w14:textId="77777777" w:rsidR="004641C4" w:rsidRPr="00FB7E71" w:rsidRDefault="004641C4" w:rsidP="004641C4">
            <w:pPr>
              <w:spacing w:afterLines="60" w:after="144"/>
              <w:jc w:val="left"/>
              <w:rPr>
                <w:rFonts w:ascii="Calibri Light" w:hAnsi="Calibri Light" w:cs="Calibri Light"/>
                <w:bCs/>
                <w:sz w:val="18"/>
                <w:szCs w:val="18"/>
                <w:highlight w:val="cyan"/>
                <w:lang w:eastAsia="ja-JP"/>
              </w:rPr>
            </w:pPr>
            <w:r w:rsidRPr="00FB7E71">
              <w:rPr>
                <w:rFonts w:ascii="Calibri Light" w:hAnsi="Calibri Light" w:cs="Calibri Light"/>
                <w:bCs/>
                <w:sz w:val="18"/>
                <w:szCs w:val="18"/>
                <w:highlight w:val="cyan"/>
                <w:lang w:eastAsia="ja-JP"/>
              </w:rPr>
              <w:t xml:space="preserve">Project reports and </w:t>
            </w:r>
            <w:proofErr w:type="gramStart"/>
            <w:r w:rsidRPr="00FB7E71">
              <w:rPr>
                <w:rFonts w:ascii="Calibri Light" w:hAnsi="Calibri Light" w:cs="Calibri Light"/>
                <w:bCs/>
                <w:sz w:val="18"/>
                <w:szCs w:val="18"/>
                <w:highlight w:val="cyan"/>
                <w:lang w:eastAsia="ja-JP"/>
              </w:rPr>
              <w:t>documentation;</w:t>
            </w:r>
            <w:proofErr w:type="gramEnd"/>
            <w:r w:rsidRPr="00FB7E71">
              <w:rPr>
                <w:rFonts w:ascii="Calibri Light" w:hAnsi="Calibri Light" w:cs="Calibri Light"/>
                <w:bCs/>
                <w:sz w:val="18"/>
                <w:szCs w:val="18"/>
                <w:highlight w:val="cyan"/>
                <w:lang w:eastAsia="ja-JP"/>
              </w:rPr>
              <w:t xml:space="preserve"> </w:t>
            </w:r>
          </w:p>
          <w:p w14:paraId="50F48F1D" w14:textId="0E08D5E2" w:rsidR="004641C4" w:rsidRPr="00FB7E71" w:rsidRDefault="004641C4" w:rsidP="004641C4">
            <w:pPr>
              <w:spacing w:afterLines="60" w:after="144"/>
              <w:jc w:val="left"/>
              <w:rPr>
                <w:rFonts w:ascii="Calibri Light" w:hAnsi="Calibri Light" w:cs="Calibri Light"/>
                <w:bCs/>
                <w:sz w:val="18"/>
                <w:szCs w:val="18"/>
                <w:highlight w:val="cyan"/>
                <w:lang w:eastAsia="ja-JP"/>
              </w:rPr>
            </w:pPr>
            <w:r w:rsidRPr="00FB7E71">
              <w:rPr>
                <w:rFonts w:ascii="Calibri Light" w:hAnsi="Calibri Light" w:cs="Calibri Light"/>
                <w:bCs/>
                <w:sz w:val="18"/>
                <w:szCs w:val="18"/>
                <w:highlight w:val="cyan"/>
                <w:lang w:eastAsia="ja-JP"/>
              </w:rPr>
              <w:t xml:space="preserve">Mapping of direct impact areas for Outcomes </w:t>
            </w:r>
            <w:r w:rsidR="00FB7E71" w:rsidRPr="00FB7E71">
              <w:rPr>
                <w:rFonts w:ascii="Calibri Light" w:hAnsi="Calibri Light" w:cs="Calibri Light"/>
                <w:bCs/>
                <w:sz w:val="18"/>
                <w:szCs w:val="18"/>
                <w:highlight w:val="cyan"/>
                <w:lang w:eastAsia="ja-JP"/>
              </w:rPr>
              <w:t xml:space="preserve">2, </w:t>
            </w:r>
            <w:r w:rsidRPr="00FB7E71">
              <w:rPr>
                <w:rFonts w:ascii="Calibri Light" w:hAnsi="Calibri Light" w:cs="Calibri Light"/>
                <w:bCs/>
                <w:sz w:val="18"/>
                <w:szCs w:val="18"/>
                <w:highlight w:val="cyan"/>
                <w:lang w:eastAsia="ja-JP"/>
              </w:rPr>
              <w:t xml:space="preserve">4 and </w:t>
            </w:r>
            <w:proofErr w:type="gramStart"/>
            <w:r w:rsidRPr="00FB7E71">
              <w:rPr>
                <w:rFonts w:ascii="Calibri Light" w:hAnsi="Calibri Light" w:cs="Calibri Light"/>
                <w:bCs/>
                <w:sz w:val="18"/>
                <w:szCs w:val="18"/>
                <w:highlight w:val="cyan"/>
                <w:lang w:eastAsia="ja-JP"/>
              </w:rPr>
              <w:t>5;</w:t>
            </w:r>
            <w:proofErr w:type="gramEnd"/>
            <w:r w:rsidRPr="00FB7E71">
              <w:rPr>
                <w:rFonts w:ascii="Calibri Light" w:hAnsi="Calibri Light" w:cs="Calibri Light"/>
                <w:bCs/>
                <w:sz w:val="18"/>
                <w:szCs w:val="18"/>
                <w:highlight w:val="cyan"/>
                <w:lang w:eastAsia="ja-JP"/>
              </w:rPr>
              <w:t xml:space="preserve"> </w:t>
            </w:r>
          </w:p>
          <w:p w14:paraId="512338A1" w14:textId="77777777" w:rsidR="004641C4" w:rsidRPr="00FB7E71" w:rsidRDefault="004641C4" w:rsidP="004641C4">
            <w:pPr>
              <w:spacing w:afterLines="60" w:after="144"/>
              <w:jc w:val="left"/>
              <w:rPr>
                <w:rFonts w:asciiTheme="minorHAnsi" w:hAnsiTheme="minorHAnsi" w:cstheme="minorHAnsi"/>
                <w:sz w:val="18"/>
                <w:szCs w:val="18"/>
                <w:highlight w:val="cyan"/>
                <w:lang w:eastAsia="ja-JP"/>
              </w:rPr>
            </w:pPr>
            <w:r w:rsidRPr="00FB7E71">
              <w:rPr>
                <w:rFonts w:ascii="Calibri Light" w:hAnsi="Calibri Light" w:cs="Calibri Light"/>
                <w:bCs/>
                <w:sz w:val="18"/>
                <w:szCs w:val="18"/>
                <w:highlight w:val="cyan"/>
                <w:lang w:eastAsia="ja-JP"/>
              </w:rPr>
              <w:t>Successful completion of project activities for relevant project components, as verified by the MTR and TE.</w:t>
            </w:r>
          </w:p>
        </w:tc>
        <w:tc>
          <w:tcPr>
            <w:tcW w:w="1633" w:type="dxa"/>
            <w:tcBorders>
              <w:top w:val="single" w:sz="4" w:space="0" w:color="auto"/>
              <w:left w:val="single" w:sz="4" w:space="0" w:color="auto"/>
              <w:bottom w:val="single" w:sz="4" w:space="0" w:color="auto"/>
              <w:right w:val="single" w:sz="4" w:space="0" w:color="auto"/>
            </w:tcBorders>
            <w:hideMark/>
          </w:tcPr>
          <w:p w14:paraId="4F40644F" w14:textId="77777777" w:rsidR="004641C4" w:rsidRPr="00FB7E71" w:rsidRDefault="004641C4" w:rsidP="004641C4">
            <w:pPr>
              <w:tabs>
                <w:tab w:val="left" w:pos="382"/>
              </w:tabs>
              <w:rPr>
                <w:rFonts w:ascii="Calibri Light" w:hAnsi="Calibri Light" w:cs="Calibri Light"/>
                <w:bCs/>
                <w:sz w:val="18"/>
                <w:szCs w:val="18"/>
                <w:highlight w:val="cyan"/>
                <w:lang w:eastAsia="ja-JP"/>
              </w:rPr>
            </w:pPr>
            <w:r w:rsidRPr="00FB7E71">
              <w:rPr>
                <w:rFonts w:ascii="Calibri Light" w:hAnsi="Calibri Light" w:cs="Calibri Light"/>
                <w:bCs/>
                <w:sz w:val="18"/>
                <w:szCs w:val="18"/>
                <w:highlight w:val="cyan"/>
                <w:lang w:eastAsia="ja-JP"/>
              </w:rPr>
              <w:t>- Project risk management strategy is instrumental in management of moderate/high risks that derail implementation</w:t>
            </w:r>
          </w:p>
          <w:p w14:paraId="74551325" w14:textId="77777777" w:rsidR="004641C4" w:rsidRPr="003B6A69" w:rsidRDefault="004641C4" w:rsidP="004641C4">
            <w:pPr>
              <w:tabs>
                <w:tab w:val="left" w:pos="382"/>
              </w:tabs>
              <w:rPr>
                <w:rFonts w:ascii="Calibri Light" w:hAnsi="Calibri Light" w:cs="Calibri Light"/>
                <w:bCs/>
                <w:sz w:val="18"/>
                <w:szCs w:val="18"/>
                <w:lang w:eastAsia="ja-JP"/>
              </w:rPr>
            </w:pPr>
            <w:r w:rsidRPr="00FB7E71">
              <w:rPr>
                <w:rFonts w:ascii="Calibri Light" w:hAnsi="Calibri Light" w:cs="Calibri Light"/>
                <w:bCs/>
                <w:sz w:val="18"/>
                <w:szCs w:val="18"/>
                <w:highlight w:val="cyan"/>
                <w:lang w:eastAsia="ja-JP"/>
              </w:rPr>
              <w:t xml:space="preserve">- Baseline sectoral policy (forestry and agriculture as relevant to the </w:t>
            </w:r>
            <w:proofErr w:type="gramStart"/>
            <w:r w:rsidRPr="00FB7E71">
              <w:rPr>
                <w:rFonts w:ascii="Calibri Light" w:hAnsi="Calibri Light" w:cs="Calibri Light"/>
                <w:bCs/>
                <w:sz w:val="18"/>
                <w:szCs w:val="18"/>
                <w:highlight w:val="cyan"/>
                <w:lang w:eastAsia="ja-JP"/>
              </w:rPr>
              <w:t>project)  development</w:t>
            </w:r>
            <w:proofErr w:type="gramEnd"/>
            <w:r w:rsidRPr="00FB7E71">
              <w:rPr>
                <w:rFonts w:ascii="Calibri Light" w:hAnsi="Calibri Light" w:cs="Calibri Light"/>
                <w:bCs/>
                <w:sz w:val="18"/>
                <w:szCs w:val="18"/>
                <w:highlight w:val="cyan"/>
                <w:lang w:eastAsia="ja-JP"/>
              </w:rPr>
              <w:t xml:space="preserve"> not hampered by processes and risks outside the project control</w:t>
            </w:r>
          </w:p>
        </w:tc>
      </w:tr>
      <w:tr w:rsidR="004641C4" w:rsidRPr="003B6A69" w14:paraId="5A2D0F33" w14:textId="77777777" w:rsidTr="00BD4C79">
        <w:tc>
          <w:tcPr>
            <w:tcW w:w="1382" w:type="dxa"/>
            <w:vMerge w:val="restart"/>
            <w:tcBorders>
              <w:top w:val="single" w:sz="4" w:space="0" w:color="auto"/>
              <w:left w:val="single" w:sz="4" w:space="0" w:color="auto"/>
              <w:bottom w:val="single" w:sz="4" w:space="0" w:color="auto"/>
              <w:right w:val="single" w:sz="4" w:space="0" w:color="auto"/>
            </w:tcBorders>
            <w:hideMark/>
          </w:tcPr>
          <w:p w14:paraId="0587A7FC" w14:textId="77777777" w:rsidR="004641C4" w:rsidRPr="003B6A69" w:rsidRDefault="004641C4" w:rsidP="004641C4">
            <w:pPr>
              <w:jc w:val="left"/>
              <w:rPr>
                <w:rFonts w:ascii="Times New Roman" w:hAnsi="Times New Roman"/>
                <w:b/>
                <w:bCs/>
                <w:sz w:val="18"/>
                <w:szCs w:val="18"/>
              </w:rPr>
            </w:pPr>
            <w:r w:rsidRPr="003B6A69">
              <w:rPr>
                <w:rFonts w:ascii="Times New Roman" w:hAnsi="Times New Roman"/>
                <w:b/>
                <w:bCs/>
                <w:sz w:val="18"/>
                <w:szCs w:val="18"/>
              </w:rPr>
              <w:t>Project Outcome 1: Capacity of the existing national protected areas strengthened to better address the key threats to globally significant biodiversity</w:t>
            </w:r>
          </w:p>
          <w:p w14:paraId="404419C8" w14:textId="77777777" w:rsidR="004641C4" w:rsidRPr="003B6A69" w:rsidRDefault="004641C4" w:rsidP="004641C4">
            <w:pPr>
              <w:spacing w:afterLines="60" w:after="144"/>
              <w:rPr>
                <w:rFonts w:asciiTheme="minorHAnsi" w:hAnsiTheme="minorHAnsi" w:cstheme="minorHAnsi"/>
                <w:b/>
                <w:sz w:val="18"/>
                <w:szCs w:val="18"/>
                <w:lang w:eastAsia="ja-JP"/>
              </w:rPr>
            </w:pPr>
          </w:p>
        </w:tc>
        <w:tc>
          <w:tcPr>
            <w:tcW w:w="1840" w:type="dxa"/>
            <w:tcBorders>
              <w:top w:val="single" w:sz="4" w:space="0" w:color="auto"/>
              <w:left w:val="single" w:sz="4" w:space="0" w:color="auto"/>
              <w:bottom w:val="single" w:sz="4" w:space="0" w:color="auto"/>
              <w:right w:val="single" w:sz="4" w:space="0" w:color="auto"/>
            </w:tcBorders>
            <w:hideMark/>
          </w:tcPr>
          <w:p w14:paraId="0F9DE015" w14:textId="77777777" w:rsidR="004641C4" w:rsidRPr="003B6A69" w:rsidRDefault="004641C4" w:rsidP="004641C4">
            <w:pPr>
              <w:spacing w:afterLines="60" w:after="144"/>
              <w:rPr>
                <w:rFonts w:asciiTheme="minorHAnsi" w:hAnsiTheme="minorHAnsi" w:cstheme="minorHAnsi"/>
                <w:b/>
                <w:sz w:val="18"/>
                <w:szCs w:val="18"/>
                <w:lang w:eastAsia="ja-JP"/>
              </w:rPr>
            </w:pPr>
            <w:r w:rsidRPr="003B6A69">
              <w:rPr>
                <w:bCs/>
                <w:i/>
                <w:sz w:val="18"/>
                <w:szCs w:val="18"/>
              </w:rPr>
              <w:t xml:space="preserve">Indicator 4: </w:t>
            </w:r>
            <w:r w:rsidRPr="003B6A69">
              <w:rPr>
                <w:bCs/>
                <w:sz w:val="18"/>
                <w:szCs w:val="18"/>
              </w:rPr>
              <w:t>At least 10% increase in METT score for the targeted national PAs</w:t>
            </w:r>
          </w:p>
        </w:tc>
        <w:tc>
          <w:tcPr>
            <w:tcW w:w="1427" w:type="dxa"/>
            <w:tcBorders>
              <w:top w:val="single" w:sz="4" w:space="0" w:color="auto"/>
              <w:left w:val="single" w:sz="4" w:space="0" w:color="auto"/>
              <w:bottom w:val="single" w:sz="4" w:space="0" w:color="auto"/>
              <w:right w:val="single" w:sz="4" w:space="0" w:color="auto"/>
            </w:tcBorders>
            <w:hideMark/>
          </w:tcPr>
          <w:p w14:paraId="36AA319D" w14:textId="77777777" w:rsidR="004641C4" w:rsidRPr="003B6A69" w:rsidRDefault="004641C4" w:rsidP="004641C4">
            <w:pPr>
              <w:spacing w:afterLines="60" w:after="144"/>
              <w:rPr>
                <w:rFonts w:asciiTheme="minorHAnsi" w:hAnsiTheme="minorHAnsi" w:cstheme="minorHAnsi"/>
                <w:sz w:val="18"/>
                <w:szCs w:val="18"/>
                <w:lang w:eastAsia="ja-JP"/>
              </w:rPr>
            </w:pPr>
            <w:r w:rsidRPr="003B6A69">
              <w:rPr>
                <w:bCs/>
                <w:sz w:val="18"/>
                <w:szCs w:val="18"/>
              </w:rPr>
              <w:t>10% increase in METT score for the targeted national PAs</w:t>
            </w:r>
          </w:p>
        </w:tc>
        <w:tc>
          <w:tcPr>
            <w:tcW w:w="1407" w:type="dxa"/>
            <w:tcBorders>
              <w:top w:val="single" w:sz="4" w:space="0" w:color="auto"/>
              <w:left w:val="single" w:sz="4" w:space="0" w:color="auto"/>
              <w:bottom w:val="single" w:sz="4" w:space="0" w:color="auto"/>
              <w:right w:val="single" w:sz="4" w:space="0" w:color="auto"/>
            </w:tcBorders>
            <w:hideMark/>
          </w:tcPr>
          <w:p w14:paraId="3A3E1F6A" w14:textId="77777777" w:rsidR="004641C4" w:rsidRPr="003B6A69" w:rsidRDefault="004641C4" w:rsidP="004641C4">
            <w:pPr>
              <w:spacing w:afterLines="60" w:after="144"/>
              <w:rPr>
                <w:rFonts w:asciiTheme="minorHAnsi" w:hAnsiTheme="minorHAnsi" w:cstheme="minorHAnsi"/>
                <w:sz w:val="18"/>
                <w:szCs w:val="18"/>
                <w:lang w:eastAsia="ja-JP"/>
              </w:rPr>
            </w:pPr>
            <w:r w:rsidRPr="003B6A69">
              <w:rPr>
                <w:rFonts w:ascii="Calibri Light" w:hAnsi="Calibri Light" w:cs="Calibri Light"/>
                <w:bCs/>
                <w:sz w:val="18"/>
                <w:szCs w:val="18"/>
                <w:lang w:eastAsia="ja-JP"/>
              </w:rPr>
              <w:t>Baseline and target METT scores presented in the Core Indicator Worksheet</w:t>
            </w:r>
          </w:p>
        </w:tc>
        <w:tc>
          <w:tcPr>
            <w:tcW w:w="1675" w:type="dxa"/>
            <w:tcBorders>
              <w:top w:val="single" w:sz="4" w:space="0" w:color="auto"/>
              <w:left w:val="single" w:sz="4" w:space="0" w:color="auto"/>
              <w:bottom w:val="single" w:sz="4" w:space="0" w:color="auto"/>
              <w:right w:val="single" w:sz="4" w:space="0" w:color="auto"/>
            </w:tcBorders>
            <w:hideMark/>
          </w:tcPr>
          <w:p w14:paraId="7C47F501" w14:textId="77777777" w:rsidR="004641C4" w:rsidRPr="003B6A69" w:rsidRDefault="004641C4" w:rsidP="004641C4">
            <w:pPr>
              <w:spacing w:afterLines="60" w:after="144"/>
              <w:rPr>
                <w:rFonts w:asciiTheme="minorHAnsi" w:hAnsiTheme="minorHAnsi" w:cstheme="minorHAnsi"/>
                <w:sz w:val="18"/>
                <w:szCs w:val="18"/>
                <w:lang w:eastAsia="ja-JP"/>
              </w:rPr>
            </w:pPr>
            <w:r w:rsidRPr="003B6A69">
              <w:rPr>
                <w:rFonts w:asciiTheme="minorHAnsi" w:hAnsiTheme="minorHAnsi" w:cstheme="minorHAnsi"/>
                <w:sz w:val="18"/>
                <w:szCs w:val="18"/>
                <w:lang w:eastAsia="ja-JP"/>
              </w:rPr>
              <w:t>METT assessment</w:t>
            </w:r>
          </w:p>
        </w:tc>
        <w:tc>
          <w:tcPr>
            <w:tcW w:w="1277" w:type="dxa"/>
            <w:tcBorders>
              <w:top w:val="single" w:sz="4" w:space="0" w:color="auto"/>
              <w:left w:val="single" w:sz="4" w:space="0" w:color="auto"/>
              <w:bottom w:val="single" w:sz="4" w:space="0" w:color="auto"/>
              <w:right w:val="single" w:sz="4" w:space="0" w:color="auto"/>
            </w:tcBorders>
          </w:tcPr>
          <w:p w14:paraId="6F8F1CD9" w14:textId="77777777" w:rsidR="004641C4" w:rsidRPr="003B6A69" w:rsidRDefault="004641C4" w:rsidP="004641C4">
            <w:pPr>
              <w:spacing w:afterLines="60" w:after="144"/>
              <w:rPr>
                <w:rFonts w:asciiTheme="minorHAnsi" w:hAnsiTheme="minorHAnsi" w:cstheme="minorHAnsi"/>
                <w:sz w:val="18"/>
                <w:szCs w:val="18"/>
                <w:lang w:eastAsia="ja-JP"/>
              </w:rPr>
            </w:pPr>
            <w:r w:rsidRPr="003B6A69">
              <w:rPr>
                <w:rFonts w:asciiTheme="minorHAnsi" w:hAnsiTheme="minorHAnsi" w:cstheme="minorHAnsi"/>
                <w:sz w:val="18"/>
                <w:szCs w:val="18"/>
                <w:lang w:eastAsia="ja-JP"/>
              </w:rPr>
              <w:t>Before the final PIF and TR</w:t>
            </w:r>
          </w:p>
        </w:tc>
        <w:tc>
          <w:tcPr>
            <w:tcW w:w="1118" w:type="dxa"/>
            <w:tcBorders>
              <w:top w:val="single" w:sz="4" w:space="0" w:color="auto"/>
              <w:left w:val="single" w:sz="4" w:space="0" w:color="auto"/>
              <w:bottom w:val="single" w:sz="4" w:space="0" w:color="auto"/>
              <w:right w:val="single" w:sz="4" w:space="0" w:color="auto"/>
            </w:tcBorders>
            <w:hideMark/>
          </w:tcPr>
          <w:p w14:paraId="6052A9D7" w14:textId="77777777" w:rsidR="004641C4" w:rsidRPr="003B6A69" w:rsidRDefault="004641C4" w:rsidP="004641C4">
            <w:pPr>
              <w:spacing w:afterLines="60" w:after="144"/>
              <w:rPr>
                <w:rFonts w:asciiTheme="minorHAnsi" w:hAnsiTheme="minorHAnsi" w:cstheme="minorHAnsi"/>
                <w:sz w:val="18"/>
                <w:szCs w:val="18"/>
                <w:lang w:eastAsia="ja-JP"/>
              </w:rPr>
            </w:pPr>
            <w:r w:rsidRPr="003B6A69">
              <w:rPr>
                <w:rFonts w:asciiTheme="minorHAnsi" w:hAnsiTheme="minorHAnsi" w:cstheme="minorHAnsi"/>
                <w:sz w:val="18"/>
                <w:szCs w:val="18"/>
                <w:lang w:eastAsia="ja-JP"/>
              </w:rPr>
              <w:t>Project team in cooperation with pilot PAs</w:t>
            </w:r>
          </w:p>
        </w:tc>
        <w:tc>
          <w:tcPr>
            <w:tcW w:w="1754" w:type="dxa"/>
            <w:tcBorders>
              <w:top w:val="single" w:sz="4" w:space="0" w:color="auto"/>
              <w:left w:val="single" w:sz="4" w:space="0" w:color="auto"/>
              <w:bottom w:val="single" w:sz="4" w:space="0" w:color="auto"/>
              <w:right w:val="single" w:sz="4" w:space="0" w:color="auto"/>
            </w:tcBorders>
            <w:hideMark/>
          </w:tcPr>
          <w:p w14:paraId="5E4A846E" w14:textId="77777777" w:rsidR="004641C4" w:rsidRPr="003B6A69" w:rsidRDefault="004641C4" w:rsidP="004641C4">
            <w:pPr>
              <w:spacing w:afterLines="60" w:after="144"/>
              <w:rPr>
                <w:rFonts w:asciiTheme="minorHAnsi" w:hAnsiTheme="minorHAnsi" w:cstheme="minorHAnsi"/>
                <w:sz w:val="18"/>
                <w:szCs w:val="18"/>
                <w:lang w:eastAsia="ja-JP"/>
              </w:rPr>
            </w:pPr>
            <w:r w:rsidRPr="003B6A69">
              <w:rPr>
                <w:rFonts w:ascii="Calibri Light" w:hAnsi="Calibri Light" w:cs="Calibri Light"/>
                <w:bCs/>
                <w:sz w:val="18"/>
                <w:szCs w:val="18"/>
                <w:lang w:eastAsia="ja-JP"/>
              </w:rPr>
              <w:t>METT scorecard</w:t>
            </w:r>
          </w:p>
        </w:tc>
        <w:tc>
          <w:tcPr>
            <w:tcW w:w="1633" w:type="dxa"/>
            <w:tcBorders>
              <w:top w:val="single" w:sz="4" w:space="0" w:color="auto"/>
              <w:left w:val="single" w:sz="4" w:space="0" w:color="auto"/>
              <w:bottom w:val="single" w:sz="4" w:space="0" w:color="auto"/>
              <w:right w:val="single" w:sz="4" w:space="0" w:color="auto"/>
            </w:tcBorders>
          </w:tcPr>
          <w:p w14:paraId="6BC75C4E" w14:textId="77777777" w:rsidR="004641C4" w:rsidRPr="003B6A69" w:rsidRDefault="004641C4" w:rsidP="003C6B7B">
            <w:pPr>
              <w:numPr>
                <w:ilvl w:val="0"/>
                <w:numId w:val="47"/>
              </w:numPr>
              <w:ind w:left="106" w:hanging="180"/>
              <w:rPr>
                <w:rFonts w:asciiTheme="minorHAnsi" w:hAnsiTheme="minorHAnsi" w:cstheme="minorHAnsi"/>
                <w:sz w:val="18"/>
                <w:szCs w:val="18"/>
                <w:lang w:eastAsia="ja-JP"/>
              </w:rPr>
            </w:pPr>
            <w:r w:rsidRPr="003B6A69">
              <w:rPr>
                <w:rFonts w:ascii="Calibri Light" w:hAnsi="Calibri Light" w:cs="Calibri Light"/>
                <w:bCs/>
                <w:sz w:val="18"/>
                <w:szCs w:val="18"/>
                <w:lang w:eastAsia="ja-JP"/>
              </w:rPr>
              <w:t xml:space="preserve">Baseline finance and co-financing commitments for pilot PAs </w:t>
            </w:r>
            <w:proofErr w:type="spellStart"/>
            <w:r w:rsidRPr="003B6A69">
              <w:rPr>
                <w:rFonts w:ascii="Calibri Light" w:hAnsi="Calibri Light" w:cs="Calibri Light"/>
                <w:bCs/>
                <w:sz w:val="18"/>
                <w:szCs w:val="18"/>
                <w:lang w:eastAsia="ja-JP"/>
              </w:rPr>
              <w:t>materialise</w:t>
            </w:r>
            <w:proofErr w:type="spellEnd"/>
          </w:p>
        </w:tc>
      </w:tr>
      <w:tr w:rsidR="004641C4" w:rsidRPr="003B6A69" w14:paraId="57D107D1" w14:textId="77777777" w:rsidTr="00BD4C79">
        <w:tc>
          <w:tcPr>
            <w:tcW w:w="0" w:type="auto"/>
            <w:vMerge/>
            <w:tcBorders>
              <w:top w:val="single" w:sz="4" w:space="0" w:color="auto"/>
              <w:left w:val="single" w:sz="4" w:space="0" w:color="auto"/>
              <w:bottom w:val="single" w:sz="4" w:space="0" w:color="auto"/>
              <w:right w:val="single" w:sz="4" w:space="0" w:color="auto"/>
            </w:tcBorders>
            <w:vAlign w:val="center"/>
            <w:hideMark/>
          </w:tcPr>
          <w:p w14:paraId="0DAD02E7" w14:textId="77777777" w:rsidR="004641C4" w:rsidRPr="003B6A69" w:rsidRDefault="004641C4" w:rsidP="004641C4">
            <w:pPr>
              <w:spacing w:after="0"/>
              <w:jc w:val="left"/>
              <w:rPr>
                <w:rFonts w:asciiTheme="minorHAnsi" w:hAnsiTheme="minorHAnsi" w:cstheme="minorHAnsi"/>
                <w:b/>
                <w:sz w:val="18"/>
                <w:szCs w:val="18"/>
                <w:lang w:eastAsia="ja-JP"/>
              </w:rPr>
            </w:pPr>
          </w:p>
        </w:tc>
        <w:tc>
          <w:tcPr>
            <w:tcW w:w="1840" w:type="dxa"/>
            <w:tcBorders>
              <w:top w:val="single" w:sz="4" w:space="0" w:color="auto"/>
              <w:left w:val="single" w:sz="4" w:space="0" w:color="auto"/>
              <w:bottom w:val="single" w:sz="4" w:space="0" w:color="auto"/>
              <w:right w:val="single" w:sz="4" w:space="0" w:color="auto"/>
            </w:tcBorders>
            <w:hideMark/>
          </w:tcPr>
          <w:p w14:paraId="4155168F" w14:textId="77777777" w:rsidR="004641C4" w:rsidRPr="003B6A69" w:rsidRDefault="004641C4" w:rsidP="004641C4">
            <w:pPr>
              <w:spacing w:afterLines="60" w:after="144"/>
              <w:jc w:val="left"/>
              <w:rPr>
                <w:rFonts w:asciiTheme="minorHAnsi" w:hAnsiTheme="minorHAnsi" w:cstheme="minorHAnsi"/>
                <w:sz w:val="18"/>
                <w:szCs w:val="18"/>
                <w:lang w:eastAsia="ja-JP"/>
              </w:rPr>
            </w:pPr>
            <w:r w:rsidRPr="003B6A69">
              <w:rPr>
                <w:bCs/>
                <w:i/>
                <w:sz w:val="18"/>
                <w:szCs w:val="18"/>
              </w:rPr>
              <w:t xml:space="preserve">Indicator 5: </w:t>
            </w:r>
            <w:r w:rsidRPr="003B6A69">
              <w:rPr>
                <w:bCs/>
                <w:sz w:val="18"/>
                <w:szCs w:val="18"/>
              </w:rPr>
              <w:t xml:space="preserve">International nominations (UNESCO, Ramsar) under improved </w:t>
            </w:r>
            <w:r w:rsidRPr="003B6A69">
              <w:rPr>
                <w:bCs/>
                <w:sz w:val="18"/>
                <w:szCs w:val="18"/>
              </w:rPr>
              <w:lastRenderedPageBreak/>
              <w:t>management at 280,000 ha</w:t>
            </w:r>
          </w:p>
        </w:tc>
        <w:tc>
          <w:tcPr>
            <w:tcW w:w="1427" w:type="dxa"/>
            <w:tcBorders>
              <w:top w:val="single" w:sz="4" w:space="0" w:color="auto"/>
              <w:left w:val="single" w:sz="4" w:space="0" w:color="auto"/>
              <w:bottom w:val="single" w:sz="4" w:space="0" w:color="auto"/>
              <w:right w:val="single" w:sz="4" w:space="0" w:color="auto"/>
            </w:tcBorders>
            <w:hideMark/>
          </w:tcPr>
          <w:p w14:paraId="784F4017" w14:textId="77777777" w:rsidR="004641C4" w:rsidRPr="003B6A69" w:rsidRDefault="004641C4" w:rsidP="004641C4">
            <w:pPr>
              <w:spacing w:afterLines="60" w:after="144"/>
              <w:rPr>
                <w:rFonts w:asciiTheme="minorHAnsi" w:hAnsiTheme="minorHAnsi" w:cstheme="minorHAnsi"/>
                <w:sz w:val="18"/>
                <w:szCs w:val="18"/>
                <w:lang w:eastAsia="ja-JP"/>
              </w:rPr>
            </w:pPr>
            <w:r w:rsidRPr="003B6A69">
              <w:rPr>
                <w:bCs/>
                <w:i/>
                <w:sz w:val="18"/>
                <w:szCs w:val="18"/>
              </w:rPr>
              <w:lastRenderedPageBreak/>
              <w:t>287,707 ha</w:t>
            </w:r>
          </w:p>
        </w:tc>
        <w:tc>
          <w:tcPr>
            <w:tcW w:w="1407" w:type="dxa"/>
            <w:tcBorders>
              <w:top w:val="single" w:sz="4" w:space="0" w:color="auto"/>
              <w:left w:val="single" w:sz="4" w:space="0" w:color="auto"/>
              <w:bottom w:val="single" w:sz="4" w:space="0" w:color="auto"/>
              <w:right w:val="single" w:sz="4" w:space="0" w:color="auto"/>
            </w:tcBorders>
            <w:hideMark/>
          </w:tcPr>
          <w:p w14:paraId="135AB1E3" w14:textId="77777777" w:rsidR="004641C4" w:rsidRPr="003B6A69" w:rsidRDefault="004641C4" w:rsidP="004641C4">
            <w:pPr>
              <w:spacing w:afterLines="60" w:after="144"/>
              <w:rPr>
                <w:rFonts w:asciiTheme="minorHAnsi" w:hAnsiTheme="minorHAnsi" w:cstheme="minorHAnsi"/>
                <w:sz w:val="18"/>
                <w:szCs w:val="18"/>
                <w:lang w:eastAsia="ja-JP"/>
              </w:rPr>
            </w:pPr>
            <w:r w:rsidRPr="003B6A69">
              <w:rPr>
                <w:rFonts w:ascii="Calibri Light" w:hAnsi="Calibri Light" w:cs="Calibri Light"/>
                <w:bCs/>
                <w:sz w:val="18"/>
                <w:szCs w:val="18"/>
                <w:lang w:eastAsia="ja-JP"/>
              </w:rPr>
              <w:t xml:space="preserve">Area of UNESCO and Ramsar property directly targeted by </w:t>
            </w:r>
            <w:r w:rsidRPr="003B6A69">
              <w:rPr>
                <w:rFonts w:ascii="Calibri Light" w:hAnsi="Calibri Light" w:cs="Calibri Light"/>
                <w:bCs/>
                <w:sz w:val="18"/>
                <w:szCs w:val="18"/>
                <w:lang w:eastAsia="ja-JP"/>
              </w:rPr>
              <w:lastRenderedPageBreak/>
              <w:t>project interventions</w:t>
            </w:r>
            <w:r w:rsidRPr="003B6A69">
              <w:rPr>
                <w:rFonts w:asciiTheme="minorHAnsi" w:hAnsiTheme="minorHAnsi" w:cstheme="minorHAnsi"/>
                <w:sz w:val="18"/>
                <w:szCs w:val="18"/>
                <w:lang w:eastAsia="ja-JP"/>
              </w:rPr>
              <w:t xml:space="preserve"> </w:t>
            </w:r>
          </w:p>
        </w:tc>
        <w:tc>
          <w:tcPr>
            <w:tcW w:w="1675" w:type="dxa"/>
            <w:tcBorders>
              <w:top w:val="single" w:sz="4" w:space="0" w:color="auto"/>
              <w:left w:val="single" w:sz="4" w:space="0" w:color="auto"/>
              <w:bottom w:val="single" w:sz="4" w:space="0" w:color="auto"/>
              <w:right w:val="single" w:sz="4" w:space="0" w:color="auto"/>
            </w:tcBorders>
            <w:hideMark/>
          </w:tcPr>
          <w:p w14:paraId="19670AF0" w14:textId="77777777" w:rsidR="004641C4" w:rsidRPr="003B6A69" w:rsidRDefault="004641C4" w:rsidP="004641C4">
            <w:pPr>
              <w:spacing w:afterLines="60" w:after="144"/>
              <w:rPr>
                <w:rFonts w:asciiTheme="minorHAnsi" w:hAnsiTheme="minorHAnsi" w:cstheme="minorHAnsi"/>
                <w:sz w:val="18"/>
                <w:szCs w:val="18"/>
                <w:lang w:eastAsia="ja-JP"/>
              </w:rPr>
            </w:pPr>
            <w:r w:rsidRPr="003B6A69">
              <w:rPr>
                <w:rFonts w:asciiTheme="minorHAnsi" w:hAnsiTheme="minorHAnsi" w:cstheme="minorHAnsi"/>
                <w:sz w:val="18"/>
                <w:szCs w:val="18"/>
                <w:lang w:eastAsia="ja-JP"/>
              </w:rPr>
              <w:lastRenderedPageBreak/>
              <w:t xml:space="preserve">Project reporting for Outcome 1 </w:t>
            </w:r>
            <w:proofErr w:type="spellStart"/>
            <w:r w:rsidRPr="003B6A69">
              <w:rPr>
                <w:rFonts w:asciiTheme="minorHAnsi" w:hAnsiTheme="minorHAnsi" w:cstheme="minorHAnsi"/>
                <w:sz w:val="18"/>
                <w:szCs w:val="18"/>
                <w:lang w:eastAsia="ja-JP"/>
              </w:rPr>
              <w:t>ferified</w:t>
            </w:r>
            <w:proofErr w:type="spellEnd"/>
            <w:r w:rsidRPr="003B6A69">
              <w:rPr>
                <w:rFonts w:asciiTheme="minorHAnsi" w:hAnsiTheme="minorHAnsi" w:cstheme="minorHAnsi"/>
                <w:sz w:val="18"/>
                <w:szCs w:val="18"/>
                <w:lang w:eastAsia="ja-JP"/>
              </w:rPr>
              <w:t xml:space="preserve"> by the official data and reporting of MESPU </w:t>
            </w:r>
            <w:r w:rsidRPr="003B6A69">
              <w:rPr>
                <w:rFonts w:asciiTheme="minorHAnsi" w:hAnsiTheme="minorHAnsi" w:cstheme="minorHAnsi"/>
                <w:sz w:val="18"/>
                <w:szCs w:val="18"/>
                <w:lang w:eastAsia="ja-JP"/>
              </w:rPr>
              <w:lastRenderedPageBreak/>
              <w:t>to Ramsar and UNESCO</w:t>
            </w:r>
          </w:p>
        </w:tc>
        <w:tc>
          <w:tcPr>
            <w:tcW w:w="1277" w:type="dxa"/>
            <w:tcBorders>
              <w:top w:val="single" w:sz="4" w:space="0" w:color="auto"/>
              <w:left w:val="single" w:sz="4" w:space="0" w:color="auto"/>
              <w:bottom w:val="single" w:sz="4" w:space="0" w:color="auto"/>
              <w:right w:val="single" w:sz="4" w:space="0" w:color="auto"/>
            </w:tcBorders>
          </w:tcPr>
          <w:p w14:paraId="211B58E1" w14:textId="77777777" w:rsidR="004641C4" w:rsidRPr="003B6A69" w:rsidRDefault="004641C4" w:rsidP="004641C4">
            <w:pPr>
              <w:spacing w:afterLines="60" w:after="144"/>
              <w:jc w:val="left"/>
              <w:rPr>
                <w:rFonts w:asciiTheme="minorHAnsi" w:hAnsiTheme="minorHAnsi" w:cstheme="minorHAnsi"/>
                <w:sz w:val="18"/>
                <w:szCs w:val="18"/>
                <w:lang w:eastAsia="ja-JP"/>
              </w:rPr>
            </w:pPr>
            <w:r w:rsidRPr="003B6A69">
              <w:rPr>
                <w:rFonts w:asciiTheme="minorHAnsi" w:hAnsiTheme="minorHAnsi" w:cstheme="minorHAnsi"/>
                <w:sz w:val="18"/>
                <w:szCs w:val="18"/>
                <w:lang w:eastAsia="ja-JP"/>
              </w:rPr>
              <w:lastRenderedPageBreak/>
              <w:t xml:space="preserve">Annually </w:t>
            </w:r>
          </w:p>
          <w:p w14:paraId="312D725A" w14:textId="77777777" w:rsidR="004641C4" w:rsidRPr="003B6A69" w:rsidRDefault="004641C4" w:rsidP="004641C4">
            <w:pPr>
              <w:spacing w:afterLines="60" w:after="144"/>
              <w:jc w:val="left"/>
              <w:rPr>
                <w:rFonts w:asciiTheme="minorHAnsi" w:hAnsiTheme="minorHAnsi" w:cstheme="minorHAnsi"/>
                <w:sz w:val="18"/>
                <w:szCs w:val="18"/>
                <w:lang w:eastAsia="ja-JP"/>
              </w:rPr>
            </w:pPr>
          </w:p>
          <w:p w14:paraId="3788AC88" w14:textId="77777777" w:rsidR="004641C4" w:rsidRPr="003B6A69" w:rsidRDefault="004641C4" w:rsidP="004641C4">
            <w:pPr>
              <w:spacing w:afterLines="60" w:after="144"/>
              <w:jc w:val="left"/>
              <w:rPr>
                <w:rFonts w:asciiTheme="minorHAnsi" w:hAnsiTheme="minorHAnsi" w:cstheme="minorHAnsi"/>
                <w:sz w:val="18"/>
                <w:szCs w:val="18"/>
                <w:lang w:eastAsia="ja-JP"/>
              </w:rPr>
            </w:pPr>
            <w:r w:rsidRPr="003B6A69">
              <w:rPr>
                <w:rFonts w:asciiTheme="minorHAnsi" w:hAnsiTheme="minorHAnsi" w:cstheme="minorHAnsi"/>
                <w:sz w:val="18"/>
                <w:szCs w:val="18"/>
                <w:lang w:eastAsia="ja-JP"/>
              </w:rPr>
              <w:lastRenderedPageBreak/>
              <w:t>Reported in DO tab of the GEF PIR</w:t>
            </w:r>
          </w:p>
        </w:tc>
        <w:tc>
          <w:tcPr>
            <w:tcW w:w="1118" w:type="dxa"/>
            <w:tcBorders>
              <w:top w:val="single" w:sz="4" w:space="0" w:color="auto"/>
              <w:left w:val="single" w:sz="4" w:space="0" w:color="auto"/>
              <w:bottom w:val="single" w:sz="4" w:space="0" w:color="auto"/>
              <w:right w:val="single" w:sz="4" w:space="0" w:color="auto"/>
            </w:tcBorders>
            <w:hideMark/>
          </w:tcPr>
          <w:p w14:paraId="114F9BF9" w14:textId="77777777" w:rsidR="004641C4" w:rsidRPr="003B6A69" w:rsidRDefault="004641C4" w:rsidP="004641C4">
            <w:pPr>
              <w:spacing w:afterLines="60" w:after="144"/>
              <w:rPr>
                <w:rFonts w:asciiTheme="minorHAnsi" w:hAnsiTheme="minorHAnsi" w:cstheme="minorHAnsi"/>
                <w:sz w:val="18"/>
                <w:szCs w:val="18"/>
                <w:lang w:eastAsia="ja-JP"/>
              </w:rPr>
            </w:pPr>
            <w:r w:rsidRPr="003B6A69">
              <w:rPr>
                <w:rFonts w:asciiTheme="minorHAnsi" w:hAnsiTheme="minorHAnsi" w:cstheme="minorHAnsi"/>
                <w:sz w:val="18"/>
                <w:szCs w:val="18"/>
                <w:lang w:eastAsia="ja-JP"/>
              </w:rPr>
              <w:lastRenderedPageBreak/>
              <w:t>Project team</w:t>
            </w:r>
          </w:p>
        </w:tc>
        <w:tc>
          <w:tcPr>
            <w:tcW w:w="1754" w:type="dxa"/>
            <w:tcBorders>
              <w:top w:val="single" w:sz="4" w:space="0" w:color="auto"/>
              <w:left w:val="single" w:sz="4" w:space="0" w:color="auto"/>
              <w:bottom w:val="single" w:sz="4" w:space="0" w:color="auto"/>
              <w:right w:val="single" w:sz="4" w:space="0" w:color="auto"/>
            </w:tcBorders>
            <w:hideMark/>
          </w:tcPr>
          <w:p w14:paraId="361F6CA2" w14:textId="77777777" w:rsidR="004641C4" w:rsidRPr="003B6A69" w:rsidRDefault="004641C4" w:rsidP="004641C4">
            <w:pPr>
              <w:spacing w:afterLines="60" w:after="144"/>
              <w:rPr>
                <w:rFonts w:asciiTheme="minorHAnsi" w:hAnsiTheme="minorHAnsi" w:cstheme="minorHAnsi"/>
                <w:sz w:val="18"/>
                <w:szCs w:val="18"/>
                <w:lang w:eastAsia="ja-JP"/>
              </w:rPr>
            </w:pPr>
            <w:r w:rsidRPr="003B6A69">
              <w:rPr>
                <w:rFonts w:ascii="Calibri Light" w:hAnsi="Calibri Light" w:cs="Calibri Light"/>
                <w:bCs/>
                <w:sz w:val="18"/>
                <w:szCs w:val="18"/>
                <w:lang w:eastAsia="ja-JP"/>
              </w:rPr>
              <w:t xml:space="preserve">Project reports and documentation; Successful completion of project activities for relevant project </w:t>
            </w:r>
            <w:r w:rsidRPr="003B6A69">
              <w:rPr>
                <w:rFonts w:ascii="Calibri Light" w:hAnsi="Calibri Light" w:cs="Calibri Light"/>
                <w:bCs/>
                <w:sz w:val="18"/>
                <w:szCs w:val="18"/>
                <w:lang w:eastAsia="ja-JP"/>
              </w:rPr>
              <w:lastRenderedPageBreak/>
              <w:t xml:space="preserve">components, as verified by the MTR and TE. </w:t>
            </w:r>
          </w:p>
        </w:tc>
        <w:tc>
          <w:tcPr>
            <w:tcW w:w="1633" w:type="dxa"/>
            <w:tcBorders>
              <w:top w:val="single" w:sz="4" w:space="0" w:color="auto"/>
              <w:left w:val="single" w:sz="4" w:space="0" w:color="auto"/>
              <w:bottom w:val="single" w:sz="4" w:space="0" w:color="auto"/>
              <w:right w:val="single" w:sz="4" w:space="0" w:color="auto"/>
            </w:tcBorders>
            <w:hideMark/>
          </w:tcPr>
          <w:p w14:paraId="6E976023" w14:textId="77777777" w:rsidR="004641C4" w:rsidRPr="003B6A69" w:rsidRDefault="004641C4" w:rsidP="004641C4">
            <w:pPr>
              <w:rPr>
                <w:rFonts w:ascii="Calibri Light" w:hAnsi="Calibri Light" w:cs="Calibri Light"/>
                <w:bCs/>
                <w:sz w:val="18"/>
                <w:szCs w:val="18"/>
                <w:lang w:eastAsia="ja-JP"/>
              </w:rPr>
            </w:pPr>
            <w:r w:rsidRPr="003B6A69">
              <w:rPr>
                <w:rFonts w:ascii="Calibri Light" w:hAnsi="Calibri Light" w:cs="Calibri Light"/>
                <w:bCs/>
                <w:sz w:val="18"/>
                <w:szCs w:val="18"/>
                <w:lang w:eastAsia="ja-JP"/>
              </w:rPr>
              <w:lastRenderedPageBreak/>
              <w:t xml:space="preserve">- Project risk management strategy is instrumental in management of moderate/high </w:t>
            </w:r>
            <w:r w:rsidRPr="003B6A69">
              <w:rPr>
                <w:rFonts w:ascii="Calibri Light" w:hAnsi="Calibri Light" w:cs="Calibri Light"/>
                <w:bCs/>
                <w:sz w:val="18"/>
                <w:szCs w:val="18"/>
                <w:lang w:eastAsia="ja-JP"/>
              </w:rPr>
              <w:lastRenderedPageBreak/>
              <w:t>risks that derail implementation</w:t>
            </w:r>
          </w:p>
          <w:p w14:paraId="404FFE06" w14:textId="77777777" w:rsidR="004641C4" w:rsidRPr="003B6A69" w:rsidRDefault="004641C4" w:rsidP="004641C4">
            <w:pPr>
              <w:spacing w:afterLines="60" w:after="144"/>
              <w:rPr>
                <w:rFonts w:asciiTheme="minorHAnsi" w:hAnsiTheme="minorHAnsi" w:cstheme="minorHAnsi"/>
                <w:sz w:val="18"/>
                <w:szCs w:val="18"/>
                <w:lang w:eastAsia="ja-JP"/>
              </w:rPr>
            </w:pPr>
            <w:r w:rsidRPr="003B6A69">
              <w:rPr>
                <w:rFonts w:ascii="Calibri Light" w:hAnsi="Calibri Light" w:cs="Calibri Light"/>
                <w:bCs/>
                <w:sz w:val="18"/>
                <w:szCs w:val="18"/>
                <w:lang w:eastAsia="ja-JP"/>
              </w:rPr>
              <w:t xml:space="preserve">- Key governmental partners fulfill the international obligations related to internationally recognized BD hot-spots </w:t>
            </w:r>
          </w:p>
        </w:tc>
      </w:tr>
      <w:tr w:rsidR="004641C4" w:rsidRPr="003B6A69" w14:paraId="3D603680" w14:textId="77777777" w:rsidTr="00BD4C79">
        <w:tc>
          <w:tcPr>
            <w:tcW w:w="1382" w:type="dxa"/>
            <w:vMerge w:val="restart"/>
            <w:tcBorders>
              <w:top w:val="single" w:sz="4" w:space="0" w:color="auto"/>
              <w:left w:val="single" w:sz="4" w:space="0" w:color="auto"/>
              <w:bottom w:val="single" w:sz="4" w:space="0" w:color="auto"/>
              <w:right w:val="single" w:sz="4" w:space="0" w:color="auto"/>
            </w:tcBorders>
            <w:hideMark/>
          </w:tcPr>
          <w:p w14:paraId="0925BC63" w14:textId="77777777" w:rsidR="004641C4" w:rsidRPr="003B6A69" w:rsidRDefault="004641C4" w:rsidP="004641C4">
            <w:pPr>
              <w:spacing w:afterLines="60" w:after="144"/>
              <w:rPr>
                <w:rFonts w:asciiTheme="minorHAnsi" w:hAnsiTheme="minorHAnsi" w:cstheme="minorHAnsi"/>
                <w:b/>
                <w:sz w:val="18"/>
                <w:szCs w:val="18"/>
                <w:lang w:eastAsia="ja-JP"/>
              </w:rPr>
            </w:pPr>
            <w:r w:rsidRPr="003B6A69">
              <w:rPr>
                <w:rFonts w:asciiTheme="minorHAnsi" w:hAnsiTheme="minorHAnsi" w:cstheme="minorHAnsi"/>
                <w:b/>
                <w:sz w:val="18"/>
                <w:szCs w:val="18"/>
                <w:lang w:eastAsia="ja-JP"/>
              </w:rPr>
              <w:lastRenderedPageBreak/>
              <w:t>Project Outcome 2:</w:t>
            </w:r>
            <w:r w:rsidRPr="003B6A69">
              <w:rPr>
                <w:rFonts w:ascii="Times New Roman" w:hAnsi="Times New Roman"/>
                <w:b/>
                <w:bCs/>
                <w:sz w:val="18"/>
                <w:szCs w:val="18"/>
              </w:rPr>
              <w:t xml:space="preserve"> Biodiversity conservation arrangements in place for the biodiversity </w:t>
            </w:r>
            <w:proofErr w:type="gramStart"/>
            <w:r w:rsidRPr="003B6A69">
              <w:rPr>
                <w:rFonts w:ascii="Times New Roman" w:hAnsi="Times New Roman"/>
                <w:b/>
                <w:bCs/>
                <w:sz w:val="18"/>
                <w:szCs w:val="18"/>
              </w:rPr>
              <w:t>hot-spots</w:t>
            </w:r>
            <w:proofErr w:type="gramEnd"/>
            <w:r w:rsidRPr="003B6A69">
              <w:rPr>
                <w:rFonts w:ascii="Times New Roman" w:hAnsi="Times New Roman"/>
                <w:b/>
                <w:bCs/>
                <w:sz w:val="18"/>
                <w:szCs w:val="18"/>
              </w:rPr>
              <w:t xml:space="preserve"> outside the PAs</w:t>
            </w:r>
          </w:p>
        </w:tc>
        <w:tc>
          <w:tcPr>
            <w:tcW w:w="1840" w:type="dxa"/>
            <w:tcBorders>
              <w:top w:val="single" w:sz="4" w:space="0" w:color="auto"/>
              <w:left w:val="single" w:sz="4" w:space="0" w:color="auto"/>
              <w:bottom w:val="single" w:sz="4" w:space="0" w:color="auto"/>
              <w:right w:val="single" w:sz="4" w:space="0" w:color="auto"/>
            </w:tcBorders>
            <w:hideMark/>
          </w:tcPr>
          <w:p w14:paraId="07B8E52E" w14:textId="77777777" w:rsidR="004641C4" w:rsidRPr="003B6A69" w:rsidRDefault="004641C4" w:rsidP="004641C4">
            <w:pPr>
              <w:spacing w:afterLines="60" w:after="144"/>
              <w:rPr>
                <w:rFonts w:asciiTheme="minorHAnsi" w:hAnsiTheme="minorHAnsi" w:cstheme="minorHAnsi"/>
                <w:b/>
                <w:sz w:val="18"/>
                <w:szCs w:val="18"/>
                <w:lang w:eastAsia="ja-JP"/>
              </w:rPr>
            </w:pPr>
            <w:r w:rsidRPr="003B6A69">
              <w:rPr>
                <w:rFonts w:ascii="Times New Roman" w:hAnsi="Times New Roman"/>
                <w:bCs/>
                <w:i/>
                <w:sz w:val="18"/>
                <w:szCs w:val="18"/>
              </w:rPr>
              <w:t xml:space="preserve">Indicator 6: </w:t>
            </w:r>
            <w:r w:rsidRPr="003B6A69">
              <w:rPr>
                <w:rFonts w:asciiTheme="minorHAnsi" w:hAnsiTheme="minorHAnsi"/>
                <w:bCs/>
                <w:sz w:val="18"/>
                <w:szCs w:val="18"/>
              </w:rPr>
              <w:t>Biodiversity conservation considerations mainstreamed at the national scale through spatial planning framework (Spatial Plan and General Regulations Plan of Montenegro)</w:t>
            </w:r>
          </w:p>
        </w:tc>
        <w:tc>
          <w:tcPr>
            <w:tcW w:w="1427" w:type="dxa"/>
            <w:tcBorders>
              <w:top w:val="single" w:sz="4" w:space="0" w:color="auto"/>
              <w:left w:val="single" w:sz="4" w:space="0" w:color="auto"/>
              <w:bottom w:val="single" w:sz="4" w:space="0" w:color="auto"/>
              <w:right w:val="single" w:sz="4" w:space="0" w:color="auto"/>
            </w:tcBorders>
          </w:tcPr>
          <w:p w14:paraId="5B3CC690" w14:textId="77777777" w:rsidR="004641C4" w:rsidRPr="003B6A69" w:rsidRDefault="004641C4" w:rsidP="004641C4">
            <w:pPr>
              <w:spacing w:afterLines="60" w:after="144"/>
              <w:rPr>
                <w:rFonts w:asciiTheme="minorHAnsi" w:hAnsiTheme="minorHAnsi" w:cstheme="minorHAnsi"/>
                <w:sz w:val="18"/>
                <w:szCs w:val="18"/>
                <w:lang w:eastAsia="ja-JP"/>
              </w:rPr>
            </w:pPr>
            <w:r w:rsidRPr="003B6A69">
              <w:rPr>
                <w:sz w:val="18"/>
                <w:szCs w:val="18"/>
              </w:rPr>
              <w:t>The Spatial Plan for Montenegro and the General Regulation Plan are developed and adopted with a due consideration of biodiversity conservation priorities and concrete solutions for valuable BD conservation outside PAs</w:t>
            </w:r>
          </w:p>
        </w:tc>
        <w:tc>
          <w:tcPr>
            <w:tcW w:w="1407" w:type="dxa"/>
            <w:tcBorders>
              <w:top w:val="single" w:sz="4" w:space="0" w:color="auto"/>
              <w:left w:val="single" w:sz="4" w:space="0" w:color="auto"/>
              <w:bottom w:val="single" w:sz="4" w:space="0" w:color="auto"/>
              <w:right w:val="single" w:sz="4" w:space="0" w:color="auto"/>
            </w:tcBorders>
            <w:hideMark/>
          </w:tcPr>
          <w:p w14:paraId="459A6CA3" w14:textId="77777777" w:rsidR="004641C4" w:rsidRPr="003B6A69" w:rsidRDefault="004641C4" w:rsidP="004641C4">
            <w:pPr>
              <w:spacing w:afterLines="60" w:after="144"/>
              <w:rPr>
                <w:rFonts w:asciiTheme="minorHAnsi" w:hAnsiTheme="minorHAnsi" w:cstheme="minorHAnsi"/>
                <w:sz w:val="18"/>
                <w:szCs w:val="18"/>
                <w:lang w:eastAsia="ja-JP"/>
              </w:rPr>
            </w:pPr>
          </w:p>
        </w:tc>
        <w:tc>
          <w:tcPr>
            <w:tcW w:w="1675" w:type="dxa"/>
            <w:tcBorders>
              <w:top w:val="single" w:sz="4" w:space="0" w:color="auto"/>
              <w:left w:val="single" w:sz="4" w:space="0" w:color="auto"/>
              <w:bottom w:val="single" w:sz="4" w:space="0" w:color="auto"/>
              <w:right w:val="single" w:sz="4" w:space="0" w:color="auto"/>
            </w:tcBorders>
            <w:hideMark/>
          </w:tcPr>
          <w:p w14:paraId="50467963" w14:textId="77777777" w:rsidR="004641C4" w:rsidRPr="003B6A69" w:rsidRDefault="004641C4" w:rsidP="004641C4">
            <w:pPr>
              <w:spacing w:afterLines="60" w:after="144"/>
              <w:rPr>
                <w:rFonts w:asciiTheme="minorHAnsi" w:hAnsiTheme="minorHAnsi" w:cstheme="minorHAnsi"/>
                <w:sz w:val="18"/>
                <w:szCs w:val="18"/>
                <w:lang w:eastAsia="ja-JP"/>
              </w:rPr>
            </w:pPr>
            <w:r w:rsidRPr="003B6A69">
              <w:rPr>
                <w:rFonts w:asciiTheme="minorHAnsi" w:hAnsiTheme="minorHAnsi" w:cstheme="minorHAnsi"/>
                <w:sz w:val="18"/>
                <w:szCs w:val="18"/>
                <w:lang w:eastAsia="ja-JP"/>
              </w:rPr>
              <w:t>Project-born inputs to spatial framework development</w:t>
            </w:r>
          </w:p>
          <w:p w14:paraId="3AABB271" w14:textId="77777777" w:rsidR="004641C4" w:rsidRPr="003B6A69" w:rsidRDefault="004641C4" w:rsidP="004641C4">
            <w:pPr>
              <w:spacing w:afterLines="60" w:after="144"/>
              <w:rPr>
                <w:rFonts w:asciiTheme="minorHAnsi" w:hAnsiTheme="minorHAnsi" w:cstheme="minorHAnsi"/>
                <w:sz w:val="18"/>
                <w:szCs w:val="18"/>
                <w:lang w:eastAsia="ja-JP"/>
              </w:rPr>
            </w:pPr>
            <w:r w:rsidRPr="003B6A69">
              <w:rPr>
                <w:rFonts w:asciiTheme="minorHAnsi" w:hAnsiTheme="minorHAnsi" w:cstheme="minorHAnsi"/>
                <w:sz w:val="18"/>
                <w:szCs w:val="18"/>
                <w:lang w:eastAsia="ja-JP"/>
              </w:rPr>
              <w:t>Approved Spatial Plan, General Regulations Plan</w:t>
            </w:r>
          </w:p>
          <w:p w14:paraId="67E96CF8" w14:textId="77777777" w:rsidR="004641C4" w:rsidRPr="003B6A69" w:rsidRDefault="004641C4" w:rsidP="004641C4">
            <w:pPr>
              <w:spacing w:afterLines="60" w:after="144"/>
              <w:rPr>
                <w:rFonts w:asciiTheme="minorHAnsi" w:hAnsiTheme="minorHAnsi" w:cstheme="minorHAnsi"/>
                <w:sz w:val="18"/>
                <w:szCs w:val="18"/>
                <w:lang w:eastAsia="ja-JP"/>
              </w:rPr>
            </w:pPr>
            <w:r w:rsidRPr="003B6A69">
              <w:rPr>
                <w:rFonts w:asciiTheme="minorHAnsi" w:hAnsiTheme="minorHAnsi" w:cstheme="minorHAnsi"/>
                <w:sz w:val="18"/>
                <w:szCs w:val="18"/>
                <w:lang w:eastAsia="ja-JP"/>
              </w:rPr>
              <w:t>Project reports</w:t>
            </w:r>
          </w:p>
          <w:p w14:paraId="010650B9" w14:textId="77777777" w:rsidR="004641C4" w:rsidRPr="003B6A69" w:rsidRDefault="004641C4" w:rsidP="004641C4">
            <w:pPr>
              <w:spacing w:afterLines="60" w:after="144"/>
              <w:rPr>
                <w:rFonts w:asciiTheme="minorHAnsi" w:hAnsiTheme="minorHAnsi" w:cstheme="minorHAnsi"/>
                <w:sz w:val="18"/>
                <w:szCs w:val="18"/>
                <w:lang w:eastAsia="ja-JP"/>
              </w:rPr>
            </w:pPr>
          </w:p>
        </w:tc>
        <w:tc>
          <w:tcPr>
            <w:tcW w:w="1277" w:type="dxa"/>
            <w:tcBorders>
              <w:top w:val="single" w:sz="4" w:space="0" w:color="auto"/>
              <w:left w:val="single" w:sz="4" w:space="0" w:color="auto"/>
              <w:bottom w:val="single" w:sz="4" w:space="0" w:color="auto"/>
              <w:right w:val="single" w:sz="4" w:space="0" w:color="auto"/>
            </w:tcBorders>
          </w:tcPr>
          <w:p w14:paraId="6A536886" w14:textId="77777777" w:rsidR="004641C4" w:rsidRPr="003B6A69" w:rsidRDefault="004641C4" w:rsidP="004641C4">
            <w:pPr>
              <w:spacing w:afterLines="60" w:after="144"/>
              <w:jc w:val="left"/>
              <w:rPr>
                <w:rFonts w:asciiTheme="minorHAnsi" w:hAnsiTheme="minorHAnsi" w:cstheme="minorHAnsi"/>
                <w:sz w:val="18"/>
                <w:szCs w:val="18"/>
                <w:lang w:eastAsia="ja-JP"/>
              </w:rPr>
            </w:pPr>
            <w:r w:rsidRPr="003B6A69">
              <w:rPr>
                <w:rFonts w:asciiTheme="minorHAnsi" w:hAnsiTheme="minorHAnsi" w:cstheme="minorHAnsi"/>
                <w:sz w:val="18"/>
                <w:szCs w:val="18"/>
                <w:lang w:eastAsia="ja-JP"/>
              </w:rPr>
              <w:t xml:space="preserve">Annually </w:t>
            </w:r>
          </w:p>
          <w:p w14:paraId="1CDDDA0A" w14:textId="77777777" w:rsidR="004641C4" w:rsidRPr="003B6A69" w:rsidRDefault="004641C4" w:rsidP="004641C4">
            <w:pPr>
              <w:spacing w:afterLines="60" w:after="144"/>
              <w:jc w:val="left"/>
              <w:rPr>
                <w:rFonts w:asciiTheme="minorHAnsi" w:hAnsiTheme="minorHAnsi" w:cstheme="minorHAnsi"/>
                <w:sz w:val="18"/>
                <w:szCs w:val="18"/>
                <w:lang w:eastAsia="ja-JP"/>
              </w:rPr>
            </w:pPr>
          </w:p>
          <w:p w14:paraId="06026C28" w14:textId="77777777" w:rsidR="004641C4" w:rsidRPr="003B6A69" w:rsidRDefault="004641C4" w:rsidP="004641C4">
            <w:pPr>
              <w:spacing w:afterLines="60" w:after="144"/>
              <w:rPr>
                <w:rFonts w:asciiTheme="minorHAnsi" w:hAnsiTheme="minorHAnsi" w:cstheme="minorHAnsi"/>
                <w:sz w:val="18"/>
                <w:szCs w:val="18"/>
                <w:lang w:eastAsia="ja-JP"/>
              </w:rPr>
            </w:pPr>
            <w:r w:rsidRPr="003B6A69">
              <w:rPr>
                <w:rFonts w:asciiTheme="minorHAnsi" w:hAnsiTheme="minorHAnsi" w:cstheme="minorHAnsi"/>
                <w:sz w:val="18"/>
                <w:szCs w:val="18"/>
                <w:lang w:eastAsia="ja-JP"/>
              </w:rPr>
              <w:t>Reported in DO tab of the GEF PIR</w:t>
            </w:r>
          </w:p>
        </w:tc>
        <w:tc>
          <w:tcPr>
            <w:tcW w:w="1118" w:type="dxa"/>
            <w:tcBorders>
              <w:top w:val="single" w:sz="4" w:space="0" w:color="auto"/>
              <w:left w:val="single" w:sz="4" w:space="0" w:color="auto"/>
              <w:bottom w:val="single" w:sz="4" w:space="0" w:color="auto"/>
              <w:right w:val="single" w:sz="4" w:space="0" w:color="auto"/>
            </w:tcBorders>
            <w:hideMark/>
          </w:tcPr>
          <w:p w14:paraId="25FBE8B0" w14:textId="77777777" w:rsidR="004641C4" w:rsidRPr="003B6A69" w:rsidRDefault="004641C4" w:rsidP="004641C4">
            <w:pPr>
              <w:spacing w:afterLines="60" w:after="144"/>
              <w:rPr>
                <w:rFonts w:asciiTheme="minorHAnsi" w:hAnsiTheme="minorHAnsi" w:cstheme="minorHAnsi"/>
                <w:sz w:val="18"/>
                <w:szCs w:val="18"/>
                <w:lang w:eastAsia="ja-JP"/>
              </w:rPr>
            </w:pPr>
            <w:r w:rsidRPr="003B6A69">
              <w:rPr>
                <w:rFonts w:asciiTheme="minorHAnsi" w:hAnsiTheme="minorHAnsi" w:cstheme="minorHAnsi"/>
                <w:sz w:val="18"/>
                <w:szCs w:val="18"/>
                <w:lang w:eastAsia="ja-JP"/>
              </w:rPr>
              <w:t xml:space="preserve">Project team </w:t>
            </w:r>
          </w:p>
        </w:tc>
        <w:tc>
          <w:tcPr>
            <w:tcW w:w="1754" w:type="dxa"/>
            <w:tcBorders>
              <w:top w:val="single" w:sz="4" w:space="0" w:color="auto"/>
              <w:left w:val="single" w:sz="4" w:space="0" w:color="auto"/>
              <w:bottom w:val="single" w:sz="4" w:space="0" w:color="auto"/>
              <w:right w:val="single" w:sz="4" w:space="0" w:color="auto"/>
            </w:tcBorders>
            <w:hideMark/>
          </w:tcPr>
          <w:p w14:paraId="4C1A7D95" w14:textId="77777777" w:rsidR="004641C4" w:rsidRPr="003B6A69" w:rsidRDefault="004641C4" w:rsidP="004641C4">
            <w:pPr>
              <w:spacing w:afterLines="60" w:after="144"/>
              <w:rPr>
                <w:rFonts w:asciiTheme="minorHAnsi" w:hAnsiTheme="minorHAnsi" w:cstheme="minorHAnsi"/>
                <w:sz w:val="18"/>
                <w:szCs w:val="18"/>
                <w:lang w:eastAsia="ja-JP"/>
              </w:rPr>
            </w:pPr>
            <w:r w:rsidRPr="003B6A69">
              <w:rPr>
                <w:rFonts w:ascii="Calibri Light" w:hAnsi="Calibri Light" w:cs="Calibri Light"/>
                <w:bCs/>
                <w:sz w:val="18"/>
                <w:szCs w:val="18"/>
                <w:lang w:eastAsia="ja-JP"/>
              </w:rPr>
              <w:t xml:space="preserve">Project reports and documentation; Successful completion of project activities for relevant project components, as verified by the MTR and TE. </w:t>
            </w:r>
          </w:p>
        </w:tc>
        <w:tc>
          <w:tcPr>
            <w:tcW w:w="1633" w:type="dxa"/>
            <w:tcBorders>
              <w:top w:val="single" w:sz="4" w:space="0" w:color="auto"/>
              <w:left w:val="single" w:sz="4" w:space="0" w:color="auto"/>
              <w:bottom w:val="single" w:sz="4" w:space="0" w:color="auto"/>
              <w:right w:val="single" w:sz="4" w:space="0" w:color="auto"/>
            </w:tcBorders>
            <w:hideMark/>
          </w:tcPr>
          <w:p w14:paraId="2F508835" w14:textId="77777777" w:rsidR="004641C4" w:rsidRPr="003B6A69" w:rsidRDefault="004641C4" w:rsidP="004641C4">
            <w:pPr>
              <w:spacing w:afterLines="60" w:after="144"/>
              <w:rPr>
                <w:rFonts w:ascii="Calibri Light" w:hAnsi="Calibri Light" w:cs="Calibri Light"/>
                <w:bCs/>
                <w:sz w:val="18"/>
                <w:szCs w:val="18"/>
                <w:lang w:eastAsia="ja-JP"/>
              </w:rPr>
            </w:pPr>
            <w:r w:rsidRPr="003B6A69">
              <w:rPr>
                <w:rFonts w:ascii="Calibri Light" w:hAnsi="Calibri Light" w:cs="Calibri Light"/>
                <w:bCs/>
                <w:sz w:val="18"/>
                <w:szCs w:val="18"/>
                <w:lang w:eastAsia="ja-JP"/>
              </w:rPr>
              <w:t>Spatial Framework development continues as declared by the Government</w:t>
            </w:r>
          </w:p>
          <w:p w14:paraId="3F86333E" w14:textId="77777777" w:rsidR="004641C4" w:rsidRPr="003B6A69" w:rsidRDefault="004641C4" w:rsidP="004641C4">
            <w:pPr>
              <w:spacing w:afterLines="60" w:after="144"/>
              <w:rPr>
                <w:rFonts w:ascii="Calibri Light" w:hAnsi="Calibri Light" w:cs="Calibri Light"/>
                <w:bCs/>
                <w:sz w:val="18"/>
                <w:szCs w:val="18"/>
                <w:lang w:eastAsia="ja-JP"/>
              </w:rPr>
            </w:pPr>
            <w:r w:rsidRPr="003B6A69">
              <w:rPr>
                <w:rFonts w:ascii="Calibri Light" w:hAnsi="Calibri Light" w:cs="Calibri Light"/>
                <w:bCs/>
                <w:sz w:val="18"/>
                <w:szCs w:val="18"/>
                <w:lang w:eastAsia="ja-JP"/>
              </w:rPr>
              <w:t>Project intervention and input is timely presented to the relevant government authorities</w:t>
            </w:r>
          </w:p>
          <w:p w14:paraId="1A68B122" w14:textId="77777777" w:rsidR="004641C4" w:rsidRPr="003B6A69" w:rsidRDefault="004641C4" w:rsidP="004641C4">
            <w:pPr>
              <w:spacing w:afterLines="60" w:after="144"/>
              <w:rPr>
                <w:rFonts w:asciiTheme="minorHAnsi" w:hAnsiTheme="minorHAnsi" w:cstheme="minorHAnsi"/>
                <w:sz w:val="18"/>
                <w:szCs w:val="18"/>
                <w:lang w:eastAsia="ja-JP"/>
              </w:rPr>
            </w:pPr>
          </w:p>
        </w:tc>
      </w:tr>
      <w:tr w:rsidR="004641C4" w:rsidRPr="003B6A69" w14:paraId="41E9728A" w14:textId="77777777" w:rsidTr="00BD4C79">
        <w:tc>
          <w:tcPr>
            <w:tcW w:w="0" w:type="auto"/>
            <w:vMerge/>
            <w:tcBorders>
              <w:top w:val="single" w:sz="4" w:space="0" w:color="auto"/>
              <w:left w:val="single" w:sz="4" w:space="0" w:color="auto"/>
              <w:bottom w:val="single" w:sz="4" w:space="0" w:color="auto"/>
              <w:right w:val="single" w:sz="4" w:space="0" w:color="auto"/>
            </w:tcBorders>
            <w:vAlign w:val="center"/>
            <w:hideMark/>
          </w:tcPr>
          <w:p w14:paraId="2F179B7A" w14:textId="77777777" w:rsidR="004641C4" w:rsidRPr="003B6A69" w:rsidRDefault="004641C4" w:rsidP="004641C4">
            <w:pPr>
              <w:spacing w:after="0"/>
              <w:jc w:val="left"/>
              <w:rPr>
                <w:rFonts w:asciiTheme="minorHAnsi" w:hAnsiTheme="minorHAnsi" w:cstheme="minorHAnsi"/>
                <w:b/>
                <w:sz w:val="18"/>
                <w:szCs w:val="18"/>
                <w:lang w:eastAsia="ja-JP"/>
              </w:rPr>
            </w:pPr>
          </w:p>
        </w:tc>
        <w:tc>
          <w:tcPr>
            <w:tcW w:w="1840" w:type="dxa"/>
            <w:tcBorders>
              <w:top w:val="single" w:sz="4" w:space="0" w:color="auto"/>
              <w:left w:val="single" w:sz="4" w:space="0" w:color="auto"/>
              <w:bottom w:val="single" w:sz="4" w:space="0" w:color="auto"/>
              <w:right w:val="single" w:sz="4" w:space="0" w:color="auto"/>
            </w:tcBorders>
          </w:tcPr>
          <w:p w14:paraId="37B45C08" w14:textId="1C700650" w:rsidR="004641C4" w:rsidRPr="003B6A69" w:rsidRDefault="004641C4" w:rsidP="004641C4">
            <w:pPr>
              <w:rPr>
                <w:rFonts w:ascii="Calibri Light" w:hAnsi="Calibri Light" w:cs="Calibri Light"/>
                <w:bCs/>
                <w:sz w:val="18"/>
                <w:szCs w:val="18"/>
                <w:lang w:eastAsia="ja-JP"/>
              </w:rPr>
            </w:pPr>
            <w:r w:rsidRPr="003B6A69">
              <w:rPr>
                <w:rFonts w:ascii="Times New Roman" w:hAnsi="Times New Roman"/>
                <w:bCs/>
                <w:i/>
                <w:sz w:val="18"/>
                <w:szCs w:val="18"/>
              </w:rPr>
              <w:t xml:space="preserve">Indicator 7: </w:t>
            </w:r>
            <w:r w:rsidRPr="003B6A69">
              <w:rPr>
                <w:rFonts w:asciiTheme="minorHAnsi" w:hAnsiTheme="minorHAnsi"/>
                <w:bCs/>
                <w:sz w:val="18"/>
                <w:szCs w:val="18"/>
              </w:rPr>
              <w:t>KBAs covered by specific protection mechanisms developed with the project assistance and set for implementation</w:t>
            </w:r>
            <w:r w:rsidRPr="003B6A69">
              <w:rPr>
                <w:rFonts w:ascii="Calibri Light" w:hAnsi="Calibri Light" w:cs="Calibri Light"/>
                <w:bCs/>
                <w:sz w:val="18"/>
                <w:szCs w:val="18"/>
                <w:lang w:eastAsia="ja-JP"/>
              </w:rPr>
              <w:t xml:space="preserve"> </w:t>
            </w:r>
          </w:p>
          <w:p w14:paraId="1D3B680A" w14:textId="77777777" w:rsidR="004641C4" w:rsidRPr="003B6A69" w:rsidRDefault="004641C4" w:rsidP="004641C4">
            <w:pPr>
              <w:spacing w:afterLines="60" w:after="144"/>
              <w:rPr>
                <w:rFonts w:asciiTheme="minorHAnsi" w:hAnsiTheme="minorHAnsi" w:cstheme="minorHAnsi"/>
                <w:b/>
                <w:sz w:val="18"/>
                <w:szCs w:val="18"/>
                <w:lang w:eastAsia="ja-JP"/>
              </w:rPr>
            </w:pPr>
          </w:p>
        </w:tc>
        <w:tc>
          <w:tcPr>
            <w:tcW w:w="1427" w:type="dxa"/>
            <w:tcBorders>
              <w:top w:val="single" w:sz="4" w:space="0" w:color="auto"/>
              <w:left w:val="single" w:sz="4" w:space="0" w:color="auto"/>
              <w:bottom w:val="single" w:sz="4" w:space="0" w:color="auto"/>
              <w:right w:val="single" w:sz="4" w:space="0" w:color="auto"/>
            </w:tcBorders>
          </w:tcPr>
          <w:p w14:paraId="0B1305E7" w14:textId="77777777" w:rsidR="004641C4" w:rsidRPr="003B6A69" w:rsidRDefault="004641C4" w:rsidP="004641C4">
            <w:pPr>
              <w:rPr>
                <w:rFonts w:ascii="Calibri Light" w:hAnsi="Calibri Light" w:cs="Calibri Light"/>
                <w:bCs/>
                <w:sz w:val="18"/>
                <w:szCs w:val="18"/>
                <w:lang w:eastAsia="ja-JP"/>
              </w:rPr>
            </w:pPr>
            <w:r w:rsidRPr="003B6A69">
              <w:rPr>
                <w:rFonts w:ascii="Calibri Light" w:hAnsi="Calibri Light" w:cs="Calibri Light"/>
                <w:bCs/>
                <w:sz w:val="18"/>
                <w:szCs w:val="18"/>
                <w:lang w:eastAsia="ja-JP"/>
              </w:rPr>
              <w:t xml:space="preserve">Long beach/Velika </w:t>
            </w:r>
            <w:proofErr w:type="spellStart"/>
            <w:r w:rsidRPr="003B6A69">
              <w:rPr>
                <w:rFonts w:ascii="Calibri Light" w:hAnsi="Calibri Light" w:cs="Calibri Light"/>
                <w:bCs/>
                <w:sz w:val="18"/>
                <w:szCs w:val="18"/>
                <w:lang w:eastAsia="ja-JP"/>
              </w:rPr>
              <w:t>plaža</w:t>
            </w:r>
            <w:proofErr w:type="spellEnd"/>
            <w:r w:rsidRPr="003B6A69">
              <w:rPr>
                <w:rFonts w:ascii="Calibri Light" w:hAnsi="Calibri Light" w:cs="Calibri Light"/>
                <w:bCs/>
                <w:sz w:val="18"/>
                <w:szCs w:val="18"/>
                <w:lang w:eastAsia="ja-JP"/>
              </w:rPr>
              <w:t xml:space="preserve">, Ada Bojana and </w:t>
            </w:r>
            <w:proofErr w:type="spellStart"/>
            <w:r w:rsidRPr="003B6A69">
              <w:rPr>
                <w:rFonts w:ascii="Calibri Light" w:hAnsi="Calibri Light" w:cs="Calibri Light"/>
                <w:bCs/>
                <w:sz w:val="18"/>
                <w:szCs w:val="18"/>
                <w:lang w:eastAsia="ja-JP"/>
              </w:rPr>
              <w:t>Šasko</w:t>
            </w:r>
            <w:proofErr w:type="spellEnd"/>
            <w:r w:rsidRPr="003B6A69">
              <w:rPr>
                <w:rFonts w:ascii="Calibri Light" w:hAnsi="Calibri Light" w:cs="Calibri Light"/>
                <w:bCs/>
                <w:sz w:val="18"/>
                <w:szCs w:val="18"/>
                <w:lang w:eastAsia="ja-JP"/>
              </w:rPr>
              <w:t xml:space="preserve"> </w:t>
            </w:r>
            <w:proofErr w:type="spellStart"/>
            <w:r w:rsidRPr="003B6A69">
              <w:rPr>
                <w:rFonts w:ascii="Calibri Light" w:hAnsi="Calibri Light" w:cs="Calibri Light"/>
                <w:bCs/>
                <w:sz w:val="18"/>
                <w:szCs w:val="18"/>
                <w:lang w:eastAsia="ja-JP"/>
              </w:rPr>
              <w:t>jezero</w:t>
            </w:r>
            <w:proofErr w:type="spellEnd"/>
            <w:r w:rsidRPr="003B6A69">
              <w:rPr>
                <w:rFonts w:ascii="Calibri Light" w:hAnsi="Calibri Light" w:cs="Calibri Light"/>
                <w:bCs/>
                <w:sz w:val="18"/>
                <w:szCs w:val="18"/>
                <w:lang w:eastAsia="ja-JP"/>
              </w:rPr>
              <w:t xml:space="preserve"> with its surroundings </w:t>
            </w:r>
          </w:p>
          <w:p w14:paraId="73D62038" w14:textId="77777777" w:rsidR="004641C4" w:rsidRPr="003B6A69" w:rsidRDefault="004641C4" w:rsidP="004641C4">
            <w:pPr>
              <w:rPr>
                <w:rFonts w:ascii="Calibri Light" w:hAnsi="Calibri Light" w:cs="Calibri Light"/>
                <w:bCs/>
                <w:sz w:val="18"/>
                <w:szCs w:val="18"/>
                <w:lang w:eastAsia="ja-JP"/>
              </w:rPr>
            </w:pPr>
            <w:r w:rsidRPr="003B6A69">
              <w:rPr>
                <w:rFonts w:ascii="Calibri Light" w:hAnsi="Calibri Light" w:cs="Calibri Light"/>
                <w:bCs/>
                <w:sz w:val="18"/>
                <w:szCs w:val="18"/>
                <w:lang w:eastAsia="ja-JP"/>
              </w:rPr>
              <w:t>Exact coverage in ha tbc</w:t>
            </w:r>
          </w:p>
          <w:p w14:paraId="789EF21C" w14:textId="77777777" w:rsidR="004641C4" w:rsidRPr="003B6A69" w:rsidRDefault="004641C4" w:rsidP="004641C4">
            <w:pPr>
              <w:spacing w:afterLines="60" w:after="144"/>
              <w:rPr>
                <w:rFonts w:asciiTheme="minorHAnsi" w:hAnsiTheme="minorHAnsi" w:cstheme="minorHAnsi"/>
                <w:sz w:val="18"/>
                <w:szCs w:val="18"/>
                <w:lang w:eastAsia="ja-JP"/>
              </w:rPr>
            </w:pPr>
          </w:p>
        </w:tc>
        <w:tc>
          <w:tcPr>
            <w:tcW w:w="1407" w:type="dxa"/>
            <w:tcBorders>
              <w:top w:val="single" w:sz="4" w:space="0" w:color="auto"/>
              <w:left w:val="single" w:sz="4" w:space="0" w:color="auto"/>
              <w:bottom w:val="single" w:sz="4" w:space="0" w:color="auto"/>
              <w:right w:val="single" w:sz="4" w:space="0" w:color="auto"/>
            </w:tcBorders>
            <w:hideMark/>
          </w:tcPr>
          <w:p w14:paraId="04BB206D" w14:textId="77777777" w:rsidR="004641C4" w:rsidRPr="003B6A69" w:rsidRDefault="004641C4" w:rsidP="004641C4">
            <w:pPr>
              <w:spacing w:afterLines="60" w:after="144"/>
              <w:rPr>
                <w:rFonts w:asciiTheme="minorHAnsi" w:hAnsiTheme="minorHAnsi" w:cstheme="minorHAnsi"/>
                <w:sz w:val="18"/>
                <w:szCs w:val="18"/>
                <w:lang w:eastAsia="ja-JP"/>
              </w:rPr>
            </w:pPr>
            <w:r w:rsidRPr="003B6A69">
              <w:rPr>
                <w:sz w:val="18"/>
                <w:szCs w:val="18"/>
              </w:rPr>
              <w:t xml:space="preserve">Long beach/Velika </w:t>
            </w:r>
            <w:proofErr w:type="spellStart"/>
            <w:r w:rsidRPr="003B6A69">
              <w:rPr>
                <w:sz w:val="18"/>
                <w:szCs w:val="18"/>
              </w:rPr>
              <w:t>plaža</w:t>
            </w:r>
            <w:proofErr w:type="spellEnd"/>
            <w:r w:rsidRPr="003B6A69">
              <w:rPr>
                <w:sz w:val="18"/>
                <w:szCs w:val="18"/>
              </w:rPr>
              <w:t xml:space="preserve">, Ada Bojana and </w:t>
            </w:r>
            <w:proofErr w:type="spellStart"/>
            <w:r w:rsidRPr="003B6A69">
              <w:rPr>
                <w:sz w:val="18"/>
                <w:szCs w:val="18"/>
              </w:rPr>
              <w:t>Šasko</w:t>
            </w:r>
            <w:proofErr w:type="spellEnd"/>
            <w:r w:rsidRPr="003B6A69">
              <w:rPr>
                <w:sz w:val="18"/>
                <w:szCs w:val="18"/>
              </w:rPr>
              <w:t xml:space="preserve"> </w:t>
            </w:r>
            <w:proofErr w:type="spellStart"/>
            <w:r w:rsidRPr="003B6A69">
              <w:rPr>
                <w:sz w:val="18"/>
                <w:szCs w:val="18"/>
              </w:rPr>
              <w:t>jezero</w:t>
            </w:r>
            <w:proofErr w:type="spellEnd"/>
            <w:r w:rsidRPr="003B6A69">
              <w:rPr>
                <w:sz w:val="18"/>
                <w:szCs w:val="18"/>
              </w:rPr>
              <w:t xml:space="preserve"> with its surroundings (</w:t>
            </w:r>
            <w:proofErr w:type="spellStart"/>
            <w:r w:rsidRPr="003B6A69">
              <w:rPr>
                <w:sz w:val="18"/>
                <w:szCs w:val="18"/>
              </w:rPr>
              <w:t>Briska</w:t>
            </w:r>
            <w:proofErr w:type="spellEnd"/>
            <w:r w:rsidRPr="003B6A69">
              <w:rPr>
                <w:sz w:val="18"/>
                <w:szCs w:val="18"/>
              </w:rPr>
              <w:t xml:space="preserve"> </w:t>
            </w:r>
            <w:proofErr w:type="spellStart"/>
            <w:r w:rsidRPr="003B6A69">
              <w:rPr>
                <w:sz w:val="18"/>
                <w:szCs w:val="18"/>
              </w:rPr>
              <w:t>gora</w:t>
            </w:r>
            <w:proofErr w:type="spellEnd"/>
            <w:r w:rsidRPr="003B6A69">
              <w:rPr>
                <w:sz w:val="18"/>
                <w:szCs w:val="18"/>
              </w:rPr>
              <w:t xml:space="preserve">) – spatial coverage for Output 2.3; the exact coverage in ha </w:t>
            </w:r>
            <w:r w:rsidRPr="003B6A69">
              <w:rPr>
                <w:sz w:val="18"/>
                <w:szCs w:val="18"/>
              </w:rPr>
              <w:lastRenderedPageBreak/>
              <w:t>tbc pending the parallel research and conservation effort</w:t>
            </w:r>
          </w:p>
        </w:tc>
        <w:tc>
          <w:tcPr>
            <w:tcW w:w="1675" w:type="dxa"/>
            <w:tcBorders>
              <w:top w:val="single" w:sz="4" w:space="0" w:color="auto"/>
              <w:left w:val="single" w:sz="4" w:space="0" w:color="auto"/>
              <w:bottom w:val="single" w:sz="4" w:space="0" w:color="auto"/>
              <w:right w:val="single" w:sz="4" w:space="0" w:color="auto"/>
            </w:tcBorders>
            <w:hideMark/>
          </w:tcPr>
          <w:p w14:paraId="19D799A4" w14:textId="77777777" w:rsidR="004641C4" w:rsidRPr="003B6A69" w:rsidRDefault="004641C4" w:rsidP="004641C4">
            <w:pPr>
              <w:spacing w:afterLines="60" w:after="144"/>
              <w:rPr>
                <w:rFonts w:asciiTheme="minorHAnsi" w:hAnsiTheme="minorHAnsi" w:cstheme="minorHAnsi"/>
                <w:sz w:val="18"/>
                <w:szCs w:val="18"/>
                <w:lang w:eastAsia="ja-JP"/>
              </w:rPr>
            </w:pPr>
            <w:r w:rsidRPr="003B6A69">
              <w:rPr>
                <w:rFonts w:asciiTheme="minorHAnsi" w:hAnsiTheme="minorHAnsi" w:cstheme="minorHAnsi"/>
                <w:sz w:val="18"/>
                <w:szCs w:val="18"/>
                <w:lang w:eastAsia="ja-JP"/>
              </w:rPr>
              <w:lastRenderedPageBreak/>
              <w:t>Project expert reports on KBA protection mechanisms through spatial planning</w:t>
            </w:r>
          </w:p>
          <w:p w14:paraId="7F2DEA36" w14:textId="77777777" w:rsidR="004641C4" w:rsidRPr="003B6A69" w:rsidRDefault="004641C4" w:rsidP="004641C4">
            <w:pPr>
              <w:spacing w:afterLines="60" w:after="144"/>
              <w:rPr>
                <w:rFonts w:asciiTheme="minorHAnsi" w:hAnsiTheme="minorHAnsi" w:cstheme="minorHAnsi"/>
                <w:sz w:val="18"/>
                <w:szCs w:val="18"/>
                <w:lang w:eastAsia="ja-JP"/>
              </w:rPr>
            </w:pPr>
            <w:r w:rsidRPr="003B6A69">
              <w:rPr>
                <w:rFonts w:asciiTheme="minorHAnsi" w:hAnsiTheme="minorHAnsi" w:cstheme="minorHAnsi"/>
                <w:sz w:val="18"/>
                <w:szCs w:val="18"/>
                <w:lang w:eastAsia="ja-JP"/>
              </w:rPr>
              <w:t xml:space="preserve">Municipal Spatial Development Framework with special management and </w:t>
            </w:r>
            <w:r w:rsidRPr="003B6A69">
              <w:rPr>
                <w:rFonts w:asciiTheme="minorHAnsi" w:hAnsiTheme="minorHAnsi" w:cstheme="minorHAnsi"/>
                <w:sz w:val="18"/>
                <w:szCs w:val="18"/>
                <w:lang w:eastAsia="ja-JP"/>
              </w:rPr>
              <w:lastRenderedPageBreak/>
              <w:t xml:space="preserve">protection requirements for the unprotected BD </w:t>
            </w:r>
            <w:proofErr w:type="gramStart"/>
            <w:r w:rsidRPr="003B6A69">
              <w:rPr>
                <w:rFonts w:asciiTheme="minorHAnsi" w:hAnsiTheme="minorHAnsi" w:cstheme="minorHAnsi"/>
                <w:sz w:val="18"/>
                <w:szCs w:val="18"/>
                <w:lang w:eastAsia="ja-JP"/>
              </w:rPr>
              <w:t>hot-spots</w:t>
            </w:r>
            <w:proofErr w:type="gramEnd"/>
          </w:p>
          <w:p w14:paraId="1F7F1E51" w14:textId="77777777" w:rsidR="004641C4" w:rsidRPr="003B6A69" w:rsidRDefault="004641C4" w:rsidP="004641C4">
            <w:pPr>
              <w:spacing w:afterLines="60" w:after="144"/>
              <w:rPr>
                <w:rFonts w:asciiTheme="minorHAnsi" w:hAnsiTheme="minorHAnsi" w:cstheme="minorHAnsi"/>
                <w:sz w:val="18"/>
                <w:szCs w:val="18"/>
                <w:lang w:eastAsia="ja-JP"/>
              </w:rPr>
            </w:pPr>
            <w:r w:rsidRPr="003B6A69">
              <w:rPr>
                <w:rFonts w:asciiTheme="minorHAnsi" w:hAnsiTheme="minorHAnsi" w:cstheme="minorHAnsi"/>
                <w:sz w:val="18"/>
                <w:szCs w:val="18"/>
                <w:lang w:eastAsia="ja-JP"/>
              </w:rPr>
              <w:t>Urbanistic projects developed with project support</w:t>
            </w:r>
          </w:p>
        </w:tc>
        <w:tc>
          <w:tcPr>
            <w:tcW w:w="1277" w:type="dxa"/>
            <w:tcBorders>
              <w:top w:val="single" w:sz="4" w:space="0" w:color="auto"/>
              <w:left w:val="single" w:sz="4" w:space="0" w:color="auto"/>
              <w:bottom w:val="single" w:sz="4" w:space="0" w:color="auto"/>
              <w:right w:val="single" w:sz="4" w:space="0" w:color="auto"/>
            </w:tcBorders>
          </w:tcPr>
          <w:p w14:paraId="6ABAD746" w14:textId="77777777" w:rsidR="004641C4" w:rsidRPr="003B6A69" w:rsidRDefault="004641C4" w:rsidP="004641C4">
            <w:pPr>
              <w:spacing w:afterLines="60" w:after="144"/>
              <w:jc w:val="left"/>
              <w:rPr>
                <w:rFonts w:asciiTheme="minorHAnsi" w:hAnsiTheme="minorHAnsi" w:cstheme="minorHAnsi"/>
                <w:sz w:val="18"/>
                <w:szCs w:val="18"/>
                <w:lang w:eastAsia="ja-JP"/>
              </w:rPr>
            </w:pPr>
            <w:r w:rsidRPr="003B6A69">
              <w:rPr>
                <w:rFonts w:asciiTheme="minorHAnsi" w:hAnsiTheme="minorHAnsi" w:cstheme="minorHAnsi"/>
                <w:sz w:val="18"/>
                <w:szCs w:val="18"/>
                <w:lang w:eastAsia="ja-JP"/>
              </w:rPr>
              <w:lastRenderedPageBreak/>
              <w:t xml:space="preserve">Annually </w:t>
            </w:r>
          </w:p>
          <w:p w14:paraId="1CE18E12" w14:textId="77777777" w:rsidR="004641C4" w:rsidRPr="003B6A69" w:rsidRDefault="004641C4" w:rsidP="004641C4">
            <w:pPr>
              <w:spacing w:afterLines="60" w:after="144"/>
              <w:jc w:val="left"/>
              <w:rPr>
                <w:rFonts w:asciiTheme="minorHAnsi" w:hAnsiTheme="minorHAnsi" w:cstheme="minorHAnsi"/>
                <w:sz w:val="18"/>
                <w:szCs w:val="18"/>
                <w:lang w:eastAsia="ja-JP"/>
              </w:rPr>
            </w:pPr>
          </w:p>
          <w:p w14:paraId="141402C3" w14:textId="77777777" w:rsidR="004641C4" w:rsidRPr="003B6A69" w:rsidRDefault="004641C4" w:rsidP="004641C4">
            <w:pPr>
              <w:spacing w:afterLines="60" w:after="144"/>
              <w:rPr>
                <w:rFonts w:asciiTheme="minorHAnsi" w:hAnsiTheme="minorHAnsi" w:cstheme="minorHAnsi"/>
                <w:sz w:val="18"/>
                <w:szCs w:val="18"/>
                <w:lang w:eastAsia="ja-JP"/>
              </w:rPr>
            </w:pPr>
            <w:r w:rsidRPr="003B6A69">
              <w:rPr>
                <w:rFonts w:asciiTheme="minorHAnsi" w:hAnsiTheme="minorHAnsi" w:cstheme="minorHAnsi"/>
                <w:sz w:val="18"/>
                <w:szCs w:val="18"/>
                <w:lang w:eastAsia="ja-JP"/>
              </w:rPr>
              <w:t>Reported in DO tab of the GEF PIR</w:t>
            </w:r>
          </w:p>
        </w:tc>
        <w:tc>
          <w:tcPr>
            <w:tcW w:w="1118" w:type="dxa"/>
            <w:tcBorders>
              <w:top w:val="single" w:sz="4" w:space="0" w:color="auto"/>
              <w:left w:val="single" w:sz="4" w:space="0" w:color="auto"/>
              <w:bottom w:val="single" w:sz="4" w:space="0" w:color="auto"/>
              <w:right w:val="single" w:sz="4" w:space="0" w:color="auto"/>
            </w:tcBorders>
            <w:hideMark/>
          </w:tcPr>
          <w:p w14:paraId="5EBAAB7C" w14:textId="77777777" w:rsidR="004641C4" w:rsidRPr="003B6A69" w:rsidRDefault="004641C4" w:rsidP="004641C4">
            <w:pPr>
              <w:spacing w:afterLines="60" w:after="144"/>
              <w:rPr>
                <w:rFonts w:asciiTheme="minorHAnsi" w:hAnsiTheme="minorHAnsi" w:cstheme="minorHAnsi"/>
                <w:sz w:val="18"/>
                <w:szCs w:val="18"/>
                <w:lang w:eastAsia="ja-JP"/>
              </w:rPr>
            </w:pPr>
            <w:r w:rsidRPr="003B6A69">
              <w:rPr>
                <w:rFonts w:asciiTheme="minorHAnsi" w:hAnsiTheme="minorHAnsi" w:cstheme="minorHAnsi"/>
                <w:sz w:val="18"/>
                <w:szCs w:val="18"/>
                <w:lang w:eastAsia="ja-JP"/>
              </w:rPr>
              <w:t xml:space="preserve">Project team </w:t>
            </w:r>
          </w:p>
        </w:tc>
        <w:tc>
          <w:tcPr>
            <w:tcW w:w="1754" w:type="dxa"/>
            <w:tcBorders>
              <w:top w:val="single" w:sz="4" w:space="0" w:color="auto"/>
              <w:left w:val="single" w:sz="4" w:space="0" w:color="auto"/>
              <w:bottom w:val="single" w:sz="4" w:space="0" w:color="auto"/>
              <w:right w:val="single" w:sz="4" w:space="0" w:color="auto"/>
            </w:tcBorders>
            <w:hideMark/>
          </w:tcPr>
          <w:p w14:paraId="3A519A2D" w14:textId="77777777" w:rsidR="004641C4" w:rsidRPr="003B6A69" w:rsidRDefault="004641C4" w:rsidP="004641C4">
            <w:pPr>
              <w:spacing w:afterLines="60" w:after="144"/>
              <w:rPr>
                <w:rFonts w:asciiTheme="minorHAnsi" w:hAnsiTheme="minorHAnsi" w:cstheme="minorHAnsi"/>
                <w:sz w:val="18"/>
                <w:szCs w:val="18"/>
                <w:lang w:eastAsia="ja-JP"/>
              </w:rPr>
            </w:pPr>
            <w:r w:rsidRPr="003B6A69">
              <w:rPr>
                <w:rFonts w:ascii="Calibri Light" w:hAnsi="Calibri Light" w:cs="Calibri Light"/>
                <w:bCs/>
                <w:sz w:val="18"/>
                <w:szCs w:val="18"/>
                <w:lang w:eastAsia="ja-JP"/>
              </w:rPr>
              <w:t xml:space="preserve">Project reports and documentation; Successful completion of project activities for relevant project components, as verified by the MTR and TE. </w:t>
            </w:r>
          </w:p>
        </w:tc>
        <w:tc>
          <w:tcPr>
            <w:tcW w:w="1633" w:type="dxa"/>
            <w:tcBorders>
              <w:top w:val="single" w:sz="4" w:space="0" w:color="auto"/>
              <w:left w:val="single" w:sz="4" w:space="0" w:color="auto"/>
              <w:bottom w:val="single" w:sz="4" w:space="0" w:color="auto"/>
              <w:right w:val="single" w:sz="4" w:space="0" w:color="auto"/>
            </w:tcBorders>
            <w:hideMark/>
          </w:tcPr>
          <w:p w14:paraId="679479ED" w14:textId="77777777" w:rsidR="004641C4" w:rsidRPr="003B6A69" w:rsidRDefault="004641C4" w:rsidP="004641C4">
            <w:pPr>
              <w:spacing w:afterLines="60" w:after="144"/>
              <w:rPr>
                <w:rFonts w:ascii="Calibri Light" w:hAnsi="Calibri Light" w:cs="Calibri Light"/>
                <w:bCs/>
                <w:sz w:val="18"/>
                <w:szCs w:val="18"/>
                <w:lang w:eastAsia="ja-JP"/>
              </w:rPr>
            </w:pPr>
            <w:r w:rsidRPr="003B6A69">
              <w:rPr>
                <w:rFonts w:ascii="Calibri Light" w:hAnsi="Calibri Light" w:cs="Calibri Light"/>
                <w:bCs/>
                <w:sz w:val="18"/>
                <w:szCs w:val="18"/>
                <w:lang w:eastAsia="ja-JP"/>
              </w:rPr>
              <w:t>Spatial Framework development continues as declared by the Government</w:t>
            </w:r>
          </w:p>
          <w:p w14:paraId="4616612C" w14:textId="77777777" w:rsidR="004641C4" w:rsidRPr="003B6A69" w:rsidRDefault="004641C4" w:rsidP="004641C4">
            <w:pPr>
              <w:spacing w:afterLines="60" w:after="144"/>
              <w:rPr>
                <w:rFonts w:ascii="Calibri Light" w:hAnsi="Calibri Light" w:cs="Calibri Light"/>
                <w:bCs/>
                <w:sz w:val="18"/>
                <w:szCs w:val="18"/>
                <w:lang w:eastAsia="ja-JP"/>
              </w:rPr>
            </w:pPr>
            <w:r w:rsidRPr="003B6A69">
              <w:rPr>
                <w:rFonts w:ascii="Calibri Light" w:hAnsi="Calibri Light" w:cs="Calibri Light"/>
                <w:bCs/>
                <w:sz w:val="18"/>
                <w:szCs w:val="18"/>
                <w:lang w:eastAsia="ja-JP"/>
              </w:rPr>
              <w:t xml:space="preserve">Project intervention and input is timely presented to the relevant </w:t>
            </w:r>
            <w:r w:rsidRPr="003B6A69">
              <w:rPr>
                <w:rFonts w:ascii="Calibri Light" w:hAnsi="Calibri Light" w:cs="Calibri Light"/>
                <w:bCs/>
                <w:sz w:val="18"/>
                <w:szCs w:val="18"/>
                <w:lang w:eastAsia="ja-JP"/>
              </w:rPr>
              <w:lastRenderedPageBreak/>
              <w:t>government authorities</w:t>
            </w:r>
          </w:p>
          <w:p w14:paraId="639ABA49" w14:textId="77777777" w:rsidR="004641C4" w:rsidRPr="003B6A69" w:rsidRDefault="004641C4" w:rsidP="004641C4">
            <w:pPr>
              <w:spacing w:afterLines="60" w:after="144"/>
              <w:rPr>
                <w:rFonts w:asciiTheme="minorHAnsi" w:hAnsiTheme="minorHAnsi" w:cstheme="minorHAnsi"/>
                <w:sz w:val="18"/>
                <w:szCs w:val="18"/>
                <w:lang w:eastAsia="ja-JP"/>
              </w:rPr>
            </w:pPr>
          </w:p>
        </w:tc>
      </w:tr>
      <w:tr w:rsidR="004641C4" w:rsidRPr="003B6A69" w14:paraId="28142FC6" w14:textId="77777777" w:rsidTr="00BD4C79">
        <w:tc>
          <w:tcPr>
            <w:tcW w:w="0" w:type="auto"/>
            <w:vMerge/>
            <w:tcBorders>
              <w:top w:val="single" w:sz="4" w:space="0" w:color="auto"/>
              <w:left w:val="single" w:sz="4" w:space="0" w:color="auto"/>
              <w:bottom w:val="single" w:sz="4" w:space="0" w:color="auto"/>
              <w:right w:val="single" w:sz="4" w:space="0" w:color="auto"/>
            </w:tcBorders>
            <w:vAlign w:val="center"/>
            <w:hideMark/>
          </w:tcPr>
          <w:p w14:paraId="33DBE0D0" w14:textId="77777777" w:rsidR="004641C4" w:rsidRPr="003B6A69" w:rsidRDefault="004641C4" w:rsidP="004641C4">
            <w:pPr>
              <w:spacing w:after="0"/>
              <w:jc w:val="left"/>
              <w:rPr>
                <w:rFonts w:asciiTheme="minorHAnsi" w:hAnsiTheme="minorHAnsi" w:cstheme="minorHAnsi"/>
                <w:b/>
                <w:sz w:val="18"/>
                <w:szCs w:val="18"/>
                <w:lang w:eastAsia="ja-JP"/>
              </w:rPr>
            </w:pPr>
          </w:p>
        </w:tc>
        <w:tc>
          <w:tcPr>
            <w:tcW w:w="1840" w:type="dxa"/>
            <w:tcBorders>
              <w:top w:val="single" w:sz="4" w:space="0" w:color="auto"/>
              <w:left w:val="single" w:sz="4" w:space="0" w:color="auto"/>
              <w:bottom w:val="single" w:sz="4" w:space="0" w:color="auto"/>
              <w:right w:val="single" w:sz="4" w:space="0" w:color="auto"/>
            </w:tcBorders>
            <w:hideMark/>
          </w:tcPr>
          <w:p w14:paraId="154C6CBF" w14:textId="77777777" w:rsidR="004641C4" w:rsidRPr="003B6A69" w:rsidRDefault="004641C4" w:rsidP="004641C4">
            <w:pPr>
              <w:spacing w:afterLines="60" w:after="144"/>
              <w:rPr>
                <w:rFonts w:asciiTheme="minorHAnsi" w:hAnsiTheme="minorHAnsi" w:cstheme="minorHAnsi"/>
                <w:b/>
                <w:sz w:val="18"/>
                <w:szCs w:val="18"/>
                <w:lang w:eastAsia="ja-JP"/>
              </w:rPr>
            </w:pPr>
            <w:r w:rsidRPr="003B6A69">
              <w:rPr>
                <w:rFonts w:ascii="Times New Roman" w:hAnsi="Times New Roman"/>
                <w:bCs/>
                <w:i/>
                <w:sz w:val="18"/>
                <w:szCs w:val="18"/>
              </w:rPr>
              <w:t xml:space="preserve">Indicator 8: </w:t>
            </w:r>
            <w:r w:rsidRPr="003B6A69">
              <w:rPr>
                <w:rFonts w:asciiTheme="minorHAnsi" w:hAnsiTheme="minorHAnsi"/>
                <w:bCs/>
                <w:sz w:val="18"/>
                <w:szCs w:val="18"/>
              </w:rPr>
              <w:t>Unprotected KBAs and valuable BD hotspots justified for enhanced protection status and included as priorities into the spatial development framework</w:t>
            </w:r>
            <w:r w:rsidRPr="003B6A69">
              <w:rPr>
                <w:rFonts w:ascii="Times New Roman" w:hAnsi="Times New Roman"/>
                <w:bCs/>
                <w:i/>
                <w:sz w:val="18"/>
                <w:szCs w:val="18"/>
              </w:rPr>
              <w:t xml:space="preserve">  </w:t>
            </w:r>
          </w:p>
        </w:tc>
        <w:tc>
          <w:tcPr>
            <w:tcW w:w="1427" w:type="dxa"/>
            <w:tcBorders>
              <w:top w:val="single" w:sz="4" w:space="0" w:color="auto"/>
              <w:left w:val="single" w:sz="4" w:space="0" w:color="auto"/>
              <w:bottom w:val="single" w:sz="4" w:space="0" w:color="auto"/>
              <w:right w:val="single" w:sz="4" w:space="0" w:color="auto"/>
            </w:tcBorders>
          </w:tcPr>
          <w:p w14:paraId="2FF4A56B" w14:textId="77777777" w:rsidR="004641C4" w:rsidRPr="003B6A69" w:rsidRDefault="004641C4" w:rsidP="004641C4">
            <w:pPr>
              <w:spacing w:afterLines="60" w:after="144"/>
              <w:rPr>
                <w:rFonts w:asciiTheme="minorHAnsi" w:hAnsiTheme="minorHAnsi" w:cstheme="minorHAnsi"/>
                <w:sz w:val="18"/>
                <w:szCs w:val="18"/>
                <w:lang w:eastAsia="ja-JP"/>
              </w:rPr>
            </w:pPr>
            <w:r w:rsidRPr="003B6A69">
              <w:rPr>
                <w:rFonts w:ascii="Times New Roman" w:hAnsi="Times New Roman"/>
                <w:bCs/>
                <w:i/>
                <w:sz w:val="18"/>
                <w:szCs w:val="18"/>
              </w:rPr>
              <w:t>130,000 ha</w:t>
            </w:r>
          </w:p>
        </w:tc>
        <w:tc>
          <w:tcPr>
            <w:tcW w:w="1407" w:type="dxa"/>
            <w:tcBorders>
              <w:top w:val="single" w:sz="4" w:space="0" w:color="auto"/>
              <w:left w:val="single" w:sz="4" w:space="0" w:color="auto"/>
              <w:bottom w:val="single" w:sz="4" w:space="0" w:color="auto"/>
              <w:right w:val="single" w:sz="4" w:space="0" w:color="auto"/>
            </w:tcBorders>
          </w:tcPr>
          <w:p w14:paraId="577ABF07" w14:textId="77777777" w:rsidR="004641C4" w:rsidRPr="003B6A69" w:rsidRDefault="004641C4" w:rsidP="004641C4">
            <w:pPr>
              <w:spacing w:afterLines="60" w:after="144"/>
              <w:rPr>
                <w:rFonts w:asciiTheme="minorHAnsi" w:hAnsiTheme="minorHAnsi" w:cstheme="minorHAnsi"/>
                <w:sz w:val="18"/>
                <w:szCs w:val="18"/>
                <w:lang w:eastAsia="ja-JP"/>
              </w:rPr>
            </w:pPr>
            <w:r w:rsidRPr="003B6A69">
              <w:rPr>
                <w:rFonts w:asciiTheme="minorHAnsi" w:hAnsiTheme="minorHAnsi" w:cstheme="minorHAnsi"/>
                <w:sz w:val="18"/>
                <w:szCs w:val="18"/>
                <w:lang w:eastAsia="ja-JP"/>
              </w:rPr>
              <w:t>Estimated area to be covered by the project activities under Outputs 2.1. and 2.2</w:t>
            </w:r>
          </w:p>
        </w:tc>
        <w:tc>
          <w:tcPr>
            <w:tcW w:w="1675" w:type="dxa"/>
            <w:tcBorders>
              <w:top w:val="single" w:sz="4" w:space="0" w:color="auto"/>
              <w:left w:val="single" w:sz="4" w:space="0" w:color="auto"/>
              <w:bottom w:val="single" w:sz="4" w:space="0" w:color="auto"/>
              <w:right w:val="single" w:sz="4" w:space="0" w:color="auto"/>
            </w:tcBorders>
            <w:hideMark/>
          </w:tcPr>
          <w:p w14:paraId="1AFF627C" w14:textId="77777777" w:rsidR="004641C4" w:rsidRPr="003B6A69" w:rsidRDefault="004641C4" w:rsidP="004641C4">
            <w:pPr>
              <w:spacing w:afterLines="60" w:after="144"/>
              <w:rPr>
                <w:rFonts w:asciiTheme="minorHAnsi" w:hAnsiTheme="minorHAnsi" w:cstheme="minorHAnsi"/>
                <w:sz w:val="18"/>
                <w:szCs w:val="18"/>
                <w:lang w:eastAsia="ja-JP"/>
              </w:rPr>
            </w:pPr>
            <w:r w:rsidRPr="003B6A69">
              <w:rPr>
                <w:rFonts w:asciiTheme="minorHAnsi" w:hAnsiTheme="minorHAnsi" w:cstheme="minorHAnsi"/>
                <w:sz w:val="18"/>
                <w:szCs w:val="18"/>
                <w:lang w:eastAsia="ja-JP"/>
              </w:rPr>
              <w:t>KBAs described and protection priorities as stated in the Spatial Plan, General Regulations Plan, municipal spatial development framework</w:t>
            </w:r>
          </w:p>
          <w:p w14:paraId="5271FAF3" w14:textId="77777777" w:rsidR="004641C4" w:rsidRPr="003B6A69" w:rsidRDefault="004641C4" w:rsidP="004641C4">
            <w:pPr>
              <w:spacing w:afterLines="60" w:after="144"/>
              <w:rPr>
                <w:rFonts w:asciiTheme="minorHAnsi" w:hAnsiTheme="minorHAnsi" w:cstheme="minorHAnsi"/>
                <w:sz w:val="18"/>
                <w:szCs w:val="18"/>
                <w:lang w:eastAsia="ja-JP"/>
              </w:rPr>
            </w:pPr>
            <w:r w:rsidRPr="003B6A69">
              <w:rPr>
                <w:rFonts w:asciiTheme="minorHAnsi" w:hAnsiTheme="minorHAnsi" w:cstheme="minorHAnsi"/>
                <w:sz w:val="18"/>
                <w:szCs w:val="18"/>
                <w:lang w:eastAsia="ja-JP"/>
              </w:rPr>
              <w:t>Project reports</w:t>
            </w:r>
          </w:p>
        </w:tc>
        <w:tc>
          <w:tcPr>
            <w:tcW w:w="1277" w:type="dxa"/>
            <w:tcBorders>
              <w:top w:val="single" w:sz="4" w:space="0" w:color="auto"/>
              <w:left w:val="single" w:sz="4" w:space="0" w:color="auto"/>
              <w:bottom w:val="single" w:sz="4" w:space="0" w:color="auto"/>
              <w:right w:val="single" w:sz="4" w:space="0" w:color="auto"/>
            </w:tcBorders>
          </w:tcPr>
          <w:p w14:paraId="79B51630" w14:textId="77777777" w:rsidR="004641C4" w:rsidRPr="003B6A69" w:rsidRDefault="004641C4" w:rsidP="004641C4">
            <w:pPr>
              <w:spacing w:afterLines="60" w:after="144"/>
              <w:jc w:val="left"/>
              <w:rPr>
                <w:rFonts w:asciiTheme="minorHAnsi" w:hAnsiTheme="minorHAnsi" w:cstheme="minorHAnsi"/>
                <w:sz w:val="18"/>
                <w:szCs w:val="18"/>
                <w:lang w:eastAsia="ja-JP"/>
              </w:rPr>
            </w:pPr>
            <w:r w:rsidRPr="003B6A69">
              <w:rPr>
                <w:rFonts w:asciiTheme="minorHAnsi" w:hAnsiTheme="minorHAnsi" w:cstheme="minorHAnsi"/>
                <w:sz w:val="18"/>
                <w:szCs w:val="18"/>
                <w:lang w:eastAsia="ja-JP"/>
              </w:rPr>
              <w:t xml:space="preserve">Annually </w:t>
            </w:r>
          </w:p>
          <w:p w14:paraId="33212E71" w14:textId="77777777" w:rsidR="004641C4" w:rsidRPr="003B6A69" w:rsidRDefault="004641C4" w:rsidP="004641C4">
            <w:pPr>
              <w:spacing w:afterLines="60" w:after="144"/>
              <w:jc w:val="left"/>
              <w:rPr>
                <w:rFonts w:asciiTheme="minorHAnsi" w:hAnsiTheme="minorHAnsi" w:cstheme="minorHAnsi"/>
                <w:sz w:val="18"/>
                <w:szCs w:val="18"/>
                <w:lang w:eastAsia="ja-JP"/>
              </w:rPr>
            </w:pPr>
          </w:p>
          <w:p w14:paraId="1AFF7A66" w14:textId="77777777" w:rsidR="004641C4" w:rsidRPr="003B6A69" w:rsidRDefault="004641C4" w:rsidP="004641C4">
            <w:pPr>
              <w:spacing w:afterLines="60" w:after="144"/>
              <w:rPr>
                <w:rFonts w:asciiTheme="minorHAnsi" w:hAnsiTheme="minorHAnsi" w:cstheme="minorHAnsi"/>
                <w:sz w:val="18"/>
                <w:szCs w:val="18"/>
                <w:lang w:eastAsia="ja-JP"/>
              </w:rPr>
            </w:pPr>
            <w:r w:rsidRPr="003B6A69">
              <w:rPr>
                <w:rFonts w:asciiTheme="minorHAnsi" w:hAnsiTheme="minorHAnsi" w:cstheme="minorHAnsi"/>
                <w:sz w:val="18"/>
                <w:szCs w:val="18"/>
                <w:lang w:eastAsia="ja-JP"/>
              </w:rPr>
              <w:t>Reported in DO tab of the GEF PIR</w:t>
            </w:r>
          </w:p>
        </w:tc>
        <w:tc>
          <w:tcPr>
            <w:tcW w:w="1118" w:type="dxa"/>
            <w:tcBorders>
              <w:top w:val="single" w:sz="4" w:space="0" w:color="auto"/>
              <w:left w:val="single" w:sz="4" w:space="0" w:color="auto"/>
              <w:bottom w:val="single" w:sz="4" w:space="0" w:color="auto"/>
              <w:right w:val="single" w:sz="4" w:space="0" w:color="auto"/>
            </w:tcBorders>
            <w:hideMark/>
          </w:tcPr>
          <w:p w14:paraId="56074A42" w14:textId="77777777" w:rsidR="004641C4" w:rsidRPr="003B6A69" w:rsidRDefault="004641C4" w:rsidP="004641C4">
            <w:pPr>
              <w:spacing w:afterLines="60" w:after="144"/>
              <w:rPr>
                <w:rFonts w:asciiTheme="minorHAnsi" w:hAnsiTheme="minorHAnsi" w:cstheme="minorHAnsi"/>
                <w:sz w:val="18"/>
                <w:szCs w:val="18"/>
                <w:lang w:eastAsia="ja-JP"/>
              </w:rPr>
            </w:pPr>
            <w:r w:rsidRPr="003B6A69">
              <w:rPr>
                <w:rFonts w:asciiTheme="minorHAnsi" w:hAnsiTheme="minorHAnsi" w:cstheme="minorHAnsi"/>
                <w:sz w:val="18"/>
                <w:szCs w:val="18"/>
                <w:lang w:eastAsia="ja-JP"/>
              </w:rPr>
              <w:t>Project team.</w:t>
            </w:r>
          </w:p>
        </w:tc>
        <w:tc>
          <w:tcPr>
            <w:tcW w:w="1754" w:type="dxa"/>
            <w:tcBorders>
              <w:top w:val="single" w:sz="4" w:space="0" w:color="auto"/>
              <w:left w:val="single" w:sz="4" w:space="0" w:color="auto"/>
              <w:bottom w:val="single" w:sz="4" w:space="0" w:color="auto"/>
              <w:right w:val="single" w:sz="4" w:space="0" w:color="auto"/>
            </w:tcBorders>
            <w:hideMark/>
          </w:tcPr>
          <w:p w14:paraId="70B8B072" w14:textId="77777777" w:rsidR="004641C4" w:rsidRPr="003B6A69" w:rsidRDefault="004641C4" w:rsidP="004641C4">
            <w:pPr>
              <w:spacing w:afterLines="60" w:after="144"/>
              <w:rPr>
                <w:rFonts w:asciiTheme="minorHAnsi" w:hAnsiTheme="minorHAnsi" w:cstheme="minorHAnsi"/>
                <w:sz w:val="18"/>
                <w:szCs w:val="18"/>
                <w:lang w:eastAsia="ja-JP"/>
              </w:rPr>
            </w:pPr>
            <w:r w:rsidRPr="003B6A69">
              <w:rPr>
                <w:rFonts w:ascii="Calibri Light" w:hAnsi="Calibri Light" w:cs="Calibri Light"/>
                <w:bCs/>
                <w:sz w:val="18"/>
                <w:szCs w:val="18"/>
                <w:lang w:eastAsia="ja-JP"/>
              </w:rPr>
              <w:t xml:space="preserve">Project reports and documentation; Successful completion of project activities for relevant project components, as verified by the MTR and TE. </w:t>
            </w:r>
          </w:p>
        </w:tc>
        <w:tc>
          <w:tcPr>
            <w:tcW w:w="1633" w:type="dxa"/>
            <w:tcBorders>
              <w:top w:val="single" w:sz="4" w:space="0" w:color="auto"/>
              <w:left w:val="single" w:sz="4" w:space="0" w:color="auto"/>
              <w:bottom w:val="single" w:sz="4" w:space="0" w:color="auto"/>
              <w:right w:val="single" w:sz="4" w:space="0" w:color="auto"/>
            </w:tcBorders>
            <w:hideMark/>
          </w:tcPr>
          <w:p w14:paraId="785609E2" w14:textId="77777777" w:rsidR="004641C4" w:rsidRPr="003B6A69" w:rsidRDefault="004641C4" w:rsidP="004641C4">
            <w:pPr>
              <w:rPr>
                <w:rFonts w:ascii="Calibri Light" w:hAnsi="Calibri Light" w:cs="Calibri Light"/>
                <w:bCs/>
                <w:sz w:val="18"/>
                <w:szCs w:val="18"/>
                <w:lang w:eastAsia="ja-JP"/>
              </w:rPr>
            </w:pPr>
            <w:r w:rsidRPr="003B6A69">
              <w:rPr>
                <w:rFonts w:ascii="Calibri Light" w:hAnsi="Calibri Light" w:cs="Calibri Light"/>
                <w:bCs/>
                <w:sz w:val="18"/>
                <w:szCs w:val="18"/>
                <w:lang w:eastAsia="ja-JP"/>
              </w:rPr>
              <w:t xml:space="preserve">- Cooperation with the government and other relevant institutions under Outcome 2 is effective and generates synergies </w:t>
            </w:r>
          </w:p>
          <w:p w14:paraId="17C628B4" w14:textId="77777777" w:rsidR="004641C4" w:rsidRPr="003B6A69" w:rsidRDefault="004641C4" w:rsidP="004641C4">
            <w:pPr>
              <w:spacing w:afterLines="60" w:after="144"/>
              <w:rPr>
                <w:rFonts w:asciiTheme="minorHAnsi" w:hAnsiTheme="minorHAnsi" w:cstheme="minorHAnsi"/>
                <w:sz w:val="18"/>
                <w:szCs w:val="18"/>
                <w:lang w:eastAsia="ja-JP"/>
              </w:rPr>
            </w:pPr>
            <w:r w:rsidRPr="003B6A69">
              <w:rPr>
                <w:rFonts w:ascii="Calibri Light" w:hAnsi="Calibri Light" w:cs="Calibri Light"/>
                <w:bCs/>
                <w:sz w:val="18"/>
                <w:szCs w:val="18"/>
                <w:lang w:eastAsia="ja-JP"/>
              </w:rPr>
              <w:t xml:space="preserve">- Co-financing of the key partners on BD value research and assessment </w:t>
            </w:r>
            <w:proofErr w:type="spellStart"/>
            <w:r w:rsidRPr="003B6A69">
              <w:rPr>
                <w:rFonts w:ascii="Calibri Light" w:hAnsi="Calibri Light" w:cs="Calibri Light"/>
                <w:bCs/>
                <w:sz w:val="18"/>
                <w:szCs w:val="18"/>
                <w:lang w:eastAsia="ja-JP"/>
              </w:rPr>
              <w:t>materialises</w:t>
            </w:r>
            <w:proofErr w:type="spellEnd"/>
          </w:p>
        </w:tc>
      </w:tr>
      <w:tr w:rsidR="004641C4" w:rsidRPr="003B6A69" w14:paraId="01C916D2" w14:textId="77777777" w:rsidTr="00BD4C79">
        <w:tc>
          <w:tcPr>
            <w:tcW w:w="1382" w:type="dxa"/>
            <w:vMerge w:val="restart"/>
            <w:tcBorders>
              <w:top w:val="single" w:sz="4" w:space="0" w:color="auto"/>
              <w:left w:val="single" w:sz="4" w:space="0" w:color="auto"/>
              <w:bottom w:val="single" w:sz="4" w:space="0" w:color="auto"/>
              <w:right w:val="single" w:sz="4" w:space="0" w:color="auto"/>
            </w:tcBorders>
            <w:hideMark/>
          </w:tcPr>
          <w:p w14:paraId="2979831E" w14:textId="77777777" w:rsidR="004641C4" w:rsidRPr="003B6A69" w:rsidRDefault="004641C4" w:rsidP="004641C4">
            <w:pPr>
              <w:jc w:val="left"/>
              <w:rPr>
                <w:rFonts w:ascii="Times New Roman" w:hAnsi="Times New Roman"/>
                <w:b/>
                <w:bCs/>
                <w:sz w:val="18"/>
                <w:szCs w:val="18"/>
              </w:rPr>
            </w:pPr>
            <w:r w:rsidRPr="003B6A69">
              <w:rPr>
                <w:rFonts w:asciiTheme="minorHAnsi" w:hAnsiTheme="minorHAnsi" w:cstheme="minorHAnsi"/>
                <w:b/>
                <w:sz w:val="18"/>
                <w:szCs w:val="18"/>
                <w:lang w:eastAsia="ja-JP"/>
              </w:rPr>
              <w:t xml:space="preserve">Project Outcome 3: </w:t>
            </w:r>
            <w:r w:rsidRPr="003B6A69">
              <w:rPr>
                <w:rFonts w:ascii="Times New Roman" w:hAnsi="Times New Roman"/>
                <w:b/>
                <w:bCs/>
                <w:sz w:val="18"/>
                <w:szCs w:val="18"/>
              </w:rPr>
              <w:t>BD conservation considerations mainstreamed for sustainable tourism development</w:t>
            </w:r>
          </w:p>
          <w:p w14:paraId="35A7D49D" w14:textId="77777777" w:rsidR="004641C4" w:rsidRPr="003B6A69" w:rsidRDefault="004641C4" w:rsidP="004641C4">
            <w:pPr>
              <w:spacing w:afterLines="60" w:after="144"/>
              <w:rPr>
                <w:rFonts w:asciiTheme="minorHAnsi" w:hAnsiTheme="minorHAnsi" w:cstheme="minorHAnsi"/>
                <w:b/>
                <w:sz w:val="18"/>
                <w:szCs w:val="18"/>
                <w:lang w:eastAsia="ja-JP"/>
              </w:rPr>
            </w:pPr>
          </w:p>
        </w:tc>
        <w:tc>
          <w:tcPr>
            <w:tcW w:w="1840" w:type="dxa"/>
            <w:tcBorders>
              <w:top w:val="single" w:sz="4" w:space="0" w:color="auto"/>
              <w:left w:val="single" w:sz="4" w:space="0" w:color="auto"/>
              <w:bottom w:val="single" w:sz="4" w:space="0" w:color="auto"/>
              <w:right w:val="single" w:sz="4" w:space="0" w:color="auto"/>
            </w:tcBorders>
            <w:hideMark/>
          </w:tcPr>
          <w:p w14:paraId="02946627" w14:textId="2DABC7ED" w:rsidR="004641C4" w:rsidRPr="003B6A69" w:rsidRDefault="004641C4" w:rsidP="004641C4">
            <w:pPr>
              <w:spacing w:afterLines="60" w:after="144"/>
              <w:rPr>
                <w:rFonts w:asciiTheme="minorHAnsi" w:hAnsiTheme="minorHAnsi" w:cstheme="minorHAnsi"/>
                <w:sz w:val="18"/>
                <w:szCs w:val="18"/>
                <w:lang w:eastAsia="ja-JP"/>
              </w:rPr>
            </w:pPr>
            <w:r w:rsidRPr="003B6A69">
              <w:rPr>
                <w:rFonts w:ascii="Times New Roman" w:hAnsi="Times New Roman"/>
                <w:bCs/>
                <w:i/>
                <w:sz w:val="18"/>
                <w:szCs w:val="18"/>
              </w:rPr>
              <w:t xml:space="preserve">Indicator 9: </w:t>
            </w:r>
            <w:r w:rsidRPr="003B6A69">
              <w:rPr>
                <w:rFonts w:ascii="Times New Roman" w:hAnsi="Times New Roman"/>
                <w:bCs/>
                <w:sz w:val="18"/>
                <w:szCs w:val="18"/>
              </w:rPr>
              <w:t xml:space="preserve">at </w:t>
            </w:r>
            <w:r w:rsidRPr="003B6A69">
              <w:rPr>
                <w:rFonts w:asciiTheme="minorHAnsi" w:hAnsiTheme="minorHAnsi"/>
                <w:bCs/>
                <w:sz w:val="18"/>
                <w:szCs w:val="18"/>
              </w:rPr>
              <w:t xml:space="preserve">least 5 small-scale tourism operators introduce biodiversity-sensitive nature-based tourism products </w:t>
            </w:r>
            <w:r w:rsidR="00737B9D" w:rsidRPr="003B6A69">
              <w:rPr>
                <w:rFonts w:asciiTheme="minorHAnsi" w:hAnsiTheme="minorHAnsi"/>
                <w:bCs/>
                <w:sz w:val="18"/>
                <w:szCs w:val="18"/>
              </w:rPr>
              <w:t xml:space="preserve">as BAU alternative </w:t>
            </w:r>
            <w:r w:rsidRPr="003B6A69">
              <w:rPr>
                <w:rFonts w:ascii="Times New Roman" w:hAnsi="Times New Roman"/>
                <w:bCs/>
                <w:sz w:val="18"/>
                <w:szCs w:val="18"/>
              </w:rPr>
              <w:t>(gender-disaggregated)</w:t>
            </w:r>
          </w:p>
        </w:tc>
        <w:tc>
          <w:tcPr>
            <w:tcW w:w="1427" w:type="dxa"/>
            <w:tcBorders>
              <w:top w:val="single" w:sz="4" w:space="0" w:color="auto"/>
              <w:left w:val="single" w:sz="4" w:space="0" w:color="auto"/>
              <w:bottom w:val="single" w:sz="4" w:space="0" w:color="auto"/>
              <w:right w:val="single" w:sz="4" w:space="0" w:color="auto"/>
            </w:tcBorders>
            <w:hideMark/>
          </w:tcPr>
          <w:p w14:paraId="121F94DA" w14:textId="77777777" w:rsidR="004641C4" w:rsidRPr="003B6A69" w:rsidRDefault="004641C4" w:rsidP="004641C4">
            <w:pPr>
              <w:spacing w:afterLines="60" w:after="144"/>
              <w:rPr>
                <w:rFonts w:asciiTheme="minorHAnsi" w:hAnsiTheme="minorHAnsi" w:cstheme="minorHAnsi"/>
                <w:sz w:val="18"/>
                <w:szCs w:val="18"/>
                <w:lang w:eastAsia="ja-JP"/>
              </w:rPr>
            </w:pPr>
            <w:r w:rsidRPr="003B6A69">
              <w:rPr>
                <w:rFonts w:asciiTheme="minorHAnsi" w:hAnsiTheme="minorHAnsi" w:cstheme="minorHAnsi"/>
                <w:sz w:val="18"/>
                <w:szCs w:val="18"/>
                <w:lang w:eastAsia="ja-JP"/>
              </w:rPr>
              <w:t>5</w:t>
            </w:r>
          </w:p>
        </w:tc>
        <w:tc>
          <w:tcPr>
            <w:tcW w:w="1407" w:type="dxa"/>
            <w:tcBorders>
              <w:top w:val="single" w:sz="4" w:space="0" w:color="auto"/>
              <w:left w:val="single" w:sz="4" w:space="0" w:color="auto"/>
              <w:bottom w:val="single" w:sz="4" w:space="0" w:color="auto"/>
              <w:right w:val="single" w:sz="4" w:space="0" w:color="auto"/>
            </w:tcBorders>
          </w:tcPr>
          <w:p w14:paraId="609E28E4" w14:textId="77777777" w:rsidR="004641C4" w:rsidRPr="003B6A69" w:rsidRDefault="004641C4" w:rsidP="004641C4">
            <w:pPr>
              <w:spacing w:afterLines="60" w:after="144"/>
              <w:rPr>
                <w:rFonts w:asciiTheme="minorHAnsi" w:hAnsiTheme="minorHAnsi" w:cstheme="minorHAnsi"/>
                <w:sz w:val="18"/>
                <w:szCs w:val="18"/>
                <w:lang w:eastAsia="ja-JP"/>
              </w:rPr>
            </w:pPr>
            <w:r w:rsidRPr="003B6A69">
              <w:rPr>
                <w:rFonts w:asciiTheme="minorHAnsi" w:hAnsiTheme="minorHAnsi" w:cstheme="minorHAnsi"/>
                <w:sz w:val="18"/>
                <w:szCs w:val="18"/>
                <w:lang w:eastAsia="ja-JP"/>
              </w:rPr>
              <w:t>At least 5 private tourism operators directly engaged in project activities</w:t>
            </w:r>
          </w:p>
        </w:tc>
        <w:tc>
          <w:tcPr>
            <w:tcW w:w="1675" w:type="dxa"/>
            <w:tcBorders>
              <w:top w:val="single" w:sz="4" w:space="0" w:color="auto"/>
              <w:left w:val="single" w:sz="4" w:space="0" w:color="auto"/>
              <w:bottom w:val="single" w:sz="4" w:space="0" w:color="auto"/>
              <w:right w:val="single" w:sz="4" w:space="0" w:color="auto"/>
            </w:tcBorders>
            <w:hideMark/>
          </w:tcPr>
          <w:p w14:paraId="2E939E6D" w14:textId="77777777" w:rsidR="004641C4" w:rsidRPr="003B6A69" w:rsidRDefault="004641C4" w:rsidP="004641C4">
            <w:pPr>
              <w:spacing w:afterLines="60" w:after="144"/>
              <w:rPr>
                <w:rFonts w:asciiTheme="minorHAnsi" w:hAnsiTheme="minorHAnsi" w:cstheme="minorHAnsi"/>
                <w:sz w:val="18"/>
                <w:szCs w:val="18"/>
                <w:lang w:eastAsia="ja-JP"/>
              </w:rPr>
            </w:pPr>
            <w:r w:rsidRPr="003B6A69">
              <w:rPr>
                <w:rFonts w:asciiTheme="minorHAnsi" w:hAnsiTheme="minorHAnsi" w:cstheme="minorHAnsi"/>
                <w:sz w:val="18"/>
                <w:szCs w:val="18"/>
                <w:lang w:eastAsia="ja-JP"/>
              </w:rPr>
              <w:t>Project records</w:t>
            </w:r>
          </w:p>
          <w:p w14:paraId="70318F24" w14:textId="77777777" w:rsidR="004641C4" w:rsidRPr="003B6A69" w:rsidRDefault="004641C4" w:rsidP="004641C4">
            <w:pPr>
              <w:spacing w:afterLines="60" w:after="144"/>
              <w:rPr>
                <w:rFonts w:asciiTheme="minorHAnsi" w:hAnsiTheme="minorHAnsi" w:cstheme="minorHAnsi"/>
                <w:sz w:val="18"/>
                <w:szCs w:val="18"/>
                <w:lang w:eastAsia="ja-JP"/>
              </w:rPr>
            </w:pPr>
            <w:r w:rsidRPr="003B6A69">
              <w:rPr>
                <w:rFonts w:asciiTheme="minorHAnsi" w:hAnsiTheme="minorHAnsi" w:cstheme="minorHAnsi"/>
                <w:sz w:val="18"/>
                <w:szCs w:val="18"/>
                <w:lang w:eastAsia="ja-JP"/>
              </w:rPr>
              <w:t>MED communications and reports</w:t>
            </w:r>
          </w:p>
          <w:p w14:paraId="384D4639" w14:textId="77777777" w:rsidR="004641C4" w:rsidRPr="003B6A69" w:rsidRDefault="004641C4" w:rsidP="004641C4">
            <w:pPr>
              <w:spacing w:afterLines="60" w:after="144"/>
              <w:rPr>
                <w:rFonts w:asciiTheme="minorHAnsi" w:hAnsiTheme="minorHAnsi" w:cstheme="minorHAnsi"/>
                <w:sz w:val="18"/>
                <w:szCs w:val="18"/>
                <w:lang w:eastAsia="ja-JP"/>
              </w:rPr>
            </w:pPr>
            <w:r w:rsidRPr="003B6A69">
              <w:rPr>
                <w:rFonts w:asciiTheme="minorHAnsi" w:hAnsiTheme="minorHAnsi" w:cstheme="minorHAnsi"/>
                <w:sz w:val="18"/>
                <w:szCs w:val="18"/>
                <w:lang w:eastAsia="ja-JP"/>
              </w:rPr>
              <w:t>MTR and TR interviews</w:t>
            </w:r>
          </w:p>
        </w:tc>
        <w:tc>
          <w:tcPr>
            <w:tcW w:w="1277" w:type="dxa"/>
            <w:tcBorders>
              <w:top w:val="single" w:sz="4" w:space="0" w:color="auto"/>
              <w:left w:val="single" w:sz="4" w:space="0" w:color="auto"/>
              <w:bottom w:val="single" w:sz="4" w:space="0" w:color="auto"/>
              <w:right w:val="single" w:sz="4" w:space="0" w:color="auto"/>
            </w:tcBorders>
          </w:tcPr>
          <w:p w14:paraId="078BD326" w14:textId="77777777" w:rsidR="004641C4" w:rsidRPr="003B6A69" w:rsidRDefault="004641C4" w:rsidP="004641C4">
            <w:pPr>
              <w:spacing w:afterLines="60" w:after="144"/>
              <w:jc w:val="left"/>
              <w:rPr>
                <w:rFonts w:asciiTheme="minorHAnsi" w:hAnsiTheme="minorHAnsi" w:cstheme="minorHAnsi"/>
                <w:sz w:val="18"/>
                <w:szCs w:val="18"/>
                <w:lang w:eastAsia="ja-JP"/>
              </w:rPr>
            </w:pPr>
            <w:r w:rsidRPr="003B6A69">
              <w:rPr>
                <w:rFonts w:asciiTheme="minorHAnsi" w:hAnsiTheme="minorHAnsi" w:cstheme="minorHAnsi"/>
                <w:sz w:val="18"/>
                <w:szCs w:val="18"/>
                <w:lang w:eastAsia="ja-JP"/>
              </w:rPr>
              <w:t xml:space="preserve">Annually </w:t>
            </w:r>
          </w:p>
          <w:p w14:paraId="1A301580" w14:textId="77777777" w:rsidR="004641C4" w:rsidRPr="003B6A69" w:rsidRDefault="004641C4" w:rsidP="004641C4">
            <w:pPr>
              <w:spacing w:afterLines="60" w:after="144"/>
              <w:jc w:val="left"/>
              <w:rPr>
                <w:rFonts w:asciiTheme="minorHAnsi" w:hAnsiTheme="minorHAnsi" w:cstheme="minorHAnsi"/>
                <w:sz w:val="18"/>
                <w:szCs w:val="18"/>
                <w:lang w:eastAsia="ja-JP"/>
              </w:rPr>
            </w:pPr>
          </w:p>
          <w:p w14:paraId="41B587EC" w14:textId="77777777" w:rsidR="004641C4" w:rsidRPr="003B6A69" w:rsidRDefault="004641C4" w:rsidP="004641C4">
            <w:pPr>
              <w:spacing w:afterLines="60" w:after="144"/>
              <w:rPr>
                <w:rFonts w:asciiTheme="minorHAnsi" w:hAnsiTheme="minorHAnsi" w:cstheme="minorHAnsi"/>
                <w:sz w:val="18"/>
                <w:szCs w:val="18"/>
                <w:lang w:eastAsia="ja-JP"/>
              </w:rPr>
            </w:pPr>
            <w:r w:rsidRPr="003B6A69">
              <w:rPr>
                <w:rFonts w:asciiTheme="minorHAnsi" w:hAnsiTheme="minorHAnsi" w:cstheme="minorHAnsi"/>
                <w:sz w:val="18"/>
                <w:szCs w:val="18"/>
                <w:lang w:eastAsia="ja-JP"/>
              </w:rPr>
              <w:t>Reported in DO tab of the GEF PIR</w:t>
            </w:r>
          </w:p>
        </w:tc>
        <w:tc>
          <w:tcPr>
            <w:tcW w:w="1118" w:type="dxa"/>
            <w:tcBorders>
              <w:top w:val="single" w:sz="4" w:space="0" w:color="auto"/>
              <w:left w:val="single" w:sz="4" w:space="0" w:color="auto"/>
              <w:bottom w:val="single" w:sz="4" w:space="0" w:color="auto"/>
              <w:right w:val="single" w:sz="4" w:space="0" w:color="auto"/>
            </w:tcBorders>
            <w:hideMark/>
          </w:tcPr>
          <w:p w14:paraId="6C2C39F4" w14:textId="77777777" w:rsidR="004641C4" w:rsidRPr="003B6A69" w:rsidRDefault="004641C4" w:rsidP="004641C4">
            <w:pPr>
              <w:spacing w:afterLines="60" w:after="144"/>
              <w:rPr>
                <w:rFonts w:asciiTheme="minorHAnsi" w:hAnsiTheme="minorHAnsi" w:cstheme="minorHAnsi"/>
                <w:sz w:val="18"/>
                <w:szCs w:val="18"/>
                <w:lang w:eastAsia="ja-JP"/>
              </w:rPr>
            </w:pPr>
            <w:r w:rsidRPr="003B6A69">
              <w:rPr>
                <w:rFonts w:asciiTheme="minorHAnsi" w:hAnsiTheme="minorHAnsi" w:cstheme="minorHAnsi"/>
                <w:sz w:val="18"/>
                <w:szCs w:val="18"/>
                <w:lang w:eastAsia="ja-JP"/>
              </w:rPr>
              <w:t>Project team.</w:t>
            </w:r>
          </w:p>
        </w:tc>
        <w:tc>
          <w:tcPr>
            <w:tcW w:w="1754" w:type="dxa"/>
            <w:tcBorders>
              <w:top w:val="single" w:sz="4" w:space="0" w:color="auto"/>
              <w:left w:val="single" w:sz="4" w:space="0" w:color="auto"/>
              <w:bottom w:val="single" w:sz="4" w:space="0" w:color="auto"/>
              <w:right w:val="single" w:sz="4" w:space="0" w:color="auto"/>
            </w:tcBorders>
            <w:hideMark/>
          </w:tcPr>
          <w:p w14:paraId="77B841F2" w14:textId="77777777" w:rsidR="004641C4" w:rsidRPr="003B6A69" w:rsidRDefault="004641C4" w:rsidP="004641C4">
            <w:pPr>
              <w:spacing w:afterLines="60" w:after="144"/>
              <w:rPr>
                <w:rFonts w:asciiTheme="minorHAnsi" w:hAnsiTheme="minorHAnsi" w:cstheme="minorHAnsi"/>
                <w:sz w:val="18"/>
                <w:szCs w:val="18"/>
                <w:lang w:eastAsia="ja-JP"/>
              </w:rPr>
            </w:pPr>
            <w:r w:rsidRPr="003B6A69">
              <w:rPr>
                <w:rFonts w:ascii="Calibri Light" w:hAnsi="Calibri Light" w:cs="Calibri Light"/>
                <w:bCs/>
                <w:sz w:val="18"/>
                <w:szCs w:val="18"/>
                <w:lang w:eastAsia="ja-JP"/>
              </w:rPr>
              <w:t xml:space="preserve">Project reports and documentation; Successful completion of project activities for relevant project components, as verified by the MTR and TE. </w:t>
            </w:r>
          </w:p>
        </w:tc>
        <w:tc>
          <w:tcPr>
            <w:tcW w:w="1633" w:type="dxa"/>
            <w:tcBorders>
              <w:top w:val="single" w:sz="4" w:space="0" w:color="auto"/>
              <w:left w:val="single" w:sz="4" w:space="0" w:color="auto"/>
              <w:bottom w:val="single" w:sz="4" w:space="0" w:color="auto"/>
              <w:right w:val="single" w:sz="4" w:space="0" w:color="auto"/>
            </w:tcBorders>
            <w:hideMark/>
          </w:tcPr>
          <w:p w14:paraId="72C6C7F0" w14:textId="77777777" w:rsidR="004641C4" w:rsidRPr="003B6A69" w:rsidRDefault="004641C4" w:rsidP="004641C4">
            <w:pPr>
              <w:rPr>
                <w:rFonts w:ascii="Calibri Light" w:hAnsi="Calibri Light" w:cs="Calibri Light"/>
                <w:bCs/>
                <w:sz w:val="18"/>
                <w:szCs w:val="18"/>
                <w:lang w:eastAsia="ja-JP"/>
              </w:rPr>
            </w:pPr>
            <w:r w:rsidRPr="003B6A69">
              <w:rPr>
                <w:rFonts w:ascii="Calibri Light" w:hAnsi="Calibri Light" w:cs="Calibri Light"/>
                <w:bCs/>
                <w:sz w:val="18"/>
                <w:szCs w:val="18"/>
                <w:lang w:eastAsia="ja-JP"/>
              </w:rPr>
              <w:t xml:space="preserve">- </w:t>
            </w:r>
            <w:proofErr w:type="spellStart"/>
            <w:r w:rsidRPr="003B6A69">
              <w:rPr>
                <w:rFonts w:ascii="Calibri Light" w:hAnsi="Calibri Light" w:cs="Calibri Light"/>
                <w:bCs/>
                <w:sz w:val="18"/>
                <w:szCs w:val="18"/>
                <w:lang w:eastAsia="ja-JP"/>
              </w:rPr>
              <w:t>Turism</w:t>
            </w:r>
            <w:proofErr w:type="spellEnd"/>
            <w:r w:rsidRPr="003B6A69">
              <w:rPr>
                <w:rFonts w:ascii="Calibri Light" w:hAnsi="Calibri Light" w:cs="Calibri Light"/>
                <w:bCs/>
                <w:sz w:val="18"/>
                <w:szCs w:val="18"/>
                <w:lang w:eastAsia="ja-JP"/>
              </w:rPr>
              <w:t xml:space="preserve"> sector recovers from severe negative effects of COVID 19 pandemic within the project timeframe</w:t>
            </w:r>
          </w:p>
          <w:p w14:paraId="4EF13919" w14:textId="77777777" w:rsidR="004641C4" w:rsidRPr="003B6A69" w:rsidRDefault="004641C4" w:rsidP="004641C4">
            <w:pPr>
              <w:rPr>
                <w:rFonts w:ascii="Calibri Light" w:hAnsi="Calibri Light" w:cs="Calibri Light"/>
                <w:bCs/>
                <w:sz w:val="18"/>
                <w:szCs w:val="18"/>
                <w:lang w:eastAsia="ja-JP"/>
              </w:rPr>
            </w:pPr>
            <w:r w:rsidRPr="003B6A69">
              <w:rPr>
                <w:rFonts w:ascii="Calibri Light" w:hAnsi="Calibri Light" w:cs="Calibri Light"/>
                <w:bCs/>
                <w:sz w:val="18"/>
                <w:szCs w:val="18"/>
                <w:lang w:eastAsia="ja-JP"/>
              </w:rPr>
              <w:t xml:space="preserve">- Key sectoral and municipal partners are willing to cooperate </w:t>
            </w:r>
          </w:p>
          <w:p w14:paraId="1728581D" w14:textId="77777777" w:rsidR="004641C4" w:rsidRPr="003B6A69" w:rsidRDefault="004641C4" w:rsidP="004641C4">
            <w:pPr>
              <w:spacing w:afterLines="60" w:after="144"/>
              <w:rPr>
                <w:rFonts w:asciiTheme="minorHAnsi" w:hAnsiTheme="minorHAnsi" w:cstheme="minorHAnsi"/>
                <w:sz w:val="18"/>
                <w:szCs w:val="18"/>
                <w:lang w:eastAsia="ja-JP"/>
              </w:rPr>
            </w:pPr>
          </w:p>
        </w:tc>
      </w:tr>
      <w:tr w:rsidR="004641C4" w:rsidRPr="003B6A69" w14:paraId="48091E8B" w14:textId="77777777" w:rsidTr="00BD4C79">
        <w:tc>
          <w:tcPr>
            <w:tcW w:w="0" w:type="auto"/>
            <w:vMerge/>
            <w:tcBorders>
              <w:top w:val="single" w:sz="4" w:space="0" w:color="auto"/>
              <w:left w:val="single" w:sz="4" w:space="0" w:color="auto"/>
              <w:bottom w:val="single" w:sz="4" w:space="0" w:color="auto"/>
              <w:right w:val="single" w:sz="4" w:space="0" w:color="auto"/>
            </w:tcBorders>
            <w:vAlign w:val="center"/>
            <w:hideMark/>
          </w:tcPr>
          <w:p w14:paraId="1A7D384E" w14:textId="77777777" w:rsidR="004641C4" w:rsidRPr="003B6A69" w:rsidRDefault="004641C4" w:rsidP="004641C4">
            <w:pPr>
              <w:spacing w:after="0"/>
              <w:jc w:val="left"/>
              <w:rPr>
                <w:rFonts w:asciiTheme="minorHAnsi" w:hAnsiTheme="minorHAnsi" w:cstheme="minorHAnsi"/>
                <w:b/>
                <w:sz w:val="18"/>
                <w:szCs w:val="18"/>
                <w:lang w:eastAsia="ja-JP"/>
              </w:rPr>
            </w:pPr>
          </w:p>
        </w:tc>
        <w:tc>
          <w:tcPr>
            <w:tcW w:w="1840" w:type="dxa"/>
            <w:tcBorders>
              <w:top w:val="single" w:sz="4" w:space="0" w:color="auto"/>
              <w:left w:val="single" w:sz="4" w:space="0" w:color="auto"/>
              <w:bottom w:val="single" w:sz="4" w:space="0" w:color="auto"/>
              <w:right w:val="single" w:sz="4" w:space="0" w:color="auto"/>
            </w:tcBorders>
            <w:hideMark/>
          </w:tcPr>
          <w:p w14:paraId="50E5BCCA" w14:textId="77777777" w:rsidR="004641C4" w:rsidRPr="003B6A69" w:rsidRDefault="004641C4" w:rsidP="004641C4">
            <w:pPr>
              <w:spacing w:afterLines="60" w:after="144"/>
              <w:rPr>
                <w:rFonts w:asciiTheme="minorHAnsi" w:hAnsiTheme="minorHAnsi" w:cstheme="minorHAnsi"/>
                <w:sz w:val="18"/>
                <w:szCs w:val="18"/>
                <w:lang w:eastAsia="ja-JP"/>
              </w:rPr>
            </w:pPr>
            <w:r w:rsidRPr="003B6A69">
              <w:rPr>
                <w:rFonts w:ascii="Times New Roman" w:hAnsi="Times New Roman"/>
                <w:bCs/>
                <w:i/>
                <w:sz w:val="18"/>
                <w:szCs w:val="18"/>
              </w:rPr>
              <w:t>Indicator 10:</w:t>
            </w:r>
            <w:r w:rsidRPr="003B6A69">
              <w:rPr>
                <w:rFonts w:asciiTheme="minorHAnsi" w:hAnsiTheme="minorHAnsi"/>
                <w:bCs/>
                <w:sz w:val="18"/>
                <w:szCs w:val="18"/>
              </w:rPr>
              <w:t xml:space="preserve"> at least 10% increase in the annual number of </w:t>
            </w:r>
            <w:r w:rsidRPr="003B6A69">
              <w:rPr>
                <w:rFonts w:asciiTheme="minorHAnsi" w:hAnsiTheme="minorHAnsi"/>
                <w:bCs/>
                <w:sz w:val="18"/>
                <w:szCs w:val="18"/>
              </w:rPr>
              <w:lastRenderedPageBreak/>
              <w:t>visitors in targeted PAs</w:t>
            </w:r>
          </w:p>
        </w:tc>
        <w:tc>
          <w:tcPr>
            <w:tcW w:w="1427" w:type="dxa"/>
            <w:tcBorders>
              <w:top w:val="single" w:sz="4" w:space="0" w:color="auto"/>
              <w:left w:val="single" w:sz="4" w:space="0" w:color="auto"/>
              <w:bottom w:val="single" w:sz="4" w:space="0" w:color="auto"/>
              <w:right w:val="single" w:sz="4" w:space="0" w:color="auto"/>
            </w:tcBorders>
            <w:hideMark/>
          </w:tcPr>
          <w:p w14:paraId="1888618F" w14:textId="77777777" w:rsidR="004641C4" w:rsidRPr="003B6A69" w:rsidRDefault="004641C4" w:rsidP="004641C4">
            <w:pPr>
              <w:spacing w:afterLines="60" w:after="144"/>
              <w:rPr>
                <w:rFonts w:asciiTheme="minorHAnsi" w:hAnsiTheme="minorHAnsi" w:cstheme="minorHAnsi"/>
                <w:sz w:val="18"/>
                <w:szCs w:val="18"/>
                <w:lang w:eastAsia="ja-JP"/>
              </w:rPr>
            </w:pPr>
            <w:r w:rsidRPr="003B6A69">
              <w:rPr>
                <w:rFonts w:asciiTheme="minorHAnsi" w:hAnsiTheme="minorHAnsi" w:cstheme="minorHAnsi"/>
                <w:sz w:val="18"/>
                <w:szCs w:val="18"/>
                <w:lang w:eastAsia="ja-JP"/>
              </w:rPr>
              <w:lastRenderedPageBreak/>
              <w:t>10%</w:t>
            </w:r>
          </w:p>
        </w:tc>
        <w:tc>
          <w:tcPr>
            <w:tcW w:w="1407" w:type="dxa"/>
            <w:tcBorders>
              <w:top w:val="single" w:sz="4" w:space="0" w:color="auto"/>
              <w:left w:val="single" w:sz="4" w:space="0" w:color="auto"/>
              <w:bottom w:val="single" w:sz="4" w:space="0" w:color="auto"/>
              <w:right w:val="single" w:sz="4" w:space="0" w:color="auto"/>
            </w:tcBorders>
          </w:tcPr>
          <w:p w14:paraId="43136C10" w14:textId="77777777" w:rsidR="004641C4" w:rsidRPr="003B6A69" w:rsidRDefault="004641C4" w:rsidP="004641C4">
            <w:pPr>
              <w:jc w:val="left"/>
              <w:rPr>
                <w:rFonts w:ascii="Times New Roman" w:hAnsi="Times New Roman"/>
                <w:bCs/>
                <w:i/>
                <w:sz w:val="18"/>
                <w:szCs w:val="18"/>
              </w:rPr>
            </w:pPr>
            <w:r w:rsidRPr="003B6A69">
              <w:rPr>
                <w:rFonts w:ascii="Times New Roman" w:hAnsi="Times New Roman"/>
                <w:bCs/>
                <w:i/>
                <w:sz w:val="18"/>
                <w:szCs w:val="18"/>
              </w:rPr>
              <w:t>Baseline visitation data for the pilot PAs:</w:t>
            </w:r>
          </w:p>
          <w:p w14:paraId="5B2575BB" w14:textId="77777777" w:rsidR="004641C4" w:rsidRPr="003B6A69" w:rsidRDefault="004641C4" w:rsidP="004641C4">
            <w:pPr>
              <w:jc w:val="left"/>
              <w:rPr>
                <w:rFonts w:ascii="Times New Roman" w:hAnsi="Times New Roman"/>
                <w:bCs/>
                <w:i/>
                <w:sz w:val="18"/>
                <w:szCs w:val="18"/>
              </w:rPr>
            </w:pPr>
            <w:proofErr w:type="spellStart"/>
            <w:r w:rsidRPr="003B6A69">
              <w:rPr>
                <w:rFonts w:ascii="Times New Roman" w:hAnsi="Times New Roman"/>
                <w:bCs/>
                <w:i/>
                <w:sz w:val="18"/>
                <w:szCs w:val="18"/>
              </w:rPr>
              <w:lastRenderedPageBreak/>
              <w:t>Durmitor</w:t>
            </w:r>
            <w:proofErr w:type="spellEnd"/>
            <w:r w:rsidRPr="003B6A69">
              <w:rPr>
                <w:rFonts w:ascii="Times New Roman" w:hAnsi="Times New Roman"/>
                <w:bCs/>
                <w:i/>
                <w:sz w:val="18"/>
                <w:szCs w:val="18"/>
              </w:rPr>
              <w:t xml:space="preserve"> National park</w:t>
            </w:r>
            <w:r w:rsidRPr="003B6A69">
              <w:rPr>
                <w:rFonts w:ascii="Times New Roman" w:hAnsi="Times New Roman"/>
                <w:bCs/>
                <w:i/>
                <w:sz w:val="18"/>
                <w:szCs w:val="18"/>
              </w:rPr>
              <w:tab/>
              <w:t>270315</w:t>
            </w:r>
          </w:p>
          <w:p w14:paraId="4722718E" w14:textId="77777777" w:rsidR="004641C4" w:rsidRPr="003B6A69" w:rsidRDefault="004641C4" w:rsidP="004641C4">
            <w:pPr>
              <w:jc w:val="left"/>
              <w:rPr>
                <w:rFonts w:ascii="Times New Roman" w:hAnsi="Times New Roman"/>
                <w:bCs/>
                <w:i/>
                <w:sz w:val="18"/>
                <w:szCs w:val="18"/>
              </w:rPr>
            </w:pPr>
            <w:proofErr w:type="spellStart"/>
            <w:r w:rsidRPr="003B6A69">
              <w:rPr>
                <w:rFonts w:ascii="Times New Roman" w:hAnsi="Times New Roman"/>
                <w:bCs/>
                <w:i/>
                <w:sz w:val="18"/>
                <w:szCs w:val="18"/>
              </w:rPr>
              <w:t>Biogradska</w:t>
            </w:r>
            <w:proofErr w:type="spellEnd"/>
            <w:r w:rsidRPr="003B6A69">
              <w:rPr>
                <w:rFonts w:ascii="Times New Roman" w:hAnsi="Times New Roman"/>
                <w:bCs/>
                <w:i/>
                <w:sz w:val="18"/>
                <w:szCs w:val="18"/>
              </w:rPr>
              <w:t xml:space="preserve"> Gora National park</w:t>
            </w:r>
            <w:r w:rsidRPr="003B6A69">
              <w:rPr>
                <w:rFonts w:ascii="Times New Roman" w:hAnsi="Times New Roman"/>
                <w:bCs/>
                <w:i/>
                <w:sz w:val="18"/>
                <w:szCs w:val="18"/>
              </w:rPr>
              <w:tab/>
              <w:t>72209</w:t>
            </w:r>
          </w:p>
          <w:p w14:paraId="0F6B40A3" w14:textId="77777777" w:rsidR="004641C4" w:rsidRPr="003B6A69" w:rsidRDefault="004641C4" w:rsidP="004641C4">
            <w:pPr>
              <w:jc w:val="left"/>
              <w:rPr>
                <w:rFonts w:ascii="Times New Roman" w:hAnsi="Times New Roman"/>
                <w:bCs/>
                <w:i/>
                <w:sz w:val="18"/>
                <w:szCs w:val="18"/>
              </w:rPr>
            </w:pPr>
            <w:proofErr w:type="spellStart"/>
            <w:r w:rsidRPr="003B6A69">
              <w:rPr>
                <w:rFonts w:ascii="Times New Roman" w:hAnsi="Times New Roman"/>
                <w:bCs/>
                <w:i/>
                <w:sz w:val="18"/>
                <w:szCs w:val="18"/>
              </w:rPr>
              <w:t>Skadar</w:t>
            </w:r>
            <w:proofErr w:type="spellEnd"/>
            <w:r w:rsidRPr="003B6A69">
              <w:rPr>
                <w:rFonts w:ascii="Times New Roman" w:hAnsi="Times New Roman"/>
                <w:bCs/>
                <w:i/>
                <w:sz w:val="18"/>
                <w:szCs w:val="18"/>
              </w:rPr>
              <w:t xml:space="preserve"> Lake National Park</w:t>
            </w:r>
            <w:r w:rsidRPr="003B6A69">
              <w:rPr>
                <w:rFonts w:ascii="Times New Roman" w:hAnsi="Times New Roman"/>
                <w:bCs/>
                <w:i/>
                <w:sz w:val="18"/>
                <w:szCs w:val="18"/>
              </w:rPr>
              <w:tab/>
              <w:t>145.237</w:t>
            </w:r>
          </w:p>
          <w:p w14:paraId="209B5DD8" w14:textId="77777777" w:rsidR="004641C4" w:rsidRPr="003B6A69" w:rsidRDefault="004641C4" w:rsidP="004641C4">
            <w:pPr>
              <w:jc w:val="left"/>
              <w:rPr>
                <w:rFonts w:ascii="Times New Roman" w:hAnsi="Times New Roman"/>
                <w:bCs/>
                <w:i/>
                <w:sz w:val="18"/>
                <w:szCs w:val="18"/>
              </w:rPr>
            </w:pPr>
            <w:proofErr w:type="spellStart"/>
            <w:r w:rsidRPr="003B6A69">
              <w:rPr>
                <w:rFonts w:ascii="Times New Roman" w:hAnsi="Times New Roman"/>
                <w:bCs/>
                <w:i/>
                <w:sz w:val="18"/>
                <w:szCs w:val="18"/>
              </w:rPr>
              <w:t>Orjen</w:t>
            </w:r>
            <w:proofErr w:type="spellEnd"/>
            <w:r w:rsidRPr="003B6A69">
              <w:rPr>
                <w:rFonts w:ascii="Times New Roman" w:hAnsi="Times New Roman"/>
                <w:bCs/>
                <w:i/>
                <w:sz w:val="18"/>
                <w:szCs w:val="18"/>
              </w:rPr>
              <w:t xml:space="preserve"> Nature Park</w:t>
            </w:r>
            <w:r w:rsidRPr="003B6A69">
              <w:rPr>
                <w:rFonts w:ascii="Times New Roman" w:hAnsi="Times New Roman"/>
                <w:bCs/>
                <w:i/>
                <w:sz w:val="18"/>
                <w:szCs w:val="18"/>
              </w:rPr>
              <w:tab/>
              <w:t>14</w:t>
            </w:r>
          </w:p>
          <w:p w14:paraId="036BFCE4" w14:textId="77777777" w:rsidR="004641C4" w:rsidRPr="003B6A69" w:rsidRDefault="004641C4" w:rsidP="004641C4">
            <w:pPr>
              <w:jc w:val="left"/>
              <w:rPr>
                <w:rFonts w:ascii="Times New Roman" w:hAnsi="Times New Roman"/>
                <w:bCs/>
                <w:i/>
                <w:sz w:val="18"/>
                <w:szCs w:val="18"/>
              </w:rPr>
            </w:pPr>
            <w:proofErr w:type="spellStart"/>
            <w:r w:rsidRPr="003B6A69">
              <w:rPr>
                <w:rFonts w:ascii="Times New Roman" w:hAnsi="Times New Roman"/>
                <w:bCs/>
                <w:i/>
                <w:sz w:val="18"/>
                <w:szCs w:val="18"/>
              </w:rPr>
              <w:t>Dragisnica-Komarnica</w:t>
            </w:r>
            <w:proofErr w:type="spellEnd"/>
            <w:r w:rsidRPr="003B6A69">
              <w:rPr>
                <w:rFonts w:ascii="Times New Roman" w:hAnsi="Times New Roman"/>
                <w:bCs/>
                <w:i/>
                <w:sz w:val="18"/>
                <w:szCs w:val="18"/>
              </w:rPr>
              <w:t xml:space="preserve"> Nature Park</w:t>
            </w:r>
            <w:r w:rsidRPr="003B6A69">
              <w:rPr>
                <w:rFonts w:ascii="Times New Roman" w:hAnsi="Times New Roman"/>
                <w:bCs/>
                <w:i/>
                <w:sz w:val="18"/>
                <w:szCs w:val="18"/>
              </w:rPr>
              <w:tab/>
              <w:t>2785</w:t>
            </w:r>
          </w:p>
          <w:p w14:paraId="60D16D00" w14:textId="77777777" w:rsidR="004641C4" w:rsidRPr="003B6A69" w:rsidRDefault="004641C4" w:rsidP="004641C4">
            <w:pPr>
              <w:jc w:val="left"/>
              <w:rPr>
                <w:rFonts w:ascii="Times New Roman" w:hAnsi="Times New Roman"/>
                <w:bCs/>
                <w:i/>
                <w:sz w:val="18"/>
                <w:szCs w:val="18"/>
              </w:rPr>
            </w:pPr>
            <w:proofErr w:type="spellStart"/>
            <w:r w:rsidRPr="003B6A69">
              <w:rPr>
                <w:rFonts w:ascii="Times New Roman" w:hAnsi="Times New Roman"/>
                <w:bCs/>
                <w:i/>
                <w:sz w:val="18"/>
                <w:szCs w:val="18"/>
              </w:rPr>
              <w:t>Piva</w:t>
            </w:r>
            <w:proofErr w:type="spellEnd"/>
            <w:r w:rsidRPr="003B6A69">
              <w:rPr>
                <w:rFonts w:ascii="Times New Roman" w:hAnsi="Times New Roman"/>
                <w:bCs/>
                <w:i/>
                <w:sz w:val="18"/>
                <w:szCs w:val="18"/>
              </w:rPr>
              <w:t xml:space="preserve"> Nature Park</w:t>
            </w:r>
            <w:r w:rsidRPr="003B6A69">
              <w:rPr>
                <w:rFonts w:ascii="Times New Roman" w:hAnsi="Times New Roman"/>
                <w:bCs/>
                <w:i/>
                <w:sz w:val="18"/>
                <w:szCs w:val="18"/>
              </w:rPr>
              <w:tab/>
              <w:t>33000</w:t>
            </w:r>
          </w:p>
          <w:p w14:paraId="5D4F7F5A" w14:textId="77777777" w:rsidR="004641C4" w:rsidRPr="003B6A69" w:rsidRDefault="004641C4" w:rsidP="004641C4">
            <w:pPr>
              <w:jc w:val="left"/>
              <w:rPr>
                <w:rFonts w:ascii="Times New Roman" w:hAnsi="Times New Roman"/>
                <w:bCs/>
                <w:i/>
                <w:sz w:val="18"/>
                <w:szCs w:val="18"/>
              </w:rPr>
            </w:pPr>
            <w:proofErr w:type="spellStart"/>
            <w:r w:rsidRPr="003B6A69">
              <w:rPr>
                <w:rFonts w:ascii="Times New Roman" w:hAnsi="Times New Roman"/>
                <w:bCs/>
                <w:i/>
                <w:sz w:val="18"/>
                <w:szCs w:val="18"/>
              </w:rPr>
              <w:t>Komovi</w:t>
            </w:r>
            <w:proofErr w:type="spellEnd"/>
            <w:r w:rsidRPr="003B6A69">
              <w:rPr>
                <w:rFonts w:ascii="Times New Roman" w:hAnsi="Times New Roman"/>
                <w:bCs/>
                <w:i/>
                <w:sz w:val="18"/>
                <w:szCs w:val="18"/>
              </w:rPr>
              <w:t xml:space="preserve"> Nature Park</w:t>
            </w:r>
            <w:r w:rsidRPr="003B6A69">
              <w:rPr>
                <w:rFonts w:ascii="Times New Roman" w:hAnsi="Times New Roman"/>
                <w:bCs/>
                <w:i/>
                <w:sz w:val="18"/>
                <w:szCs w:val="18"/>
              </w:rPr>
              <w:tab/>
              <w:t>No data</w:t>
            </w:r>
          </w:p>
          <w:p w14:paraId="4DD57E2E" w14:textId="77777777" w:rsidR="004641C4" w:rsidRPr="003B6A69" w:rsidRDefault="004641C4" w:rsidP="004641C4">
            <w:pPr>
              <w:jc w:val="left"/>
              <w:rPr>
                <w:rFonts w:ascii="Times New Roman" w:hAnsi="Times New Roman"/>
                <w:bCs/>
                <w:i/>
                <w:sz w:val="18"/>
                <w:szCs w:val="18"/>
              </w:rPr>
            </w:pPr>
            <w:proofErr w:type="spellStart"/>
            <w:r w:rsidRPr="003B6A69">
              <w:rPr>
                <w:rFonts w:ascii="Times New Roman" w:hAnsi="Times New Roman"/>
                <w:bCs/>
                <w:i/>
                <w:sz w:val="18"/>
                <w:szCs w:val="18"/>
              </w:rPr>
              <w:t>Ulcinjska</w:t>
            </w:r>
            <w:proofErr w:type="spellEnd"/>
            <w:r w:rsidRPr="003B6A69">
              <w:rPr>
                <w:rFonts w:ascii="Times New Roman" w:hAnsi="Times New Roman"/>
                <w:bCs/>
                <w:i/>
                <w:sz w:val="18"/>
                <w:szCs w:val="18"/>
              </w:rPr>
              <w:t xml:space="preserve"> Solana Nature Park</w:t>
            </w:r>
            <w:r w:rsidRPr="003B6A69">
              <w:rPr>
                <w:rFonts w:ascii="Times New Roman" w:hAnsi="Times New Roman"/>
                <w:bCs/>
                <w:i/>
                <w:sz w:val="18"/>
                <w:szCs w:val="18"/>
              </w:rPr>
              <w:tab/>
              <w:t>2983</w:t>
            </w:r>
          </w:p>
          <w:p w14:paraId="1256866D" w14:textId="77777777" w:rsidR="004641C4" w:rsidRPr="003B6A69" w:rsidRDefault="004641C4" w:rsidP="004641C4">
            <w:pPr>
              <w:spacing w:afterLines="60" w:after="144"/>
              <w:rPr>
                <w:rFonts w:asciiTheme="minorHAnsi" w:hAnsiTheme="minorHAnsi" w:cstheme="minorHAnsi"/>
                <w:sz w:val="18"/>
                <w:szCs w:val="18"/>
                <w:lang w:eastAsia="ja-JP"/>
              </w:rPr>
            </w:pPr>
          </w:p>
        </w:tc>
        <w:tc>
          <w:tcPr>
            <w:tcW w:w="1675" w:type="dxa"/>
            <w:tcBorders>
              <w:top w:val="single" w:sz="4" w:space="0" w:color="auto"/>
              <w:left w:val="single" w:sz="4" w:space="0" w:color="auto"/>
              <w:bottom w:val="single" w:sz="4" w:space="0" w:color="auto"/>
              <w:right w:val="single" w:sz="4" w:space="0" w:color="auto"/>
            </w:tcBorders>
            <w:hideMark/>
          </w:tcPr>
          <w:p w14:paraId="1C6FC3AA" w14:textId="77777777" w:rsidR="004641C4" w:rsidRPr="003B6A69" w:rsidRDefault="004641C4" w:rsidP="004641C4">
            <w:pPr>
              <w:spacing w:afterLines="60" w:after="144"/>
              <w:rPr>
                <w:rFonts w:asciiTheme="minorHAnsi" w:hAnsiTheme="minorHAnsi" w:cstheme="minorHAnsi"/>
                <w:sz w:val="18"/>
                <w:szCs w:val="18"/>
                <w:lang w:eastAsia="ja-JP"/>
              </w:rPr>
            </w:pPr>
            <w:r w:rsidRPr="003B6A69">
              <w:rPr>
                <w:rFonts w:asciiTheme="minorHAnsi" w:hAnsiTheme="minorHAnsi" w:cstheme="minorHAnsi"/>
                <w:sz w:val="18"/>
                <w:szCs w:val="18"/>
                <w:lang w:eastAsia="ja-JP"/>
              </w:rPr>
              <w:lastRenderedPageBreak/>
              <w:t>Data from the pilot PAs</w:t>
            </w:r>
          </w:p>
          <w:p w14:paraId="06B20FDA" w14:textId="77777777" w:rsidR="004641C4" w:rsidRPr="003B6A69" w:rsidRDefault="004641C4" w:rsidP="004641C4">
            <w:pPr>
              <w:spacing w:afterLines="60" w:after="144"/>
              <w:rPr>
                <w:rFonts w:asciiTheme="minorHAnsi" w:hAnsiTheme="minorHAnsi" w:cstheme="minorHAnsi"/>
                <w:sz w:val="18"/>
                <w:szCs w:val="18"/>
                <w:lang w:eastAsia="ja-JP"/>
              </w:rPr>
            </w:pPr>
            <w:r w:rsidRPr="003B6A69">
              <w:rPr>
                <w:rFonts w:asciiTheme="minorHAnsi" w:hAnsiTheme="minorHAnsi" w:cstheme="minorHAnsi"/>
                <w:sz w:val="18"/>
                <w:szCs w:val="18"/>
                <w:lang w:eastAsia="ja-JP"/>
              </w:rPr>
              <w:t xml:space="preserve">Project records of Output 3.4 </w:t>
            </w:r>
            <w:r w:rsidRPr="003B6A69">
              <w:rPr>
                <w:rFonts w:asciiTheme="minorHAnsi" w:hAnsiTheme="minorHAnsi" w:cstheme="minorHAnsi"/>
                <w:sz w:val="18"/>
                <w:szCs w:val="18"/>
                <w:lang w:eastAsia="ja-JP"/>
              </w:rPr>
              <w:lastRenderedPageBreak/>
              <w:t>activities confirming direct impact for targeted PAs</w:t>
            </w:r>
          </w:p>
        </w:tc>
        <w:tc>
          <w:tcPr>
            <w:tcW w:w="1277" w:type="dxa"/>
            <w:tcBorders>
              <w:top w:val="single" w:sz="4" w:space="0" w:color="auto"/>
              <w:left w:val="single" w:sz="4" w:space="0" w:color="auto"/>
              <w:bottom w:val="single" w:sz="4" w:space="0" w:color="auto"/>
              <w:right w:val="single" w:sz="4" w:space="0" w:color="auto"/>
            </w:tcBorders>
          </w:tcPr>
          <w:p w14:paraId="7816CF6C" w14:textId="77777777" w:rsidR="004641C4" w:rsidRPr="003B6A69" w:rsidRDefault="004641C4" w:rsidP="004641C4">
            <w:pPr>
              <w:spacing w:afterLines="60" w:after="144"/>
              <w:jc w:val="left"/>
              <w:rPr>
                <w:rFonts w:asciiTheme="minorHAnsi" w:hAnsiTheme="minorHAnsi" w:cstheme="minorHAnsi"/>
                <w:sz w:val="18"/>
                <w:szCs w:val="18"/>
                <w:lang w:eastAsia="ja-JP"/>
              </w:rPr>
            </w:pPr>
            <w:r w:rsidRPr="003B6A69">
              <w:rPr>
                <w:rFonts w:asciiTheme="minorHAnsi" w:hAnsiTheme="minorHAnsi" w:cstheme="minorHAnsi"/>
                <w:sz w:val="18"/>
                <w:szCs w:val="18"/>
                <w:lang w:eastAsia="ja-JP"/>
              </w:rPr>
              <w:lastRenderedPageBreak/>
              <w:t xml:space="preserve">Annually </w:t>
            </w:r>
          </w:p>
          <w:p w14:paraId="1E20490A" w14:textId="77777777" w:rsidR="004641C4" w:rsidRPr="003B6A69" w:rsidRDefault="004641C4" w:rsidP="004641C4">
            <w:pPr>
              <w:spacing w:afterLines="60" w:after="144"/>
              <w:jc w:val="left"/>
              <w:rPr>
                <w:rFonts w:asciiTheme="minorHAnsi" w:hAnsiTheme="minorHAnsi" w:cstheme="minorHAnsi"/>
                <w:sz w:val="18"/>
                <w:szCs w:val="18"/>
                <w:lang w:eastAsia="ja-JP"/>
              </w:rPr>
            </w:pPr>
          </w:p>
          <w:p w14:paraId="579EC033" w14:textId="77777777" w:rsidR="004641C4" w:rsidRPr="003B6A69" w:rsidRDefault="004641C4" w:rsidP="004641C4">
            <w:pPr>
              <w:spacing w:afterLines="60" w:after="144"/>
              <w:jc w:val="left"/>
              <w:rPr>
                <w:rFonts w:asciiTheme="minorHAnsi" w:hAnsiTheme="minorHAnsi" w:cstheme="minorHAnsi"/>
                <w:sz w:val="18"/>
                <w:szCs w:val="18"/>
                <w:lang w:eastAsia="ja-JP"/>
              </w:rPr>
            </w:pPr>
            <w:r w:rsidRPr="003B6A69">
              <w:rPr>
                <w:rFonts w:asciiTheme="minorHAnsi" w:hAnsiTheme="minorHAnsi" w:cstheme="minorHAnsi"/>
                <w:sz w:val="18"/>
                <w:szCs w:val="18"/>
                <w:lang w:eastAsia="ja-JP"/>
              </w:rPr>
              <w:lastRenderedPageBreak/>
              <w:t>Reported in DO tab of the GEF PIR</w:t>
            </w:r>
          </w:p>
        </w:tc>
        <w:tc>
          <w:tcPr>
            <w:tcW w:w="1118" w:type="dxa"/>
            <w:tcBorders>
              <w:top w:val="single" w:sz="4" w:space="0" w:color="auto"/>
              <w:left w:val="single" w:sz="4" w:space="0" w:color="auto"/>
              <w:bottom w:val="single" w:sz="4" w:space="0" w:color="auto"/>
              <w:right w:val="single" w:sz="4" w:space="0" w:color="auto"/>
            </w:tcBorders>
            <w:hideMark/>
          </w:tcPr>
          <w:p w14:paraId="00404DE1" w14:textId="77777777" w:rsidR="004641C4" w:rsidRPr="003B6A69" w:rsidRDefault="004641C4" w:rsidP="004641C4">
            <w:pPr>
              <w:spacing w:afterLines="60" w:after="144"/>
              <w:rPr>
                <w:rFonts w:asciiTheme="minorHAnsi" w:hAnsiTheme="minorHAnsi" w:cstheme="minorHAnsi"/>
                <w:sz w:val="18"/>
                <w:szCs w:val="18"/>
                <w:lang w:eastAsia="ja-JP"/>
              </w:rPr>
            </w:pPr>
            <w:r w:rsidRPr="003B6A69">
              <w:rPr>
                <w:rFonts w:asciiTheme="minorHAnsi" w:hAnsiTheme="minorHAnsi" w:cstheme="minorHAnsi"/>
                <w:sz w:val="18"/>
                <w:szCs w:val="18"/>
                <w:lang w:eastAsia="ja-JP"/>
              </w:rPr>
              <w:lastRenderedPageBreak/>
              <w:t>Project team.</w:t>
            </w:r>
          </w:p>
        </w:tc>
        <w:tc>
          <w:tcPr>
            <w:tcW w:w="1754" w:type="dxa"/>
            <w:tcBorders>
              <w:top w:val="single" w:sz="4" w:space="0" w:color="auto"/>
              <w:left w:val="single" w:sz="4" w:space="0" w:color="auto"/>
              <w:bottom w:val="single" w:sz="4" w:space="0" w:color="auto"/>
              <w:right w:val="single" w:sz="4" w:space="0" w:color="auto"/>
            </w:tcBorders>
            <w:hideMark/>
          </w:tcPr>
          <w:p w14:paraId="3DF8730D" w14:textId="77777777" w:rsidR="004641C4" w:rsidRPr="003B6A69" w:rsidRDefault="004641C4" w:rsidP="004641C4">
            <w:pPr>
              <w:spacing w:afterLines="60" w:after="144"/>
              <w:rPr>
                <w:rFonts w:asciiTheme="minorHAnsi" w:hAnsiTheme="minorHAnsi" w:cstheme="minorHAnsi"/>
                <w:sz w:val="18"/>
                <w:szCs w:val="18"/>
                <w:lang w:eastAsia="ja-JP"/>
              </w:rPr>
            </w:pPr>
            <w:r w:rsidRPr="003B6A69">
              <w:rPr>
                <w:rFonts w:ascii="Calibri Light" w:hAnsi="Calibri Light" w:cs="Calibri Light"/>
                <w:bCs/>
                <w:sz w:val="18"/>
                <w:szCs w:val="18"/>
                <w:lang w:eastAsia="ja-JP"/>
              </w:rPr>
              <w:t xml:space="preserve">Project reports and documentation; Successful completion of </w:t>
            </w:r>
            <w:r w:rsidRPr="003B6A69">
              <w:rPr>
                <w:rFonts w:ascii="Calibri Light" w:hAnsi="Calibri Light" w:cs="Calibri Light"/>
                <w:bCs/>
                <w:sz w:val="18"/>
                <w:szCs w:val="18"/>
                <w:lang w:eastAsia="ja-JP"/>
              </w:rPr>
              <w:lastRenderedPageBreak/>
              <w:t xml:space="preserve">project activities for relevant project components, as verified by the MTR and TE. </w:t>
            </w:r>
          </w:p>
        </w:tc>
        <w:tc>
          <w:tcPr>
            <w:tcW w:w="1633" w:type="dxa"/>
            <w:tcBorders>
              <w:top w:val="single" w:sz="4" w:space="0" w:color="auto"/>
              <w:left w:val="single" w:sz="4" w:space="0" w:color="auto"/>
              <w:bottom w:val="single" w:sz="4" w:space="0" w:color="auto"/>
              <w:right w:val="single" w:sz="4" w:space="0" w:color="auto"/>
            </w:tcBorders>
            <w:hideMark/>
          </w:tcPr>
          <w:p w14:paraId="7F628A0B" w14:textId="77777777" w:rsidR="004641C4" w:rsidRPr="003B6A69" w:rsidRDefault="004641C4" w:rsidP="004641C4">
            <w:pPr>
              <w:rPr>
                <w:rFonts w:ascii="Calibri Light" w:hAnsi="Calibri Light"/>
                <w:sz w:val="18"/>
                <w:szCs w:val="18"/>
                <w:lang w:eastAsia="ja-JP"/>
              </w:rPr>
            </w:pPr>
            <w:r w:rsidRPr="003B6A69">
              <w:rPr>
                <w:rFonts w:ascii="Calibri Light" w:hAnsi="Calibri Light"/>
                <w:sz w:val="18"/>
                <w:szCs w:val="18"/>
                <w:lang w:eastAsia="ja-JP"/>
              </w:rPr>
              <w:lastRenderedPageBreak/>
              <w:t xml:space="preserve">- Negative effects of COVID 19 pandemic are managed </w:t>
            </w:r>
            <w:r w:rsidRPr="003B6A69">
              <w:rPr>
                <w:rFonts w:ascii="Calibri Light" w:hAnsi="Calibri Light"/>
                <w:sz w:val="18"/>
                <w:szCs w:val="18"/>
                <w:lang w:eastAsia="ja-JP"/>
              </w:rPr>
              <w:lastRenderedPageBreak/>
              <w:t>throughout the project lifetime</w:t>
            </w:r>
          </w:p>
          <w:p w14:paraId="0256CBCD" w14:textId="77777777" w:rsidR="004641C4" w:rsidRPr="003B6A69" w:rsidRDefault="004641C4" w:rsidP="004641C4">
            <w:pPr>
              <w:rPr>
                <w:rFonts w:ascii="Calibri Light" w:hAnsi="Calibri Light"/>
                <w:sz w:val="18"/>
                <w:szCs w:val="18"/>
                <w:lang w:eastAsia="ja-JP"/>
              </w:rPr>
            </w:pPr>
            <w:r w:rsidRPr="003B6A69">
              <w:rPr>
                <w:rFonts w:ascii="Calibri Light" w:hAnsi="Calibri Light"/>
                <w:sz w:val="18"/>
                <w:szCs w:val="18"/>
                <w:lang w:eastAsia="ja-JP"/>
              </w:rPr>
              <w:t>- External (</w:t>
            </w:r>
            <w:proofErr w:type="gramStart"/>
            <w:r w:rsidRPr="003B6A69">
              <w:rPr>
                <w:rFonts w:ascii="Calibri Light" w:hAnsi="Calibri Light"/>
                <w:sz w:val="18"/>
                <w:szCs w:val="18"/>
                <w:lang w:eastAsia="ja-JP"/>
              </w:rPr>
              <w:t>incl.COVID</w:t>
            </w:r>
            <w:proofErr w:type="gramEnd"/>
            <w:r w:rsidRPr="003B6A69">
              <w:rPr>
                <w:rFonts w:ascii="Calibri Light" w:hAnsi="Calibri Light"/>
                <w:sz w:val="18"/>
                <w:szCs w:val="18"/>
                <w:lang w:eastAsia="ja-JP"/>
              </w:rPr>
              <w:t>-19 effects) factors allow for a reasonable comparison with the 2019 (pre-crisis) baseline data</w:t>
            </w:r>
          </w:p>
          <w:p w14:paraId="56D51811" w14:textId="77777777" w:rsidR="004641C4" w:rsidRPr="003B6A69" w:rsidRDefault="004641C4" w:rsidP="004641C4">
            <w:pPr>
              <w:rPr>
                <w:rFonts w:asciiTheme="minorHAnsi" w:hAnsiTheme="minorHAnsi" w:cstheme="minorHAnsi"/>
                <w:bCs/>
                <w:sz w:val="18"/>
                <w:szCs w:val="18"/>
                <w:lang w:eastAsia="ja-JP"/>
              </w:rPr>
            </w:pPr>
          </w:p>
        </w:tc>
      </w:tr>
      <w:tr w:rsidR="004641C4" w:rsidRPr="003B6A69" w14:paraId="0DD69697" w14:textId="77777777" w:rsidTr="00BD4C79">
        <w:tc>
          <w:tcPr>
            <w:tcW w:w="1382" w:type="dxa"/>
            <w:vMerge w:val="restart"/>
            <w:tcBorders>
              <w:top w:val="single" w:sz="4" w:space="0" w:color="auto"/>
              <w:left w:val="single" w:sz="4" w:space="0" w:color="auto"/>
              <w:right w:val="single" w:sz="4" w:space="0" w:color="auto"/>
            </w:tcBorders>
          </w:tcPr>
          <w:p w14:paraId="20E5873A" w14:textId="77777777" w:rsidR="004641C4" w:rsidRPr="003B6A69" w:rsidRDefault="004641C4" w:rsidP="004641C4">
            <w:pPr>
              <w:jc w:val="left"/>
              <w:rPr>
                <w:rFonts w:ascii="Times New Roman" w:hAnsi="Times New Roman"/>
                <w:b/>
                <w:bCs/>
                <w:sz w:val="18"/>
                <w:szCs w:val="18"/>
              </w:rPr>
            </w:pPr>
            <w:r w:rsidRPr="003B6A69">
              <w:rPr>
                <w:rFonts w:asciiTheme="minorHAnsi" w:hAnsiTheme="minorHAnsi" w:cstheme="minorHAnsi"/>
                <w:b/>
                <w:sz w:val="18"/>
                <w:szCs w:val="18"/>
                <w:lang w:eastAsia="ja-JP"/>
              </w:rPr>
              <w:lastRenderedPageBreak/>
              <w:t xml:space="preserve">Project Outcome 4: </w:t>
            </w:r>
            <w:r w:rsidRPr="003B6A69">
              <w:rPr>
                <w:rFonts w:ascii="Times New Roman" w:hAnsi="Times New Roman"/>
                <w:b/>
                <w:bCs/>
                <w:sz w:val="18"/>
                <w:szCs w:val="18"/>
              </w:rPr>
              <w:t>BD conservation considerations mainstreamed into forestry policies and practices around KBAs</w:t>
            </w:r>
          </w:p>
          <w:p w14:paraId="20816F8C" w14:textId="77777777" w:rsidR="004641C4" w:rsidRPr="003B6A69" w:rsidRDefault="004641C4" w:rsidP="004641C4">
            <w:pPr>
              <w:jc w:val="left"/>
              <w:rPr>
                <w:rFonts w:asciiTheme="minorHAnsi" w:hAnsiTheme="minorHAnsi" w:cstheme="minorHAnsi"/>
                <w:b/>
                <w:sz w:val="18"/>
                <w:szCs w:val="18"/>
                <w:lang w:eastAsia="ja-JP"/>
              </w:rPr>
            </w:pPr>
          </w:p>
        </w:tc>
        <w:tc>
          <w:tcPr>
            <w:tcW w:w="1840" w:type="dxa"/>
            <w:tcBorders>
              <w:top w:val="single" w:sz="4" w:space="0" w:color="auto"/>
              <w:left w:val="single" w:sz="4" w:space="0" w:color="auto"/>
              <w:bottom w:val="single" w:sz="4" w:space="0" w:color="auto"/>
              <w:right w:val="single" w:sz="4" w:space="0" w:color="auto"/>
            </w:tcBorders>
          </w:tcPr>
          <w:p w14:paraId="20A11F89" w14:textId="77777777" w:rsidR="004641C4" w:rsidRPr="003B6A69" w:rsidRDefault="004641C4" w:rsidP="004641C4">
            <w:pPr>
              <w:spacing w:afterLines="60" w:after="144"/>
              <w:rPr>
                <w:rFonts w:asciiTheme="minorHAnsi" w:hAnsiTheme="minorHAnsi" w:cstheme="minorHAnsi"/>
                <w:b/>
                <w:sz w:val="18"/>
                <w:szCs w:val="18"/>
                <w:lang w:eastAsia="ja-JP"/>
              </w:rPr>
            </w:pPr>
            <w:r w:rsidRPr="003B6A69">
              <w:rPr>
                <w:rFonts w:ascii="Times New Roman" w:hAnsi="Times New Roman"/>
                <w:bCs/>
                <w:i/>
                <w:sz w:val="18"/>
                <w:szCs w:val="18"/>
              </w:rPr>
              <w:lastRenderedPageBreak/>
              <w:t xml:space="preserve">Indicator 11: </w:t>
            </w:r>
            <w:r w:rsidRPr="003B6A69">
              <w:rPr>
                <w:rFonts w:asciiTheme="minorHAnsi" w:hAnsiTheme="minorHAnsi"/>
                <w:bCs/>
                <w:sz w:val="18"/>
                <w:szCs w:val="18"/>
              </w:rPr>
              <w:t xml:space="preserve">Comprehensive management tools in place and </w:t>
            </w:r>
            <w:r w:rsidRPr="003B6A69">
              <w:rPr>
                <w:rFonts w:asciiTheme="minorHAnsi" w:hAnsiTheme="minorHAnsi"/>
                <w:bCs/>
                <w:sz w:val="18"/>
                <w:szCs w:val="18"/>
                <w:lang w:val="en-GB"/>
              </w:rPr>
              <w:t>incentives for biodiversity-positive forest owners promoted for at least 600 ha of privately owned forests</w:t>
            </w:r>
          </w:p>
        </w:tc>
        <w:tc>
          <w:tcPr>
            <w:tcW w:w="1427" w:type="dxa"/>
            <w:tcBorders>
              <w:top w:val="single" w:sz="4" w:space="0" w:color="auto"/>
              <w:left w:val="single" w:sz="4" w:space="0" w:color="auto"/>
              <w:bottom w:val="single" w:sz="4" w:space="0" w:color="auto"/>
              <w:right w:val="single" w:sz="4" w:space="0" w:color="auto"/>
            </w:tcBorders>
          </w:tcPr>
          <w:p w14:paraId="60437DCB" w14:textId="77777777" w:rsidR="004641C4" w:rsidRPr="003B6A69" w:rsidRDefault="004641C4" w:rsidP="004641C4">
            <w:pPr>
              <w:suppressAutoHyphens/>
              <w:spacing w:after="0"/>
              <w:jc w:val="left"/>
              <w:rPr>
                <w:rFonts w:asciiTheme="minorHAnsi" w:eastAsiaTheme="minorHAnsi" w:hAnsiTheme="minorHAnsi" w:cstheme="minorHAnsi"/>
                <w:sz w:val="18"/>
                <w:szCs w:val="18"/>
                <w:lang w:eastAsia="ja-JP"/>
              </w:rPr>
            </w:pPr>
            <w:r w:rsidRPr="003B6A69">
              <w:rPr>
                <w:rFonts w:asciiTheme="minorHAnsi" w:eastAsiaTheme="minorHAnsi" w:hAnsiTheme="minorHAnsi" w:cstheme="minorHAnsi"/>
                <w:sz w:val="18"/>
                <w:szCs w:val="18"/>
                <w:lang w:eastAsia="ja-JP"/>
              </w:rPr>
              <w:t>600 ha</w:t>
            </w:r>
          </w:p>
        </w:tc>
        <w:tc>
          <w:tcPr>
            <w:tcW w:w="1407" w:type="dxa"/>
            <w:tcBorders>
              <w:top w:val="single" w:sz="4" w:space="0" w:color="auto"/>
              <w:left w:val="single" w:sz="4" w:space="0" w:color="auto"/>
              <w:bottom w:val="single" w:sz="4" w:space="0" w:color="auto"/>
              <w:right w:val="single" w:sz="4" w:space="0" w:color="auto"/>
            </w:tcBorders>
          </w:tcPr>
          <w:p w14:paraId="183DC956" w14:textId="77777777" w:rsidR="004641C4" w:rsidRPr="003B6A69" w:rsidRDefault="004641C4" w:rsidP="004641C4">
            <w:pPr>
              <w:spacing w:afterLines="60" w:after="144"/>
              <w:rPr>
                <w:rFonts w:asciiTheme="minorHAnsi" w:hAnsiTheme="minorHAnsi" w:cstheme="minorHAnsi"/>
                <w:sz w:val="18"/>
                <w:szCs w:val="18"/>
                <w:lang w:eastAsia="ja-JP"/>
              </w:rPr>
            </w:pPr>
            <w:r w:rsidRPr="003B6A69">
              <w:rPr>
                <w:rFonts w:asciiTheme="minorHAnsi" w:hAnsiTheme="minorHAnsi" w:cstheme="minorHAnsi"/>
                <w:sz w:val="18"/>
                <w:szCs w:val="18"/>
                <w:lang w:eastAsia="ja-JP"/>
              </w:rPr>
              <w:t>The initial private forest model area for project Outcome 4</w:t>
            </w:r>
          </w:p>
        </w:tc>
        <w:tc>
          <w:tcPr>
            <w:tcW w:w="1675" w:type="dxa"/>
            <w:tcBorders>
              <w:top w:val="single" w:sz="4" w:space="0" w:color="auto"/>
              <w:left w:val="single" w:sz="4" w:space="0" w:color="auto"/>
              <w:bottom w:val="single" w:sz="4" w:space="0" w:color="auto"/>
              <w:right w:val="single" w:sz="4" w:space="0" w:color="auto"/>
            </w:tcBorders>
          </w:tcPr>
          <w:p w14:paraId="1561B3FF" w14:textId="77777777" w:rsidR="004641C4" w:rsidRPr="003B6A69" w:rsidRDefault="004641C4" w:rsidP="004641C4">
            <w:pPr>
              <w:spacing w:afterLines="60" w:after="144"/>
              <w:rPr>
                <w:rFonts w:asciiTheme="minorHAnsi" w:hAnsiTheme="minorHAnsi" w:cstheme="minorHAnsi"/>
                <w:sz w:val="18"/>
                <w:szCs w:val="18"/>
                <w:lang w:eastAsia="ja-JP"/>
              </w:rPr>
            </w:pPr>
            <w:r w:rsidRPr="003B6A69">
              <w:rPr>
                <w:rFonts w:asciiTheme="minorHAnsi" w:hAnsiTheme="minorHAnsi" w:cstheme="minorHAnsi"/>
                <w:sz w:val="18"/>
                <w:szCs w:val="18"/>
                <w:lang w:eastAsia="ja-JP"/>
              </w:rPr>
              <w:t>Project reports</w:t>
            </w:r>
          </w:p>
          <w:p w14:paraId="6043099D" w14:textId="77777777" w:rsidR="004641C4" w:rsidRPr="003B6A69" w:rsidRDefault="004641C4" w:rsidP="004641C4">
            <w:pPr>
              <w:spacing w:afterLines="60" w:after="144"/>
              <w:rPr>
                <w:rFonts w:asciiTheme="minorHAnsi" w:hAnsiTheme="minorHAnsi" w:cstheme="minorHAnsi"/>
                <w:sz w:val="18"/>
                <w:szCs w:val="18"/>
                <w:lang w:eastAsia="ja-JP"/>
              </w:rPr>
            </w:pPr>
            <w:r w:rsidRPr="003B6A69">
              <w:rPr>
                <w:rFonts w:asciiTheme="minorHAnsi" w:hAnsiTheme="minorHAnsi" w:cstheme="minorHAnsi"/>
                <w:sz w:val="18"/>
                <w:szCs w:val="18"/>
                <w:lang w:eastAsia="ja-JP"/>
              </w:rPr>
              <w:t>Interviews with the private partners</w:t>
            </w:r>
          </w:p>
          <w:p w14:paraId="06D4ACEC" w14:textId="77777777" w:rsidR="004641C4" w:rsidRPr="003B6A69" w:rsidRDefault="004641C4" w:rsidP="004641C4">
            <w:pPr>
              <w:spacing w:afterLines="60" w:after="144"/>
              <w:rPr>
                <w:rFonts w:asciiTheme="minorHAnsi" w:hAnsiTheme="minorHAnsi" w:cstheme="minorHAnsi"/>
                <w:sz w:val="18"/>
                <w:szCs w:val="18"/>
                <w:lang w:eastAsia="ja-JP"/>
              </w:rPr>
            </w:pPr>
            <w:r w:rsidRPr="003B6A69">
              <w:rPr>
                <w:rFonts w:asciiTheme="minorHAnsi" w:hAnsiTheme="minorHAnsi" w:cstheme="minorHAnsi"/>
                <w:sz w:val="18"/>
                <w:szCs w:val="18"/>
                <w:lang w:eastAsia="ja-JP"/>
              </w:rPr>
              <w:t>Mapping of the pilot area</w:t>
            </w:r>
          </w:p>
        </w:tc>
        <w:tc>
          <w:tcPr>
            <w:tcW w:w="1277" w:type="dxa"/>
            <w:tcBorders>
              <w:top w:val="single" w:sz="4" w:space="0" w:color="auto"/>
              <w:left w:val="single" w:sz="4" w:space="0" w:color="auto"/>
              <w:bottom w:val="single" w:sz="4" w:space="0" w:color="auto"/>
              <w:right w:val="single" w:sz="4" w:space="0" w:color="auto"/>
            </w:tcBorders>
          </w:tcPr>
          <w:p w14:paraId="27FA87E4" w14:textId="77777777" w:rsidR="004641C4" w:rsidRPr="003B6A69" w:rsidRDefault="004641C4" w:rsidP="004641C4">
            <w:pPr>
              <w:spacing w:afterLines="60" w:after="144"/>
              <w:rPr>
                <w:rFonts w:asciiTheme="minorHAnsi" w:hAnsiTheme="minorHAnsi" w:cstheme="minorHAnsi"/>
                <w:sz w:val="18"/>
                <w:szCs w:val="18"/>
                <w:lang w:eastAsia="ja-JP"/>
              </w:rPr>
            </w:pPr>
            <w:r w:rsidRPr="003B6A69">
              <w:rPr>
                <w:rFonts w:asciiTheme="minorHAnsi" w:hAnsiTheme="minorHAnsi" w:cstheme="minorHAnsi"/>
                <w:sz w:val="18"/>
                <w:szCs w:val="18"/>
                <w:lang w:eastAsia="ja-JP"/>
              </w:rPr>
              <w:t>Annual</w:t>
            </w:r>
          </w:p>
        </w:tc>
        <w:tc>
          <w:tcPr>
            <w:tcW w:w="1118" w:type="dxa"/>
            <w:tcBorders>
              <w:top w:val="single" w:sz="4" w:space="0" w:color="auto"/>
              <w:left w:val="single" w:sz="4" w:space="0" w:color="auto"/>
              <w:bottom w:val="single" w:sz="4" w:space="0" w:color="auto"/>
              <w:right w:val="single" w:sz="4" w:space="0" w:color="auto"/>
            </w:tcBorders>
          </w:tcPr>
          <w:p w14:paraId="513C0B78" w14:textId="77777777" w:rsidR="004641C4" w:rsidRPr="003B6A69" w:rsidRDefault="004641C4" w:rsidP="004641C4">
            <w:pPr>
              <w:spacing w:afterLines="60" w:after="144"/>
              <w:rPr>
                <w:rFonts w:asciiTheme="minorHAnsi" w:hAnsiTheme="minorHAnsi" w:cstheme="minorHAnsi"/>
                <w:sz w:val="18"/>
                <w:szCs w:val="18"/>
                <w:lang w:eastAsia="ja-JP"/>
              </w:rPr>
            </w:pPr>
            <w:r w:rsidRPr="003B6A69">
              <w:rPr>
                <w:rFonts w:asciiTheme="minorHAnsi" w:hAnsiTheme="minorHAnsi" w:cstheme="minorHAnsi"/>
                <w:sz w:val="18"/>
                <w:szCs w:val="18"/>
                <w:lang w:eastAsia="ja-JP"/>
              </w:rPr>
              <w:t>Project team</w:t>
            </w:r>
          </w:p>
        </w:tc>
        <w:tc>
          <w:tcPr>
            <w:tcW w:w="1754" w:type="dxa"/>
            <w:tcBorders>
              <w:top w:val="single" w:sz="4" w:space="0" w:color="auto"/>
              <w:left w:val="single" w:sz="4" w:space="0" w:color="auto"/>
              <w:bottom w:val="single" w:sz="4" w:space="0" w:color="auto"/>
              <w:right w:val="single" w:sz="4" w:space="0" w:color="auto"/>
            </w:tcBorders>
          </w:tcPr>
          <w:p w14:paraId="0790EC0A" w14:textId="77777777" w:rsidR="004641C4" w:rsidRPr="003B6A69" w:rsidRDefault="004641C4" w:rsidP="004641C4">
            <w:pPr>
              <w:spacing w:afterLines="60" w:after="144"/>
              <w:rPr>
                <w:rFonts w:asciiTheme="minorHAnsi" w:hAnsiTheme="minorHAnsi" w:cstheme="minorHAnsi"/>
                <w:bCs/>
                <w:sz w:val="18"/>
                <w:szCs w:val="18"/>
                <w:lang w:eastAsia="ja-JP"/>
              </w:rPr>
            </w:pPr>
            <w:r w:rsidRPr="003B6A69">
              <w:rPr>
                <w:rFonts w:asciiTheme="minorHAnsi" w:hAnsiTheme="minorHAnsi" w:cstheme="minorHAnsi"/>
                <w:sz w:val="18"/>
                <w:szCs w:val="18"/>
                <w:lang w:eastAsia="ja-JP"/>
              </w:rPr>
              <w:t xml:space="preserve">Monitoring via annual project reporting (PIR) by project team; Verification at mid-term review and terminal evaluation </w:t>
            </w:r>
          </w:p>
        </w:tc>
        <w:tc>
          <w:tcPr>
            <w:tcW w:w="1633" w:type="dxa"/>
            <w:tcBorders>
              <w:top w:val="single" w:sz="4" w:space="0" w:color="auto"/>
              <w:left w:val="single" w:sz="4" w:space="0" w:color="auto"/>
              <w:bottom w:val="single" w:sz="4" w:space="0" w:color="auto"/>
              <w:right w:val="single" w:sz="4" w:space="0" w:color="auto"/>
            </w:tcBorders>
          </w:tcPr>
          <w:p w14:paraId="5DBBEF42" w14:textId="77777777" w:rsidR="004641C4" w:rsidRPr="003B6A69" w:rsidRDefault="004641C4" w:rsidP="004641C4">
            <w:pPr>
              <w:spacing w:afterLines="60" w:after="144"/>
              <w:rPr>
                <w:rFonts w:asciiTheme="minorHAnsi" w:hAnsiTheme="minorHAnsi" w:cstheme="minorHAnsi"/>
                <w:sz w:val="18"/>
                <w:szCs w:val="18"/>
                <w:lang w:eastAsia="ja-JP"/>
              </w:rPr>
            </w:pPr>
            <w:r w:rsidRPr="003B6A69">
              <w:rPr>
                <w:rFonts w:asciiTheme="minorHAnsi" w:hAnsiTheme="minorHAnsi" w:cstheme="minorHAnsi"/>
                <w:sz w:val="18"/>
                <w:szCs w:val="18"/>
                <w:lang w:eastAsia="ja-JP"/>
              </w:rPr>
              <w:t xml:space="preserve">-Private partner’s commitments confirmed </w:t>
            </w:r>
          </w:p>
        </w:tc>
      </w:tr>
      <w:tr w:rsidR="004641C4" w:rsidRPr="003B6A69" w14:paraId="19E0B596" w14:textId="77777777" w:rsidTr="00BD4C79">
        <w:tc>
          <w:tcPr>
            <w:tcW w:w="1382" w:type="dxa"/>
            <w:vMerge/>
            <w:tcBorders>
              <w:left w:val="single" w:sz="4" w:space="0" w:color="auto"/>
              <w:right w:val="single" w:sz="4" w:space="0" w:color="auto"/>
            </w:tcBorders>
          </w:tcPr>
          <w:p w14:paraId="7C5BC9A3" w14:textId="77777777" w:rsidR="004641C4" w:rsidRPr="003B6A69" w:rsidRDefault="004641C4" w:rsidP="004641C4">
            <w:pPr>
              <w:jc w:val="left"/>
              <w:rPr>
                <w:rFonts w:asciiTheme="minorHAnsi" w:hAnsiTheme="minorHAnsi" w:cstheme="minorHAnsi"/>
                <w:b/>
                <w:sz w:val="18"/>
                <w:szCs w:val="18"/>
                <w:lang w:eastAsia="ja-JP"/>
              </w:rPr>
            </w:pPr>
          </w:p>
        </w:tc>
        <w:tc>
          <w:tcPr>
            <w:tcW w:w="1840" w:type="dxa"/>
            <w:tcBorders>
              <w:top w:val="single" w:sz="4" w:space="0" w:color="auto"/>
              <w:left w:val="single" w:sz="4" w:space="0" w:color="auto"/>
              <w:bottom w:val="single" w:sz="4" w:space="0" w:color="auto"/>
              <w:right w:val="single" w:sz="4" w:space="0" w:color="auto"/>
            </w:tcBorders>
          </w:tcPr>
          <w:p w14:paraId="6853678D" w14:textId="77777777" w:rsidR="004641C4" w:rsidRPr="003B6A69" w:rsidRDefault="004641C4" w:rsidP="004641C4">
            <w:pPr>
              <w:spacing w:afterLines="60" w:after="144"/>
              <w:rPr>
                <w:rFonts w:ascii="Times New Roman" w:hAnsi="Times New Roman"/>
                <w:bCs/>
                <w:i/>
                <w:sz w:val="18"/>
                <w:szCs w:val="18"/>
              </w:rPr>
            </w:pPr>
            <w:r w:rsidRPr="003B6A69">
              <w:rPr>
                <w:rFonts w:ascii="Times New Roman" w:hAnsi="Times New Roman"/>
                <w:bCs/>
                <w:i/>
                <w:sz w:val="18"/>
                <w:szCs w:val="18"/>
              </w:rPr>
              <w:t xml:space="preserve">Indicator 12: </w:t>
            </w:r>
            <w:r w:rsidRPr="003B6A69">
              <w:rPr>
                <w:rFonts w:asciiTheme="minorHAnsi" w:hAnsiTheme="minorHAnsi"/>
                <w:bCs/>
                <w:sz w:val="18"/>
                <w:szCs w:val="18"/>
              </w:rPr>
              <w:t>Targeted adaptation and resilience measures developed and implemented for at least 1000 ha of HCVF</w:t>
            </w:r>
          </w:p>
        </w:tc>
        <w:tc>
          <w:tcPr>
            <w:tcW w:w="1427" w:type="dxa"/>
            <w:tcBorders>
              <w:top w:val="single" w:sz="4" w:space="0" w:color="auto"/>
              <w:left w:val="single" w:sz="4" w:space="0" w:color="auto"/>
              <w:bottom w:val="single" w:sz="4" w:space="0" w:color="auto"/>
              <w:right w:val="single" w:sz="4" w:space="0" w:color="auto"/>
            </w:tcBorders>
          </w:tcPr>
          <w:p w14:paraId="62B87771" w14:textId="77777777" w:rsidR="004641C4" w:rsidRPr="003B6A69" w:rsidRDefault="004641C4" w:rsidP="004641C4">
            <w:pPr>
              <w:suppressAutoHyphens/>
              <w:spacing w:after="0"/>
              <w:jc w:val="left"/>
              <w:rPr>
                <w:rFonts w:asciiTheme="minorHAnsi" w:eastAsiaTheme="minorHAnsi" w:hAnsiTheme="minorHAnsi" w:cstheme="minorHAnsi"/>
                <w:sz w:val="18"/>
                <w:szCs w:val="18"/>
                <w:lang w:eastAsia="ja-JP"/>
              </w:rPr>
            </w:pPr>
            <w:r w:rsidRPr="003B6A69">
              <w:rPr>
                <w:rFonts w:asciiTheme="minorHAnsi" w:eastAsiaTheme="minorHAnsi" w:hAnsiTheme="minorHAnsi" w:cstheme="minorHAnsi"/>
                <w:sz w:val="18"/>
                <w:szCs w:val="18"/>
                <w:lang w:eastAsia="ja-JP"/>
              </w:rPr>
              <w:t>1000 ha</w:t>
            </w:r>
          </w:p>
        </w:tc>
        <w:tc>
          <w:tcPr>
            <w:tcW w:w="1407" w:type="dxa"/>
            <w:tcBorders>
              <w:top w:val="single" w:sz="4" w:space="0" w:color="auto"/>
              <w:left w:val="single" w:sz="4" w:space="0" w:color="auto"/>
              <w:bottom w:val="single" w:sz="4" w:space="0" w:color="auto"/>
              <w:right w:val="single" w:sz="4" w:space="0" w:color="auto"/>
            </w:tcBorders>
          </w:tcPr>
          <w:p w14:paraId="59CB277B" w14:textId="77777777" w:rsidR="004641C4" w:rsidRPr="003B6A69" w:rsidRDefault="004641C4" w:rsidP="004641C4">
            <w:pPr>
              <w:spacing w:afterLines="60" w:after="144"/>
              <w:rPr>
                <w:rFonts w:asciiTheme="minorHAnsi" w:hAnsiTheme="minorHAnsi" w:cstheme="minorHAnsi"/>
                <w:sz w:val="18"/>
                <w:szCs w:val="18"/>
                <w:lang w:eastAsia="ja-JP"/>
              </w:rPr>
            </w:pPr>
            <w:r w:rsidRPr="003B6A69">
              <w:rPr>
                <w:rFonts w:asciiTheme="minorHAnsi" w:hAnsiTheme="minorHAnsi" w:cstheme="minorHAnsi"/>
                <w:sz w:val="18"/>
                <w:szCs w:val="18"/>
                <w:lang w:eastAsia="ja-JP"/>
              </w:rPr>
              <w:t xml:space="preserve">HCVF (protection and protected forests categories) directly targeted by the project </w:t>
            </w:r>
          </w:p>
        </w:tc>
        <w:tc>
          <w:tcPr>
            <w:tcW w:w="1675" w:type="dxa"/>
            <w:tcBorders>
              <w:top w:val="single" w:sz="4" w:space="0" w:color="auto"/>
              <w:left w:val="single" w:sz="4" w:space="0" w:color="auto"/>
              <w:bottom w:val="single" w:sz="4" w:space="0" w:color="auto"/>
              <w:right w:val="single" w:sz="4" w:space="0" w:color="auto"/>
            </w:tcBorders>
          </w:tcPr>
          <w:p w14:paraId="61B67612" w14:textId="77777777" w:rsidR="004641C4" w:rsidRPr="003B6A69" w:rsidRDefault="004641C4" w:rsidP="004641C4">
            <w:pPr>
              <w:spacing w:afterLines="60" w:after="144"/>
              <w:rPr>
                <w:rFonts w:asciiTheme="minorHAnsi" w:hAnsiTheme="minorHAnsi" w:cstheme="minorHAnsi"/>
                <w:sz w:val="18"/>
                <w:szCs w:val="18"/>
                <w:lang w:eastAsia="ja-JP"/>
              </w:rPr>
            </w:pPr>
            <w:r w:rsidRPr="003B6A69">
              <w:rPr>
                <w:rFonts w:asciiTheme="minorHAnsi" w:hAnsiTheme="minorHAnsi" w:cstheme="minorHAnsi"/>
                <w:sz w:val="18"/>
                <w:szCs w:val="18"/>
                <w:lang w:eastAsia="ja-JP"/>
              </w:rPr>
              <w:t>Project reports</w:t>
            </w:r>
          </w:p>
          <w:p w14:paraId="2FDC68F5" w14:textId="77777777" w:rsidR="004641C4" w:rsidRPr="003B6A69" w:rsidRDefault="004641C4" w:rsidP="004641C4">
            <w:pPr>
              <w:spacing w:afterLines="60" w:after="144"/>
              <w:rPr>
                <w:rFonts w:asciiTheme="minorHAnsi" w:hAnsiTheme="minorHAnsi" w:cstheme="minorHAnsi"/>
                <w:sz w:val="18"/>
                <w:szCs w:val="18"/>
                <w:lang w:eastAsia="ja-JP"/>
              </w:rPr>
            </w:pPr>
            <w:r w:rsidRPr="003B6A69">
              <w:rPr>
                <w:rFonts w:asciiTheme="minorHAnsi" w:hAnsiTheme="minorHAnsi" w:cstheme="minorHAnsi"/>
                <w:sz w:val="18"/>
                <w:szCs w:val="18"/>
                <w:lang w:eastAsia="ja-JP"/>
              </w:rPr>
              <w:t>Mapping of the pilot area</w:t>
            </w:r>
          </w:p>
        </w:tc>
        <w:tc>
          <w:tcPr>
            <w:tcW w:w="1277" w:type="dxa"/>
            <w:tcBorders>
              <w:top w:val="single" w:sz="4" w:space="0" w:color="auto"/>
              <w:left w:val="single" w:sz="4" w:space="0" w:color="auto"/>
              <w:bottom w:val="single" w:sz="4" w:space="0" w:color="auto"/>
              <w:right w:val="single" w:sz="4" w:space="0" w:color="auto"/>
            </w:tcBorders>
          </w:tcPr>
          <w:p w14:paraId="35B33F5E" w14:textId="77777777" w:rsidR="004641C4" w:rsidRPr="003B6A69" w:rsidRDefault="004641C4" w:rsidP="004641C4">
            <w:pPr>
              <w:spacing w:afterLines="60" w:after="144"/>
              <w:rPr>
                <w:rFonts w:asciiTheme="minorHAnsi" w:hAnsiTheme="minorHAnsi" w:cstheme="minorHAnsi"/>
                <w:sz w:val="18"/>
                <w:szCs w:val="18"/>
                <w:lang w:eastAsia="ja-JP"/>
              </w:rPr>
            </w:pPr>
            <w:r w:rsidRPr="003B6A69">
              <w:rPr>
                <w:rFonts w:asciiTheme="minorHAnsi" w:hAnsiTheme="minorHAnsi" w:cstheme="minorHAnsi"/>
                <w:sz w:val="18"/>
                <w:szCs w:val="18"/>
                <w:lang w:eastAsia="ja-JP"/>
              </w:rPr>
              <w:t>Annual</w:t>
            </w:r>
          </w:p>
        </w:tc>
        <w:tc>
          <w:tcPr>
            <w:tcW w:w="1118" w:type="dxa"/>
            <w:tcBorders>
              <w:top w:val="single" w:sz="4" w:space="0" w:color="auto"/>
              <w:left w:val="single" w:sz="4" w:space="0" w:color="auto"/>
              <w:bottom w:val="single" w:sz="4" w:space="0" w:color="auto"/>
              <w:right w:val="single" w:sz="4" w:space="0" w:color="auto"/>
            </w:tcBorders>
          </w:tcPr>
          <w:p w14:paraId="3892D41D" w14:textId="77777777" w:rsidR="004641C4" w:rsidRPr="003B6A69" w:rsidRDefault="004641C4" w:rsidP="004641C4">
            <w:pPr>
              <w:spacing w:afterLines="60" w:after="144"/>
              <w:rPr>
                <w:rFonts w:asciiTheme="minorHAnsi" w:hAnsiTheme="minorHAnsi" w:cstheme="minorHAnsi"/>
                <w:sz w:val="18"/>
                <w:szCs w:val="18"/>
                <w:lang w:eastAsia="ja-JP"/>
              </w:rPr>
            </w:pPr>
            <w:r w:rsidRPr="003B6A69">
              <w:rPr>
                <w:rFonts w:asciiTheme="minorHAnsi" w:hAnsiTheme="minorHAnsi" w:cstheme="minorHAnsi"/>
                <w:sz w:val="18"/>
                <w:szCs w:val="18"/>
                <w:lang w:eastAsia="ja-JP"/>
              </w:rPr>
              <w:t>Project team</w:t>
            </w:r>
          </w:p>
        </w:tc>
        <w:tc>
          <w:tcPr>
            <w:tcW w:w="1754" w:type="dxa"/>
            <w:tcBorders>
              <w:top w:val="single" w:sz="4" w:space="0" w:color="auto"/>
              <w:left w:val="single" w:sz="4" w:space="0" w:color="auto"/>
              <w:bottom w:val="single" w:sz="4" w:space="0" w:color="auto"/>
              <w:right w:val="single" w:sz="4" w:space="0" w:color="auto"/>
            </w:tcBorders>
          </w:tcPr>
          <w:p w14:paraId="73E023A4" w14:textId="77777777" w:rsidR="004641C4" w:rsidRPr="003B6A69" w:rsidRDefault="004641C4" w:rsidP="004641C4">
            <w:pPr>
              <w:spacing w:afterLines="60" w:after="144"/>
              <w:rPr>
                <w:rFonts w:asciiTheme="minorHAnsi" w:hAnsiTheme="minorHAnsi" w:cstheme="minorHAnsi"/>
                <w:bCs/>
                <w:sz w:val="18"/>
                <w:szCs w:val="18"/>
                <w:lang w:eastAsia="ja-JP"/>
              </w:rPr>
            </w:pPr>
            <w:r w:rsidRPr="003B6A69">
              <w:rPr>
                <w:rFonts w:asciiTheme="minorHAnsi" w:hAnsiTheme="minorHAnsi" w:cstheme="minorHAnsi"/>
                <w:sz w:val="18"/>
                <w:szCs w:val="18"/>
                <w:lang w:eastAsia="ja-JP"/>
              </w:rPr>
              <w:t xml:space="preserve">Monitoring via annual project reporting (PIR) by project team; Verification at mid-term review and terminal evaluation </w:t>
            </w:r>
          </w:p>
        </w:tc>
        <w:tc>
          <w:tcPr>
            <w:tcW w:w="1633" w:type="dxa"/>
            <w:tcBorders>
              <w:top w:val="single" w:sz="4" w:space="0" w:color="auto"/>
              <w:left w:val="single" w:sz="4" w:space="0" w:color="auto"/>
              <w:bottom w:val="single" w:sz="4" w:space="0" w:color="auto"/>
              <w:right w:val="single" w:sz="4" w:space="0" w:color="auto"/>
            </w:tcBorders>
          </w:tcPr>
          <w:p w14:paraId="78C432E0" w14:textId="77777777" w:rsidR="004641C4" w:rsidRPr="003B6A69" w:rsidRDefault="004641C4" w:rsidP="004641C4">
            <w:pPr>
              <w:spacing w:afterLines="60" w:after="144"/>
              <w:rPr>
                <w:rFonts w:asciiTheme="minorHAnsi" w:hAnsiTheme="minorHAnsi" w:cstheme="minorHAnsi"/>
                <w:sz w:val="18"/>
                <w:szCs w:val="18"/>
                <w:lang w:eastAsia="ja-JP"/>
              </w:rPr>
            </w:pPr>
            <w:r w:rsidRPr="003B6A69">
              <w:rPr>
                <w:rFonts w:asciiTheme="minorHAnsi" w:hAnsiTheme="minorHAnsi" w:cstheme="minorHAnsi"/>
                <w:sz w:val="18"/>
                <w:szCs w:val="18"/>
                <w:lang w:eastAsia="ja-JP"/>
              </w:rPr>
              <w:t>-Co-financing commitments from partners materialized and parallel activities implemented in synergy</w:t>
            </w:r>
          </w:p>
        </w:tc>
      </w:tr>
      <w:tr w:rsidR="004641C4" w:rsidRPr="003B6A69" w14:paraId="6C78F4A1" w14:textId="77777777" w:rsidTr="00BD4C79">
        <w:tc>
          <w:tcPr>
            <w:tcW w:w="1382" w:type="dxa"/>
            <w:vMerge w:val="restart"/>
            <w:tcBorders>
              <w:top w:val="single" w:sz="4" w:space="0" w:color="auto"/>
              <w:left w:val="single" w:sz="4" w:space="0" w:color="auto"/>
              <w:right w:val="single" w:sz="4" w:space="0" w:color="auto"/>
            </w:tcBorders>
          </w:tcPr>
          <w:p w14:paraId="5CA2F8DB" w14:textId="77777777" w:rsidR="004641C4" w:rsidRPr="003B6A69" w:rsidRDefault="004641C4" w:rsidP="004641C4">
            <w:pPr>
              <w:jc w:val="left"/>
              <w:rPr>
                <w:rFonts w:ascii="Times New Roman" w:hAnsi="Times New Roman"/>
                <w:b/>
                <w:bCs/>
                <w:sz w:val="18"/>
                <w:szCs w:val="18"/>
              </w:rPr>
            </w:pPr>
            <w:r w:rsidRPr="003B6A69">
              <w:rPr>
                <w:rFonts w:asciiTheme="minorHAnsi" w:hAnsiTheme="minorHAnsi" w:cstheme="minorHAnsi"/>
                <w:b/>
                <w:sz w:val="18"/>
                <w:szCs w:val="18"/>
                <w:lang w:eastAsia="ja-JP"/>
              </w:rPr>
              <w:t xml:space="preserve">Project Outcome </w:t>
            </w:r>
            <w:r w:rsidRPr="003B6A69">
              <w:rPr>
                <w:rFonts w:ascii="Times New Roman" w:hAnsi="Times New Roman"/>
                <w:b/>
                <w:bCs/>
                <w:sz w:val="18"/>
                <w:szCs w:val="18"/>
              </w:rPr>
              <w:t>5: BD conservation considerations mainstreamed into agricultural policies and practices around KBAs</w:t>
            </w:r>
          </w:p>
          <w:p w14:paraId="7331E0B1" w14:textId="77777777" w:rsidR="004641C4" w:rsidRPr="003B6A69" w:rsidRDefault="004641C4" w:rsidP="004641C4">
            <w:pPr>
              <w:jc w:val="left"/>
              <w:rPr>
                <w:rFonts w:asciiTheme="minorHAnsi" w:hAnsiTheme="minorHAnsi" w:cstheme="minorHAnsi"/>
                <w:b/>
                <w:sz w:val="18"/>
                <w:szCs w:val="18"/>
                <w:lang w:eastAsia="ja-JP"/>
              </w:rPr>
            </w:pPr>
          </w:p>
        </w:tc>
        <w:tc>
          <w:tcPr>
            <w:tcW w:w="1840" w:type="dxa"/>
            <w:tcBorders>
              <w:top w:val="single" w:sz="4" w:space="0" w:color="auto"/>
              <w:left w:val="single" w:sz="4" w:space="0" w:color="auto"/>
              <w:bottom w:val="single" w:sz="4" w:space="0" w:color="auto"/>
              <w:right w:val="single" w:sz="4" w:space="0" w:color="auto"/>
            </w:tcBorders>
          </w:tcPr>
          <w:p w14:paraId="5B85DF29" w14:textId="77777777" w:rsidR="004641C4" w:rsidRPr="003B6A69" w:rsidRDefault="004641C4" w:rsidP="004641C4">
            <w:pPr>
              <w:spacing w:afterLines="60" w:after="144"/>
              <w:rPr>
                <w:rFonts w:ascii="Times New Roman" w:hAnsi="Times New Roman"/>
                <w:bCs/>
                <w:i/>
                <w:sz w:val="18"/>
                <w:szCs w:val="18"/>
              </w:rPr>
            </w:pPr>
            <w:r w:rsidRPr="003B6A69">
              <w:rPr>
                <w:rFonts w:ascii="Times New Roman" w:hAnsi="Times New Roman"/>
                <w:bCs/>
                <w:i/>
                <w:sz w:val="18"/>
                <w:szCs w:val="18"/>
              </w:rPr>
              <w:t xml:space="preserve">Indicator 13: </w:t>
            </w:r>
            <w:r w:rsidRPr="003B6A69">
              <w:rPr>
                <w:rFonts w:asciiTheme="minorHAnsi" w:hAnsiTheme="minorHAnsi"/>
                <w:bCs/>
                <w:sz w:val="18"/>
                <w:szCs w:val="18"/>
                <w:lang w:val="en-GB"/>
              </w:rPr>
              <w:t xml:space="preserve">A sustainable mechanism for </w:t>
            </w:r>
            <w:proofErr w:type="spellStart"/>
            <w:r w:rsidRPr="003B6A69">
              <w:rPr>
                <w:rFonts w:asciiTheme="minorHAnsi" w:hAnsiTheme="minorHAnsi"/>
                <w:bCs/>
                <w:sz w:val="18"/>
                <w:szCs w:val="18"/>
                <w:lang w:val="en-GB"/>
              </w:rPr>
              <w:t>agro</w:t>
            </w:r>
            <w:proofErr w:type="spellEnd"/>
            <w:r w:rsidRPr="003B6A69">
              <w:rPr>
                <w:rFonts w:asciiTheme="minorHAnsi" w:hAnsiTheme="minorHAnsi"/>
                <w:bCs/>
                <w:sz w:val="18"/>
                <w:szCs w:val="18"/>
                <w:lang w:val="en-GB"/>
              </w:rPr>
              <w:t>-environmental incentives is in place to encourage uptake of sustainable BD-friendly agricultural practices</w:t>
            </w:r>
          </w:p>
        </w:tc>
        <w:tc>
          <w:tcPr>
            <w:tcW w:w="1427" w:type="dxa"/>
            <w:tcBorders>
              <w:top w:val="single" w:sz="4" w:space="0" w:color="auto"/>
              <w:left w:val="single" w:sz="4" w:space="0" w:color="auto"/>
              <w:bottom w:val="single" w:sz="4" w:space="0" w:color="auto"/>
              <w:right w:val="single" w:sz="4" w:space="0" w:color="auto"/>
            </w:tcBorders>
          </w:tcPr>
          <w:p w14:paraId="39CF0149" w14:textId="77777777" w:rsidR="004641C4" w:rsidRPr="003B6A69" w:rsidRDefault="004641C4" w:rsidP="004641C4">
            <w:pPr>
              <w:rPr>
                <w:rFonts w:asciiTheme="minorHAnsi" w:hAnsiTheme="minorHAnsi"/>
                <w:bCs/>
                <w:sz w:val="18"/>
                <w:szCs w:val="18"/>
              </w:rPr>
            </w:pPr>
            <w:proofErr w:type="spellStart"/>
            <w:r w:rsidRPr="003B6A69">
              <w:rPr>
                <w:rFonts w:asciiTheme="minorHAnsi" w:hAnsiTheme="minorHAnsi"/>
                <w:bCs/>
                <w:sz w:val="18"/>
                <w:szCs w:val="18"/>
              </w:rPr>
              <w:t>Agro</w:t>
            </w:r>
            <w:proofErr w:type="spellEnd"/>
            <w:r w:rsidRPr="003B6A69">
              <w:rPr>
                <w:rFonts w:asciiTheme="minorHAnsi" w:hAnsiTheme="minorHAnsi"/>
                <w:bCs/>
                <w:sz w:val="18"/>
                <w:szCs w:val="18"/>
              </w:rPr>
              <w:t xml:space="preserve">-environmental incentive scheme (top-up of green direct payments to farmers) developed, </w:t>
            </w:r>
            <w:proofErr w:type="gramStart"/>
            <w:r w:rsidRPr="003B6A69">
              <w:rPr>
                <w:rFonts w:asciiTheme="minorHAnsi" w:hAnsiTheme="minorHAnsi"/>
                <w:bCs/>
                <w:sz w:val="18"/>
                <w:szCs w:val="18"/>
              </w:rPr>
              <w:t>institutionalized</w:t>
            </w:r>
            <w:proofErr w:type="gramEnd"/>
            <w:r w:rsidRPr="003B6A69">
              <w:rPr>
                <w:rFonts w:asciiTheme="minorHAnsi" w:hAnsiTheme="minorHAnsi"/>
                <w:bCs/>
                <w:sz w:val="18"/>
                <w:szCs w:val="18"/>
              </w:rPr>
              <w:t xml:space="preserve"> and tested</w:t>
            </w:r>
          </w:p>
          <w:p w14:paraId="55711BBE" w14:textId="77777777" w:rsidR="004641C4" w:rsidRPr="003B6A69" w:rsidRDefault="004641C4" w:rsidP="004641C4">
            <w:pPr>
              <w:jc w:val="left"/>
              <w:rPr>
                <w:rFonts w:asciiTheme="minorHAnsi" w:hAnsiTheme="minorHAnsi"/>
                <w:bCs/>
                <w:sz w:val="18"/>
                <w:szCs w:val="18"/>
              </w:rPr>
            </w:pPr>
          </w:p>
        </w:tc>
        <w:tc>
          <w:tcPr>
            <w:tcW w:w="1407" w:type="dxa"/>
            <w:tcBorders>
              <w:top w:val="single" w:sz="4" w:space="0" w:color="auto"/>
              <w:left w:val="single" w:sz="4" w:space="0" w:color="auto"/>
              <w:bottom w:val="single" w:sz="4" w:space="0" w:color="auto"/>
              <w:right w:val="single" w:sz="4" w:space="0" w:color="auto"/>
            </w:tcBorders>
          </w:tcPr>
          <w:p w14:paraId="6F423A23" w14:textId="77777777" w:rsidR="004641C4" w:rsidRPr="003B6A69" w:rsidRDefault="004641C4" w:rsidP="004641C4">
            <w:pPr>
              <w:spacing w:afterLines="60" w:after="144"/>
              <w:rPr>
                <w:rFonts w:asciiTheme="minorHAnsi" w:hAnsiTheme="minorHAnsi" w:cstheme="minorHAnsi"/>
                <w:sz w:val="18"/>
                <w:szCs w:val="18"/>
                <w:lang w:eastAsia="ja-JP"/>
              </w:rPr>
            </w:pPr>
          </w:p>
        </w:tc>
        <w:tc>
          <w:tcPr>
            <w:tcW w:w="1675" w:type="dxa"/>
            <w:tcBorders>
              <w:top w:val="single" w:sz="4" w:space="0" w:color="auto"/>
              <w:left w:val="single" w:sz="4" w:space="0" w:color="auto"/>
              <w:bottom w:val="single" w:sz="4" w:space="0" w:color="auto"/>
              <w:right w:val="single" w:sz="4" w:space="0" w:color="auto"/>
            </w:tcBorders>
          </w:tcPr>
          <w:p w14:paraId="5ABD430E" w14:textId="77777777" w:rsidR="004641C4" w:rsidRPr="003B6A69" w:rsidRDefault="004641C4" w:rsidP="004641C4">
            <w:pPr>
              <w:spacing w:afterLines="60" w:after="144"/>
              <w:rPr>
                <w:rFonts w:asciiTheme="minorHAnsi" w:hAnsiTheme="minorHAnsi" w:cstheme="minorHAnsi"/>
                <w:sz w:val="18"/>
                <w:szCs w:val="18"/>
                <w:lang w:eastAsia="ja-JP"/>
              </w:rPr>
            </w:pPr>
            <w:r w:rsidRPr="003B6A69">
              <w:rPr>
                <w:rFonts w:asciiTheme="minorHAnsi" w:hAnsiTheme="minorHAnsi" w:cstheme="minorHAnsi"/>
                <w:sz w:val="18"/>
                <w:szCs w:val="18"/>
                <w:lang w:eastAsia="ja-JP"/>
              </w:rPr>
              <w:t>Project reports</w:t>
            </w:r>
          </w:p>
          <w:p w14:paraId="29C2511F" w14:textId="77777777" w:rsidR="004641C4" w:rsidRPr="003B6A69" w:rsidRDefault="004641C4" w:rsidP="004641C4">
            <w:pPr>
              <w:spacing w:afterLines="60" w:after="144"/>
              <w:rPr>
                <w:rFonts w:asciiTheme="minorHAnsi" w:hAnsiTheme="minorHAnsi" w:cstheme="minorHAnsi"/>
                <w:sz w:val="18"/>
                <w:szCs w:val="18"/>
                <w:lang w:eastAsia="ja-JP"/>
              </w:rPr>
            </w:pPr>
            <w:r w:rsidRPr="003B6A69">
              <w:rPr>
                <w:rFonts w:asciiTheme="minorHAnsi" w:hAnsiTheme="minorHAnsi" w:cstheme="minorHAnsi"/>
                <w:sz w:val="18"/>
                <w:szCs w:val="18"/>
                <w:lang w:eastAsia="ja-JP"/>
              </w:rPr>
              <w:t>Data from the Ministry of Agriculture</w:t>
            </w:r>
          </w:p>
          <w:p w14:paraId="1EAECE5B" w14:textId="144B39A1" w:rsidR="004641C4" w:rsidRPr="003B6A69" w:rsidRDefault="004641C4" w:rsidP="004641C4">
            <w:pPr>
              <w:spacing w:afterLines="60" w:after="144"/>
              <w:rPr>
                <w:rFonts w:asciiTheme="minorHAnsi" w:hAnsiTheme="minorHAnsi" w:cstheme="minorHAnsi"/>
                <w:sz w:val="18"/>
                <w:szCs w:val="18"/>
                <w:lang w:eastAsia="ja-JP"/>
              </w:rPr>
            </w:pPr>
            <w:r w:rsidRPr="003B6A69">
              <w:rPr>
                <w:rFonts w:asciiTheme="minorHAnsi" w:hAnsiTheme="minorHAnsi" w:cstheme="minorHAnsi"/>
                <w:sz w:val="18"/>
                <w:szCs w:val="18"/>
                <w:lang w:eastAsia="ja-JP"/>
              </w:rPr>
              <w:t>FE interviews with agricul</w:t>
            </w:r>
            <w:r w:rsidR="00B404E3" w:rsidRPr="003B6A69">
              <w:rPr>
                <w:rFonts w:asciiTheme="minorHAnsi" w:hAnsiTheme="minorHAnsi" w:cstheme="minorHAnsi"/>
                <w:sz w:val="18"/>
                <w:szCs w:val="18"/>
                <w:lang w:eastAsia="ja-JP"/>
              </w:rPr>
              <w:t>tura</w:t>
            </w:r>
            <w:r w:rsidRPr="003B6A69">
              <w:rPr>
                <w:rFonts w:asciiTheme="minorHAnsi" w:hAnsiTheme="minorHAnsi" w:cstheme="minorHAnsi"/>
                <w:sz w:val="18"/>
                <w:szCs w:val="18"/>
                <w:lang w:eastAsia="ja-JP"/>
              </w:rPr>
              <w:t>l policy developers</w:t>
            </w:r>
          </w:p>
          <w:p w14:paraId="332F4676" w14:textId="77777777" w:rsidR="004641C4" w:rsidRPr="003B6A69" w:rsidRDefault="004641C4" w:rsidP="004641C4">
            <w:pPr>
              <w:spacing w:afterLines="60" w:after="144"/>
              <w:rPr>
                <w:rFonts w:asciiTheme="minorHAnsi" w:hAnsiTheme="minorHAnsi" w:cstheme="minorHAnsi"/>
                <w:sz w:val="18"/>
                <w:szCs w:val="18"/>
                <w:lang w:eastAsia="ja-JP"/>
              </w:rPr>
            </w:pPr>
          </w:p>
        </w:tc>
        <w:tc>
          <w:tcPr>
            <w:tcW w:w="1277" w:type="dxa"/>
            <w:tcBorders>
              <w:top w:val="single" w:sz="4" w:space="0" w:color="auto"/>
              <w:left w:val="single" w:sz="4" w:space="0" w:color="auto"/>
              <w:bottom w:val="single" w:sz="4" w:space="0" w:color="auto"/>
              <w:right w:val="single" w:sz="4" w:space="0" w:color="auto"/>
            </w:tcBorders>
          </w:tcPr>
          <w:p w14:paraId="37AEE8B2" w14:textId="77777777" w:rsidR="004641C4" w:rsidRPr="003B6A69" w:rsidRDefault="004641C4" w:rsidP="004641C4">
            <w:pPr>
              <w:spacing w:afterLines="60" w:after="144"/>
              <w:rPr>
                <w:rFonts w:asciiTheme="minorHAnsi" w:hAnsiTheme="minorHAnsi" w:cstheme="minorHAnsi"/>
                <w:sz w:val="18"/>
                <w:szCs w:val="18"/>
                <w:lang w:eastAsia="ja-JP"/>
              </w:rPr>
            </w:pPr>
            <w:r w:rsidRPr="003B6A69">
              <w:rPr>
                <w:rFonts w:asciiTheme="minorHAnsi" w:hAnsiTheme="minorHAnsi" w:cstheme="minorHAnsi"/>
                <w:sz w:val="18"/>
                <w:szCs w:val="18"/>
                <w:lang w:eastAsia="ja-JP"/>
              </w:rPr>
              <w:t>Annual</w:t>
            </w:r>
          </w:p>
        </w:tc>
        <w:tc>
          <w:tcPr>
            <w:tcW w:w="1118" w:type="dxa"/>
            <w:tcBorders>
              <w:top w:val="single" w:sz="4" w:space="0" w:color="auto"/>
              <w:left w:val="single" w:sz="4" w:space="0" w:color="auto"/>
              <w:bottom w:val="single" w:sz="4" w:space="0" w:color="auto"/>
              <w:right w:val="single" w:sz="4" w:space="0" w:color="auto"/>
            </w:tcBorders>
          </w:tcPr>
          <w:p w14:paraId="4C21C79C" w14:textId="77777777" w:rsidR="004641C4" w:rsidRPr="003B6A69" w:rsidRDefault="004641C4" w:rsidP="004641C4">
            <w:pPr>
              <w:spacing w:afterLines="60" w:after="144"/>
              <w:rPr>
                <w:rFonts w:asciiTheme="minorHAnsi" w:hAnsiTheme="minorHAnsi" w:cstheme="minorHAnsi"/>
                <w:sz w:val="18"/>
                <w:szCs w:val="18"/>
                <w:lang w:eastAsia="ja-JP"/>
              </w:rPr>
            </w:pPr>
            <w:r w:rsidRPr="003B6A69">
              <w:rPr>
                <w:rFonts w:asciiTheme="minorHAnsi" w:hAnsiTheme="minorHAnsi" w:cstheme="minorHAnsi"/>
                <w:sz w:val="18"/>
                <w:szCs w:val="18"/>
                <w:lang w:eastAsia="ja-JP"/>
              </w:rPr>
              <w:t>Project team</w:t>
            </w:r>
          </w:p>
          <w:p w14:paraId="46F3886F" w14:textId="77777777" w:rsidR="004641C4" w:rsidRPr="003B6A69" w:rsidRDefault="004641C4" w:rsidP="004641C4">
            <w:pPr>
              <w:spacing w:afterLines="60" w:after="144"/>
              <w:rPr>
                <w:rFonts w:asciiTheme="minorHAnsi" w:hAnsiTheme="minorHAnsi" w:cstheme="minorHAnsi"/>
                <w:sz w:val="18"/>
                <w:szCs w:val="18"/>
                <w:lang w:eastAsia="ja-JP"/>
              </w:rPr>
            </w:pPr>
            <w:r w:rsidRPr="003B6A69">
              <w:rPr>
                <w:rFonts w:asciiTheme="minorHAnsi" w:hAnsiTheme="minorHAnsi" w:cstheme="minorHAnsi"/>
                <w:sz w:val="18"/>
                <w:szCs w:val="18"/>
                <w:lang w:eastAsia="ja-JP"/>
              </w:rPr>
              <w:t>Ministry of Agriculture</w:t>
            </w:r>
          </w:p>
          <w:p w14:paraId="07C5DF39" w14:textId="77777777" w:rsidR="004641C4" w:rsidRPr="003B6A69" w:rsidRDefault="004641C4" w:rsidP="004641C4">
            <w:pPr>
              <w:spacing w:afterLines="60" w:after="144"/>
              <w:rPr>
                <w:rFonts w:asciiTheme="minorHAnsi" w:hAnsiTheme="minorHAnsi" w:cstheme="minorHAnsi"/>
                <w:sz w:val="18"/>
                <w:szCs w:val="18"/>
                <w:lang w:eastAsia="ja-JP"/>
              </w:rPr>
            </w:pPr>
          </w:p>
        </w:tc>
        <w:tc>
          <w:tcPr>
            <w:tcW w:w="1754" w:type="dxa"/>
            <w:tcBorders>
              <w:top w:val="single" w:sz="4" w:space="0" w:color="auto"/>
              <w:left w:val="single" w:sz="4" w:space="0" w:color="auto"/>
              <w:bottom w:val="single" w:sz="4" w:space="0" w:color="auto"/>
              <w:right w:val="single" w:sz="4" w:space="0" w:color="auto"/>
            </w:tcBorders>
          </w:tcPr>
          <w:p w14:paraId="4D113977" w14:textId="77777777" w:rsidR="004641C4" w:rsidRPr="003B6A69" w:rsidRDefault="004641C4" w:rsidP="004641C4">
            <w:pPr>
              <w:spacing w:afterLines="60" w:after="144"/>
              <w:rPr>
                <w:rFonts w:asciiTheme="minorHAnsi" w:hAnsiTheme="minorHAnsi" w:cstheme="minorHAnsi"/>
                <w:sz w:val="18"/>
                <w:szCs w:val="18"/>
                <w:lang w:eastAsia="ja-JP"/>
              </w:rPr>
            </w:pPr>
            <w:r w:rsidRPr="003B6A69">
              <w:rPr>
                <w:rFonts w:asciiTheme="minorHAnsi" w:hAnsiTheme="minorHAnsi" w:cstheme="minorHAnsi"/>
                <w:sz w:val="18"/>
                <w:szCs w:val="18"/>
                <w:lang w:eastAsia="ja-JP"/>
              </w:rPr>
              <w:t>Monitoring via annual project reporting (PIR) by project team; Verification at mid-term review and terminal evaluation by independent external experts</w:t>
            </w:r>
          </w:p>
        </w:tc>
        <w:tc>
          <w:tcPr>
            <w:tcW w:w="1633" w:type="dxa"/>
            <w:tcBorders>
              <w:top w:val="single" w:sz="4" w:space="0" w:color="auto"/>
              <w:left w:val="single" w:sz="4" w:space="0" w:color="auto"/>
              <w:bottom w:val="single" w:sz="4" w:space="0" w:color="auto"/>
              <w:right w:val="single" w:sz="4" w:space="0" w:color="auto"/>
            </w:tcBorders>
          </w:tcPr>
          <w:p w14:paraId="28D66712" w14:textId="77777777" w:rsidR="004641C4" w:rsidRPr="003B6A69" w:rsidRDefault="004641C4" w:rsidP="004641C4">
            <w:pPr>
              <w:spacing w:afterLines="60" w:after="144"/>
              <w:rPr>
                <w:rFonts w:asciiTheme="minorHAnsi" w:hAnsiTheme="minorHAnsi" w:cstheme="minorHAnsi"/>
                <w:sz w:val="18"/>
                <w:szCs w:val="18"/>
                <w:lang w:eastAsia="ja-JP"/>
              </w:rPr>
            </w:pPr>
            <w:r w:rsidRPr="003B6A69">
              <w:rPr>
                <w:rFonts w:asciiTheme="minorHAnsi" w:hAnsiTheme="minorHAnsi" w:cstheme="minorHAnsi"/>
                <w:sz w:val="18"/>
                <w:szCs w:val="18"/>
                <w:lang w:eastAsia="ja-JP"/>
              </w:rPr>
              <w:t xml:space="preserve">-Partner commitments </w:t>
            </w:r>
            <w:proofErr w:type="gramStart"/>
            <w:r w:rsidRPr="003B6A69">
              <w:rPr>
                <w:rFonts w:asciiTheme="minorHAnsi" w:hAnsiTheme="minorHAnsi" w:cstheme="minorHAnsi"/>
                <w:sz w:val="18"/>
                <w:szCs w:val="18"/>
                <w:lang w:eastAsia="ja-JP"/>
              </w:rPr>
              <w:t>confirmed</w:t>
            </w:r>
            <w:proofErr w:type="gramEnd"/>
            <w:r w:rsidRPr="003B6A69">
              <w:rPr>
                <w:rFonts w:asciiTheme="minorHAnsi" w:hAnsiTheme="minorHAnsi" w:cstheme="minorHAnsi"/>
                <w:sz w:val="18"/>
                <w:szCs w:val="18"/>
                <w:lang w:eastAsia="ja-JP"/>
              </w:rPr>
              <w:t xml:space="preserve"> and activities implemented in synergy with the Ministry of Agriculture</w:t>
            </w:r>
          </w:p>
          <w:p w14:paraId="443CD30A" w14:textId="77777777" w:rsidR="004641C4" w:rsidRPr="003B6A69" w:rsidRDefault="004641C4" w:rsidP="004641C4">
            <w:pPr>
              <w:spacing w:afterLines="60" w:after="144"/>
              <w:rPr>
                <w:rFonts w:asciiTheme="minorHAnsi" w:hAnsiTheme="minorHAnsi" w:cstheme="minorHAnsi"/>
                <w:sz w:val="18"/>
                <w:szCs w:val="18"/>
                <w:lang w:eastAsia="ja-JP"/>
              </w:rPr>
            </w:pPr>
            <w:r w:rsidRPr="003B6A69">
              <w:rPr>
                <w:rFonts w:asciiTheme="minorHAnsi" w:hAnsiTheme="minorHAnsi" w:cstheme="minorHAnsi"/>
                <w:sz w:val="18"/>
                <w:szCs w:val="18"/>
                <w:lang w:eastAsia="ja-JP"/>
              </w:rPr>
              <w:t xml:space="preserve">- Institutional arrangements for the incremental support to </w:t>
            </w:r>
            <w:proofErr w:type="spellStart"/>
            <w:r w:rsidRPr="003B6A69">
              <w:rPr>
                <w:rFonts w:asciiTheme="minorHAnsi" w:hAnsiTheme="minorHAnsi" w:cstheme="minorHAnsi"/>
                <w:sz w:val="18"/>
                <w:szCs w:val="18"/>
                <w:lang w:eastAsia="ja-JP"/>
              </w:rPr>
              <w:t>agro</w:t>
            </w:r>
            <w:proofErr w:type="spellEnd"/>
            <w:r w:rsidRPr="003B6A69">
              <w:rPr>
                <w:rFonts w:asciiTheme="minorHAnsi" w:hAnsiTheme="minorHAnsi" w:cstheme="minorHAnsi"/>
                <w:sz w:val="18"/>
                <w:szCs w:val="18"/>
                <w:lang w:eastAsia="ja-JP"/>
              </w:rPr>
              <w:t>-environmental incentives from the project are timely set</w:t>
            </w:r>
          </w:p>
        </w:tc>
      </w:tr>
      <w:tr w:rsidR="004641C4" w:rsidRPr="003B6A69" w14:paraId="5945CEC7" w14:textId="77777777" w:rsidTr="00BD4C79">
        <w:tc>
          <w:tcPr>
            <w:tcW w:w="1382" w:type="dxa"/>
            <w:vMerge/>
            <w:tcBorders>
              <w:left w:val="single" w:sz="4" w:space="0" w:color="auto"/>
              <w:right w:val="single" w:sz="4" w:space="0" w:color="auto"/>
            </w:tcBorders>
          </w:tcPr>
          <w:p w14:paraId="774DC80F" w14:textId="77777777" w:rsidR="004641C4" w:rsidRPr="003B6A69" w:rsidRDefault="004641C4" w:rsidP="004641C4">
            <w:pPr>
              <w:jc w:val="left"/>
              <w:rPr>
                <w:rFonts w:asciiTheme="minorHAnsi" w:hAnsiTheme="minorHAnsi" w:cstheme="minorHAnsi"/>
                <w:b/>
                <w:sz w:val="18"/>
                <w:szCs w:val="18"/>
                <w:lang w:eastAsia="ja-JP"/>
              </w:rPr>
            </w:pPr>
          </w:p>
        </w:tc>
        <w:tc>
          <w:tcPr>
            <w:tcW w:w="1840" w:type="dxa"/>
            <w:tcBorders>
              <w:top w:val="single" w:sz="4" w:space="0" w:color="auto"/>
              <w:left w:val="single" w:sz="4" w:space="0" w:color="auto"/>
              <w:bottom w:val="single" w:sz="4" w:space="0" w:color="auto"/>
              <w:right w:val="single" w:sz="4" w:space="0" w:color="auto"/>
            </w:tcBorders>
          </w:tcPr>
          <w:p w14:paraId="7E00E626" w14:textId="77777777" w:rsidR="004641C4" w:rsidRPr="003B6A69" w:rsidRDefault="004641C4" w:rsidP="004641C4">
            <w:pPr>
              <w:spacing w:afterLines="60" w:after="144"/>
              <w:rPr>
                <w:rFonts w:ascii="Times New Roman" w:hAnsi="Times New Roman"/>
                <w:bCs/>
                <w:i/>
                <w:sz w:val="18"/>
                <w:szCs w:val="18"/>
              </w:rPr>
            </w:pPr>
            <w:r w:rsidRPr="003B6A69">
              <w:rPr>
                <w:rFonts w:ascii="Times New Roman" w:hAnsi="Times New Roman"/>
                <w:bCs/>
                <w:i/>
                <w:sz w:val="18"/>
                <w:szCs w:val="18"/>
              </w:rPr>
              <w:t xml:space="preserve">Indicator 14: </w:t>
            </w:r>
            <w:r w:rsidRPr="003B6A69">
              <w:rPr>
                <w:rFonts w:ascii="Times New Roman" w:hAnsi="Times New Roman"/>
                <w:bCs/>
                <w:sz w:val="18"/>
                <w:szCs w:val="18"/>
              </w:rPr>
              <w:t>at least 20 small-scale farming enterprises benefit from top-up “green” payments (gender-disaggregated)</w:t>
            </w:r>
          </w:p>
        </w:tc>
        <w:tc>
          <w:tcPr>
            <w:tcW w:w="1427" w:type="dxa"/>
            <w:tcBorders>
              <w:top w:val="single" w:sz="4" w:space="0" w:color="auto"/>
              <w:left w:val="single" w:sz="4" w:space="0" w:color="auto"/>
              <w:bottom w:val="single" w:sz="4" w:space="0" w:color="auto"/>
              <w:right w:val="single" w:sz="4" w:space="0" w:color="auto"/>
            </w:tcBorders>
          </w:tcPr>
          <w:p w14:paraId="038A4601" w14:textId="77777777" w:rsidR="004641C4" w:rsidRPr="003B6A69" w:rsidRDefault="004641C4" w:rsidP="004641C4">
            <w:pPr>
              <w:jc w:val="left"/>
              <w:rPr>
                <w:rFonts w:asciiTheme="minorHAnsi" w:hAnsiTheme="minorHAnsi"/>
                <w:bCs/>
                <w:sz w:val="18"/>
                <w:szCs w:val="18"/>
              </w:rPr>
            </w:pPr>
            <w:r w:rsidRPr="003B6A69">
              <w:rPr>
                <w:rFonts w:asciiTheme="minorHAnsi" w:eastAsiaTheme="minorHAnsi" w:hAnsiTheme="minorHAnsi" w:cstheme="minorHAnsi"/>
                <w:sz w:val="18"/>
                <w:szCs w:val="18"/>
                <w:lang w:eastAsia="ja-JP"/>
              </w:rPr>
              <w:t>20</w:t>
            </w:r>
          </w:p>
        </w:tc>
        <w:tc>
          <w:tcPr>
            <w:tcW w:w="1407" w:type="dxa"/>
            <w:tcBorders>
              <w:top w:val="single" w:sz="4" w:space="0" w:color="auto"/>
              <w:left w:val="single" w:sz="4" w:space="0" w:color="auto"/>
              <w:bottom w:val="single" w:sz="4" w:space="0" w:color="auto"/>
              <w:right w:val="single" w:sz="4" w:space="0" w:color="auto"/>
            </w:tcBorders>
          </w:tcPr>
          <w:p w14:paraId="6AAC5420" w14:textId="77777777" w:rsidR="004641C4" w:rsidRPr="003B6A69" w:rsidRDefault="004641C4" w:rsidP="004641C4">
            <w:pPr>
              <w:spacing w:afterLines="60" w:after="144"/>
              <w:rPr>
                <w:rFonts w:asciiTheme="minorHAnsi" w:hAnsiTheme="minorHAnsi" w:cstheme="minorHAnsi"/>
                <w:sz w:val="18"/>
                <w:szCs w:val="18"/>
                <w:lang w:eastAsia="ja-JP"/>
              </w:rPr>
            </w:pPr>
          </w:p>
        </w:tc>
        <w:tc>
          <w:tcPr>
            <w:tcW w:w="1675" w:type="dxa"/>
            <w:tcBorders>
              <w:top w:val="single" w:sz="4" w:space="0" w:color="auto"/>
              <w:left w:val="single" w:sz="4" w:space="0" w:color="auto"/>
              <w:bottom w:val="single" w:sz="4" w:space="0" w:color="auto"/>
              <w:right w:val="single" w:sz="4" w:space="0" w:color="auto"/>
            </w:tcBorders>
          </w:tcPr>
          <w:p w14:paraId="70243F91" w14:textId="77777777" w:rsidR="004641C4" w:rsidRPr="003B6A69" w:rsidRDefault="004641C4" w:rsidP="004641C4">
            <w:pPr>
              <w:spacing w:afterLines="60" w:after="144"/>
              <w:rPr>
                <w:rFonts w:asciiTheme="minorHAnsi" w:hAnsiTheme="minorHAnsi" w:cstheme="minorHAnsi"/>
                <w:sz w:val="18"/>
                <w:szCs w:val="18"/>
                <w:lang w:eastAsia="ja-JP"/>
              </w:rPr>
            </w:pPr>
            <w:r w:rsidRPr="003B6A69">
              <w:rPr>
                <w:rFonts w:asciiTheme="minorHAnsi" w:hAnsiTheme="minorHAnsi" w:cstheme="minorHAnsi"/>
                <w:sz w:val="18"/>
                <w:szCs w:val="18"/>
                <w:lang w:eastAsia="ja-JP"/>
              </w:rPr>
              <w:t>Project reports</w:t>
            </w:r>
          </w:p>
          <w:p w14:paraId="39A785C0" w14:textId="77777777" w:rsidR="004641C4" w:rsidRPr="003B6A69" w:rsidRDefault="004641C4" w:rsidP="004641C4">
            <w:pPr>
              <w:spacing w:afterLines="60" w:after="144"/>
              <w:rPr>
                <w:rFonts w:asciiTheme="minorHAnsi" w:hAnsiTheme="minorHAnsi" w:cstheme="minorHAnsi"/>
                <w:sz w:val="18"/>
                <w:szCs w:val="18"/>
                <w:lang w:eastAsia="ja-JP"/>
              </w:rPr>
            </w:pPr>
            <w:r w:rsidRPr="003B6A69">
              <w:rPr>
                <w:rFonts w:asciiTheme="minorHAnsi" w:hAnsiTheme="minorHAnsi" w:cstheme="minorHAnsi"/>
                <w:sz w:val="18"/>
                <w:szCs w:val="18"/>
                <w:lang w:eastAsia="ja-JP"/>
              </w:rPr>
              <w:t xml:space="preserve">Data from the responsible party for the green payments scheme on the participants, subsidies, </w:t>
            </w:r>
            <w:proofErr w:type="gramStart"/>
            <w:r w:rsidRPr="003B6A69">
              <w:rPr>
                <w:rFonts w:asciiTheme="minorHAnsi" w:hAnsiTheme="minorHAnsi" w:cstheme="minorHAnsi"/>
                <w:sz w:val="18"/>
                <w:szCs w:val="18"/>
                <w:lang w:eastAsia="ja-JP"/>
              </w:rPr>
              <w:t>results</w:t>
            </w:r>
            <w:proofErr w:type="gramEnd"/>
            <w:r w:rsidRPr="003B6A69">
              <w:rPr>
                <w:rFonts w:asciiTheme="minorHAnsi" w:hAnsiTheme="minorHAnsi" w:cstheme="minorHAnsi"/>
                <w:sz w:val="18"/>
                <w:szCs w:val="18"/>
                <w:lang w:eastAsia="ja-JP"/>
              </w:rPr>
              <w:t xml:space="preserve"> and indicators</w:t>
            </w:r>
          </w:p>
          <w:p w14:paraId="6AC2FC20" w14:textId="77777777" w:rsidR="004641C4" w:rsidRPr="003B6A69" w:rsidRDefault="004641C4" w:rsidP="004641C4">
            <w:pPr>
              <w:spacing w:afterLines="60" w:after="144"/>
              <w:rPr>
                <w:rFonts w:asciiTheme="minorHAnsi" w:hAnsiTheme="minorHAnsi" w:cstheme="minorHAnsi"/>
                <w:sz w:val="18"/>
                <w:szCs w:val="18"/>
                <w:lang w:eastAsia="ja-JP"/>
              </w:rPr>
            </w:pPr>
            <w:r w:rsidRPr="003B6A69">
              <w:rPr>
                <w:rFonts w:asciiTheme="minorHAnsi" w:hAnsiTheme="minorHAnsi" w:cstheme="minorHAnsi"/>
                <w:sz w:val="18"/>
                <w:szCs w:val="18"/>
                <w:lang w:eastAsia="ja-JP"/>
              </w:rPr>
              <w:t>Interview with beneficiaries</w:t>
            </w:r>
          </w:p>
        </w:tc>
        <w:tc>
          <w:tcPr>
            <w:tcW w:w="1277" w:type="dxa"/>
            <w:tcBorders>
              <w:top w:val="single" w:sz="4" w:space="0" w:color="auto"/>
              <w:left w:val="single" w:sz="4" w:space="0" w:color="auto"/>
              <w:bottom w:val="single" w:sz="4" w:space="0" w:color="auto"/>
              <w:right w:val="single" w:sz="4" w:space="0" w:color="auto"/>
            </w:tcBorders>
          </w:tcPr>
          <w:p w14:paraId="554F4E9C" w14:textId="77777777" w:rsidR="004641C4" w:rsidRPr="003B6A69" w:rsidRDefault="004641C4" w:rsidP="004641C4">
            <w:pPr>
              <w:spacing w:afterLines="60" w:after="144"/>
              <w:rPr>
                <w:rFonts w:asciiTheme="minorHAnsi" w:hAnsiTheme="minorHAnsi" w:cstheme="minorHAnsi"/>
                <w:sz w:val="18"/>
                <w:szCs w:val="18"/>
                <w:lang w:eastAsia="ja-JP"/>
              </w:rPr>
            </w:pPr>
            <w:r w:rsidRPr="003B6A69">
              <w:rPr>
                <w:rFonts w:asciiTheme="minorHAnsi" w:hAnsiTheme="minorHAnsi" w:cstheme="minorHAnsi"/>
                <w:sz w:val="18"/>
                <w:szCs w:val="18"/>
                <w:lang w:eastAsia="ja-JP"/>
              </w:rPr>
              <w:t>Annual</w:t>
            </w:r>
          </w:p>
        </w:tc>
        <w:tc>
          <w:tcPr>
            <w:tcW w:w="1118" w:type="dxa"/>
            <w:tcBorders>
              <w:top w:val="single" w:sz="4" w:space="0" w:color="auto"/>
              <w:left w:val="single" w:sz="4" w:space="0" w:color="auto"/>
              <w:bottom w:val="single" w:sz="4" w:space="0" w:color="auto"/>
              <w:right w:val="single" w:sz="4" w:space="0" w:color="auto"/>
            </w:tcBorders>
          </w:tcPr>
          <w:p w14:paraId="5E87A198" w14:textId="77777777" w:rsidR="004641C4" w:rsidRPr="003B6A69" w:rsidRDefault="004641C4" w:rsidP="004641C4">
            <w:pPr>
              <w:spacing w:afterLines="60" w:after="144"/>
              <w:rPr>
                <w:rFonts w:asciiTheme="minorHAnsi" w:hAnsiTheme="minorHAnsi" w:cstheme="minorHAnsi"/>
                <w:sz w:val="18"/>
                <w:szCs w:val="18"/>
                <w:lang w:eastAsia="ja-JP"/>
              </w:rPr>
            </w:pPr>
            <w:r w:rsidRPr="003B6A69">
              <w:rPr>
                <w:rFonts w:asciiTheme="minorHAnsi" w:hAnsiTheme="minorHAnsi" w:cstheme="minorHAnsi"/>
                <w:sz w:val="18"/>
                <w:szCs w:val="18"/>
                <w:lang w:eastAsia="ja-JP"/>
              </w:rPr>
              <w:t>Project team</w:t>
            </w:r>
          </w:p>
          <w:p w14:paraId="144F25C7" w14:textId="77777777" w:rsidR="004641C4" w:rsidRPr="003B6A69" w:rsidRDefault="004641C4" w:rsidP="004641C4">
            <w:pPr>
              <w:spacing w:afterLines="60" w:after="144"/>
              <w:rPr>
                <w:rFonts w:asciiTheme="minorHAnsi" w:hAnsiTheme="minorHAnsi" w:cstheme="minorHAnsi"/>
                <w:sz w:val="18"/>
                <w:szCs w:val="18"/>
                <w:lang w:eastAsia="ja-JP"/>
              </w:rPr>
            </w:pPr>
            <w:r w:rsidRPr="003B6A69">
              <w:rPr>
                <w:rFonts w:asciiTheme="minorHAnsi" w:hAnsiTheme="minorHAnsi" w:cstheme="minorHAnsi"/>
                <w:sz w:val="18"/>
                <w:szCs w:val="18"/>
                <w:lang w:eastAsia="ja-JP"/>
              </w:rPr>
              <w:t>Responsible party for the green payments scheme</w:t>
            </w:r>
          </w:p>
        </w:tc>
        <w:tc>
          <w:tcPr>
            <w:tcW w:w="1754" w:type="dxa"/>
            <w:tcBorders>
              <w:top w:val="single" w:sz="4" w:space="0" w:color="auto"/>
              <w:left w:val="single" w:sz="4" w:space="0" w:color="auto"/>
              <w:bottom w:val="single" w:sz="4" w:space="0" w:color="auto"/>
              <w:right w:val="single" w:sz="4" w:space="0" w:color="auto"/>
            </w:tcBorders>
          </w:tcPr>
          <w:p w14:paraId="3B6909CD" w14:textId="77777777" w:rsidR="004641C4" w:rsidRPr="003B6A69" w:rsidRDefault="004641C4" w:rsidP="004641C4">
            <w:pPr>
              <w:spacing w:afterLines="60" w:after="144"/>
              <w:rPr>
                <w:rFonts w:asciiTheme="minorHAnsi" w:hAnsiTheme="minorHAnsi" w:cstheme="minorHAnsi"/>
                <w:sz w:val="18"/>
                <w:szCs w:val="18"/>
                <w:lang w:eastAsia="ja-JP"/>
              </w:rPr>
            </w:pPr>
            <w:r w:rsidRPr="003B6A69">
              <w:rPr>
                <w:rFonts w:asciiTheme="minorHAnsi" w:hAnsiTheme="minorHAnsi" w:cstheme="minorHAnsi"/>
                <w:sz w:val="18"/>
                <w:szCs w:val="18"/>
                <w:lang w:eastAsia="ja-JP"/>
              </w:rPr>
              <w:t>Monitoring via annual project reporting (PIR) by project team; Verification at mid-term review and terminal evaluation by independent external experts</w:t>
            </w:r>
          </w:p>
        </w:tc>
        <w:tc>
          <w:tcPr>
            <w:tcW w:w="1633" w:type="dxa"/>
            <w:tcBorders>
              <w:top w:val="single" w:sz="4" w:space="0" w:color="auto"/>
              <w:left w:val="single" w:sz="4" w:space="0" w:color="auto"/>
              <w:bottom w:val="single" w:sz="4" w:space="0" w:color="auto"/>
              <w:right w:val="single" w:sz="4" w:space="0" w:color="auto"/>
            </w:tcBorders>
          </w:tcPr>
          <w:p w14:paraId="47A9D464" w14:textId="77777777" w:rsidR="004641C4" w:rsidRPr="003B6A69" w:rsidRDefault="004641C4" w:rsidP="004641C4">
            <w:pPr>
              <w:spacing w:afterLines="60" w:after="144"/>
              <w:rPr>
                <w:rFonts w:asciiTheme="minorHAnsi" w:hAnsiTheme="minorHAnsi" w:cstheme="minorHAnsi"/>
                <w:sz w:val="18"/>
                <w:szCs w:val="18"/>
                <w:lang w:eastAsia="ja-JP"/>
              </w:rPr>
            </w:pPr>
            <w:r w:rsidRPr="003B6A69">
              <w:rPr>
                <w:rFonts w:asciiTheme="minorHAnsi" w:hAnsiTheme="minorHAnsi" w:cstheme="minorHAnsi"/>
                <w:sz w:val="18"/>
                <w:szCs w:val="18"/>
                <w:lang w:eastAsia="ja-JP"/>
              </w:rPr>
              <w:t>-Co-financing commitments from partners materialized and parallel activities implemented in synergy</w:t>
            </w:r>
          </w:p>
        </w:tc>
      </w:tr>
      <w:tr w:rsidR="004641C4" w:rsidRPr="003B6A69" w14:paraId="023E0317" w14:textId="77777777" w:rsidTr="00BD4C79">
        <w:tc>
          <w:tcPr>
            <w:tcW w:w="1382" w:type="dxa"/>
            <w:vMerge w:val="restart"/>
            <w:tcBorders>
              <w:top w:val="single" w:sz="4" w:space="0" w:color="auto"/>
              <w:left w:val="single" w:sz="4" w:space="0" w:color="auto"/>
              <w:right w:val="single" w:sz="4" w:space="0" w:color="auto"/>
            </w:tcBorders>
          </w:tcPr>
          <w:p w14:paraId="661A88F3" w14:textId="5A9B9046" w:rsidR="004641C4" w:rsidRPr="003B6A69" w:rsidRDefault="004641C4" w:rsidP="004641C4">
            <w:pPr>
              <w:jc w:val="left"/>
              <w:rPr>
                <w:rFonts w:ascii="Times New Roman" w:hAnsi="Times New Roman"/>
                <w:b/>
                <w:bCs/>
                <w:sz w:val="18"/>
                <w:szCs w:val="18"/>
              </w:rPr>
            </w:pPr>
            <w:r w:rsidRPr="003B6A69">
              <w:rPr>
                <w:rFonts w:asciiTheme="minorHAnsi" w:hAnsiTheme="minorHAnsi" w:cstheme="minorHAnsi"/>
                <w:b/>
                <w:sz w:val="18"/>
                <w:szCs w:val="18"/>
                <w:lang w:eastAsia="ja-JP"/>
              </w:rPr>
              <w:lastRenderedPageBreak/>
              <w:t xml:space="preserve">Project Outcome </w:t>
            </w:r>
            <w:r w:rsidRPr="003B6A69">
              <w:rPr>
                <w:rFonts w:ascii="Times New Roman" w:hAnsi="Times New Roman"/>
                <w:b/>
                <w:bCs/>
                <w:sz w:val="18"/>
                <w:szCs w:val="18"/>
              </w:rPr>
              <w:t xml:space="preserve">6: </w:t>
            </w:r>
            <w:r w:rsidRPr="003B6A69">
              <w:rPr>
                <w:rFonts w:ascii="Times New Roman" w:hAnsi="Times New Roman"/>
                <w:b/>
                <w:bCs/>
                <w:sz w:val="18"/>
                <w:szCs w:val="18"/>
                <w:lang w:val="en-GB"/>
              </w:rPr>
              <w:t xml:space="preserve">Knowledge management </w:t>
            </w:r>
            <w:r w:rsidR="00AB2FD0" w:rsidRPr="003B6A69">
              <w:rPr>
                <w:rFonts w:ascii="Times New Roman" w:hAnsi="Times New Roman"/>
                <w:b/>
                <w:bCs/>
                <w:sz w:val="18"/>
                <w:szCs w:val="18"/>
                <w:lang w:val="en-GB"/>
              </w:rPr>
              <w:t>ensured through project implementation</w:t>
            </w:r>
          </w:p>
          <w:p w14:paraId="2304B842" w14:textId="77777777" w:rsidR="004641C4" w:rsidRPr="003B6A69" w:rsidRDefault="004641C4" w:rsidP="004641C4">
            <w:pPr>
              <w:jc w:val="left"/>
              <w:rPr>
                <w:rFonts w:ascii="Times New Roman" w:hAnsi="Times New Roman"/>
                <w:b/>
                <w:bCs/>
                <w:sz w:val="18"/>
                <w:szCs w:val="18"/>
              </w:rPr>
            </w:pPr>
          </w:p>
          <w:p w14:paraId="071D77A0" w14:textId="77777777" w:rsidR="004641C4" w:rsidRPr="003B6A69" w:rsidRDefault="004641C4" w:rsidP="004641C4">
            <w:pPr>
              <w:spacing w:afterLines="60" w:after="144"/>
              <w:jc w:val="left"/>
              <w:rPr>
                <w:rFonts w:asciiTheme="minorHAnsi" w:hAnsiTheme="minorHAnsi" w:cstheme="minorHAnsi"/>
                <w:b/>
                <w:sz w:val="18"/>
                <w:szCs w:val="18"/>
                <w:lang w:eastAsia="ja-JP"/>
              </w:rPr>
            </w:pPr>
          </w:p>
        </w:tc>
        <w:tc>
          <w:tcPr>
            <w:tcW w:w="1840" w:type="dxa"/>
            <w:tcBorders>
              <w:top w:val="single" w:sz="4" w:space="0" w:color="auto"/>
              <w:left w:val="single" w:sz="4" w:space="0" w:color="auto"/>
              <w:bottom w:val="single" w:sz="4" w:space="0" w:color="auto"/>
              <w:right w:val="single" w:sz="4" w:space="0" w:color="auto"/>
            </w:tcBorders>
          </w:tcPr>
          <w:p w14:paraId="1082D8B8" w14:textId="77777777" w:rsidR="004641C4" w:rsidRPr="003B6A69" w:rsidRDefault="004641C4" w:rsidP="004641C4">
            <w:pPr>
              <w:spacing w:afterLines="60" w:after="144"/>
              <w:rPr>
                <w:rFonts w:asciiTheme="minorHAnsi" w:hAnsiTheme="minorHAnsi" w:cstheme="minorHAnsi"/>
                <w:b/>
                <w:sz w:val="18"/>
                <w:szCs w:val="18"/>
                <w:lang w:eastAsia="ja-JP"/>
              </w:rPr>
            </w:pPr>
            <w:r w:rsidRPr="003B6A69">
              <w:rPr>
                <w:rFonts w:ascii="Times New Roman" w:hAnsi="Times New Roman"/>
                <w:bCs/>
                <w:i/>
                <w:sz w:val="18"/>
                <w:szCs w:val="18"/>
              </w:rPr>
              <w:t xml:space="preserve">Indicator 15: </w:t>
            </w:r>
            <w:r w:rsidRPr="003B6A69">
              <w:rPr>
                <w:rFonts w:asciiTheme="minorHAnsi" w:hAnsiTheme="minorHAnsi"/>
                <w:bCs/>
                <w:sz w:val="18"/>
                <w:szCs w:val="18"/>
                <w:lang w:val="en-GB"/>
              </w:rPr>
              <w:t xml:space="preserve">at least 3 knowledge products related to BD conservation considerations mainstreaming into sectoral policies and practices developed and disseminated. Project knowledge products include </w:t>
            </w:r>
            <w:r w:rsidRPr="003B6A69">
              <w:rPr>
                <w:rFonts w:asciiTheme="minorHAnsi" w:hAnsiTheme="minorHAnsi"/>
                <w:bCs/>
                <w:sz w:val="18"/>
                <w:szCs w:val="18"/>
              </w:rPr>
              <w:t>an analysis or showcasing of the interplay of gender equity/empowerment with the specific knowledge topic</w:t>
            </w:r>
          </w:p>
        </w:tc>
        <w:tc>
          <w:tcPr>
            <w:tcW w:w="1427" w:type="dxa"/>
            <w:tcBorders>
              <w:top w:val="single" w:sz="4" w:space="0" w:color="auto"/>
              <w:left w:val="single" w:sz="4" w:space="0" w:color="auto"/>
              <w:bottom w:val="single" w:sz="4" w:space="0" w:color="auto"/>
              <w:right w:val="single" w:sz="4" w:space="0" w:color="auto"/>
            </w:tcBorders>
          </w:tcPr>
          <w:p w14:paraId="06C0C90A" w14:textId="77777777" w:rsidR="004641C4" w:rsidRPr="003B6A69" w:rsidRDefault="004641C4" w:rsidP="004641C4">
            <w:pPr>
              <w:suppressAutoHyphens/>
              <w:spacing w:after="0"/>
              <w:jc w:val="left"/>
              <w:rPr>
                <w:rFonts w:asciiTheme="minorHAnsi" w:eastAsiaTheme="minorHAnsi" w:hAnsiTheme="minorHAnsi" w:cstheme="minorHAnsi"/>
                <w:sz w:val="18"/>
                <w:szCs w:val="18"/>
                <w:lang w:eastAsia="ja-JP"/>
              </w:rPr>
            </w:pPr>
            <w:r w:rsidRPr="003B6A69">
              <w:rPr>
                <w:rFonts w:asciiTheme="minorHAnsi" w:eastAsiaTheme="minorHAnsi" w:hAnsiTheme="minorHAnsi" w:cstheme="minorHAnsi"/>
                <w:sz w:val="18"/>
                <w:szCs w:val="18"/>
                <w:lang w:eastAsia="ja-JP"/>
              </w:rPr>
              <w:t>3</w:t>
            </w:r>
          </w:p>
        </w:tc>
        <w:tc>
          <w:tcPr>
            <w:tcW w:w="1407" w:type="dxa"/>
            <w:tcBorders>
              <w:top w:val="single" w:sz="4" w:space="0" w:color="auto"/>
              <w:left w:val="single" w:sz="4" w:space="0" w:color="auto"/>
              <w:bottom w:val="single" w:sz="4" w:space="0" w:color="auto"/>
              <w:right w:val="single" w:sz="4" w:space="0" w:color="auto"/>
            </w:tcBorders>
          </w:tcPr>
          <w:p w14:paraId="2CED2EF8" w14:textId="77777777" w:rsidR="004641C4" w:rsidRPr="003B6A69" w:rsidRDefault="004641C4" w:rsidP="004641C4">
            <w:pPr>
              <w:spacing w:afterLines="60" w:after="144"/>
              <w:rPr>
                <w:rFonts w:asciiTheme="minorHAnsi" w:hAnsiTheme="minorHAnsi" w:cstheme="minorHAnsi"/>
                <w:sz w:val="18"/>
                <w:szCs w:val="18"/>
                <w:lang w:eastAsia="ja-JP"/>
              </w:rPr>
            </w:pPr>
          </w:p>
        </w:tc>
        <w:tc>
          <w:tcPr>
            <w:tcW w:w="1675" w:type="dxa"/>
            <w:tcBorders>
              <w:top w:val="single" w:sz="4" w:space="0" w:color="auto"/>
              <w:left w:val="single" w:sz="4" w:space="0" w:color="auto"/>
              <w:bottom w:val="single" w:sz="4" w:space="0" w:color="auto"/>
              <w:right w:val="single" w:sz="4" w:space="0" w:color="auto"/>
            </w:tcBorders>
          </w:tcPr>
          <w:p w14:paraId="222FABA0" w14:textId="77777777" w:rsidR="004641C4" w:rsidRPr="003B6A69" w:rsidRDefault="004641C4" w:rsidP="004641C4">
            <w:pPr>
              <w:spacing w:afterLines="60" w:after="144"/>
              <w:rPr>
                <w:rFonts w:asciiTheme="minorHAnsi" w:hAnsiTheme="minorHAnsi" w:cstheme="minorHAnsi"/>
                <w:sz w:val="18"/>
                <w:szCs w:val="18"/>
                <w:lang w:eastAsia="ja-JP"/>
              </w:rPr>
            </w:pPr>
            <w:r w:rsidRPr="003B6A69">
              <w:rPr>
                <w:rFonts w:asciiTheme="minorHAnsi" w:hAnsiTheme="minorHAnsi" w:cstheme="minorHAnsi"/>
                <w:sz w:val="18"/>
                <w:szCs w:val="18"/>
                <w:lang w:eastAsia="ja-JP"/>
              </w:rPr>
              <w:t>Project reports</w:t>
            </w:r>
          </w:p>
          <w:p w14:paraId="19D7D033" w14:textId="77777777" w:rsidR="004641C4" w:rsidRPr="003B6A69" w:rsidRDefault="004641C4" w:rsidP="004641C4">
            <w:pPr>
              <w:spacing w:afterLines="60" w:after="144"/>
              <w:rPr>
                <w:rFonts w:asciiTheme="minorHAnsi" w:hAnsiTheme="minorHAnsi" w:cstheme="minorHAnsi"/>
                <w:sz w:val="18"/>
                <w:szCs w:val="18"/>
                <w:lang w:eastAsia="ja-JP"/>
              </w:rPr>
            </w:pPr>
            <w:r w:rsidRPr="003B6A69">
              <w:rPr>
                <w:rFonts w:asciiTheme="minorHAnsi" w:hAnsiTheme="minorHAnsi" w:cstheme="minorHAnsi"/>
                <w:sz w:val="18"/>
                <w:szCs w:val="18"/>
                <w:lang w:eastAsia="ja-JP"/>
              </w:rPr>
              <w:t xml:space="preserve">Project knowledge products publicly available </w:t>
            </w:r>
          </w:p>
        </w:tc>
        <w:tc>
          <w:tcPr>
            <w:tcW w:w="1277" w:type="dxa"/>
            <w:tcBorders>
              <w:top w:val="single" w:sz="4" w:space="0" w:color="auto"/>
              <w:left w:val="single" w:sz="4" w:space="0" w:color="auto"/>
              <w:bottom w:val="single" w:sz="4" w:space="0" w:color="auto"/>
              <w:right w:val="single" w:sz="4" w:space="0" w:color="auto"/>
            </w:tcBorders>
          </w:tcPr>
          <w:p w14:paraId="075AFB6A" w14:textId="77777777" w:rsidR="004641C4" w:rsidRPr="003B6A69" w:rsidRDefault="004641C4" w:rsidP="004641C4">
            <w:pPr>
              <w:spacing w:afterLines="60" w:after="144"/>
              <w:rPr>
                <w:rFonts w:asciiTheme="minorHAnsi" w:hAnsiTheme="minorHAnsi" w:cstheme="minorHAnsi"/>
                <w:sz w:val="18"/>
                <w:szCs w:val="18"/>
                <w:lang w:eastAsia="ja-JP"/>
              </w:rPr>
            </w:pPr>
            <w:r w:rsidRPr="003B6A69">
              <w:rPr>
                <w:rFonts w:asciiTheme="minorHAnsi" w:hAnsiTheme="minorHAnsi" w:cstheme="minorHAnsi"/>
                <w:sz w:val="18"/>
                <w:szCs w:val="18"/>
                <w:lang w:eastAsia="ja-JP"/>
              </w:rPr>
              <w:t>Annual</w:t>
            </w:r>
          </w:p>
        </w:tc>
        <w:tc>
          <w:tcPr>
            <w:tcW w:w="1118" w:type="dxa"/>
            <w:tcBorders>
              <w:top w:val="single" w:sz="4" w:space="0" w:color="auto"/>
              <w:left w:val="single" w:sz="4" w:space="0" w:color="auto"/>
              <w:bottom w:val="single" w:sz="4" w:space="0" w:color="auto"/>
              <w:right w:val="single" w:sz="4" w:space="0" w:color="auto"/>
            </w:tcBorders>
          </w:tcPr>
          <w:p w14:paraId="486BBE8A" w14:textId="77777777" w:rsidR="004641C4" w:rsidRPr="003B6A69" w:rsidRDefault="004641C4" w:rsidP="004641C4">
            <w:pPr>
              <w:spacing w:afterLines="60" w:after="144"/>
              <w:rPr>
                <w:rFonts w:asciiTheme="minorHAnsi" w:hAnsiTheme="minorHAnsi" w:cstheme="minorHAnsi"/>
                <w:sz w:val="18"/>
                <w:szCs w:val="18"/>
                <w:lang w:eastAsia="ja-JP"/>
              </w:rPr>
            </w:pPr>
            <w:r w:rsidRPr="003B6A69">
              <w:rPr>
                <w:rFonts w:asciiTheme="minorHAnsi" w:hAnsiTheme="minorHAnsi" w:cstheme="minorHAnsi"/>
                <w:sz w:val="18"/>
                <w:szCs w:val="18"/>
                <w:lang w:eastAsia="ja-JP"/>
              </w:rPr>
              <w:t>Project team</w:t>
            </w:r>
          </w:p>
        </w:tc>
        <w:tc>
          <w:tcPr>
            <w:tcW w:w="1754" w:type="dxa"/>
            <w:tcBorders>
              <w:top w:val="single" w:sz="4" w:space="0" w:color="auto"/>
              <w:left w:val="single" w:sz="4" w:space="0" w:color="auto"/>
              <w:bottom w:val="single" w:sz="4" w:space="0" w:color="auto"/>
              <w:right w:val="single" w:sz="4" w:space="0" w:color="auto"/>
            </w:tcBorders>
          </w:tcPr>
          <w:p w14:paraId="68799457" w14:textId="77777777" w:rsidR="004641C4" w:rsidRPr="003B6A69" w:rsidRDefault="004641C4" w:rsidP="004641C4">
            <w:pPr>
              <w:spacing w:afterLines="60" w:after="144"/>
              <w:rPr>
                <w:rFonts w:asciiTheme="minorHAnsi" w:hAnsiTheme="minorHAnsi" w:cstheme="minorHAnsi"/>
                <w:bCs/>
                <w:sz w:val="18"/>
                <w:szCs w:val="18"/>
                <w:lang w:eastAsia="ja-JP"/>
              </w:rPr>
            </w:pPr>
            <w:r w:rsidRPr="003B6A69">
              <w:rPr>
                <w:rFonts w:asciiTheme="minorHAnsi" w:hAnsiTheme="minorHAnsi" w:cstheme="minorHAnsi"/>
                <w:bCs/>
                <w:sz w:val="18"/>
                <w:szCs w:val="18"/>
                <w:lang w:eastAsia="ja-JP"/>
              </w:rPr>
              <w:t>Project-related website, KM product distribution lists</w:t>
            </w:r>
          </w:p>
        </w:tc>
        <w:tc>
          <w:tcPr>
            <w:tcW w:w="1633" w:type="dxa"/>
            <w:tcBorders>
              <w:top w:val="single" w:sz="4" w:space="0" w:color="auto"/>
              <w:left w:val="single" w:sz="4" w:space="0" w:color="auto"/>
              <w:bottom w:val="single" w:sz="4" w:space="0" w:color="auto"/>
              <w:right w:val="single" w:sz="4" w:space="0" w:color="auto"/>
            </w:tcBorders>
          </w:tcPr>
          <w:p w14:paraId="1B3CB024" w14:textId="77777777" w:rsidR="004641C4" w:rsidRPr="003B6A69" w:rsidRDefault="004641C4" w:rsidP="004641C4">
            <w:pPr>
              <w:spacing w:afterLines="60" w:after="144"/>
              <w:rPr>
                <w:rFonts w:asciiTheme="minorHAnsi" w:hAnsiTheme="minorHAnsi" w:cstheme="minorHAnsi"/>
                <w:sz w:val="18"/>
                <w:szCs w:val="18"/>
                <w:lang w:eastAsia="ja-JP"/>
              </w:rPr>
            </w:pPr>
            <w:r w:rsidRPr="003B6A69">
              <w:rPr>
                <w:rFonts w:asciiTheme="minorHAnsi" w:hAnsiTheme="minorHAnsi" w:cstheme="minorHAnsi"/>
                <w:sz w:val="18"/>
                <w:szCs w:val="18"/>
                <w:lang w:eastAsia="ja-JP"/>
              </w:rPr>
              <w:t>-Demand for stand-alone specific knowledge products, printed or web-designed, confirmed by project stakeholders and beneficiaries</w:t>
            </w:r>
          </w:p>
        </w:tc>
      </w:tr>
      <w:tr w:rsidR="004641C4" w:rsidRPr="003B6A69" w14:paraId="7D421C7E" w14:textId="77777777" w:rsidTr="00BD4C79">
        <w:tc>
          <w:tcPr>
            <w:tcW w:w="1382" w:type="dxa"/>
            <w:vMerge/>
            <w:tcBorders>
              <w:left w:val="single" w:sz="4" w:space="0" w:color="auto"/>
              <w:bottom w:val="single" w:sz="4" w:space="0" w:color="auto"/>
              <w:right w:val="single" w:sz="4" w:space="0" w:color="auto"/>
            </w:tcBorders>
          </w:tcPr>
          <w:p w14:paraId="20092AB3" w14:textId="77777777" w:rsidR="004641C4" w:rsidRPr="003B6A69" w:rsidRDefault="004641C4" w:rsidP="004641C4">
            <w:pPr>
              <w:spacing w:afterLines="60" w:after="144"/>
              <w:jc w:val="left"/>
              <w:rPr>
                <w:rFonts w:asciiTheme="minorHAnsi" w:hAnsiTheme="minorHAnsi" w:cstheme="minorHAnsi"/>
                <w:b/>
                <w:sz w:val="18"/>
                <w:szCs w:val="18"/>
                <w:lang w:eastAsia="ja-JP"/>
              </w:rPr>
            </w:pPr>
          </w:p>
        </w:tc>
        <w:tc>
          <w:tcPr>
            <w:tcW w:w="1840" w:type="dxa"/>
            <w:tcBorders>
              <w:top w:val="single" w:sz="4" w:space="0" w:color="auto"/>
              <w:left w:val="single" w:sz="4" w:space="0" w:color="auto"/>
              <w:bottom w:val="single" w:sz="4" w:space="0" w:color="auto"/>
              <w:right w:val="single" w:sz="4" w:space="0" w:color="auto"/>
            </w:tcBorders>
          </w:tcPr>
          <w:p w14:paraId="1AB7E85A" w14:textId="77777777" w:rsidR="004641C4" w:rsidRPr="003B6A69" w:rsidRDefault="004641C4" w:rsidP="004641C4">
            <w:pPr>
              <w:spacing w:afterLines="60" w:after="144"/>
              <w:rPr>
                <w:rFonts w:asciiTheme="minorHAnsi" w:hAnsiTheme="minorHAnsi" w:cstheme="minorHAnsi"/>
                <w:sz w:val="18"/>
                <w:szCs w:val="18"/>
                <w:lang w:eastAsia="ja-JP"/>
              </w:rPr>
            </w:pPr>
            <w:r w:rsidRPr="003B6A69">
              <w:rPr>
                <w:rFonts w:asciiTheme="minorHAnsi" w:hAnsiTheme="minorHAnsi" w:cstheme="minorHAnsi"/>
                <w:bCs/>
                <w:i/>
                <w:sz w:val="18"/>
                <w:szCs w:val="18"/>
                <w:lang w:eastAsia="ja-JP"/>
              </w:rPr>
              <w:t xml:space="preserve">Indicator 16: </w:t>
            </w:r>
            <w:r w:rsidRPr="003B6A69">
              <w:rPr>
                <w:rFonts w:asciiTheme="minorHAnsi" w:hAnsiTheme="minorHAnsi" w:cstheme="minorHAnsi"/>
                <w:bCs/>
                <w:sz w:val="18"/>
                <w:szCs w:val="18"/>
                <w:lang w:eastAsia="ja-JP"/>
              </w:rPr>
              <w:t>Number of women and men getting access to the best available knowledge and practice, through project-supported knowledge products and training</w:t>
            </w:r>
          </w:p>
        </w:tc>
        <w:tc>
          <w:tcPr>
            <w:tcW w:w="1427" w:type="dxa"/>
            <w:tcBorders>
              <w:top w:val="single" w:sz="4" w:space="0" w:color="auto"/>
              <w:left w:val="single" w:sz="4" w:space="0" w:color="auto"/>
              <w:bottom w:val="single" w:sz="4" w:space="0" w:color="auto"/>
              <w:right w:val="single" w:sz="4" w:space="0" w:color="auto"/>
            </w:tcBorders>
          </w:tcPr>
          <w:p w14:paraId="1C598E94" w14:textId="77777777" w:rsidR="004641C4" w:rsidRPr="003B6A69" w:rsidRDefault="004641C4" w:rsidP="004641C4">
            <w:pPr>
              <w:suppressAutoHyphens/>
              <w:spacing w:after="0"/>
              <w:ind w:left="360"/>
              <w:jc w:val="left"/>
              <w:rPr>
                <w:rFonts w:asciiTheme="minorHAnsi" w:eastAsiaTheme="minorHAnsi" w:hAnsiTheme="minorHAnsi" w:cstheme="minorHAnsi"/>
                <w:sz w:val="18"/>
                <w:szCs w:val="18"/>
                <w:lang w:eastAsia="ja-JP"/>
              </w:rPr>
            </w:pPr>
            <w:proofErr w:type="spellStart"/>
            <w:r w:rsidRPr="003B6A69">
              <w:rPr>
                <w:rFonts w:asciiTheme="minorHAnsi" w:eastAsiaTheme="minorHAnsi" w:hAnsiTheme="minorHAnsi" w:cstheme="minorHAnsi"/>
                <w:sz w:val="18"/>
                <w:szCs w:val="18"/>
                <w:lang w:eastAsia="ja-JP"/>
              </w:rPr>
              <w:t>tbd</w:t>
            </w:r>
            <w:proofErr w:type="spellEnd"/>
          </w:p>
        </w:tc>
        <w:tc>
          <w:tcPr>
            <w:tcW w:w="1407" w:type="dxa"/>
            <w:tcBorders>
              <w:top w:val="single" w:sz="4" w:space="0" w:color="auto"/>
              <w:left w:val="single" w:sz="4" w:space="0" w:color="auto"/>
              <w:bottom w:val="single" w:sz="4" w:space="0" w:color="auto"/>
              <w:right w:val="single" w:sz="4" w:space="0" w:color="auto"/>
            </w:tcBorders>
          </w:tcPr>
          <w:p w14:paraId="32BF7AFD" w14:textId="77777777" w:rsidR="004641C4" w:rsidRPr="003B6A69" w:rsidRDefault="004641C4" w:rsidP="004641C4">
            <w:pPr>
              <w:spacing w:afterLines="60" w:after="144"/>
              <w:rPr>
                <w:rFonts w:asciiTheme="minorHAnsi" w:hAnsiTheme="minorHAnsi" w:cstheme="minorHAnsi"/>
                <w:sz w:val="18"/>
                <w:szCs w:val="18"/>
                <w:lang w:eastAsia="ja-JP"/>
              </w:rPr>
            </w:pPr>
          </w:p>
        </w:tc>
        <w:tc>
          <w:tcPr>
            <w:tcW w:w="1675" w:type="dxa"/>
            <w:tcBorders>
              <w:top w:val="single" w:sz="4" w:space="0" w:color="auto"/>
              <w:left w:val="single" w:sz="4" w:space="0" w:color="auto"/>
              <w:bottom w:val="single" w:sz="4" w:space="0" w:color="auto"/>
              <w:right w:val="single" w:sz="4" w:space="0" w:color="auto"/>
            </w:tcBorders>
          </w:tcPr>
          <w:p w14:paraId="76DE10BA" w14:textId="77777777" w:rsidR="004641C4" w:rsidRPr="003B6A69" w:rsidRDefault="004641C4" w:rsidP="004641C4">
            <w:pPr>
              <w:spacing w:afterLines="60" w:after="144"/>
              <w:rPr>
                <w:rFonts w:asciiTheme="minorHAnsi" w:hAnsiTheme="minorHAnsi" w:cstheme="minorHAnsi"/>
                <w:sz w:val="18"/>
                <w:szCs w:val="18"/>
                <w:lang w:eastAsia="ja-JP"/>
              </w:rPr>
            </w:pPr>
            <w:r w:rsidRPr="003B6A69">
              <w:rPr>
                <w:rFonts w:asciiTheme="minorHAnsi" w:hAnsiTheme="minorHAnsi" w:cstheme="minorHAnsi"/>
                <w:sz w:val="18"/>
                <w:szCs w:val="18"/>
                <w:lang w:eastAsia="ja-JP"/>
              </w:rPr>
              <w:t>Project reports</w:t>
            </w:r>
          </w:p>
          <w:p w14:paraId="4034A116" w14:textId="77777777" w:rsidR="004641C4" w:rsidRPr="003B6A69" w:rsidRDefault="004641C4" w:rsidP="004641C4">
            <w:pPr>
              <w:spacing w:afterLines="60" w:after="144"/>
              <w:rPr>
                <w:rFonts w:asciiTheme="minorHAnsi" w:hAnsiTheme="minorHAnsi" w:cstheme="minorHAnsi"/>
                <w:sz w:val="18"/>
                <w:szCs w:val="18"/>
                <w:lang w:eastAsia="ja-JP"/>
              </w:rPr>
            </w:pPr>
            <w:r w:rsidRPr="003B6A69">
              <w:rPr>
                <w:rFonts w:asciiTheme="minorHAnsi" w:hAnsiTheme="minorHAnsi" w:cstheme="minorHAnsi"/>
                <w:sz w:val="18"/>
                <w:szCs w:val="18"/>
                <w:lang w:eastAsia="ja-JP"/>
              </w:rPr>
              <w:t>Project knowledge products distribution lists</w:t>
            </w:r>
          </w:p>
          <w:p w14:paraId="3E14AA06" w14:textId="77777777" w:rsidR="004641C4" w:rsidRPr="003B6A69" w:rsidRDefault="004641C4" w:rsidP="004641C4">
            <w:pPr>
              <w:spacing w:afterLines="60" w:after="144"/>
              <w:rPr>
                <w:rFonts w:asciiTheme="minorHAnsi" w:hAnsiTheme="minorHAnsi" w:cstheme="minorHAnsi"/>
                <w:sz w:val="18"/>
                <w:szCs w:val="18"/>
                <w:lang w:eastAsia="ja-JP"/>
              </w:rPr>
            </w:pPr>
            <w:r w:rsidRPr="003B6A69">
              <w:rPr>
                <w:rFonts w:asciiTheme="minorHAnsi" w:hAnsiTheme="minorHAnsi" w:cstheme="minorHAnsi"/>
                <w:sz w:val="18"/>
                <w:szCs w:val="18"/>
                <w:lang w:eastAsia="ja-JP"/>
              </w:rPr>
              <w:t>Project-related web resources visitors</w:t>
            </w:r>
          </w:p>
          <w:p w14:paraId="39CB8AA3" w14:textId="77777777" w:rsidR="004641C4" w:rsidRPr="003B6A69" w:rsidRDefault="004641C4" w:rsidP="004641C4">
            <w:pPr>
              <w:spacing w:afterLines="60" w:after="144"/>
              <w:rPr>
                <w:rFonts w:asciiTheme="minorHAnsi" w:hAnsiTheme="minorHAnsi" w:cstheme="minorHAnsi"/>
                <w:sz w:val="18"/>
                <w:szCs w:val="18"/>
                <w:lang w:eastAsia="ja-JP"/>
              </w:rPr>
            </w:pPr>
            <w:r w:rsidRPr="003B6A69">
              <w:rPr>
                <w:rFonts w:asciiTheme="minorHAnsi" w:hAnsiTheme="minorHAnsi" w:cstheme="minorHAnsi"/>
                <w:sz w:val="18"/>
                <w:szCs w:val="18"/>
                <w:lang w:eastAsia="ja-JP"/>
              </w:rPr>
              <w:t>List of participants of trainings and other KM events</w:t>
            </w:r>
          </w:p>
          <w:p w14:paraId="50925C9D" w14:textId="77777777" w:rsidR="004641C4" w:rsidRPr="003B6A69" w:rsidRDefault="004641C4" w:rsidP="004641C4">
            <w:pPr>
              <w:spacing w:afterLines="60" w:after="144"/>
              <w:rPr>
                <w:rFonts w:asciiTheme="minorHAnsi" w:hAnsiTheme="minorHAnsi" w:cstheme="minorHAnsi"/>
                <w:sz w:val="18"/>
                <w:szCs w:val="18"/>
                <w:lang w:eastAsia="ja-JP"/>
              </w:rPr>
            </w:pPr>
            <w:r w:rsidRPr="003B6A69">
              <w:rPr>
                <w:rFonts w:asciiTheme="minorHAnsi" w:hAnsiTheme="minorHAnsi" w:cstheme="minorHAnsi"/>
                <w:sz w:val="18"/>
                <w:szCs w:val="18"/>
                <w:lang w:eastAsia="ja-JP"/>
              </w:rPr>
              <w:t xml:space="preserve"> </w:t>
            </w:r>
          </w:p>
        </w:tc>
        <w:tc>
          <w:tcPr>
            <w:tcW w:w="1277" w:type="dxa"/>
            <w:tcBorders>
              <w:top w:val="single" w:sz="4" w:space="0" w:color="auto"/>
              <w:left w:val="single" w:sz="4" w:space="0" w:color="auto"/>
              <w:bottom w:val="single" w:sz="4" w:space="0" w:color="auto"/>
              <w:right w:val="single" w:sz="4" w:space="0" w:color="auto"/>
            </w:tcBorders>
          </w:tcPr>
          <w:p w14:paraId="19F7E53B" w14:textId="77777777" w:rsidR="004641C4" w:rsidRPr="003B6A69" w:rsidRDefault="004641C4" w:rsidP="004641C4">
            <w:pPr>
              <w:spacing w:afterLines="60" w:after="144"/>
              <w:rPr>
                <w:rFonts w:asciiTheme="minorHAnsi" w:hAnsiTheme="minorHAnsi" w:cstheme="minorHAnsi"/>
                <w:sz w:val="18"/>
                <w:szCs w:val="18"/>
                <w:lang w:eastAsia="ja-JP"/>
              </w:rPr>
            </w:pPr>
            <w:r w:rsidRPr="003B6A69">
              <w:rPr>
                <w:rFonts w:asciiTheme="minorHAnsi" w:hAnsiTheme="minorHAnsi" w:cstheme="minorHAnsi"/>
                <w:sz w:val="18"/>
                <w:szCs w:val="18"/>
                <w:lang w:eastAsia="ja-JP"/>
              </w:rPr>
              <w:t>Annual</w:t>
            </w:r>
          </w:p>
        </w:tc>
        <w:tc>
          <w:tcPr>
            <w:tcW w:w="1118" w:type="dxa"/>
            <w:tcBorders>
              <w:top w:val="single" w:sz="4" w:space="0" w:color="auto"/>
              <w:left w:val="single" w:sz="4" w:space="0" w:color="auto"/>
              <w:bottom w:val="single" w:sz="4" w:space="0" w:color="auto"/>
              <w:right w:val="single" w:sz="4" w:space="0" w:color="auto"/>
            </w:tcBorders>
          </w:tcPr>
          <w:p w14:paraId="5621B504" w14:textId="77777777" w:rsidR="004641C4" w:rsidRPr="003B6A69" w:rsidRDefault="004641C4" w:rsidP="004641C4">
            <w:pPr>
              <w:spacing w:afterLines="60" w:after="144"/>
              <w:rPr>
                <w:rFonts w:asciiTheme="minorHAnsi" w:hAnsiTheme="minorHAnsi" w:cstheme="minorHAnsi"/>
                <w:sz w:val="18"/>
                <w:szCs w:val="18"/>
                <w:lang w:eastAsia="ja-JP"/>
              </w:rPr>
            </w:pPr>
            <w:r w:rsidRPr="003B6A69">
              <w:rPr>
                <w:rFonts w:asciiTheme="minorHAnsi" w:hAnsiTheme="minorHAnsi" w:cstheme="minorHAnsi"/>
                <w:sz w:val="18"/>
                <w:szCs w:val="18"/>
                <w:lang w:eastAsia="ja-JP"/>
              </w:rPr>
              <w:t>Project team</w:t>
            </w:r>
          </w:p>
        </w:tc>
        <w:tc>
          <w:tcPr>
            <w:tcW w:w="1754" w:type="dxa"/>
            <w:tcBorders>
              <w:top w:val="single" w:sz="4" w:space="0" w:color="auto"/>
              <w:left w:val="single" w:sz="4" w:space="0" w:color="auto"/>
              <w:bottom w:val="single" w:sz="4" w:space="0" w:color="auto"/>
              <w:right w:val="single" w:sz="4" w:space="0" w:color="auto"/>
            </w:tcBorders>
          </w:tcPr>
          <w:p w14:paraId="662A3736" w14:textId="77777777" w:rsidR="004641C4" w:rsidRPr="003B6A69" w:rsidRDefault="004641C4" w:rsidP="004641C4">
            <w:pPr>
              <w:spacing w:afterLines="60" w:after="144"/>
              <w:rPr>
                <w:rFonts w:asciiTheme="minorHAnsi" w:hAnsiTheme="minorHAnsi" w:cstheme="minorHAnsi"/>
                <w:bCs/>
                <w:sz w:val="18"/>
                <w:szCs w:val="18"/>
                <w:lang w:eastAsia="ja-JP"/>
              </w:rPr>
            </w:pPr>
            <w:r w:rsidRPr="003B6A69">
              <w:rPr>
                <w:rFonts w:asciiTheme="minorHAnsi" w:hAnsiTheme="minorHAnsi" w:cstheme="minorHAnsi"/>
                <w:bCs/>
                <w:sz w:val="18"/>
                <w:szCs w:val="18"/>
                <w:lang w:eastAsia="ja-JP"/>
              </w:rPr>
              <w:t>Project-related website, KM product distribution lists</w:t>
            </w:r>
          </w:p>
        </w:tc>
        <w:tc>
          <w:tcPr>
            <w:tcW w:w="1633" w:type="dxa"/>
            <w:tcBorders>
              <w:top w:val="single" w:sz="4" w:space="0" w:color="auto"/>
              <w:left w:val="single" w:sz="4" w:space="0" w:color="auto"/>
              <w:bottom w:val="single" w:sz="4" w:space="0" w:color="auto"/>
              <w:right w:val="single" w:sz="4" w:space="0" w:color="auto"/>
            </w:tcBorders>
          </w:tcPr>
          <w:p w14:paraId="7C950DDF" w14:textId="77777777" w:rsidR="004641C4" w:rsidRPr="003B6A69" w:rsidRDefault="004641C4" w:rsidP="004641C4">
            <w:pPr>
              <w:spacing w:afterLines="60" w:after="144"/>
              <w:rPr>
                <w:rFonts w:asciiTheme="minorHAnsi" w:hAnsiTheme="minorHAnsi" w:cstheme="minorHAnsi"/>
                <w:sz w:val="18"/>
                <w:szCs w:val="18"/>
                <w:lang w:eastAsia="ja-JP"/>
              </w:rPr>
            </w:pPr>
            <w:r w:rsidRPr="003B6A69">
              <w:rPr>
                <w:rFonts w:asciiTheme="minorHAnsi" w:hAnsiTheme="minorHAnsi" w:cstheme="minorHAnsi"/>
                <w:sz w:val="18"/>
                <w:szCs w:val="18"/>
                <w:lang w:eastAsia="ja-JP"/>
              </w:rPr>
              <w:t>-Demand for stand-alone specific knowledge products, printed or web-designed, trainings and other KM events confirmed by project stakeholders and beneficiaries</w:t>
            </w:r>
          </w:p>
        </w:tc>
      </w:tr>
      <w:bookmarkEnd w:id="69"/>
    </w:tbl>
    <w:p w14:paraId="6C4C10F8" w14:textId="77777777" w:rsidR="004641C4" w:rsidRPr="003B6A69" w:rsidRDefault="004641C4" w:rsidP="004641C4">
      <w:pPr>
        <w:spacing w:after="0"/>
        <w:jc w:val="left"/>
        <w:rPr>
          <w:rFonts w:asciiTheme="minorHAnsi" w:hAnsiTheme="minorHAnsi" w:cstheme="minorHAnsi"/>
          <w:szCs w:val="22"/>
        </w:rPr>
      </w:pPr>
    </w:p>
    <w:p w14:paraId="3C73226B" w14:textId="77777777" w:rsidR="00B53025" w:rsidRPr="003B6A69" w:rsidRDefault="00B53025" w:rsidP="00D1090B"/>
    <w:p w14:paraId="6BD92A44" w14:textId="77777777" w:rsidR="00B53025" w:rsidRPr="003B6A69" w:rsidRDefault="00B53025" w:rsidP="00D1090B">
      <w:pPr>
        <w:sectPr w:rsidR="00B53025" w:rsidRPr="003B6A69" w:rsidSect="00704D5D">
          <w:pgSz w:w="15840" w:h="12240" w:orient="landscape"/>
          <w:pgMar w:top="1440" w:right="1440" w:bottom="1440" w:left="1440" w:header="720" w:footer="720" w:gutter="0"/>
          <w:cols w:space="720"/>
          <w:titlePg/>
          <w:docGrid w:linePitch="360"/>
        </w:sectPr>
      </w:pPr>
    </w:p>
    <w:p w14:paraId="51C6D254" w14:textId="5B9485AD" w:rsidR="00B53025" w:rsidRPr="003B6A69" w:rsidRDefault="00B53025" w:rsidP="00D1090B"/>
    <w:p w14:paraId="36EB1E12" w14:textId="65ED446A" w:rsidR="00D135BA" w:rsidRPr="003B6A69" w:rsidRDefault="00D135BA" w:rsidP="00B24DF3">
      <w:pPr>
        <w:pStyle w:val="Heading2"/>
        <w:rPr>
          <w:lang w:val="en-GB"/>
        </w:rPr>
      </w:pPr>
      <w:bookmarkStart w:id="70" w:name="_Annex_5:_UNDP"/>
      <w:bookmarkStart w:id="71" w:name="_Toc82018278"/>
      <w:bookmarkEnd w:id="70"/>
      <w:r w:rsidRPr="003B6A69">
        <w:rPr>
          <w:lang w:val="en-GB"/>
        </w:rPr>
        <w:t xml:space="preserve">Annex </w:t>
      </w:r>
      <w:r w:rsidR="006C1C66" w:rsidRPr="003B6A69">
        <w:rPr>
          <w:lang w:val="en-GB"/>
        </w:rPr>
        <w:t>5</w:t>
      </w:r>
      <w:r w:rsidRPr="003B6A69">
        <w:rPr>
          <w:lang w:val="en-GB"/>
        </w:rPr>
        <w:t>: UNDP Social and Environmental Screening Procedure (SESP)</w:t>
      </w:r>
      <w:bookmarkEnd w:id="71"/>
    </w:p>
    <w:p w14:paraId="2695C600" w14:textId="77777777" w:rsidR="00D1090B" w:rsidRPr="003B6A69" w:rsidRDefault="00D1090B" w:rsidP="00D1090B">
      <w:pPr>
        <w:rPr>
          <w:rFonts w:eastAsia="MS Mincho"/>
          <w:i/>
          <w:szCs w:val="20"/>
          <w:lang w:eastAsia="ja-JP"/>
        </w:rPr>
      </w:pPr>
    </w:p>
    <w:p w14:paraId="5AD9C238" w14:textId="77777777" w:rsidR="00D1090B" w:rsidRPr="003B6A69" w:rsidRDefault="00D1090B" w:rsidP="00D1090B">
      <w:pPr>
        <w:rPr>
          <w:rFonts w:eastAsia="MS Mincho"/>
          <w:i/>
          <w:lang w:eastAsia="ja-JP"/>
        </w:rPr>
      </w:pPr>
      <w:r w:rsidRPr="003B6A69">
        <w:rPr>
          <w:rFonts w:eastAsia="MS Mincho"/>
          <w:i/>
          <w:szCs w:val="20"/>
          <w:lang w:eastAsia="ja-JP"/>
        </w:rPr>
        <w:t xml:space="preserve">The draft Social and Environmental Screening Report presented below was generated as a result of the pre- Social and Environmental Screening Procedure (SESP) procedure and will finalized during the PPG process with a due reference to the </w:t>
      </w:r>
      <w:hyperlink r:id="rId36" w:history="1">
        <w:r w:rsidRPr="003B6A69">
          <w:rPr>
            <w:rFonts w:eastAsia="MS Mincho"/>
            <w:i/>
            <w:color w:val="0000FF"/>
            <w:szCs w:val="20"/>
            <w:u w:val="single"/>
            <w:lang w:eastAsia="ja-JP"/>
          </w:rPr>
          <w:t>Social and Environmental Screening Procedure</w:t>
        </w:r>
      </w:hyperlink>
      <w:r w:rsidRPr="003B6A69">
        <w:rPr>
          <w:rFonts w:eastAsia="MS Mincho"/>
          <w:i/>
          <w:szCs w:val="20"/>
          <w:lang w:eastAsia="ja-JP"/>
        </w:rPr>
        <w:t xml:space="preserve"> and </w:t>
      </w:r>
      <w:hyperlink r:id="rId37" w:history="1">
        <w:r w:rsidRPr="003B6A69">
          <w:rPr>
            <w:rFonts w:eastAsia="MS Mincho"/>
            <w:i/>
            <w:color w:val="0000FF"/>
            <w:szCs w:val="20"/>
            <w:u w:val="single"/>
            <w:lang w:eastAsia="ja-JP"/>
          </w:rPr>
          <w:t>Toolkit</w:t>
        </w:r>
      </w:hyperlink>
      <w:r w:rsidRPr="003B6A69">
        <w:rPr>
          <w:rFonts w:eastAsia="MS Mincho"/>
          <w:i/>
          <w:szCs w:val="20"/>
          <w:lang w:eastAsia="ja-JP"/>
        </w:rPr>
        <w:t>.</w:t>
      </w:r>
    </w:p>
    <w:p w14:paraId="6EFCBE79" w14:textId="77777777" w:rsidR="00D1090B" w:rsidRPr="003B6A69" w:rsidRDefault="00D1090B" w:rsidP="00D1090B">
      <w:pPr>
        <w:spacing w:before="200"/>
        <w:ind w:left="360"/>
        <w:rPr>
          <w:rFonts w:eastAsia="MS Mincho"/>
          <w:b/>
          <w:color w:val="365F91"/>
          <w:sz w:val="24"/>
          <w:lang w:eastAsia="ja-JP"/>
        </w:rPr>
      </w:pPr>
      <w:r w:rsidRPr="003B6A69">
        <w:rPr>
          <w:rFonts w:eastAsia="MS Mincho"/>
          <w:b/>
          <w:color w:val="365F91"/>
          <w:sz w:val="24"/>
        </w:rPr>
        <w:t>Project information</w:t>
      </w:r>
    </w:p>
    <w:p w14:paraId="712429E1" w14:textId="77777777" w:rsidR="00D1090B" w:rsidRPr="003B6A69" w:rsidRDefault="00D1090B" w:rsidP="00D1090B">
      <w:pPr>
        <w:rPr>
          <w:rFonts w:eastAsia="MS Mincho"/>
          <w:lang w:eastAsia="ja-JP"/>
        </w:rPr>
      </w:pPr>
    </w:p>
    <w:tbl>
      <w:tblPr>
        <w:tblW w:w="13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5"/>
        <w:gridCol w:w="9923"/>
      </w:tblGrid>
      <w:tr w:rsidR="00D1090B" w:rsidRPr="003B6A69" w14:paraId="7977F4B7" w14:textId="77777777" w:rsidTr="00D1090B">
        <w:tc>
          <w:tcPr>
            <w:tcW w:w="3325" w:type="dxa"/>
            <w:shd w:val="clear" w:color="auto" w:fill="C6D9F1"/>
            <w:vAlign w:val="center"/>
          </w:tcPr>
          <w:p w14:paraId="13679BBF" w14:textId="77777777" w:rsidR="00D1090B" w:rsidRPr="003B6A69" w:rsidRDefault="00D1090B" w:rsidP="00D1090B">
            <w:pPr>
              <w:tabs>
                <w:tab w:val="left" w:pos="360"/>
              </w:tabs>
              <w:rPr>
                <w:rFonts w:eastAsia="MS Mincho"/>
                <w:b/>
                <w:i/>
                <w:color w:val="000000"/>
                <w:szCs w:val="20"/>
                <w:lang w:eastAsia="ja-JP"/>
              </w:rPr>
            </w:pPr>
            <w:r w:rsidRPr="003B6A69">
              <w:rPr>
                <w:rFonts w:eastAsia="MS Mincho"/>
                <w:b/>
                <w:i/>
                <w:color w:val="000000"/>
                <w:szCs w:val="20"/>
                <w:lang w:eastAsia="ja-JP"/>
              </w:rPr>
              <w:t xml:space="preserve">Project Information </w:t>
            </w:r>
          </w:p>
        </w:tc>
        <w:tc>
          <w:tcPr>
            <w:tcW w:w="9923" w:type="dxa"/>
            <w:shd w:val="clear" w:color="auto" w:fill="C6D9F1"/>
            <w:vAlign w:val="center"/>
          </w:tcPr>
          <w:p w14:paraId="08CE9D5F" w14:textId="77777777" w:rsidR="00D1090B" w:rsidRPr="003B6A69" w:rsidRDefault="00D1090B" w:rsidP="00D1090B">
            <w:pPr>
              <w:rPr>
                <w:rFonts w:eastAsia="MS Mincho"/>
                <w:i/>
                <w:color w:val="000000"/>
                <w:szCs w:val="20"/>
                <w:lang w:eastAsia="ja-JP"/>
              </w:rPr>
            </w:pPr>
          </w:p>
        </w:tc>
      </w:tr>
      <w:tr w:rsidR="00D1090B" w:rsidRPr="003B6A69" w14:paraId="4896C4DB" w14:textId="77777777" w:rsidTr="00D1090B">
        <w:trPr>
          <w:trHeight w:val="288"/>
        </w:trPr>
        <w:tc>
          <w:tcPr>
            <w:tcW w:w="3325" w:type="dxa"/>
            <w:shd w:val="clear" w:color="auto" w:fill="auto"/>
            <w:vAlign w:val="center"/>
          </w:tcPr>
          <w:p w14:paraId="09F3FAF5" w14:textId="77777777" w:rsidR="00D1090B" w:rsidRPr="003B6A69" w:rsidRDefault="00D1090B" w:rsidP="003C6B7B">
            <w:pPr>
              <w:numPr>
                <w:ilvl w:val="0"/>
                <w:numId w:val="17"/>
              </w:numPr>
              <w:spacing w:after="0"/>
              <w:ind w:left="360"/>
              <w:contextualSpacing/>
              <w:jc w:val="left"/>
              <w:rPr>
                <w:rFonts w:eastAsia="MS Mincho"/>
                <w:sz w:val="18"/>
                <w:szCs w:val="18"/>
                <w:lang w:eastAsia="ja-JP"/>
              </w:rPr>
            </w:pPr>
            <w:r w:rsidRPr="003B6A69">
              <w:rPr>
                <w:rFonts w:eastAsia="MS Mincho"/>
                <w:sz w:val="18"/>
                <w:szCs w:val="18"/>
                <w:lang w:eastAsia="ja-JP"/>
              </w:rPr>
              <w:t>Project Title</w:t>
            </w:r>
          </w:p>
        </w:tc>
        <w:tc>
          <w:tcPr>
            <w:tcW w:w="9923" w:type="dxa"/>
            <w:shd w:val="clear" w:color="auto" w:fill="auto"/>
            <w:vAlign w:val="center"/>
          </w:tcPr>
          <w:p w14:paraId="6FEF40D3" w14:textId="77777777" w:rsidR="00D1090B" w:rsidRPr="003B6A69" w:rsidRDefault="00D1090B" w:rsidP="00D1090B">
            <w:pPr>
              <w:rPr>
                <w:rFonts w:eastAsia="MS Mincho"/>
                <w:sz w:val="18"/>
                <w:szCs w:val="18"/>
                <w:lang w:eastAsia="ja-JP"/>
              </w:rPr>
            </w:pPr>
            <w:r w:rsidRPr="003B6A69">
              <w:rPr>
                <w:b/>
                <w:szCs w:val="20"/>
              </w:rPr>
              <w:t>“Biodiversity Mainstreaming into Sectoral Policies and Practices for Better Protection of Biodiversity Hot-Spots in Montenegro”</w:t>
            </w:r>
          </w:p>
        </w:tc>
      </w:tr>
      <w:tr w:rsidR="00D1090B" w:rsidRPr="003B6A69" w14:paraId="194AF785" w14:textId="77777777" w:rsidTr="00D1090B">
        <w:trPr>
          <w:trHeight w:val="288"/>
        </w:trPr>
        <w:tc>
          <w:tcPr>
            <w:tcW w:w="3325" w:type="dxa"/>
            <w:shd w:val="clear" w:color="auto" w:fill="auto"/>
            <w:vAlign w:val="center"/>
          </w:tcPr>
          <w:p w14:paraId="5B0AD61B" w14:textId="77777777" w:rsidR="00D1090B" w:rsidRPr="003B6A69" w:rsidRDefault="00D1090B" w:rsidP="003C6B7B">
            <w:pPr>
              <w:numPr>
                <w:ilvl w:val="0"/>
                <w:numId w:val="17"/>
              </w:numPr>
              <w:spacing w:after="0"/>
              <w:ind w:left="360"/>
              <w:contextualSpacing/>
              <w:jc w:val="left"/>
              <w:rPr>
                <w:rFonts w:eastAsia="MS Mincho"/>
                <w:sz w:val="18"/>
                <w:szCs w:val="18"/>
                <w:lang w:eastAsia="ja-JP"/>
              </w:rPr>
            </w:pPr>
            <w:r w:rsidRPr="003B6A69">
              <w:rPr>
                <w:rFonts w:eastAsia="MS Mincho"/>
                <w:sz w:val="18"/>
                <w:szCs w:val="18"/>
                <w:lang w:eastAsia="ja-JP"/>
              </w:rPr>
              <w:t>Project Number</w:t>
            </w:r>
          </w:p>
        </w:tc>
        <w:tc>
          <w:tcPr>
            <w:tcW w:w="9923" w:type="dxa"/>
            <w:shd w:val="clear" w:color="auto" w:fill="auto"/>
            <w:vAlign w:val="center"/>
          </w:tcPr>
          <w:p w14:paraId="49C4ADC3" w14:textId="77777777" w:rsidR="00D1090B" w:rsidRPr="003B6A69" w:rsidRDefault="00D1090B" w:rsidP="00D1090B">
            <w:pPr>
              <w:rPr>
                <w:rFonts w:eastAsia="MS Mincho"/>
                <w:sz w:val="18"/>
                <w:szCs w:val="18"/>
                <w:lang w:eastAsia="ja-JP"/>
              </w:rPr>
            </w:pPr>
            <w:r w:rsidRPr="003B6A69">
              <w:rPr>
                <w:rFonts w:eastAsia="MS Mincho"/>
                <w:sz w:val="18"/>
                <w:szCs w:val="18"/>
                <w:lang w:eastAsia="ja-JP"/>
              </w:rPr>
              <w:t xml:space="preserve">PIMS </w:t>
            </w:r>
            <w:r w:rsidRPr="003B6A69">
              <w:rPr>
                <w:sz w:val="18"/>
                <w:szCs w:val="18"/>
              </w:rPr>
              <w:t>6461</w:t>
            </w:r>
          </w:p>
        </w:tc>
      </w:tr>
      <w:tr w:rsidR="00D1090B" w:rsidRPr="003B6A69" w14:paraId="4E47461C" w14:textId="77777777" w:rsidTr="00D1090B">
        <w:trPr>
          <w:trHeight w:val="288"/>
        </w:trPr>
        <w:tc>
          <w:tcPr>
            <w:tcW w:w="3325" w:type="dxa"/>
            <w:shd w:val="clear" w:color="auto" w:fill="auto"/>
            <w:vAlign w:val="center"/>
          </w:tcPr>
          <w:p w14:paraId="6C066F72" w14:textId="77777777" w:rsidR="00D1090B" w:rsidRPr="003B6A69" w:rsidRDefault="00D1090B" w:rsidP="003C6B7B">
            <w:pPr>
              <w:numPr>
                <w:ilvl w:val="0"/>
                <w:numId w:val="17"/>
              </w:numPr>
              <w:spacing w:after="0"/>
              <w:ind w:left="360"/>
              <w:contextualSpacing/>
              <w:jc w:val="left"/>
              <w:rPr>
                <w:rFonts w:eastAsia="MS Mincho"/>
                <w:sz w:val="18"/>
                <w:szCs w:val="18"/>
                <w:lang w:eastAsia="ja-JP"/>
              </w:rPr>
            </w:pPr>
            <w:r w:rsidRPr="003B6A69">
              <w:rPr>
                <w:rFonts w:eastAsia="MS Mincho"/>
                <w:sz w:val="18"/>
                <w:szCs w:val="18"/>
                <w:lang w:eastAsia="ja-JP"/>
              </w:rPr>
              <w:t>Location (Global/Region/Country)</w:t>
            </w:r>
          </w:p>
        </w:tc>
        <w:tc>
          <w:tcPr>
            <w:tcW w:w="9923" w:type="dxa"/>
            <w:shd w:val="clear" w:color="auto" w:fill="auto"/>
            <w:vAlign w:val="center"/>
          </w:tcPr>
          <w:p w14:paraId="4DEE6937" w14:textId="77777777" w:rsidR="00D1090B" w:rsidRPr="003B6A69" w:rsidRDefault="00D1090B" w:rsidP="00D1090B">
            <w:pPr>
              <w:rPr>
                <w:rFonts w:eastAsia="MS Mincho"/>
                <w:sz w:val="18"/>
                <w:szCs w:val="18"/>
                <w:lang w:eastAsia="ja-JP"/>
              </w:rPr>
            </w:pPr>
            <w:r w:rsidRPr="003B6A69">
              <w:rPr>
                <w:rFonts w:eastAsia="MS Mincho"/>
                <w:sz w:val="18"/>
                <w:szCs w:val="18"/>
                <w:lang w:eastAsia="ja-JP"/>
              </w:rPr>
              <w:t>Montenegro</w:t>
            </w:r>
          </w:p>
        </w:tc>
      </w:tr>
    </w:tbl>
    <w:p w14:paraId="1F5985ED" w14:textId="77777777" w:rsidR="00D1090B" w:rsidRPr="003B6A69" w:rsidRDefault="00D1090B" w:rsidP="00D1090B">
      <w:pPr>
        <w:tabs>
          <w:tab w:val="left" w:pos="360"/>
        </w:tabs>
        <w:rPr>
          <w:rFonts w:eastAsia="MS Mincho"/>
          <w:szCs w:val="20"/>
          <w:lang w:eastAsia="ja-JP"/>
        </w:rPr>
      </w:pPr>
    </w:p>
    <w:p w14:paraId="4873A233" w14:textId="77777777" w:rsidR="00D1090B" w:rsidRPr="003B6A69" w:rsidRDefault="00D1090B" w:rsidP="00D1090B">
      <w:pPr>
        <w:spacing w:before="200"/>
        <w:ind w:left="360"/>
        <w:rPr>
          <w:rFonts w:eastAsia="MS Mincho"/>
          <w:b/>
          <w:color w:val="365F91"/>
          <w:sz w:val="24"/>
          <w:lang w:eastAsia="ja-JP"/>
        </w:rPr>
      </w:pPr>
      <w:r w:rsidRPr="003B6A69">
        <w:rPr>
          <w:rFonts w:eastAsia="MS Mincho"/>
          <w:b/>
          <w:color w:val="365F91"/>
          <w:sz w:val="24"/>
          <w:lang w:eastAsia="ja-JP"/>
        </w:rPr>
        <w:t>Part A. Integrating Overarching Principles to Strengthen Social and Environmental Sustainability</w:t>
      </w:r>
    </w:p>
    <w:tbl>
      <w:tblPr>
        <w:tblW w:w="131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30"/>
        <w:gridCol w:w="1440"/>
        <w:gridCol w:w="1260"/>
        <w:gridCol w:w="1980"/>
        <w:gridCol w:w="630"/>
        <w:gridCol w:w="5400"/>
      </w:tblGrid>
      <w:tr w:rsidR="00AB2FD0" w:rsidRPr="003B6A69" w14:paraId="3FEBCD1F" w14:textId="77777777" w:rsidTr="003B6A69">
        <w:trPr>
          <w:trHeight w:val="1061"/>
        </w:trPr>
        <w:tc>
          <w:tcPr>
            <w:tcW w:w="2430" w:type="dxa"/>
            <w:shd w:val="clear" w:color="auto" w:fill="0F243E"/>
          </w:tcPr>
          <w:p w14:paraId="4FD31D64" w14:textId="77777777" w:rsidR="00AB2FD0" w:rsidRPr="003B6A69" w:rsidRDefault="00AB2FD0" w:rsidP="003B6A69">
            <w:pPr>
              <w:keepNext/>
              <w:tabs>
                <w:tab w:val="left" w:pos="101"/>
              </w:tabs>
              <w:ind w:right="252" w:firstLine="11"/>
              <w:rPr>
                <w:rFonts w:eastAsia="MS Mincho"/>
                <w:b/>
                <w:szCs w:val="20"/>
                <w:lang w:eastAsia="ja-JP"/>
              </w:rPr>
            </w:pPr>
            <w:r w:rsidRPr="003B6A69">
              <w:rPr>
                <w:rFonts w:eastAsia="MS Mincho"/>
                <w:b/>
                <w:szCs w:val="20"/>
                <w:lang w:eastAsia="ja-JP"/>
              </w:rPr>
              <w:lastRenderedPageBreak/>
              <w:t xml:space="preserve">QUESTION 2: What are the Potential Social and Environmental Risks? </w:t>
            </w:r>
          </w:p>
          <w:p w14:paraId="711B745F" w14:textId="77777777" w:rsidR="00AB2FD0" w:rsidRPr="003B6A69" w:rsidRDefault="00AB2FD0" w:rsidP="003B6A69">
            <w:pPr>
              <w:keepNext/>
              <w:tabs>
                <w:tab w:val="left" w:pos="101"/>
              </w:tabs>
              <w:ind w:right="252" w:firstLine="11"/>
              <w:rPr>
                <w:rFonts w:eastAsia="MS Mincho"/>
                <w:b/>
                <w:szCs w:val="20"/>
                <w:lang w:eastAsia="ja-JP"/>
              </w:rPr>
            </w:pPr>
            <w:r w:rsidRPr="003B6A69">
              <w:rPr>
                <w:rFonts w:eastAsia="MS Mincho"/>
                <w:i/>
                <w:sz w:val="18"/>
                <w:szCs w:val="18"/>
                <w:lang w:eastAsia="ja-JP"/>
              </w:rPr>
              <w:t xml:space="preserve">Note: Describe briefly potential social and environmental risks identified in Attachment 1 – Risk Screening Checklist (based on any “Yes” responses). If no risks have been identified in Attachment 1 then note “No Risks Identified” and skip to Question 4 and Select “Low Risk”. Questions 5 and 6 not required for </w:t>
            </w:r>
            <w:proofErr w:type="gramStart"/>
            <w:r w:rsidRPr="003B6A69">
              <w:rPr>
                <w:rFonts w:eastAsia="MS Mincho"/>
                <w:i/>
                <w:sz w:val="18"/>
                <w:szCs w:val="18"/>
                <w:lang w:eastAsia="ja-JP"/>
              </w:rPr>
              <w:t>Low Risk</w:t>
            </w:r>
            <w:proofErr w:type="gramEnd"/>
            <w:r w:rsidRPr="003B6A69">
              <w:rPr>
                <w:rFonts w:eastAsia="MS Mincho"/>
                <w:i/>
                <w:sz w:val="18"/>
                <w:szCs w:val="18"/>
                <w:lang w:eastAsia="ja-JP"/>
              </w:rPr>
              <w:t xml:space="preserve"> Projects.</w:t>
            </w:r>
          </w:p>
        </w:tc>
        <w:tc>
          <w:tcPr>
            <w:tcW w:w="4680" w:type="dxa"/>
            <w:gridSpan w:val="3"/>
            <w:shd w:val="clear" w:color="auto" w:fill="0F243E"/>
          </w:tcPr>
          <w:p w14:paraId="454C41B2" w14:textId="77777777" w:rsidR="00AB2FD0" w:rsidRPr="003B6A69" w:rsidRDefault="00AB2FD0" w:rsidP="003B6A69">
            <w:pPr>
              <w:keepNext/>
              <w:tabs>
                <w:tab w:val="left" w:pos="101"/>
              </w:tabs>
              <w:ind w:right="252" w:firstLine="11"/>
              <w:rPr>
                <w:rFonts w:eastAsia="MS Mincho"/>
                <w:b/>
                <w:szCs w:val="20"/>
                <w:lang w:eastAsia="ja-JP"/>
              </w:rPr>
            </w:pPr>
            <w:r w:rsidRPr="003B6A69">
              <w:rPr>
                <w:rFonts w:eastAsia="MS Mincho"/>
                <w:b/>
                <w:szCs w:val="20"/>
                <w:lang w:eastAsia="ja-JP"/>
              </w:rPr>
              <w:t>QUESTION 3: What is the level of significance of the potential social and environmental risks?</w:t>
            </w:r>
          </w:p>
          <w:p w14:paraId="198113C5" w14:textId="77777777" w:rsidR="00AB2FD0" w:rsidRPr="003B6A69" w:rsidRDefault="00AB2FD0" w:rsidP="003B6A69">
            <w:pPr>
              <w:keepNext/>
              <w:tabs>
                <w:tab w:val="left" w:pos="432"/>
              </w:tabs>
              <w:rPr>
                <w:rFonts w:eastAsia="MS Mincho"/>
                <w:b/>
                <w:szCs w:val="20"/>
                <w:lang w:eastAsia="ja-JP"/>
              </w:rPr>
            </w:pPr>
            <w:r w:rsidRPr="003B6A69">
              <w:rPr>
                <w:rFonts w:eastAsia="MS Mincho"/>
                <w:i/>
                <w:sz w:val="18"/>
                <w:szCs w:val="18"/>
                <w:lang w:eastAsia="ja-JP"/>
              </w:rPr>
              <w:t>Note: Respond to Questions 4 and 5 below before proceeding to Question 6</w:t>
            </w:r>
          </w:p>
        </w:tc>
        <w:tc>
          <w:tcPr>
            <w:tcW w:w="6030" w:type="dxa"/>
            <w:gridSpan w:val="2"/>
            <w:shd w:val="clear" w:color="auto" w:fill="0F243E"/>
          </w:tcPr>
          <w:p w14:paraId="07E038B3" w14:textId="77777777" w:rsidR="00AB2FD0" w:rsidRPr="003B6A69" w:rsidRDefault="00AB2FD0" w:rsidP="003B6A69">
            <w:pPr>
              <w:keepNext/>
              <w:tabs>
                <w:tab w:val="left" w:pos="432"/>
              </w:tabs>
              <w:rPr>
                <w:rFonts w:eastAsia="MS Mincho"/>
                <w:b/>
                <w:szCs w:val="20"/>
                <w:lang w:eastAsia="ja-JP"/>
              </w:rPr>
            </w:pPr>
            <w:r w:rsidRPr="003B6A69">
              <w:rPr>
                <w:rFonts w:eastAsia="MS Mincho"/>
                <w:b/>
                <w:szCs w:val="20"/>
                <w:lang w:eastAsia="ja-JP"/>
              </w:rPr>
              <w:t>QUESTION 6: What social and environmental assessment and management measures have been conducted and/or are required to address potential risks (for Risks with Moderate and High Significance)?</w:t>
            </w:r>
          </w:p>
        </w:tc>
      </w:tr>
      <w:tr w:rsidR="00AB2FD0" w:rsidRPr="003B6A69" w14:paraId="453E86D4" w14:textId="77777777" w:rsidTr="003B6A69">
        <w:tc>
          <w:tcPr>
            <w:tcW w:w="2430" w:type="dxa"/>
            <w:shd w:val="clear" w:color="auto" w:fill="C6D9F1"/>
          </w:tcPr>
          <w:p w14:paraId="5428EA8A" w14:textId="77777777" w:rsidR="00AB2FD0" w:rsidRPr="003B6A69" w:rsidRDefault="00AB2FD0" w:rsidP="003B6A69">
            <w:pPr>
              <w:rPr>
                <w:rFonts w:eastAsia="MS Mincho"/>
                <w:b/>
                <w:i/>
                <w:sz w:val="18"/>
                <w:szCs w:val="18"/>
                <w:lang w:eastAsia="ja-JP"/>
              </w:rPr>
            </w:pPr>
            <w:r w:rsidRPr="003B6A69">
              <w:rPr>
                <w:rFonts w:eastAsia="MS Mincho"/>
                <w:b/>
                <w:i/>
                <w:sz w:val="18"/>
                <w:szCs w:val="18"/>
                <w:lang w:eastAsia="ja-JP"/>
              </w:rPr>
              <w:t>Risk Description</w:t>
            </w:r>
          </w:p>
        </w:tc>
        <w:tc>
          <w:tcPr>
            <w:tcW w:w="1440" w:type="dxa"/>
            <w:shd w:val="clear" w:color="auto" w:fill="C6D9F1"/>
          </w:tcPr>
          <w:p w14:paraId="40BA8687" w14:textId="77777777" w:rsidR="00AB2FD0" w:rsidRPr="003B6A69" w:rsidRDefault="00AB2FD0" w:rsidP="003B6A69">
            <w:pPr>
              <w:rPr>
                <w:rFonts w:eastAsia="MS Mincho"/>
                <w:b/>
                <w:i/>
                <w:sz w:val="18"/>
                <w:szCs w:val="18"/>
                <w:lang w:eastAsia="ja-JP"/>
              </w:rPr>
            </w:pPr>
            <w:r w:rsidRPr="003B6A69">
              <w:rPr>
                <w:rFonts w:eastAsia="MS Mincho"/>
                <w:b/>
                <w:i/>
                <w:sz w:val="18"/>
                <w:szCs w:val="18"/>
                <w:lang w:eastAsia="ja-JP"/>
              </w:rPr>
              <w:t xml:space="preserve">Impact and </w:t>
            </w:r>
            <w:proofErr w:type="gramStart"/>
            <w:r w:rsidRPr="003B6A69">
              <w:rPr>
                <w:rFonts w:eastAsia="MS Mincho"/>
                <w:b/>
                <w:i/>
                <w:sz w:val="18"/>
                <w:szCs w:val="18"/>
                <w:lang w:eastAsia="ja-JP"/>
              </w:rPr>
              <w:t>Probability  (</w:t>
            </w:r>
            <w:proofErr w:type="gramEnd"/>
            <w:r w:rsidRPr="003B6A69">
              <w:rPr>
                <w:rFonts w:eastAsia="MS Mincho"/>
                <w:b/>
                <w:i/>
                <w:sz w:val="18"/>
                <w:szCs w:val="18"/>
                <w:lang w:eastAsia="ja-JP"/>
              </w:rPr>
              <w:t>1-5)</w:t>
            </w:r>
          </w:p>
        </w:tc>
        <w:tc>
          <w:tcPr>
            <w:tcW w:w="1260" w:type="dxa"/>
            <w:shd w:val="clear" w:color="auto" w:fill="C6D9F1"/>
          </w:tcPr>
          <w:p w14:paraId="4EC7AD14" w14:textId="77777777" w:rsidR="00AB2FD0" w:rsidRPr="003B6A69" w:rsidRDefault="00AB2FD0" w:rsidP="003B6A69">
            <w:pPr>
              <w:rPr>
                <w:rFonts w:eastAsia="MS Mincho"/>
                <w:b/>
                <w:i/>
                <w:sz w:val="18"/>
                <w:szCs w:val="18"/>
                <w:lang w:eastAsia="ja-JP"/>
              </w:rPr>
            </w:pPr>
            <w:r w:rsidRPr="003B6A69">
              <w:rPr>
                <w:rFonts w:eastAsia="MS Mincho"/>
                <w:b/>
                <w:i/>
                <w:sz w:val="18"/>
                <w:szCs w:val="18"/>
                <w:lang w:eastAsia="ja-JP"/>
              </w:rPr>
              <w:t>Significance</w:t>
            </w:r>
          </w:p>
          <w:p w14:paraId="5D47AF68" w14:textId="77777777" w:rsidR="00AB2FD0" w:rsidRPr="003B6A69" w:rsidRDefault="00AB2FD0" w:rsidP="003B6A69">
            <w:pPr>
              <w:rPr>
                <w:rFonts w:eastAsia="MS Mincho"/>
                <w:b/>
                <w:i/>
                <w:sz w:val="18"/>
                <w:szCs w:val="18"/>
                <w:lang w:eastAsia="ja-JP"/>
              </w:rPr>
            </w:pPr>
            <w:r w:rsidRPr="003B6A69">
              <w:rPr>
                <w:rFonts w:eastAsia="MS Mincho"/>
                <w:b/>
                <w:i/>
                <w:sz w:val="18"/>
                <w:szCs w:val="18"/>
                <w:lang w:eastAsia="ja-JP"/>
              </w:rPr>
              <w:t>(Low, Moderate, High)</w:t>
            </w:r>
          </w:p>
        </w:tc>
        <w:tc>
          <w:tcPr>
            <w:tcW w:w="1980" w:type="dxa"/>
            <w:shd w:val="clear" w:color="auto" w:fill="C6D9F1"/>
          </w:tcPr>
          <w:p w14:paraId="22210C23" w14:textId="77777777" w:rsidR="00AB2FD0" w:rsidRPr="003B6A69" w:rsidRDefault="00AB2FD0" w:rsidP="003B6A69">
            <w:pPr>
              <w:rPr>
                <w:rFonts w:eastAsia="MS Mincho"/>
                <w:b/>
                <w:i/>
                <w:sz w:val="18"/>
                <w:szCs w:val="18"/>
                <w:lang w:eastAsia="ja-JP"/>
              </w:rPr>
            </w:pPr>
            <w:r w:rsidRPr="003B6A69">
              <w:rPr>
                <w:rFonts w:eastAsia="MS Mincho"/>
                <w:b/>
                <w:i/>
                <w:sz w:val="18"/>
                <w:szCs w:val="18"/>
                <w:lang w:eastAsia="ja-JP"/>
              </w:rPr>
              <w:t>Comments</w:t>
            </w:r>
          </w:p>
        </w:tc>
        <w:tc>
          <w:tcPr>
            <w:tcW w:w="6030" w:type="dxa"/>
            <w:gridSpan w:val="2"/>
            <w:shd w:val="clear" w:color="auto" w:fill="C6D9F1"/>
          </w:tcPr>
          <w:p w14:paraId="68DB6F02" w14:textId="77777777" w:rsidR="00AB2FD0" w:rsidRPr="003B6A69" w:rsidRDefault="00AB2FD0" w:rsidP="003B6A69">
            <w:pPr>
              <w:rPr>
                <w:rFonts w:eastAsia="MS Mincho"/>
                <w:b/>
                <w:i/>
                <w:sz w:val="18"/>
                <w:szCs w:val="18"/>
                <w:lang w:eastAsia="ja-JP"/>
              </w:rPr>
            </w:pPr>
            <w:r w:rsidRPr="003B6A69">
              <w:rPr>
                <w:rFonts w:eastAsia="MS Mincho"/>
                <w:b/>
                <w:i/>
                <w:sz w:val="18"/>
                <w:szCs w:val="18"/>
                <w:lang w:eastAsia="ja-JP"/>
              </w:rPr>
              <w:t>Description of assessment and management measures as reflected in the Project design.  If ESIA or SESA is required note that the assessment should consider all potential impacts and risks.</w:t>
            </w:r>
          </w:p>
        </w:tc>
      </w:tr>
      <w:tr w:rsidR="00AB2FD0" w:rsidRPr="003B6A69" w14:paraId="71A42C95" w14:textId="77777777" w:rsidTr="003B6A69">
        <w:tc>
          <w:tcPr>
            <w:tcW w:w="2430" w:type="dxa"/>
            <w:shd w:val="clear" w:color="auto" w:fill="auto"/>
          </w:tcPr>
          <w:p w14:paraId="0AC74A76" w14:textId="77777777" w:rsidR="00AB2FD0" w:rsidRPr="003B6A69" w:rsidRDefault="00AB2FD0" w:rsidP="003B6A69">
            <w:pPr>
              <w:contextualSpacing/>
              <w:rPr>
                <w:rFonts w:eastAsia="MS Mincho"/>
                <w:sz w:val="18"/>
                <w:szCs w:val="18"/>
                <w:lang w:eastAsia="ja-JP"/>
              </w:rPr>
            </w:pPr>
            <w:r w:rsidRPr="003B6A69">
              <w:rPr>
                <w:rFonts w:eastAsia="MS Mincho"/>
                <w:sz w:val="18"/>
                <w:szCs w:val="18"/>
                <w:lang w:eastAsia="ja-JP"/>
              </w:rPr>
              <w:t xml:space="preserve">Risk 1: </w:t>
            </w:r>
          </w:p>
          <w:p w14:paraId="1A80435F" w14:textId="77777777" w:rsidR="00AB2FD0" w:rsidRPr="003B6A69" w:rsidRDefault="00AB2FD0" w:rsidP="003B6A69">
            <w:pPr>
              <w:contextualSpacing/>
              <w:rPr>
                <w:rFonts w:eastAsia="MS Mincho"/>
                <w:sz w:val="18"/>
                <w:szCs w:val="18"/>
                <w:lang w:eastAsia="ja-JP"/>
              </w:rPr>
            </w:pPr>
            <w:r w:rsidRPr="003B6A69">
              <w:rPr>
                <w:rFonts w:eastAsia="MS Mincho"/>
                <w:sz w:val="18"/>
                <w:szCs w:val="18"/>
                <w:lang w:eastAsia="ja-JP"/>
              </w:rPr>
              <w:t>Vulnerable and marginalized groups could be excluded from project decision-making and benefit sharing that may affect them.</w:t>
            </w:r>
          </w:p>
          <w:p w14:paraId="45A55752" w14:textId="77777777" w:rsidR="00AB2FD0" w:rsidRPr="003B6A69" w:rsidRDefault="00AB2FD0" w:rsidP="003B6A69">
            <w:pPr>
              <w:contextualSpacing/>
              <w:rPr>
                <w:rFonts w:eastAsia="MS Mincho"/>
                <w:sz w:val="18"/>
                <w:szCs w:val="18"/>
                <w:lang w:eastAsia="ja-JP"/>
              </w:rPr>
            </w:pPr>
          </w:p>
          <w:p w14:paraId="7313CD63" w14:textId="77777777" w:rsidR="00AB2FD0" w:rsidRPr="003B6A69" w:rsidRDefault="00AB2FD0" w:rsidP="003B6A69">
            <w:pPr>
              <w:rPr>
                <w:rFonts w:eastAsia="MS Mincho"/>
                <w:sz w:val="18"/>
                <w:szCs w:val="18"/>
                <w:lang w:eastAsia="ja-JP"/>
              </w:rPr>
            </w:pPr>
            <w:r w:rsidRPr="003B6A69">
              <w:rPr>
                <w:rFonts w:eastAsia="MS Mincho"/>
                <w:sz w:val="18"/>
                <w:szCs w:val="18"/>
                <w:lang w:eastAsia="ja-JP"/>
              </w:rPr>
              <w:t>(Principle 1: q2, q4, q5)</w:t>
            </w:r>
          </w:p>
        </w:tc>
        <w:tc>
          <w:tcPr>
            <w:tcW w:w="1440" w:type="dxa"/>
            <w:shd w:val="clear" w:color="auto" w:fill="auto"/>
          </w:tcPr>
          <w:p w14:paraId="59BB3EAF" w14:textId="77777777" w:rsidR="00AB2FD0" w:rsidRPr="003B6A69" w:rsidRDefault="00AB2FD0" w:rsidP="003B6A69">
            <w:pPr>
              <w:rPr>
                <w:rFonts w:eastAsia="MS Mincho" w:cs="Minion Pro"/>
                <w:sz w:val="18"/>
                <w:szCs w:val="18"/>
                <w:lang w:eastAsia="ja-JP"/>
              </w:rPr>
            </w:pPr>
            <w:r w:rsidRPr="003B6A69">
              <w:rPr>
                <w:rFonts w:eastAsia="MS Mincho" w:cs="Minion Pro"/>
                <w:sz w:val="18"/>
                <w:szCs w:val="18"/>
                <w:lang w:eastAsia="ja-JP"/>
              </w:rPr>
              <w:t>I = 2</w:t>
            </w:r>
          </w:p>
          <w:p w14:paraId="7F6092D1" w14:textId="77777777" w:rsidR="00AB2FD0" w:rsidRPr="003B6A69" w:rsidRDefault="00AB2FD0" w:rsidP="003B6A69">
            <w:pPr>
              <w:rPr>
                <w:rFonts w:eastAsia="MS Mincho" w:cs="Minion Pro"/>
                <w:sz w:val="18"/>
                <w:szCs w:val="18"/>
                <w:lang w:eastAsia="ja-JP"/>
              </w:rPr>
            </w:pPr>
            <w:r w:rsidRPr="003B6A69">
              <w:rPr>
                <w:rFonts w:eastAsia="MS Mincho" w:cs="Minion Pro"/>
                <w:sz w:val="18"/>
                <w:szCs w:val="18"/>
                <w:lang w:eastAsia="ja-JP"/>
              </w:rPr>
              <w:t>P =3</w:t>
            </w:r>
          </w:p>
        </w:tc>
        <w:tc>
          <w:tcPr>
            <w:tcW w:w="1260" w:type="dxa"/>
            <w:shd w:val="clear" w:color="auto" w:fill="auto"/>
          </w:tcPr>
          <w:p w14:paraId="36ED5490" w14:textId="77777777" w:rsidR="00AB2FD0" w:rsidRPr="003B6A69" w:rsidRDefault="00AB2FD0" w:rsidP="003B6A69">
            <w:pPr>
              <w:rPr>
                <w:rFonts w:eastAsia="MS Mincho"/>
                <w:b/>
                <w:sz w:val="18"/>
                <w:szCs w:val="18"/>
                <w:lang w:eastAsia="ja-JP"/>
              </w:rPr>
            </w:pPr>
            <w:r w:rsidRPr="003B6A69">
              <w:rPr>
                <w:rFonts w:eastAsia="MS Mincho"/>
                <w:b/>
                <w:sz w:val="18"/>
                <w:szCs w:val="18"/>
                <w:lang w:eastAsia="ja-JP"/>
              </w:rPr>
              <w:t>Moderate</w:t>
            </w:r>
          </w:p>
        </w:tc>
        <w:tc>
          <w:tcPr>
            <w:tcW w:w="1980" w:type="dxa"/>
            <w:shd w:val="clear" w:color="auto" w:fill="auto"/>
          </w:tcPr>
          <w:p w14:paraId="49D1DCDF" w14:textId="77777777" w:rsidR="00AB2FD0" w:rsidRPr="003B6A69" w:rsidRDefault="00AB2FD0" w:rsidP="003B6A69">
            <w:pPr>
              <w:contextualSpacing/>
              <w:rPr>
                <w:sz w:val="18"/>
                <w:szCs w:val="18"/>
                <w:lang w:val="en"/>
              </w:rPr>
            </w:pPr>
            <w:r w:rsidRPr="003B6A69">
              <w:rPr>
                <w:sz w:val="18"/>
                <w:szCs w:val="18"/>
                <w:lang w:val="en"/>
              </w:rPr>
              <w:t xml:space="preserve">The average poverty rate for the country is above 9%; vulnerable and marginalized groups include poor and deprived, the long-term unemployed, elderly, low-income pensioners, persons with disabilities, </w:t>
            </w:r>
            <w:proofErr w:type="gramStart"/>
            <w:r w:rsidRPr="003B6A69">
              <w:rPr>
                <w:sz w:val="18"/>
                <w:szCs w:val="18"/>
                <w:lang w:val="en"/>
              </w:rPr>
              <w:t>refugees</w:t>
            </w:r>
            <w:proofErr w:type="gramEnd"/>
            <w:r w:rsidRPr="003B6A69">
              <w:rPr>
                <w:sz w:val="18"/>
                <w:szCs w:val="18"/>
                <w:lang w:val="en"/>
              </w:rPr>
              <w:t xml:space="preserve"> and internationally displaced persons etc.  While the proposed project poses no direct risks of human rights violation, it will work in the rural areas and affect the resident </w:t>
            </w:r>
            <w:r w:rsidRPr="003B6A69">
              <w:rPr>
                <w:sz w:val="18"/>
                <w:szCs w:val="18"/>
                <w:lang w:val="en"/>
              </w:rPr>
              <w:lastRenderedPageBreak/>
              <w:t xml:space="preserve">marginalized groups there. </w:t>
            </w:r>
          </w:p>
          <w:p w14:paraId="13133892" w14:textId="77777777" w:rsidR="00AB2FD0" w:rsidRPr="003B6A69" w:rsidRDefault="00AB2FD0" w:rsidP="003B6A69">
            <w:pPr>
              <w:contextualSpacing/>
              <w:rPr>
                <w:sz w:val="18"/>
                <w:szCs w:val="18"/>
                <w:lang w:val="en"/>
              </w:rPr>
            </w:pPr>
            <w:r w:rsidRPr="003B6A69">
              <w:rPr>
                <w:sz w:val="18"/>
                <w:szCs w:val="18"/>
              </w:rPr>
              <w:t>Marginalized groups face significant barriers to securing resource rights, especially as they relate to the governance of natural resources.  These groups include vulnerable groups, youth and women who are underrepresented in positions of responsibility within civil society organizations and local institutions, including groups for land planning and natural resource management</w:t>
            </w:r>
          </w:p>
          <w:p w14:paraId="636DFF8B" w14:textId="77777777" w:rsidR="00AB2FD0" w:rsidRPr="003B6A69" w:rsidRDefault="00AB2FD0" w:rsidP="003B6A69">
            <w:pPr>
              <w:contextualSpacing/>
              <w:rPr>
                <w:rFonts w:eastAsia="MS Mincho" w:cs="Cambria"/>
                <w:sz w:val="18"/>
                <w:szCs w:val="18"/>
                <w:lang w:val="en" w:eastAsia="ja-JP"/>
              </w:rPr>
            </w:pPr>
          </w:p>
        </w:tc>
        <w:tc>
          <w:tcPr>
            <w:tcW w:w="6030" w:type="dxa"/>
            <w:gridSpan w:val="2"/>
            <w:shd w:val="clear" w:color="auto" w:fill="auto"/>
          </w:tcPr>
          <w:p w14:paraId="0DF174C8" w14:textId="77777777" w:rsidR="00AB2FD0" w:rsidRPr="003B6A69" w:rsidRDefault="00AB2FD0" w:rsidP="003B6A69">
            <w:pPr>
              <w:rPr>
                <w:rFonts w:eastAsia="MS Mincho"/>
                <w:sz w:val="18"/>
                <w:szCs w:val="18"/>
                <w:lang w:eastAsia="ja-JP"/>
              </w:rPr>
            </w:pPr>
            <w:r w:rsidRPr="003B6A69">
              <w:rPr>
                <w:rFonts w:eastAsia="MS Mincho"/>
                <w:sz w:val="18"/>
                <w:szCs w:val="18"/>
                <w:lang w:eastAsia="ja-JP"/>
              </w:rPr>
              <w:lastRenderedPageBreak/>
              <w:t xml:space="preserve">As the project will be working in the areas where the poverty rate is high and vulnerable and marginalized groups rely mainly on opportunities for small-scale business development, the project design, stakeholder engagement and assessment of benefits should be sensitive to human rights, </w:t>
            </w:r>
            <w:proofErr w:type="gramStart"/>
            <w:r w:rsidRPr="003B6A69">
              <w:rPr>
                <w:rFonts w:eastAsia="MS Mincho"/>
                <w:sz w:val="18"/>
                <w:szCs w:val="18"/>
                <w:lang w:eastAsia="ja-JP"/>
              </w:rPr>
              <w:t>inclusion</w:t>
            </w:r>
            <w:proofErr w:type="gramEnd"/>
            <w:r w:rsidRPr="003B6A69">
              <w:rPr>
                <w:rFonts w:eastAsia="MS Mincho"/>
                <w:sz w:val="18"/>
                <w:szCs w:val="18"/>
                <w:lang w:eastAsia="ja-JP"/>
              </w:rPr>
              <w:t xml:space="preserve"> and equality principles. </w:t>
            </w:r>
          </w:p>
          <w:p w14:paraId="0319C4BF" w14:textId="77777777" w:rsidR="00AB2FD0" w:rsidRPr="003B6A69" w:rsidRDefault="00AB2FD0" w:rsidP="003B6A69">
            <w:pPr>
              <w:rPr>
                <w:rFonts w:eastAsia="MS Mincho"/>
                <w:sz w:val="18"/>
                <w:szCs w:val="18"/>
                <w:lang w:eastAsia="ja-JP"/>
              </w:rPr>
            </w:pPr>
            <w:r w:rsidRPr="003B6A69">
              <w:rPr>
                <w:rFonts w:eastAsia="MS Mincho"/>
                <w:sz w:val="18"/>
                <w:szCs w:val="18"/>
                <w:lang w:eastAsia="ja-JP"/>
              </w:rPr>
              <w:t>The project activities aimed directly to benefit local communities (</w:t>
            </w:r>
            <w:proofErr w:type="gramStart"/>
            <w:r w:rsidRPr="003B6A69">
              <w:rPr>
                <w:rFonts w:eastAsia="MS Mincho"/>
                <w:sz w:val="18"/>
                <w:szCs w:val="18"/>
                <w:lang w:eastAsia="ja-JP"/>
              </w:rPr>
              <w:t>e.g.</w:t>
            </w:r>
            <w:proofErr w:type="gramEnd"/>
            <w:r w:rsidRPr="003B6A69">
              <w:rPr>
                <w:rFonts w:eastAsia="MS Mincho"/>
                <w:sz w:val="18"/>
                <w:szCs w:val="18"/>
                <w:lang w:eastAsia="ja-JP"/>
              </w:rPr>
              <w:t xml:space="preserve"> “green” farming incentives), as well as all the capacity-building activities within the project, have been designed with due account of human rights and equality principles.</w:t>
            </w:r>
          </w:p>
          <w:p w14:paraId="0E9D8DAF" w14:textId="77777777" w:rsidR="00AB2FD0" w:rsidRPr="003B6A69" w:rsidRDefault="00AB2FD0" w:rsidP="003B6A69">
            <w:pPr>
              <w:rPr>
                <w:rFonts w:eastAsia="MS Mincho"/>
                <w:sz w:val="18"/>
                <w:szCs w:val="18"/>
                <w:lang w:eastAsia="ja-JP"/>
              </w:rPr>
            </w:pPr>
            <w:r w:rsidRPr="003B6A69">
              <w:rPr>
                <w:rFonts w:eastAsia="MS Mincho"/>
                <w:sz w:val="18"/>
                <w:szCs w:val="18"/>
                <w:lang w:eastAsia="ja-JP"/>
              </w:rPr>
              <w:t xml:space="preserve">The Comprehensive Stakeholder Engagement Plan for the project was prepared to ensure appropriate engagement and representation of all relevant stakeholder interests.  </w:t>
            </w:r>
          </w:p>
          <w:p w14:paraId="4D513231" w14:textId="77777777" w:rsidR="00AB2FD0" w:rsidRPr="003B6A69" w:rsidRDefault="00AB2FD0" w:rsidP="003B6A69">
            <w:pPr>
              <w:rPr>
                <w:rFonts w:eastAsia="MS Mincho"/>
                <w:sz w:val="18"/>
                <w:szCs w:val="18"/>
                <w:lang w:eastAsia="ja-JP"/>
              </w:rPr>
            </w:pPr>
            <w:r w:rsidRPr="003B6A69">
              <w:rPr>
                <w:rFonts w:eastAsia="MS Mincho"/>
                <w:sz w:val="18"/>
                <w:szCs w:val="18"/>
                <w:lang w:eastAsia="ja-JP"/>
              </w:rPr>
              <w:t xml:space="preserve">The project team will maintain close communication with line ministries and local governments as holders of relevant registers (unemployment, social welfare, disability, migration, elderly support </w:t>
            </w:r>
            <w:proofErr w:type="spellStart"/>
            <w:r w:rsidRPr="003B6A69">
              <w:rPr>
                <w:rFonts w:eastAsia="MS Mincho"/>
                <w:sz w:val="18"/>
                <w:szCs w:val="18"/>
                <w:lang w:eastAsia="ja-JP"/>
              </w:rPr>
              <w:t>etc</w:t>
            </w:r>
            <w:proofErr w:type="spellEnd"/>
            <w:r w:rsidRPr="003B6A69">
              <w:rPr>
                <w:rFonts w:eastAsia="MS Mincho"/>
                <w:sz w:val="18"/>
                <w:szCs w:val="18"/>
                <w:lang w:eastAsia="ja-JP"/>
              </w:rPr>
              <w:t xml:space="preserve">) </w:t>
            </w:r>
            <w:proofErr w:type="gramStart"/>
            <w:r w:rsidRPr="003B6A69">
              <w:rPr>
                <w:rFonts w:eastAsia="MS Mincho"/>
                <w:sz w:val="18"/>
                <w:szCs w:val="18"/>
                <w:lang w:eastAsia="ja-JP"/>
              </w:rPr>
              <w:t>in order to</w:t>
            </w:r>
            <w:proofErr w:type="gramEnd"/>
            <w:r w:rsidRPr="003B6A69">
              <w:rPr>
                <w:rFonts w:eastAsia="MS Mincho"/>
                <w:sz w:val="18"/>
                <w:szCs w:val="18"/>
                <w:lang w:eastAsia="ja-JP"/>
              </w:rPr>
              <w:t xml:space="preserve"> extract localized data and information on the distribution and profile of target groups. </w:t>
            </w:r>
          </w:p>
          <w:p w14:paraId="3EFF5472" w14:textId="77777777" w:rsidR="00AB2FD0" w:rsidRPr="003B6A69" w:rsidRDefault="00AB2FD0" w:rsidP="003B6A69">
            <w:pPr>
              <w:rPr>
                <w:rFonts w:eastAsia="MS Mincho"/>
                <w:sz w:val="18"/>
                <w:szCs w:val="18"/>
                <w:lang w:eastAsia="ja-JP"/>
              </w:rPr>
            </w:pPr>
            <w:r w:rsidRPr="003B6A69">
              <w:rPr>
                <w:rFonts w:eastAsia="MS Mincho"/>
                <w:sz w:val="18"/>
                <w:szCs w:val="18"/>
                <w:lang w:eastAsia="ja-JP"/>
              </w:rPr>
              <w:lastRenderedPageBreak/>
              <w:t xml:space="preserve">The data will inform decision-making process and secure the inclusion and participation of group representatives in decision-making process, primarily through the Partnership Committee.   </w:t>
            </w:r>
          </w:p>
          <w:p w14:paraId="645780AA" w14:textId="77777777" w:rsidR="00AB2FD0" w:rsidRPr="003B6A69" w:rsidRDefault="00AB2FD0" w:rsidP="003B6A69">
            <w:pPr>
              <w:rPr>
                <w:rFonts w:eastAsia="MS Mincho"/>
                <w:sz w:val="18"/>
                <w:szCs w:val="18"/>
                <w:lang w:eastAsia="ja-JP"/>
              </w:rPr>
            </w:pPr>
            <w:r w:rsidRPr="003B6A69">
              <w:rPr>
                <w:rFonts w:eastAsia="MS Mincho"/>
                <w:sz w:val="18"/>
                <w:szCs w:val="18"/>
                <w:lang w:eastAsia="ja-JP"/>
              </w:rPr>
              <w:t xml:space="preserve">The project develops integrated strategies and activities geared to raise awareness on these issues, engage said stakeholders in the project process and implementation, and develop income-generating activities aimed at securing and, when appropriate, enhancing the economic, </w:t>
            </w:r>
            <w:proofErr w:type="gramStart"/>
            <w:r w:rsidRPr="003B6A69">
              <w:rPr>
                <w:rFonts w:eastAsia="MS Mincho"/>
                <w:sz w:val="18"/>
                <w:szCs w:val="18"/>
                <w:lang w:eastAsia="ja-JP"/>
              </w:rPr>
              <w:t>social</w:t>
            </w:r>
            <w:proofErr w:type="gramEnd"/>
            <w:r w:rsidRPr="003B6A69">
              <w:rPr>
                <w:rFonts w:eastAsia="MS Mincho"/>
                <w:sz w:val="18"/>
                <w:szCs w:val="18"/>
                <w:lang w:eastAsia="ja-JP"/>
              </w:rPr>
              <w:t xml:space="preserve"> and environmental benefits to the marginalized groups.</w:t>
            </w:r>
          </w:p>
          <w:p w14:paraId="0BEFDF24" w14:textId="77777777" w:rsidR="00AB2FD0" w:rsidRPr="003B6A69" w:rsidRDefault="00AB2FD0" w:rsidP="003B6A69">
            <w:pPr>
              <w:rPr>
                <w:rFonts w:eastAsia="MS Mincho"/>
                <w:sz w:val="18"/>
                <w:szCs w:val="18"/>
                <w:lang w:eastAsia="ja-JP"/>
              </w:rPr>
            </w:pPr>
            <w:r w:rsidRPr="003B6A69">
              <w:rPr>
                <w:rFonts w:eastAsia="MS Mincho"/>
                <w:sz w:val="18"/>
                <w:szCs w:val="18"/>
                <w:lang w:eastAsia="ja-JP"/>
              </w:rPr>
              <w:t>Through the PPG phase the team focused on the identification of vulnerable groups within the PAs relying on the identification of such vulnerable groups and communities from existing administrative data and policies. It became evident that the approaches applied may not provide the right level of information or fully encompass the identification of vulnerable groups and communities for the country. Additional considerations are therefore required during the project implementation to ensure the identification of key vulnerable groups and communities, and hence prioritize them in planning and implementation.</w:t>
            </w:r>
          </w:p>
          <w:p w14:paraId="0C501257" w14:textId="77777777" w:rsidR="00AB2FD0" w:rsidRPr="003B6A69" w:rsidRDefault="00AB2FD0" w:rsidP="003B6A69">
            <w:pPr>
              <w:rPr>
                <w:rFonts w:eastAsia="MS Mincho"/>
                <w:sz w:val="18"/>
                <w:szCs w:val="18"/>
                <w:lang w:eastAsia="ja-JP"/>
              </w:rPr>
            </w:pPr>
            <w:r w:rsidRPr="003B6A69">
              <w:rPr>
                <w:rFonts w:eastAsia="MS Mincho"/>
                <w:sz w:val="18"/>
                <w:szCs w:val="18"/>
                <w:lang w:eastAsia="ja-JP"/>
              </w:rPr>
              <w:t>Two general approaches will be applied to identify the vulnerable groups and communities: one applying existing definitions (as in PPG phase); and one involving new/additional assessments to identify the vulnerable groups and communities. The latter will be done through new assessments with a focus on targeting based on project impacts, geographical targeting, using locally derived assessment tools such as community-based targeting or community participatory etc. Community-based targeting may also apply participatory approaches, where the representative members of the authority or society are involved in deciding on the vulnerable groups and communities.</w:t>
            </w:r>
          </w:p>
          <w:p w14:paraId="76DC5829" w14:textId="77777777" w:rsidR="00AB2FD0" w:rsidRPr="003B6A69" w:rsidRDefault="00AB2FD0" w:rsidP="003B6A69">
            <w:pPr>
              <w:rPr>
                <w:rFonts w:eastAsia="MS Mincho"/>
                <w:sz w:val="18"/>
                <w:szCs w:val="18"/>
                <w:lang w:eastAsia="ja-JP"/>
              </w:rPr>
            </w:pPr>
            <w:r w:rsidRPr="003B6A69">
              <w:rPr>
                <w:rFonts w:eastAsia="MS Mincho"/>
                <w:sz w:val="18"/>
                <w:szCs w:val="18"/>
                <w:lang w:eastAsia="ja-JP"/>
              </w:rPr>
              <w:t>Within its Output 2.1 the project will co-finance baseline assessments and valuation studies for the unprotected KBAs that, according to the Law on Nature Protection, should include the social-economic impact of protection measures and effects of possible restrictions on resource use. This will include the engagement of potentially affected people.</w:t>
            </w:r>
          </w:p>
          <w:p w14:paraId="7E2F24D0" w14:textId="77777777" w:rsidR="00AB2FD0" w:rsidRPr="003B6A69" w:rsidRDefault="00AB2FD0" w:rsidP="003B6A69">
            <w:pPr>
              <w:rPr>
                <w:rFonts w:eastAsia="MS Mincho"/>
                <w:sz w:val="18"/>
                <w:szCs w:val="18"/>
                <w:lang w:eastAsia="ja-JP"/>
              </w:rPr>
            </w:pPr>
          </w:p>
        </w:tc>
      </w:tr>
      <w:tr w:rsidR="00AB2FD0" w:rsidRPr="003B6A69" w14:paraId="4553B162" w14:textId="77777777" w:rsidTr="003B6A69">
        <w:tc>
          <w:tcPr>
            <w:tcW w:w="2430" w:type="dxa"/>
            <w:shd w:val="clear" w:color="auto" w:fill="auto"/>
          </w:tcPr>
          <w:p w14:paraId="424F350F" w14:textId="77777777" w:rsidR="00AB2FD0" w:rsidRPr="003B6A69" w:rsidRDefault="00AB2FD0" w:rsidP="003B6A69">
            <w:pPr>
              <w:rPr>
                <w:rFonts w:eastAsia="MS Mincho"/>
                <w:sz w:val="18"/>
                <w:szCs w:val="18"/>
                <w:lang w:eastAsia="ja-JP"/>
              </w:rPr>
            </w:pPr>
            <w:r w:rsidRPr="003B6A69">
              <w:rPr>
                <w:rFonts w:eastAsia="MS Mincho"/>
                <w:sz w:val="18"/>
                <w:szCs w:val="18"/>
                <w:lang w:eastAsia="ja-JP"/>
              </w:rPr>
              <w:lastRenderedPageBreak/>
              <w:t xml:space="preserve">Risk 2: </w:t>
            </w:r>
          </w:p>
          <w:p w14:paraId="73B34DB3" w14:textId="77777777" w:rsidR="00AB2FD0" w:rsidRPr="003B6A69" w:rsidRDefault="00AB2FD0" w:rsidP="003B6A69">
            <w:pPr>
              <w:rPr>
                <w:rFonts w:eastAsia="MS Mincho"/>
                <w:sz w:val="18"/>
                <w:szCs w:val="18"/>
                <w:lang w:eastAsia="ja-JP"/>
              </w:rPr>
            </w:pPr>
            <w:r w:rsidRPr="003B6A69">
              <w:rPr>
                <w:rFonts w:eastAsia="MS Mincho"/>
                <w:sz w:val="18"/>
                <w:szCs w:val="18"/>
                <w:lang w:eastAsia="ja-JP"/>
              </w:rPr>
              <w:t>The project might aggravate the already existing gender issues and trigger the unequal sharing of benefits for the local communities in the rural areas</w:t>
            </w:r>
          </w:p>
          <w:p w14:paraId="40B8B048" w14:textId="77777777" w:rsidR="00AB2FD0" w:rsidRPr="003B6A69" w:rsidRDefault="00AB2FD0" w:rsidP="003B6A69">
            <w:pPr>
              <w:rPr>
                <w:rFonts w:eastAsia="MS Mincho"/>
                <w:sz w:val="18"/>
                <w:szCs w:val="18"/>
                <w:lang w:eastAsia="ja-JP"/>
              </w:rPr>
            </w:pPr>
            <w:r w:rsidRPr="003B6A69">
              <w:rPr>
                <w:rFonts w:eastAsia="MS Mincho"/>
                <w:sz w:val="18"/>
                <w:szCs w:val="18"/>
                <w:lang w:eastAsia="ja-JP"/>
              </w:rPr>
              <w:t>(Principle 2 q. 2)</w:t>
            </w:r>
          </w:p>
        </w:tc>
        <w:tc>
          <w:tcPr>
            <w:tcW w:w="1440" w:type="dxa"/>
            <w:shd w:val="clear" w:color="auto" w:fill="auto"/>
          </w:tcPr>
          <w:p w14:paraId="084F957F" w14:textId="77777777" w:rsidR="00AB2FD0" w:rsidRPr="003B6A69" w:rsidRDefault="00AB2FD0" w:rsidP="003B6A69">
            <w:pPr>
              <w:rPr>
                <w:rFonts w:eastAsia="MS Mincho" w:cs="Minion Pro"/>
                <w:sz w:val="18"/>
                <w:szCs w:val="18"/>
                <w:lang w:eastAsia="ja-JP"/>
              </w:rPr>
            </w:pPr>
            <w:r w:rsidRPr="003B6A69">
              <w:rPr>
                <w:rFonts w:eastAsia="MS Mincho" w:cs="Minion Pro"/>
                <w:sz w:val="18"/>
                <w:szCs w:val="18"/>
                <w:lang w:eastAsia="ja-JP"/>
              </w:rPr>
              <w:t>I = 3</w:t>
            </w:r>
          </w:p>
          <w:p w14:paraId="7026ECB8" w14:textId="77777777" w:rsidR="00AB2FD0" w:rsidRPr="003B6A69" w:rsidRDefault="00AB2FD0" w:rsidP="003B6A69">
            <w:pPr>
              <w:rPr>
                <w:rFonts w:eastAsia="MS Mincho" w:cs="Minion Pro"/>
                <w:sz w:val="18"/>
                <w:szCs w:val="18"/>
                <w:lang w:eastAsia="ja-JP"/>
              </w:rPr>
            </w:pPr>
            <w:r w:rsidRPr="003B6A69">
              <w:rPr>
                <w:rFonts w:eastAsia="MS Mincho" w:cs="Minion Pro"/>
                <w:sz w:val="18"/>
                <w:szCs w:val="18"/>
                <w:lang w:eastAsia="ja-JP"/>
              </w:rPr>
              <w:t xml:space="preserve">P = </w:t>
            </w:r>
            <w:r w:rsidRPr="003B6A69">
              <w:rPr>
                <w:rFonts w:eastAsia="MS Mincho" w:cs="Minion Pro"/>
                <w:sz w:val="18"/>
                <w:szCs w:val="18"/>
              </w:rPr>
              <w:t>2</w:t>
            </w:r>
          </w:p>
        </w:tc>
        <w:tc>
          <w:tcPr>
            <w:tcW w:w="1260" w:type="dxa"/>
            <w:shd w:val="clear" w:color="auto" w:fill="auto"/>
          </w:tcPr>
          <w:p w14:paraId="205448E7" w14:textId="77777777" w:rsidR="00AB2FD0" w:rsidRPr="003B6A69" w:rsidRDefault="00AB2FD0" w:rsidP="003B6A69">
            <w:pPr>
              <w:rPr>
                <w:rFonts w:eastAsia="MS Mincho"/>
                <w:b/>
                <w:sz w:val="18"/>
                <w:szCs w:val="18"/>
                <w:lang w:eastAsia="ja-JP"/>
              </w:rPr>
            </w:pPr>
            <w:r w:rsidRPr="003B6A69">
              <w:rPr>
                <w:rFonts w:eastAsia="MS Mincho"/>
                <w:b/>
                <w:sz w:val="18"/>
                <w:szCs w:val="18"/>
                <w:lang w:eastAsia="ja-JP"/>
              </w:rPr>
              <w:t>Moderate</w:t>
            </w:r>
          </w:p>
        </w:tc>
        <w:tc>
          <w:tcPr>
            <w:tcW w:w="1980" w:type="dxa"/>
            <w:shd w:val="clear" w:color="auto" w:fill="auto"/>
          </w:tcPr>
          <w:p w14:paraId="5C7D9BB6" w14:textId="77777777" w:rsidR="00AB2FD0" w:rsidRPr="003B6A69" w:rsidRDefault="00AB2FD0" w:rsidP="003B6A69">
            <w:pPr>
              <w:contextualSpacing/>
              <w:rPr>
                <w:sz w:val="18"/>
                <w:szCs w:val="18"/>
                <w:lang w:val="en"/>
              </w:rPr>
            </w:pPr>
            <w:r w:rsidRPr="003B6A69">
              <w:rPr>
                <w:sz w:val="18"/>
                <w:szCs w:val="18"/>
                <w:lang w:val="en"/>
              </w:rPr>
              <w:t xml:space="preserve">Due to persisting gender-based disadvantages in the country, women are vulnerable, lack political and economic empowerment and have a considerably lower income. This is </w:t>
            </w:r>
            <w:r w:rsidRPr="003B6A69">
              <w:rPr>
                <w:sz w:val="18"/>
                <w:szCs w:val="18"/>
                <w:lang w:val="en"/>
              </w:rPr>
              <w:lastRenderedPageBreak/>
              <w:t>particularly characteristic for rural Montenegro.  Local livelihoods in the rural areas where the project will work depend on small-scale business development based on subsistence use of natural resources. It is mainly family businesses in highly patriarchal communities where women are often disadvantaged. The proposed project has no activities directly dealing with equity considerations or gender disparities, however, the decision-making and local capacity development processes within the project should be sensitive to these issues.</w:t>
            </w:r>
          </w:p>
          <w:p w14:paraId="59CB6E21" w14:textId="77777777" w:rsidR="00AB2FD0" w:rsidRPr="003B6A69" w:rsidRDefault="00AB2FD0" w:rsidP="003B6A69">
            <w:pPr>
              <w:rPr>
                <w:rFonts w:eastAsia="MS Mincho"/>
                <w:bCs/>
                <w:sz w:val="18"/>
                <w:szCs w:val="18"/>
                <w:lang w:eastAsia="ja-JP"/>
              </w:rPr>
            </w:pPr>
          </w:p>
        </w:tc>
        <w:tc>
          <w:tcPr>
            <w:tcW w:w="6030" w:type="dxa"/>
            <w:gridSpan w:val="2"/>
            <w:shd w:val="clear" w:color="auto" w:fill="auto"/>
          </w:tcPr>
          <w:p w14:paraId="6C4CE019" w14:textId="77777777" w:rsidR="00AB2FD0" w:rsidRPr="003B6A69" w:rsidRDefault="00AB2FD0" w:rsidP="003B6A69">
            <w:pPr>
              <w:rPr>
                <w:sz w:val="18"/>
                <w:szCs w:val="18"/>
                <w:lang w:val="en-GB"/>
              </w:rPr>
            </w:pPr>
            <w:r w:rsidRPr="003B6A69">
              <w:rPr>
                <w:sz w:val="18"/>
                <w:szCs w:val="18"/>
                <w:lang w:val="en-GB"/>
              </w:rPr>
              <w:lastRenderedPageBreak/>
              <w:t>A detailed gender analysis was carried out during the PPG phase to fully consider the different needs, roles, benefits, impacts, risks, differential access to and control over resources of women and men given a project’s context, and to identify appropriate measures to address these and promote gender equality and women’s empowerment. A Gender Action Plan and Budget were developed to guide gender mainstreaming during project implementation.</w:t>
            </w:r>
            <w:r w:rsidRPr="003B6A69">
              <w:t xml:space="preserve"> </w:t>
            </w:r>
            <w:r w:rsidRPr="003B6A69">
              <w:rPr>
                <w:sz w:val="18"/>
                <w:szCs w:val="18"/>
                <w:lang w:val="en-GB"/>
              </w:rPr>
              <w:t xml:space="preserve">In accordance with identified gaps and inequalities, the project will implement the following gender-responsive strategic approaches: </w:t>
            </w:r>
          </w:p>
          <w:p w14:paraId="5C3DFF70" w14:textId="77777777" w:rsidR="00AB2FD0" w:rsidRPr="003B6A69" w:rsidRDefault="00AB2FD0" w:rsidP="003B6A69">
            <w:pPr>
              <w:rPr>
                <w:sz w:val="18"/>
                <w:szCs w:val="18"/>
                <w:lang w:val="en-GB"/>
              </w:rPr>
            </w:pPr>
            <w:r w:rsidRPr="003B6A69">
              <w:rPr>
                <w:sz w:val="18"/>
                <w:szCs w:val="18"/>
                <w:lang w:val="en-GB"/>
              </w:rPr>
              <w:lastRenderedPageBreak/>
              <w:t>•</w:t>
            </w:r>
            <w:r w:rsidRPr="003B6A69">
              <w:rPr>
                <w:sz w:val="18"/>
                <w:szCs w:val="18"/>
                <w:lang w:val="en-GB"/>
              </w:rPr>
              <w:tab/>
              <w:t xml:space="preserve">Develop a solid evidence base to ensure that both women and men are equally represented and covered by the </w:t>
            </w:r>
            <w:proofErr w:type="gramStart"/>
            <w:r w:rsidRPr="003B6A69">
              <w:rPr>
                <w:sz w:val="18"/>
                <w:szCs w:val="18"/>
                <w:lang w:val="en-GB"/>
              </w:rPr>
              <w:t>Project;</w:t>
            </w:r>
            <w:proofErr w:type="gramEnd"/>
            <w:r w:rsidRPr="003B6A69">
              <w:rPr>
                <w:sz w:val="18"/>
                <w:szCs w:val="18"/>
                <w:lang w:val="en-GB"/>
              </w:rPr>
              <w:t xml:space="preserve"> </w:t>
            </w:r>
          </w:p>
          <w:p w14:paraId="517D5C4E" w14:textId="77777777" w:rsidR="00AB2FD0" w:rsidRPr="003B6A69" w:rsidRDefault="00AB2FD0" w:rsidP="003B6A69">
            <w:pPr>
              <w:rPr>
                <w:sz w:val="18"/>
                <w:szCs w:val="18"/>
                <w:lang w:val="en-GB"/>
              </w:rPr>
            </w:pPr>
            <w:r w:rsidRPr="003B6A69">
              <w:rPr>
                <w:sz w:val="18"/>
                <w:szCs w:val="18"/>
                <w:lang w:val="en-GB"/>
              </w:rPr>
              <w:t>•</w:t>
            </w:r>
            <w:r w:rsidRPr="003B6A69">
              <w:rPr>
                <w:sz w:val="18"/>
                <w:szCs w:val="18"/>
                <w:lang w:val="en-GB"/>
              </w:rPr>
              <w:tab/>
              <w:t xml:space="preserve">Strengthen women' participation in decision-making in all Project </w:t>
            </w:r>
            <w:proofErr w:type="gramStart"/>
            <w:r w:rsidRPr="003B6A69">
              <w:rPr>
                <w:sz w:val="18"/>
                <w:szCs w:val="18"/>
                <w:lang w:val="en-GB"/>
              </w:rPr>
              <w:t>components;</w:t>
            </w:r>
            <w:proofErr w:type="gramEnd"/>
            <w:r w:rsidRPr="003B6A69">
              <w:rPr>
                <w:sz w:val="18"/>
                <w:szCs w:val="18"/>
                <w:lang w:val="en-GB"/>
              </w:rPr>
              <w:t xml:space="preserve"> </w:t>
            </w:r>
          </w:p>
          <w:p w14:paraId="514AF666" w14:textId="77777777" w:rsidR="00AB2FD0" w:rsidRPr="003B6A69" w:rsidRDefault="00AB2FD0" w:rsidP="003B6A69">
            <w:pPr>
              <w:rPr>
                <w:sz w:val="18"/>
                <w:szCs w:val="18"/>
                <w:lang w:val="en-GB"/>
              </w:rPr>
            </w:pPr>
            <w:r w:rsidRPr="003B6A69">
              <w:rPr>
                <w:sz w:val="18"/>
                <w:szCs w:val="18"/>
                <w:lang w:val="en-GB"/>
              </w:rPr>
              <w:t>•</w:t>
            </w:r>
            <w:r w:rsidRPr="003B6A69">
              <w:rPr>
                <w:sz w:val="18"/>
                <w:szCs w:val="18"/>
                <w:lang w:val="en-GB"/>
              </w:rPr>
              <w:tab/>
              <w:t>Raise the possibilities for women to benefit from the Project.</w:t>
            </w:r>
          </w:p>
          <w:p w14:paraId="43DB8DA2" w14:textId="77777777" w:rsidR="00AB2FD0" w:rsidRPr="003B6A69" w:rsidRDefault="00AB2FD0" w:rsidP="003B6A69">
            <w:pPr>
              <w:rPr>
                <w:rFonts w:eastAsia="MS Mincho"/>
                <w:bCs/>
                <w:sz w:val="18"/>
                <w:szCs w:val="18"/>
                <w:lang w:val="en-GB" w:eastAsia="ja-JP"/>
              </w:rPr>
            </w:pPr>
            <w:r w:rsidRPr="003B6A69">
              <w:rPr>
                <w:rFonts w:eastAsia="MS Mincho"/>
                <w:bCs/>
                <w:sz w:val="18"/>
                <w:szCs w:val="18"/>
                <w:lang w:val="en-GB" w:eastAsia="ja-JP"/>
              </w:rPr>
              <w:t>The key gender mainstreaming elements in the project strategy can be summarised as follows:</w:t>
            </w:r>
          </w:p>
          <w:p w14:paraId="58D54CE0" w14:textId="77777777" w:rsidR="00AB2FD0" w:rsidRPr="003B6A69" w:rsidRDefault="00AB2FD0" w:rsidP="003C6B7B">
            <w:pPr>
              <w:numPr>
                <w:ilvl w:val="0"/>
                <w:numId w:val="15"/>
              </w:numPr>
              <w:ind w:left="252" w:hanging="252"/>
              <w:rPr>
                <w:rFonts w:eastAsia="MS Mincho"/>
                <w:bCs/>
                <w:sz w:val="18"/>
                <w:szCs w:val="18"/>
                <w:lang w:eastAsia="ja-JP"/>
              </w:rPr>
            </w:pPr>
            <w:r w:rsidRPr="003B6A69">
              <w:rPr>
                <w:rFonts w:eastAsia="MS Mincho"/>
                <w:bCs/>
                <w:sz w:val="18"/>
                <w:szCs w:val="18"/>
                <w:lang w:eastAsia="ja-JP"/>
              </w:rPr>
              <w:t xml:space="preserve">Balanced representation and meaningful participation of women and men in key project activities, including those related to capacity building and management planning for protected areas, BD research and valorization studies, BD threat and risk assessments, spatial planning, development of responsible BD-sensitive sectoral practices and </w:t>
            </w:r>
            <w:proofErr w:type="gramStart"/>
            <w:r w:rsidRPr="003B6A69">
              <w:rPr>
                <w:rFonts w:eastAsia="MS Mincho"/>
                <w:bCs/>
                <w:sz w:val="18"/>
                <w:szCs w:val="18"/>
                <w:lang w:eastAsia="ja-JP"/>
              </w:rPr>
              <w:t>standards;</w:t>
            </w:r>
            <w:proofErr w:type="gramEnd"/>
          </w:p>
          <w:p w14:paraId="09F32317" w14:textId="77777777" w:rsidR="00AB2FD0" w:rsidRPr="003B6A69" w:rsidRDefault="00AB2FD0" w:rsidP="003C6B7B">
            <w:pPr>
              <w:numPr>
                <w:ilvl w:val="0"/>
                <w:numId w:val="15"/>
              </w:numPr>
              <w:ind w:left="252" w:hanging="252"/>
              <w:rPr>
                <w:rFonts w:eastAsia="MS Mincho"/>
                <w:sz w:val="18"/>
                <w:szCs w:val="18"/>
                <w:lang w:eastAsia="ja-JP"/>
              </w:rPr>
            </w:pPr>
            <w:r w:rsidRPr="003B6A69">
              <w:rPr>
                <w:rFonts w:eastAsia="MS Mincho"/>
                <w:bCs/>
                <w:sz w:val="18"/>
                <w:szCs w:val="18"/>
                <w:lang w:eastAsia="ja-JP"/>
              </w:rPr>
              <w:t xml:space="preserve">Engagement and mobilization of individuals, local women groups, women NGOs, etc. to participate in its implementation of the Project and to benefit from business opportunities that are created under the particular Project </w:t>
            </w:r>
            <w:proofErr w:type="gramStart"/>
            <w:r w:rsidRPr="003B6A69">
              <w:rPr>
                <w:rFonts w:eastAsia="MS Mincho"/>
                <w:bCs/>
                <w:sz w:val="18"/>
                <w:szCs w:val="18"/>
                <w:lang w:eastAsia="ja-JP"/>
              </w:rPr>
              <w:t>components;</w:t>
            </w:r>
            <w:proofErr w:type="gramEnd"/>
          </w:p>
          <w:p w14:paraId="4F95EA8B" w14:textId="77777777" w:rsidR="00AB2FD0" w:rsidRPr="003B6A69" w:rsidRDefault="00AB2FD0" w:rsidP="003C6B7B">
            <w:pPr>
              <w:numPr>
                <w:ilvl w:val="0"/>
                <w:numId w:val="15"/>
              </w:numPr>
              <w:ind w:left="252" w:hanging="252"/>
              <w:rPr>
                <w:rFonts w:eastAsia="MS Mincho"/>
                <w:sz w:val="18"/>
                <w:szCs w:val="18"/>
                <w:lang w:eastAsia="ja-JP"/>
              </w:rPr>
            </w:pPr>
            <w:r w:rsidRPr="003B6A69">
              <w:rPr>
                <w:rFonts w:eastAsia="MS Mincho"/>
                <w:bCs/>
                <w:sz w:val="18"/>
                <w:szCs w:val="18"/>
                <w:lang w:val="en-GB" w:eastAsia="ja-JP"/>
              </w:rPr>
              <w:t xml:space="preserve">Encouragement of and better access for women entrepreneurs and </w:t>
            </w:r>
            <w:r w:rsidRPr="003B6A69">
              <w:rPr>
                <w:rFonts w:eastAsia="MS Mincho"/>
                <w:bCs/>
                <w:sz w:val="18"/>
                <w:szCs w:val="18"/>
                <w:lang w:eastAsia="ja-JP"/>
              </w:rPr>
              <w:t>women's businesses – sustainable tourism, private forest management, and “green” farming – through enhanced opportunities for women to receive financial support (credits, grants, loans, etc.) and non-material support (mentoring, coaching, targeted counseling).</w:t>
            </w:r>
          </w:p>
        </w:tc>
      </w:tr>
      <w:tr w:rsidR="00AB2FD0" w:rsidRPr="003B6A69" w14:paraId="583EA58B" w14:textId="77777777" w:rsidTr="003B6A69">
        <w:tc>
          <w:tcPr>
            <w:tcW w:w="2430" w:type="dxa"/>
            <w:shd w:val="clear" w:color="auto" w:fill="auto"/>
          </w:tcPr>
          <w:p w14:paraId="36C8E31B" w14:textId="77777777" w:rsidR="00AB2FD0" w:rsidRPr="003B6A69" w:rsidRDefault="00AB2FD0" w:rsidP="003B6A69">
            <w:pPr>
              <w:rPr>
                <w:rFonts w:eastAsia="MS Mincho"/>
                <w:sz w:val="18"/>
                <w:szCs w:val="18"/>
                <w:lang w:eastAsia="ja-JP"/>
              </w:rPr>
            </w:pPr>
            <w:r w:rsidRPr="003B6A69">
              <w:rPr>
                <w:rFonts w:eastAsia="MS Mincho"/>
                <w:sz w:val="18"/>
                <w:szCs w:val="18"/>
                <w:lang w:eastAsia="ja-JP"/>
              </w:rPr>
              <w:lastRenderedPageBreak/>
              <w:t xml:space="preserve">Risk 3: </w:t>
            </w:r>
          </w:p>
          <w:p w14:paraId="53BD48DE" w14:textId="77777777" w:rsidR="00AB2FD0" w:rsidRPr="003B6A69" w:rsidRDefault="00AB2FD0" w:rsidP="003B6A69">
            <w:pPr>
              <w:rPr>
                <w:rFonts w:eastAsia="MS Mincho"/>
                <w:sz w:val="18"/>
                <w:szCs w:val="18"/>
                <w:lang w:eastAsia="ja-JP"/>
              </w:rPr>
            </w:pPr>
            <w:r w:rsidRPr="003B6A69">
              <w:rPr>
                <w:rFonts w:eastAsia="MS Mincho"/>
                <w:sz w:val="18"/>
                <w:szCs w:val="18"/>
                <w:lang w:eastAsia="ja-JP"/>
              </w:rPr>
              <w:t>Indirect or consequential project impact from sectoral interventions could potentially lead to adverse environmental effects if the project activities are designed and/or implemented poorly.</w:t>
            </w:r>
          </w:p>
          <w:p w14:paraId="1FA1401F" w14:textId="77777777" w:rsidR="00AB2FD0" w:rsidRPr="003B6A69" w:rsidRDefault="00AB2FD0" w:rsidP="003B6A69">
            <w:pPr>
              <w:rPr>
                <w:rFonts w:eastAsia="MS Mincho"/>
                <w:sz w:val="18"/>
                <w:szCs w:val="18"/>
                <w:lang w:eastAsia="ja-JP"/>
              </w:rPr>
            </w:pPr>
            <w:r w:rsidRPr="003B6A69">
              <w:rPr>
                <w:rFonts w:eastAsia="MS Mincho"/>
                <w:sz w:val="18"/>
                <w:szCs w:val="18"/>
                <w:lang w:eastAsia="ja-JP"/>
              </w:rPr>
              <w:t>(Standard 1: q 1.1, 1.10</w:t>
            </w:r>
          </w:p>
          <w:p w14:paraId="0825A614" w14:textId="77777777" w:rsidR="00AB2FD0" w:rsidRPr="003B6A69" w:rsidRDefault="00AB2FD0" w:rsidP="003B6A69">
            <w:pPr>
              <w:rPr>
                <w:rFonts w:eastAsia="MS Mincho"/>
                <w:sz w:val="18"/>
                <w:szCs w:val="18"/>
                <w:lang w:eastAsia="ja-JP"/>
              </w:rPr>
            </w:pPr>
            <w:r w:rsidRPr="003B6A69">
              <w:rPr>
                <w:rFonts w:eastAsia="MS Mincho"/>
                <w:sz w:val="18"/>
                <w:szCs w:val="18"/>
                <w:lang w:eastAsia="ja-JP"/>
              </w:rPr>
              <w:t xml:space="preserve">The project will work with the development sectors and plans to provide an input to </w:t>
            </w:r>
            <w:r w:rsidRPr="003B6A69">
              <w:rPr>
                <w:rFonts w:eastAsia="MS Mincho"/>
                <w:sz w:val="18"/>
                <w:szCs w:val="18"/>
                <w:lang w:eastAsia="ja-JP"/>
              </w:rPr>
              <w:lastRenderedPageBreak/>
              <w:t xml:space="preserve">the spatial development planning and sectoral development priority setting where conflicting interests meet, </w:t>
            </w:r>
            <w:proofErr w:type="gramStart"/>
            <w:r w:rsidRPr="003B6A69">
              <w:rPr>
                <w:rFonts w:eastAsia="MS Mincho"/>
                <w:sz w:val="18"/>
                <w:szCs w:val="18"/>
                <w:lang w:eastAsia="ja-JP"/>
              </w:rPr>
              <w:t>e.g.</w:t>
            </w:r>
            <w:proofErr w:type="gramEnd"/>
            <w:r w:rsidRPr="003B6A69">
              <w:rPr>
                <w:rFonts w:eastAsia="MS Mincho"/>
                <w:sz w:val="18"/>
                <w:szCs w:val="18"/>
                <w:lang w:eastAsia="ja-JP"/>
              </w:rPr>
              <w:t xml:space="preserve"> those between low-impact tourism development and plans for ski resort expansion, or excessive development of the coastal zone in the vicinity of MCPAs. While the project input is not likely to cause any conflicts, the indirect effect associated with aggravating stakeholder interests’ conflicts in particular areas is possible. </w:t>
            </w:r>
          </w:p>
          <w:p w14:paraId="27610550" w14:textId="77777777" w:rsidR="00AB2FD0" w:rsidRPr="003B6A69" w:rsidRDefault="00AB2FD0" w:rsidP="003B6A69">
            <w:pPr>
              <w:rPr>
                <w:rFonts w:eastAsia="MS Mincho"/>
                <w:sz w:val="18"/>
                <w:szCs w:val="18"/>
                <w:lang w:eastAsia="ja-JP"/>
              </w:rPr>
            </w:pPr>
            <w:r w:rsidRPr="003B6A69">
              <w:rPr>
                <w:rFonts w:eastAsia="MS Mincho"/>
                <w:sz w:val="18"/>
                <w:szCs w:val="18"/>
                <w:lang w:eastAsia="ja-JP"/>
              </w:rPr>
              <w:t>(Principle 1 q 8)</w:t>
            </w:r>
          </w:p>
          <w:p w14:paraId="5015A2CE" w14:textId="77777777" w:rsidR="00AB2FD0" w:rsidRPr="003B6A69" w:rsidRDefault="00AB2FD0" w:rsidP="003B6A69">
            <w:pPr>
              <w:rPr>
                <w:rFonts w:eastAsia="MS Mincho"/>
                <w:sz w:val="18"/>
                <w:szCs w:val="18"/>
                <w:lang w:eastAsia="ja-JP"/>
              </w:rPr>
            </w:pPr>
          </w:p>
        </w:tc>
        <w:tc>
          <w:tcPr>
            <w:tcW w:w="1440" w:type="dxa"/>
            <w:shd w:val="clear" w:color="auto" w:fill="auto"/>
          </w:tcPr>
          <w:p w14:paraId="6913A362" w14:textId="77777777" w:rsidR="00AB2FD0" w:rsidRPr="003B6A69" w:rsidRDefault="00AB2FD0" w:rsidP="003B6A69">
            <w:pPr>
              <w:rPr>
                <w:rFonts w:eastAsia="MS Mincho" w:cs="Minion Pro"/>
                <w:sz w:val="18"/>
                <w:szCs w:val="18"/>
                <w:lang w:eastAsia="ja-JP"/>
              </w:rPr>
            </w:pPr>
            <w:r w:rsidRPr="003B6A69">
              <w:rPr>
                <w:rFonts w:eastAsia="MS Mincho" w:cs="Minion Pro"/>
                <w:sz w:val="18"/>
                <w:szCs w:val="18"/>
                <w:lang w:eastAsia="ja-JP"/>
              </w:rPr>
              <w:lastRenderedPageBreak/>
              <w:t xml:space="preserve"> </w:t>
            </w:r>
          </w:p>
        </w:tc>
        <w:tc>
          <w:tcPr>
            <w:tcW w:w="1260" w:type="dxa"/>
            <w:shd w:val="clear" w:color="auto" w:fill="auto"/>
          </w:tcPr>
          <w:p w14:paraId="316FCBAE" w14:textId="77777777" w:rsidR="00AB2FD0" w:rsidRPr="003B6A69" w:rsidRDefault="00AB2FD0" w:rsidP="003B6A69">
            <w:pPr>
              <w:rPr>
                <w:rFonts w:eastAsia="MS Mincho"/>
                <w:b/>
                <w:sz w:val="18"/>
                <w:szCs w:val="18"/>
                <w:lang w:eastAsia="ja-JP"/>
              </w:rPr>
            </w:pPr>
            <w:r w:rsidRPr="003B6A69">
              <w:rPr>
                <w:rFonts w:eastAsia="MS Mincho"/>
                <w:b/>
                <w:sz w:val="18"/>
                <w:szCs w:val="18"/>
                <w:lang w:eastAsia="ja-JP"/>
              </w:rPr>
              <w:t>Moderate</w:t>
            </w:r>
          </w:p>
        </w:tc>
        <w:tc>
          <w:tcPr>
            <w:tcW w:w="1980" w:type="dxa"/>
            <w:shd w:val="clear" w:color="auto" w:fill="auto"/>
          </w:tcPr>
          <w:p w14:paraId="28E5AD53" w14:textId="77777777" w:rsidR="00AB2FD0" w:rsidRPr="003B6A69" w:rsidRDefault="00AB2FD0" w:rsidP="003B6A69">
            <w:pPr>
              <w:rPr>
                <w:rFonts w:eastAsia="MS Mincho"/>
                <w:sz w:val="18"/>
                <w:szCs w:val="18"/>
                <w:lang w:eastAsia="ja-JP"/>
              </w:rPr>
            </w:pPr>
            <w:r w:rsidRPr="003B6A69">
              <w:rPr>
                <w:rFonts w:eastAsia="MS Mincho"/>
                <w:sz w:val="18"/>
                <w:szCs w:val="18"/>
                <w:lang w:eastAsia="ja-JP"/>
              </w:rPr>
              <w:t xml:space="preserve">Biodiversity and ecosystem services are in the core of sectoral development. It is especially valid for tourism: amenities and recreational services provided by a range of ecosystems are not preserved at current levels or improved, Montenegro’s attractiveness for </w:t>
            </w:r>
            <w:r w:rsidRPr="003B6A69">
              <w:rPr>
                <w:rFonts w:eastAsia="MS Mincho"/>
                <w:sz w:val="18"/>
                <w:szCs w:val="18"/>
                <w:lang w:eastAsia="ja-JP"/>
              </w:rPr>
              <w:lastRenderedPageBreak/>
              <w:t>tourism as the primary economic sector will also significantly diminish. Serving as a source of additional income and by supporting traditional economic activities of the rural population, biodiversity is also important for the livelihoods of local communities in the country.</w:t>
            </w:r>
            <w:r w:rsidRPr="003B6A69">
              <w:t xml:space="preserve"> </w:t>
            </w:r>
            <w:r w:rsidRPr="003B6A69">
              <w:rPr>
                <w:rFonts w:eastAsia="MS Mincho"/>
                <w:sz w:val="18"/>
                <w:szCs w:val="18"/>
                <w:lang w:eastAsia="ja-JP"/>
              </w:rPr>
              <w:t xml:space="preserve">Conversion of habitats, biodiversity loss and degradation of ecosystem quality affect rural populations to a great extent. </w:t>
            </w:r>
            <w:proofErr w:type="gramStart"/>
            <w:r w:rsidRPr="003B6A69">
              <w:rPr>
                <w:rFonts w:eastAsia="MS Mincho"/>
                <w:sz w:val="18"/>
                <w:szCs w:val="18"/>
                <w:lang w:eastAsia="ja-JP"/>
              </w:rPr>
              <w:t>The majority of</w:t>
            </w:r>
            <w:proofErr w:type="gramEnd"/>
            <w:r w:rsidRPr="003B6A69">
              <w:rPr>
                <w:rFonts w:eastAsia="MS Mincho"/>
                <w:sz w:val="18"/>
                <w:szCs w:val="18"/>
                <w:lang w:eastAsia="ja-JP"/>
              </w:rPr>
              <w:t xml:space="preserve"> rural inhabitants live at or below the poverty line and they depend on these services for their survival. This particularly affects women, as they are mainly involved in traditional cattle breeding activities, cultivation of agricultural crops and collection of wild plants and fruit.</w:t>
            </w:r>
          </w:p>
          <w:p w14:paraId="0E371E33" w14:textId="77777777" w:rsidR="00AB2FD0" w:rsidRPr="003B6A69" w:rsidRDefault="00AB2FD0" w:rsidP="003B6A69">
            <w:pPr>
              <w:rPr>
                <w:rFonts w:eastAsia="MS Mincho"/>
                <w:sz w:val="18"/>
                <w:szCs w:val="18"/>
                <w:lang w:eastAsia="ja-JP"/>
              </w:rPr>
            </w:pPr>
            <w:r w:rsidRPr="003B6A69">
              <w:rPr>
                <w:rFonts w:eastAsia="MS Mincho"/>
                <w:sz w:val="18"/>
                <w:szCs w:val="18"/>
                <w:lang w:eastAsia="ja-JP"/>
              </w:rPr>
              <w:t xml:space="preserve">As the project will be working with the tourist service providers, forestry managers and agricultural producers in the vicinity of KBAs, the project activities should be mindful of </w:t>
            </w:r>
            <w:r w:rsidRPr="003B6A69">
              <w:rPr>
                <w:rFonts w:eastAsia="MS Mincho"/>
                <w:sz w:val="18"/>
                <w:szCs w:val="18"/>
                <w:lang w:eastAsia="ja-JP"/>
              </w:rPr>
              <w:lastRenderedPageBreak/>
              <w:t xml:space="preserve">possible negative effects from the sectoral development activity. </w:t>
            </w:r>
          </w:p>
          <w:p w14:paraId="738E4438" w14:textId="77777777" w:rsidR="00AB2FD0" w:rsidRPr="003B6A69" w:rsidRDefault="00AB2FD0" w:rsidP="003B6A69">
            <w:pPr>
              <w:rPr>
                <w:rFonts w:eastAsia="MS Mincho"/>
                <w:sz w:val="18"/>
                <w:szCs w:val="18"/>
                <w:lang w:eastAsia="ja-JP"/>
              </w:rPr>
            </w:pPr>
            <w:r w:rsidRPr="003B6A69">
              <w:rPr>
                <w:rFonts w:eastAsia="MS Mincho"/>
                <w:b/>
                <w:sz w:val="18"/>
                <w:szCs w:val="18"/>
                <w:lang w:eastAsia="ja-JP"/>
              </w:rPr>
              <w:t>Conflicting interests between nature protection and spatial/sectoral development:</w:t>
            </w:r>
            <w:r w:rsidRPr="003B6A69">
              <w:rPr>
                <w:rFonts w:eastAsia="MS Mincho"/>
                <w:sz w:val="18"/>
                <w:szCs w:val="18"/>
                <w:lang w:eastAsia="ja-JP"/>
              </w:rPr>
              <w:t xml:space="preserve"> The project does not have the ambition to influence or resolve conflicting stakeholder interests in the spatial or sectoral development; the project has no mandate or power to make sure that, for example, the mountain ski resort development in </w:t>
            </w:r>
            <w:proofErr w:type="spellStart"/>
            <w:r w:rsidRPr="003B6A69">
              <w:rPr>
                <w:rFonts w:eastAsia="MS Mincho"/>
                <w:sz w:val="18"/>
                <w:szCs w:val="18"/>
                <w:lang w:eastAsia="ja-JP"/>
              </w:rPr>
              <w:t>Durmitor</w:t>
            </w:r>
            <w:proofErr w:type="spellEnd"/>
            <w:r w:rsidRPr="003B6A69">
              <w:rPr>
                <w:rFonts w:eastAsia="MS Mincho"/>
                <w:sz w:val="18"/>
                <w:szCs w:val="18"/>
                <w:lang w:eastAsia="ja-JP"/>
              </w:rPr>
              <w:t xml:space="preserve"> area has zero impact on the originally recognized UNESCO property, </w:t>
            </w:r>
            <w:proofErr w:type="gramStart"/>
            <w:r w:rsidRPr="003B6A69">
              <w:rPr>
                <w:rFonts w:eastAsia="MS Mincho"/>
                <w:sz w:val="18"/>
                <w:szCs w:val="18"/>
                <w:lang w:eastAsia="ja-JP"/>
              </w:rPr>
              <w:t>as long as</w:t>
            </w:r>
            <w:proofErr w:type="gramEnd"/>
            <w:r w:rsidRPr="003B6A69">
              <w:rPr>
                <w:rFonts w:eastAsia="MS Mincho"/>
                <w:sz w:val="18"/>
                <w:szCs w:val="18"/>
                <w:lang w:eastAsia="ja-JP"/>
              </w:rPr>
              <w:t xml:space="preserve"> these developments do not contradict the law. The national law and regulations mostly comply with the norms and standards of EU. The risk of major conflicts with significant negative impacts is therefore considered as low, and most importantly, it is beyond project mandate and authority to regulate such conflicts. </w:t>
            </w:r>
          </w:p>
          <w:p w14:paraId="33DC134D" w14:textId="77777777" w:rsidR="00AB2FD0" w:rsidRPr="003B6A69" w:rsidRDefault="00AB2FD0" w:rsidP="003B6A69">
            <w:pPr>
              <w:rPr>
                <w:rFonts w:eastAsia="MS Mincho"/>
                <w:sz w:val="18"/>
                <w:szCs w:val="18"/>
                <w:lang w:eastAsia="ja-JP"/>
              </w:rPr>
            </w:pPr>
          </w:p>
        </w:tc>
        <w:tc>
          <w:tcPr>
            <w:tcW w:w="6030" w:type="dxa"/>
            <w:gridSpan w:val="2"/>
            <w:shd w:val="clear" w:color="auto" w:fill="auto"/>
          </w:tcPr>
          <w:p w14:paraId="1CDD4DA9" w14:textId="77777777" w:rsidR="00AB2FD0" w:rsidRPr="003B6A69" w:rsidRDefault="00AB2FD0" w:rsidP="003B6A69">
            <w:pPr>
              <w:rPr>
                <w:rFonts w:eastAsia="MS Mincho"/>
                <w:sz w:val="18"/>
                <w:szCs w:val="18"/>
                <w:lang w:eastAsia="ja-JP"/>
              </w:rPr>
            </w:pPr>
            <w:r w:rsidRPr="003B6A69">
              <w:rPr>
                <w:rFonts w:eastAsia="MS Mincho"/>
                <w:sz w:val="18"/>
                <w:szCs w:val="18"/>
                <w:lang w:eastAsia="ja-JP"/>
              </w:rPr>
              <w:lastRenderedPageBreak/>
              <w:t xml:space="preserve">Project activities have been designed to avoid adverse indirect/consequential impacts to critical and/or sensitive habitats and/or ecosystems and ecosystem services. The project design so far does not foresee any project-driven sectoral interventions that can produce </w:t>
            </w:r>
            <w:r w:rsidRPr="003B6A69">
              <w:rPr>
                <w:rFonts w:eastAsia="MS Mincho"/>
                <w:sz w:val="18"/>
                <w:szCs w:val="18"/>
                <w:u w:val="single"/>
                <w:lang w:eastAsia="ja-JP"/>
              </w:rPr>
              <w:t xml:space="preserve">direct </w:t>
            </w:r>
            <w:r w:rsidRPr="003B6A69">
              <w:rPr>
                <w:rFonts w:eastAsia="MS Mincho"/>
                <w:sz w:val="18"/>
                <w:szCs w:val="18"/>
                <w:lang w:eastAsia="ja-JP"/>
              </w:rPr>
              <w:t>negative environmental impact. However, to ensure environmental and social safeguards are implemented throughout the project, consistent with national regulation and UNDP’s Social and Environmental Standards, subject to the agreement between UNDP and the National Implementing Partner, an Environmental and Social Management Framework (ESMF) will be developed for the project during the Inception Phase.</w:t>
            </w:r>
          </w:p>
          <w:p w14:paraId="70F91A51" w14:textId="77777777" w:rsidR="00AB2FD0" w:rsidRPr="003B6A69" w:rsidRDefault="00AB2FD0" w:rsidP="003B6A69">
            <w:pPr>
              <w:rPr>
                <w:rFonts w:eastAsia="MS Mincho"/>
                <w:sz w:val="18"/>
                <w:szCs w:val="18"/>
                <w:lang w:eastAsia="ja-JP"/>
              </w:rPr>
            </w:pPr>
            <w:r w:rsidRPr="003B6A69">
              <w:rPr>
                <w:rFonts w:eastAsia="MS Mincho"/>
                <w:sz w:val="18"/>
                <w:szCs w:val="18"/>
                <w:lang w:eastAsia="ja-JP"/>
              </w:rPr>
              <w:t xml:space="preserve">The very project concept streamlines the necessity to prioritize biodiversity considerations and mainstream biodiversity-friendly sectoral policies and practices. The design and sequence of the project activities have been made in </w:t>
            </w:r>
            <w:r w:rsidRPr="003B6A69">
              <w:rPr>
                <w:rFonts w:eastAsia="MS Mincho"/>
                <w:sz w:val="18"/>
                <w:szCs w:val="18"/>
                <w:lang w:eastAsia="ja-JP"/>
              </w:rPr>
              <w:lastRenderedPageBreak/>
              <w:t>a manner to create efficiencies and be effective. By acquisition of relevant information regarding the status of species and habitats through assessments and establishment of detailed monitoring programs,</w:t>
            </w:r>
            <w:r w:rsidRPr="003B6A69" w:rsidDel="00B35AFD">
              <w:rPr>
                <w:rFonts w:eastAsia="MS Mincho"/>
                <w:sz w:val="18"/>
                <w:szCs w:val="18"/>
                <w:lang w:eastAsia="ja-JP"/>
              </w:rPr>
              <w:t xml:space="preserve"> </w:t>
            </w:r>
            <w:r w:rsidRPr="003B6A69">
              <w:rPr>
                <w:rFonts w:eastAsia="MS Mincho"/>
                <w:sz w:val="18"/>
                <w:szCs w:val="18"/>
                <w:lang w:eastAsia="ja-JP"/>
              </w:rPr>
              <w:t xml:space="preserve">data sets will be provided for planning purposes (both entity-level and municipal level land use and management plans and nationally through higher planning documents) identifying areas of potential future conflicts and unsustainable resources use and create preconditions for timely prevention of these negative scenarios. </w:t>
            </w:r>
          </w:p>
          <w:p w14:paraId="1F739209" w14:textId="77777777" w:rsidR="00AB2FD0" w:rsidRPr="003B6A69" w:rsidRDefault="00AB2FD0" w:rsidP="003B6A69">
            <w:pPr>
              <w:rPr>
                <w:rFonts w:eastAsia="MS Mincho"/>
                <w:sz w:val="18"/>
                <w:szCs w:val="18"/>
                <w:lang w:eastAsia="ja-JP"/>
              </w:rPr>
            </w:pPr>
            <w:r w:rsidRPr="003B6A69">
              <w:rPr>
                <w:rFonts w:eastAsia="MS Mincho"/>
                <w:sz w:val="18"/>
                <w:szCs w:val="18"/>
                <w:lang w:eastAsia="ja-JP"/>
              </w:rPr>
              <w:t xml:space="preserve">For all three sectors in the project focus (tourism, </w:t>
            </w:r>
            <w:proofErr w:type="gramStart"/>
            <w:r w:rsidRPr="003B6A69">
              <w:rPr>
                <w:rFonts w:eastAsia="MS Mincho"/>
                <w:sz w:val="18"/>
                <w:szCs w:val="18"/>
                <w:lang w:eastAsia="ja-JP"/>
              </w:rPr>
              <w:t>forestry</w:t>
            </w:r>
            <w:proofErr w:type="gramEnd"/>
            <w:r w:rsidRPr="003B6A69">
              <w:rPr>
                <w:rFonts w:eastAsia="MS Mincho"/>
                <w:sz w:val="18"/>
                <w:szCs w:val="18"/>
                <w:lang w:eastAsia="ja-JP"/>
              </w:rPr>
              <w:t xml:space="preserve"> and agriculture), the project will support only the “green” practices and endeavors: nature-based tourism, BD-sensitive forest management, and green farming. </w:t>
            </w:r>
          </w:p>
          <w:p w14:paraId="2FB61972" w14:textId="77777777" w:rsidR="00AB2FD0" w:rsidRPr="003B6A69" w:rsidRDefault="00AB2FD0" w:rsidP="003B6A69">
            <w:pPr>
              <w:rPr>
                <w:rFonts w:eastAsia="MS Mincho" w:cs="ArialMT"/>
                <w:sz w:val="18"/>
                <w:szCs w:val="18"/>
                <w:lang w:eastAsia="ja-JP"/>
              </w:rPr>
            </w:pPr>
            <w:r w:rsidRPr="003B6A69">
              <w:rPr>
                <w:rFonts w:eastAsia="MS Mincho"/>
                <w:sz w:val="18"/>
                <w:szCs w:val="18"/>
                <w:lang w:eastAsia="ja-JP"/>
              </w:rPr>
              <w:t xml:space="preserve">The project plans direct input for the new spatial planning framework of the country, offering a BD conservation dimension to the new Spatial Plan of </w:t>
            </w:r>
            <w:r w:rsidRPr="003B6A69">
              <w:rPr>
                <w:rFonts w:eastAsia="MS Mincho" w:cs="ArialMT"/>
                <w:sz w:val="18"/>
                <w:szCs w:val="18"/>
                <w:lang w:eastAsia="ja-JP"/>
              </w:rPr>
              <w:t xml:space="preserve">Montenegro. The new Spatial Plan will undergo a Strategic Environmental Assessment (SEA). While SEA is a strictly regulated governmental procedure that provides little space for accommodating any standards apart from those prescribed by law (in line with the EU standards and requirements), it will be possible for the UNDP project experts to assess the Spatial Plan for consistency with UNDP’s requirements for Strategic Environmental and Social Assessment and make recommendations during public hearings.  </w:t>
            </w:r>
          </w:p>
          <w:p w14:paraId="77FAEA66" w14:textId="77777777" w:rsidR="00AB2FD0" w:rsidRPr="003B6A69" w:rsidRDefault="00AB2FD0" w:rsidP="003B6A69">
            <w:pPr>
              <w:rPr>
                <w:rFonts w:eastAsia="MS Mincho"/>
                <w:bCs/>
                <w:sz w:val="18"/>
                <w:szCs w:val="18"/>
                <w:lang w:val="en-GB" w:eastAsia="ja-JP"/>
              </w:rPr>
            </w:pPr>
            <w:r w:rsidRPr="003B6A69">
              <w:rPr>
                <w:rFonts w:eastAsia="MS Mincho"/>
                <w:sz w:val="18"/>
                <w:szCs w:val="18"/>
                <w:lang w:eastAsia="ja-JP"/>
              </w:rPr>
              <w:t>The project will introduce BD conservation considerations for policy instruments within the three sectors. Specifically, the project will offer a BD dimension (criteria, verification mechanisms etc.) to the existing certification schemes that have already been tested and applied in the country. Besides this, the project can support the introduction of one more certification scheme that is more BD-sensitive than those currently applied as well as support the small-scale tourism business development towards the more offerings of biodiversity-sensitive nature-based tourism products.</w:t>
            </w:r>
            <w:r w:rsidRPr="003B6A69" w:rsidDel="00B35AFD">
              <w:rPr>
                <w:rFonts w:eastAsia="MS Mincho"/>
                <w:sz w:val="18"/>
                <w:szCs w:val="18"/>
                <w:lang w:eastAsia="ja-JP"/>
              </w:rPr>
              <w:t xml:space="preserve"> </w:t>
            </w:r>
            <w:r w:rsidRPr="003B6A69">
              <w:rPr>
                <w:rFonts w:eastAsia="MS Mincho"/>
                <w:sz w:val="18"/>
                <w:szCs w:val="18"/>
                <w:lang w:eastAsia="ja-JP"/>
              </w:rPr>
              <w:t xml:space="preserve">Particularly, for </w:t>
            </w:r>
            <w:proofErr w:type="spellStart"/>
            <w:r w:rsidRPr="003B6A69">
              <w:rPr>
                <w:rFonts w:eastAsia="MS Mincho"/>
                <w:sz w:val="18"/>
                <w:szCs w:val="18"/>
                <w:lang w:eastAsia="ja-JP"/>
              </w:rPr>
              <w:t>Durmitor</w:t>
            </w:r>
            <w:proofErr w:type="spellEnd"/>
            <w:r w:rsidRPr="003B6A69">
              <w:rPr>
                <w:rFonts w:eastAsia="MS Mincho"/>
                <w:sz w:val="18"/>
                <w:szCs w:val="18"/>
                <w:lang w:eastAsia="ja-JP"/>
              </w:rPr>
              <w:t xml:space="preserve"> National Park, the effort will be focused on the low-impact tourism development as specifically recommended by UNESCO/IUCN </w:t>
            </w:r>
            <w:proofErr w:type="gramStart"/>
            <w:r w:rsidRPr="003B6A69">
              <w:rPr>
                <w:rFonts w:eastAsia="MS Mincho"/>
                <w:sz w:val="18"/>
                <w:szCs w:val="18"/>
                <w:lang w:eastAsia="ja-JP"/>
              </w:rPr>
              <w:t>mission.</w:t>
            </w:r>
            <w:r w:rsidRPr="003B6A69">
              <w:rPr>
                <w:rFonts w:eastAsia="MS Mincho"/>
                <w:bCs/>
                <w:sz w:val="18"/>
                <w:szCs w:val="18"/>
                <w:lang w:val="en-GB" w:eastAsia="ja-JP"/>
              </w:rPr>
              <w:t>Within</w:t>
            </w:r>
            <w:proofErr w:type="gramEnd"/>
            <w:r w:rsidRPr="003B6A69">
              <w:rPr>
                <w:rFonts w:eastAsia="MS Mincho"/>
                <w:bCs/>
                <w:sz w:val="18"/>
                <w:szCs w:val="18"/>
                <w:lang w:val="en-GB" w:eastAsia="ja-JP"/>
              </w:rPr>
              <w:t xml:space="preserve"> the forestry component, the project will offer best-practice standards for mainstreaming biodiversity-friendly forestry practices. The project will help promote biodiversity-positive entrepreneurship in forestry.</w:t>
            </w:r>
          </w:p>
          <w:p w14:paraId="6FFF4FE6" w14:textId="77777777" w:rsidR="00AB2FD0" w:rsidRPr="003B6A69" w:rsidRDefault="00AB2FD0" w:rsidP="003B6A69">
            <w:pPr>
              <w:rPr>
                <w:rFonts w:eastAsia="MS Mincho"/>
                <w:sz w:val="18"/>
                <w:szCs w:val="18"/>
                <w:lang w:eastAsia="ja-JP"/>
              </w:rPr>
            </w:pPr>
            <w:r w:rsidRPr="003B6A69">
              <w:rPr>
                <w:rFonts w:eastAsia="MS Mincho"/>
                <w:sz w:val="18"/>
                <w:szCs w:val="18"/>
                <w:lang w:eastAsia="ja-JP"/>
              </w:rPr>
              <w:t>Within the agricultural component, the project will support the introduction of incentives (</w:t>
            </w:r>
            <w:proofErr w:type="gramStart"/>
            <w:r w:rsidRPr="003B6A69">
              <w:rPr>
                <w:rFonts w:eastAsia="MS Mincho"/>
                <w:sz w:val="18"/>
                <w:szCs w:val="18"/>
                <w:lang w:eastAsia="ja-JP"/>
              </w:rPr>
              <w:t>e.g.</w:t>
            </w:r>
            <w:proofErr w:type="gramEnd"/>
            <w:r w:rsidRPr="003B6A69">
              <w:rPr>
                <w:rFonts w:eastAsia="MS Mincho"/>
                <w:sz w:val="18"/>
                <w:szCs w:val="18"/>
                <w:lang w:eastAsia="ja-JP"/>
              </w:rPr>
              <w:t xml:space="preserve"> green payments in accordance with the principles of the EU Common Agricultural Policy) to support agricultural practices with the aim of restoring, preserving and promoting sustainable use of valuable agricultural land.</w:t>
            </w:r>
            <w:r w:rsidRPr="003B6A69" w:rsidDel="00633D2D">
              <w:rPr>
                <w:rFonts w:eastAsia="MS Mincho"/>
                <w:sz w:val="18"/>
                <w:szCs w:val="18"/>
                <w:lang w:eastAsia="ja-JP"/>
              </w:rPr>
              <w:t xml:space="preserve"> </w:t>
            </w:r>
          </w:p>
          <w:p w14:paraId="30A92CB5" w14:textId="77777777" w:rsidR="00AB2FD0" w:rsidRPr="003B6A69" w:rsidRDefault="00AB2FD0" w:rsidP="003B6A69">
            <w:pPr>
              <w:rPr>
                <w:rFonts w:eastAsia="MS Mincho"/>
                <w:sz w:val="18"/>
                <w:szCs w:val="18"/>
                <w:lang w:eastAsia="ja-JP"/>
              </w:rPr>
            </w:pPr>
            <w:r w:rsidRPr="003B6A69">
              <w:rPr>
                <w:rFonts w:eastAsia="MS Mincho"/>
                <w:sz w:val="18"/>
                <w:szCs w:val="18"/>
                <w:lang w:eastAsia="ja-JP"/>
              </w:rPr>
              <w:t xml:space="preserve">There is a risk that the new strategic, </w:t>
            </w:r>
            <w:proofErr w:type="gramStart"/>
            <w:r w:rsidRPr="003B6A69">
              <w:rPr>
                <w:rFonts w:eastAsia="MS Mincho"/>
                <w:sz w:val="18"/>
                <w:szCs w:val="18"/>
                <w:lang w:eastAsia="ja-JP"/>
              </w:rPr>
              <w:t>regulatory</w:t>
            </w:r>
            <w:proofErr w:type="gramEnd"/>
            <w:r w:rsidRPr="003B6A69">
              <w:rPr>
                <w:rFonts w:eastAsia="MS Mincho"/>
                <w:sz w:val="18"/>
                <w:szCs w:val="18"/>
                <w:lang w:eastAsia="ja-JP"/>
              </w:rPr>
              <w:t xml:space="preserve"> and planning reforms to which this project will provide a biodiversity mainstreaming dimension will remain only as high-quality written products upon project completion but will not experience full implementation. That would mean that the business-as-usual approach will </w:t>
            </w:r>
            <w:r w:rsidRPr="003B6A69">
              <w:rPr>
                <w:rFonts w:eastAsia="MS Mincho"/>
                <w:sz w:val="18"/>
                <w:szCs w:val="18"/>
                <w:lang w:eastAsia="ja-JP"/>
              </w:rPr>
              <w:lastRenderedPageBreak/>
              <w:t xml:space="preserve">prevail, leading to the deterioration of the biodiversity values and loss of vitally important ecosystem services. However, the project will not only provide for elevating BD conservation considerations to spatial planning and production sectors and landscapes, but it will also develop and test very practical and viable solutions and models to address the biodiversity threats and mainstream biodiversity-friendly sectoral practices. </w:t>
            </w:r>
          </w:p>
          <w:p w14:paraId="6524E2DC" w14:textId="77777777" w:rsidR="00AB2FD0" w:rsidRPr="003B6A69" w:rsidRDefault="00AB2FD0" w:rsidP="003B6A69">
            <w:pPr>
              <w:rPr>
                <w:rFonts w:eastAsia="MS Mincho"/>
                <w:noProof/>
                <w:sz w:val="18"/>
                <w:szCs w:val="18"/>
                <w:lang w:eastAsia="ja-JP"/>
              </w:rPr>
            </w:pPr>
            <w:r w:rsidRPr="003B6A69">
              <w:rPr>
                <w:rFonts w:eastAsia="MS Mincho"/>
                <w:sz w:val="18"/>
                <w:szCs w:val="18"/>
                <w:lang w:eastAsia="ja-JP"/>
              </w:rPr>
              <w:t>With the knowledge sharing and awareness-raising activities associated with these practical BD mainstreaming interventions, the project will make sure that the key strategic and regulatory reforms find their way to the actual implementation phase.</w:t>
            </w:r>
          </w:p>
          <w:p w14:paraId="531FFA39" w14:textId="77777777" w:rsidR="00AB2FD0" w:rsidRPr="003B6A69" w:rsidRDefault="00AB2FD0" w:rsidP="003B6A69">
            <w:pPr>
              <w:rPr>
                <w:rFonts w:eastAsia="MS Mincho"/>
                <w:sz w:val="18"/>
                <w:szCs w:val="18"/>
                <w:lang w:eastAsia="ja-JP"/>
              </w:rPr>
            </w:pPr>
            <w:r w:rsidRPr="003B6A69">
              <w:rPr>
                <w:rFonts w:eastAsia="MS Mincho"/>
                <w:sz w:val="18"/>
                <w:szCs w:val="18"/>
                <w:lang w:eastAsia="ja-JP"/>
              </w:rPr>
              <w:t xml:space="preserve">Within its three sectoral components (tourism, forestry, agriculture, the project strategy so far does not envisage any direct support of infrastructure development. The developments inside the PA estate will be planned with strict adherence to the PA regulations and limitations. If, </w:t>
            </w:r>
            <w:proofErr w:type="gramStart"/>
            <w:r w:rsidRPr="003B6A69">
              <w:rPr>
                <w:rFonts w:eastAsia="MS Mincho"/>
                <w:sz w:val="18"/>
                <w:szCs w:val="18"/>
                <w:lang w:eastAsia="ja-JP"/>
              </w:rPr>
              <w:t>in the course of</w:t>
            </w:r>
            <w:proofErr w:type="gramEnd"/>
            <w:r w:rsidRPr="003B6A69">
              <w:rPr>
                <w:rFonts w:eastAsia="MS Mincho"/>
                <w:sz w:val="18"/>
                <w:szCs w:val="18"/>
                <w:lang w:eastAsia="ja-JP"/>
              </w:rPr>
              <w:t xml:space="preserve"> adaptive management, any physical interventions/infrastructure will be planned and agreed, the project implementation partners will ensure a site-specific assessment is done to identify potential environmental impacts and environmental mitigation measures identified and included in bidding documents for contractors, as per procedures to be defined in the project ESMF.</w:t>
            </w:r>
          </w:p>
          <w:p w14:paraId="0CCF308E" w14:textId="77777777" w:rsidR="00AB2FD0" w:rsidRPr="003B6A69" w:rsidRDefault="00AB2FD0" w:rsidP="003B6A69">
            <w:pPr>
              <w:rPr>
                <w:rFonts w:eastAsia="MS Mincho"/>
                <w:sz w:val="18"/>
                <w:szCs w:val="18"/>
                <w:lang w:eastAsia="ja-JP"/>
              </w:rPr>
            </w:pPr>
          </w:p>
          <w:p w14:paraId="038674E2" w14:textId="77777777" w:rsidR="00AB2FD0" w:rsidRPr="003B6A69" w:rsidRDefault="00AB2FD0" w:rsidP="003B6A69">
            <w:pPr>
              <w:rPr>
                <w:rFonts w:eastAsia="MS Mincho"/>
                <w:b/>
                <w:sz w:val="18"/>
                <w:szCs w:val="18"/>
                <w:lang w:eastAsia="ja-JP"/>
              </w:rPr>
            </w:pPr>
            <w:r w:rsidRPr="003B6A69">
              <w:rPr>
                <w:rFonts w:eastAsia="MS Mincho"/>
                <w:b/>
                <w:sz w:val="18"/>
                <w:szCs w:val="18"/>
                <w:lang w:eastAsia="ja-JP"/>
              </w:rPr>
              <w:t>Conflicting interests between nature protection and spatial/sectoral development:</w:t>
            </w:r>
            <w:r w:rsidRPr="003B6A69">
              <w:rPr>
                <w:rFonts w:eastAsia="MS Mincho"/>
                <w:sz w:val="18"/>
                <w:szCs w:val="18"/>
                <w:lang w:eastAsia="ja-JP"/>
              </w:rPr>
              <w:t xml:space="preserve"> Within the project impact area (KBAs and BD corridors), the project team and experts, together with the key development partners, will make sure that the spatial developments or the sectoral development projects (e.g. tourism development) that conflict with the UNDP-GEF project objectives are identified, communicated, discussed, and if needed, are escalated to the grievance redress mechanisms established for the project. </w:t>
            </w:r>
          </w:p>
        </w:tc>
      </w:tr>
      <w:tr w:rsidR="00AB2FD0" w:rsidRPr="003B6A69" w14:paraId="2CB939A5" w14:textId="77777777" w:rsidTr="003B6A69">
        <w:tc>
          <w:tcPr>
            <w:tcW w:w="2430" w:type="dxa"/>
            <w:shd w:val="clear" w:color="auto" w:fill="auto"/>
            <w:vAlign w:val="center"/>
          </w:tcPr>
          <w:p w14:paraId="76619C1C" w14:textId="77777777" w:rsidR="00AB2FD0" w:rsidRPr="003B6A69" w:rsidRDefault="00AB2FD0" w:rsidP="003B6A69">
            <w:pPr>
              <w:rPr>
                <w:rFonts w:eastAsia="MS Mincho"/>
                <w:sz w:val="18"/>
                <w:szCs w:val="18"/>
                <w:lang w:eastAsia="ja-JP"/>
              </w:rPr>
            </w:pPr>
            <w:r w:rsidRPr="003B6A69">
              <w:rPr>
                <w:rFonts w:eastAsia="MS Mincho"/>
                <w:sz w:val="18"/>
                <w:szCs w:val="18"/>
                <w:lang w:eastAsia="ja-JP"/>
              </w:rPr>
              <w:lastRenderedPageBreak/>
              <w:t xml:space="preserve">Risk 4: </w:t>
            </w:r>
          </w:p>
          <w:p w14:paraId="19AEDD7A" w14:textId="77777777" w:rsidR="00AB2FD0" w:rsidRPr="003B6A69" w:rsidRDefault="00AB2FD0" w:rsidP="003B6A69">
            <w:pPr>
              <w:rPr>
                <w:rFonts w:eastAsia="Times New Roman"/>
                <w:sz w:val="18"/>
                <w:szCs w:val="18"/>
                <w:lang w:eastAsia="ja-JP"/>
              </w:rPr>
            </w:pPr>
            <w:r w:rsidRPr="003B6A69">
              <w:rPr>
                <w:rFonts w:eastAsia="MS Mincho"/>
                <w:sz w:val="18"/>
                <w:szCs w:val="18"/>
                <w:lang w:eastAsia="ja-JP"/>
              </w:rPr>
              <w:t xml:space="preserve">Project impact on the status of biodiversity and ecosystems might be limited by </w:t>
            </w:r>
            <w:r w:rsidRPr="003B6A69">
              <w:rPr>
                <w:rFonts w:eastAsia="MS Mincho"/>
                <w:noProof/>
                <w:sz w:val="18"/>
                <w:szCs w:val="18"/>
                <w:lang w:eastAsia="ja-JP"/>
              </w:rPr>
              <w:t>climate change as a direct driver of habitat conversion and biodiversity loss in the country</w:t>
            </w:r>
            <w:r w:rsidRPr="003B6A69">
              <w:rPr>
                <w:rFonts w:eastAsia="MS Mincho"/>
                <w:sz w:val="18"/>
                <w:szCs w:val="18"/>
                <w:lang w:eastAsia="ja-JP"/>
              </w:rPr>
              <w:t>.</w:t>
            </w:r>
            <w:r w:rsidRPr="003B6A69">
              <w:rPr>
                <w:rFonts w:eastAsia="Times New Roman"/>
                <w:sz w:val="18"/>
                <w:szCs w:val="18"/>
                <w:lang w:eastAsia="ja-JP"/>
              </w:rPr>
              <w:t xml:space="preserve"> </w:t>
            </w:r>
          </w:p>
          <w:p w14:paraId="64735C2C" w14:textId="77777777" w:rsidR="00AB2FD0" w:rsidRPr="003B6A69" w:rsidRDefault="00AB2FD0" w:rsidP="003B6A69">
            <w:pPr>
              <w:rPr>
                <w:rFonts w:eastAsia="MS Mincho"/>
                <w:sz w:val="18"/>
                <w:szCs w:val="18"/>
                <w:lang w:eastAsia="ja-JP"/>
              </w:rPr>
            </w:pPr>
            <w:r w:rsidRPr="003B6A69">
              <w:rPr>
                <w:rFonts w:eastAsia="MS Mincho"/>
                <w:sz w:val="18"/>
                <w:szCs w:val="18"/>
                <w:lang w:eastAsia="ja-JP"/>
              </w:rPr>
              <w:t>(Standard 2: q 2.2</w:t>
            </w:r>
          </w:p>
          <w:p w14:paraId="38A3EF6F" w14:textId="77777777" w:rsidR="00AB2FD0" w:rsidRPr="003B6A69" w:rsidRDefault="00AB2FD0" w:rsidP="003B6A69">
            <w:pPr>
              <w:rPr>
                <w:rFonts w:eastAsia="MS Mincho"/>
                <w:sz w:val="18"/>
                <w:szCs w:val="18"/>
                <w:lang w:eastAsia="ja-JP"/>
              </w:rPr>
            </w:pPr>
            <w:r w:rsidRPr="003B6A69">
              <w:rPr>
                <w:rFonts w:eastAsia="MS Mincho"/>
                <w:sz w:val="18"/>
                <w:szCs w:val="18"/>
                <w:lang w:eastAsia="ja-JP"/>
              </w:rPr>
              <w:t>Standard 3: q 3.5)</w:t>
            </w:r>
          </w:p>
        </w:tc>
        <w:tc>
          <w:tcPr>
            <w:tcW w:w="1440" w:type="dxa"/>
            <w:shd w:val="clear" w:color="auto" w:fill="auto"/>
          </w:tcPr>
          <w:p w14:paraId="04253AF0" w14:textId="77777777" w:rsidR="00AB2FD0" w:rsidRPr="003B6A69" w:rsidRDefault="00AB2FD0" w:rsidP="003B6A69">
            <w:pPr>
              <w:rPr>
                <w:rFonts w:eastAsia="MS Mincho" w:cs="Minion Pro"/>
                <w:sz w:val="18"/>
                <w:szCs w:val="18"/>
                <w:lang w:eastAsia="ja-JP"/>
              </w:rPr>
            </w:pPr>
            <w:r w:rsidRPr="003B6A69">
              <w:rPr>
                <w:rFonts w:eastAsia="MS Mincho" w:cs="Minion Pro"/>
                <w:sz w:val="18"/>
                <w:szCs w:val="18"/>
                <w:lang w:eastAsia="ja-JP"/>
              </w:rPr>
              <w:t>I = 3</w:t>
            </w:r>
          </w:p>
          <w:p w14:paraId="2352B2DA" w14:textId="77777777" w:rsidR="00AB2FD0" w:rsidRPr="003B6A69" w:rsidRDefault="00AB2FD0" w:rsidP="003B6A69">
            <w:pPr>
              <w:rPr>
                <w:rFonts w:eastAsia="MS Mincho" w:cs="Minion Pro"/>
                <w:sz w:val="18"/>
                <w:szCs w:val="18"/>
                <w:lang w:eastAsia="ja-JP"/>
              </w:rPr>
            </w:pPr>
            <w:r w:rsidRPr="003B6A69">
              <w:rPr>
                <w:rFonts w:eastAsia="MS Mincho" w:cs="Minion Pro"/>
                <w:sz w:val="18"/>
                <w:szCs w:val="18"/>
                <w:lang w:eastAsia="ja-JP"/>
              </w:rPr>
              <w:t xml:space="preserve">P = </w:t>
            </w:r>
            <w:r w:rsidRPr="003B6A69">
              <w:rPr>
                <w:rFonts w:eastAsia="MS Mincho" w:cs="Minion Pro"/>
                <w:sz w:val="18"/>
                <w:szCs w:val="18"/>
              </w:rPr>
              <w:t>3</w:t>
            </w:r>
          </w:p>
        </w:tc>
        <w:tc>
          <w:tcPr>
            <w:tcW w:w="1260" w:type="dxa"/>
            <w:shd w:val="clear" w:color="auto" w:fill="auto"/>
          </w:tcPr>
          <w:p w14:paraId="36A4085F" w14:textId="77777777" w:rsidR="00AB2FD0" w:rsidRPr="003B6A69" w:rsidRDefault="00AB2FD0" w:rsidP="003B6A69">
            <w:pPr>
              <w:rPr>
                <w:rFonts w:eastAsia="MS Mincho"/>
                <w:b/>
                <w:sz w:val="18"/>
                <w:szCs w:val="18"/>
                <w:lang w:eastAsia="ja-JP"/>
              </w:rPr>
            </w:pPr>
            <w:r w:rsidRPr="003B6A69">
              <w:rPr>
                <w:rFonts w:eastAsia="MS Mincho"/>
                <w:b/>
                <w:sz w:val="18"/>
                <w:szCs w:val="18"/>
              </w:rPr>
              <w:t>Moderate</w:t>
            </w:r>
          </w:p>
        </w:tc>
        <w:tc>
          <w:tcPr>
            <w:tcW w:w="1980" w:type="dxa"/>
            <w:shd w:val="clear" w:color="auto" w:fill="auto"/>
          </w:tcPr>
          <w:p w14:paraId="4DE200AC" w14:textId="77777777" w:rsidR="00AB2FD0" w:rsidRPr="003B6A69" w:rsidRDefault="00AB2FD0" w:rsidP="003B6A69">
            <w:pPr>
              <w:rPr>
                <w:rFonts w:eastAsia="MS Mincho"/>
                <w:sz w:val="18"/>
                <w:szCs w:val="18"/>
                <w:lang w:eastAsia="ja-JP"/>
              </w:rPr>
            </w:pPr>
            <w:r w:rsidRPr="003B6A69">
              <w:rPr>
                <w:rFonts w:eastAsia="MS Mincho"/>
                <w:sz w:val="18"/>
                <w:szCs w:val="18"/>
                <w:lang w:eastAsia="ja-JP"/>
              </w:rPr>
              <w:t xml:space="preserve">Impacts of climate change on the ecosystems include primarily the effects of hot and dry periods on forest habitats which cause wildfires. Current assessments predict shifting of vegetation zones, habitat loss and fragmentation, and changes in qualitative and quantitative aspects of </w:t>
            </w:r>
            <w:proofErr w:type="spellStart"/>
            <w:r w:rsidRPr="003B6A69">
              <w:rPr>
                <w:rFonts w:eastAsia="MS Mincho"/>
                <w:sz w:val="18"/>
                <w:szCs w:val="18"/>
                <w:lang w:eastAsia="ja-JP"/>
              </w:rPr>
              <w:t>biocoenoses</w:t>
            </w:r>
            <w:proofErr w:type="spellEnd"/>
            <w:r w:rsidRPr="003B6A69">
              <w:rPr>
                <w:rFonts w:eastAsia="MS Mincho"/>
                <w:sz w:val="18"/>
                <w:szCs w:val="18"/>
                <w:lang w:eastAsia="ja-JP"/>
              </w:rPr>
              <w:t xml:space="preserve"> </w:t>
            </w:r>
            <w:proofErr w:type="gramStart"/>
            <w:r w:rsidRPr="003B6A69">
              <w:rPr>
                <w:rFonts w:eastAsia="MS Mincho"/>
                <w:sz w:val="18"/>
                <w:szCs w:val="18"/>
                <w:lang w:eastAsia="ja-JP"/>
              </w:rPr>
              <w:t>as a result of</w:t>
            </w:r>
            <w:proofErr w:type="gramEnd"/>
            <w:r w:rsidRPr="003B6A69">
              <w:rPr>
                <w:rFonts w:eastAsia="MS Mincho"/>
                <w:sz w:val="18"/>
                <w:szCs w:val="18"/>
                <w:lang w:eastAsia="ja-JP"/>
              </w:rPr>
              <w:t xml:space="preserve"> climate change. A reduction in number of species is expected, primarily related to freshwater ecosystems, as well as the impact of significant fluctuations in temperature and humidity in the environment on species vulnerable to these effects.</w:t>
            </w:r>
          </w:p>
        </w:tc>
        <w:tc>
          <w:tcPr>
            <w:tcW w:w="6030" w:type="dxa"/>
            <w:gridSpan w:val="2"/>
            <w:shd w:val="clear" w:color="auto" w:fill="auto"/>
          </w:tcPr>
          <w:p w14:paraId="7240B05B" w14:textId="77777777" w:rsidR="00AB2FD0" w:rsidRPr="003B6A69" w:rsidRDefault="00AB2FD0" w:rsidP="003B6A69">
            <w:pPr>
              <w:rPr>
                <w:noProof/>
                <w:sz w:val="18"/>
                <w:szCs w:val="18"/>
              </w:rPr>
            </w:pPr>
            <w:r w:rsidRPr="003B6A69">
              <w:rPr>
                <w:noProof/>
                <w:sz w:val="18"/>
                <w:szCs w:val="18"/>
              </w:rPr>
              <w:t>Climate risks to project endeavours and the management response were formulated as part of the project design documentation, focusing on improved management planning with considerations of the  climate change risks and with focus on identifying gender-specific vulnerabilities.</w:t>
            </w:r>
          </w:p>
          <w:p w14:paraId="36BA8626" w14:textId="77777777" w:rsidR="00AB2FD0" w:rsidRPr="003B6A69" w:rsidRDefault="00AB2FD0" w:rsidP="003B6A69">
            <w:pPr>
              <w:rPr>
                <w:rFonts w:eastAsia="MS Mincho"/>
                <w:sz w:val="18"/>
                <w:szCs w:val="18"/>
                <w:lang w:eastAsia="ja-JP"/>
              </w:rPr>
            </w:pPr>
            <w:r w:rsidRPr="003B6A69">
              <w:rPr>
                <w:rFonts w:eastAsia="MS Mincho"/>
                <w:sz w:val="18"/>
                <w:szCs w:val="18"/>
                <w:lang w:eastAsia="ja-JP"/>
              </w:rPr>
              <w:t xml:space="preserve">Assessments of climate change effects within the targeted PAs and ecosystems will be included in the revised protection studies and advanced management planning instruments to be developed with the project support for the targeted PAs: </w:t>
            </w:r>
            <w:proofErr w:type="spellStart"/>
            <w:r w:rsidRPr="003B6A69">
              <w:rPr>
                <w:rFonts w:eastAsia="MS Mincho"/>
                <w:sz w:val="18"/>
                <w:szCs w:val="18"/>
                <w:lang w:eastAsia="ja-JP"/>
              </w:rPr>
              <w:t>Durmitor</w:t>
            </w:r>
            <w:proofErr w:type="spellEnd"/>
            <w:r w:rsidRPr="003B6A69">
              <w:rPr>
                <w:rFonts w:eastAsia="MS Mincho"/>
                <w:sz w:val="18"/>
                <w:szCs w:val="18"/>
                <w:lang w:eastAsia="ja-JP"/>
              </w:rPr>
              <w:t xml:space="preserve"> NP, </w:t>
            </w:r>
            <w:proofErr w:type="spellStart"/>
            <w:r w:rsidRPr="003B6A69">
              <w:rPr>
                <w:rFonts w:eastAsia="MS Mincho"/>
                <w:sz w:val="18"/>
                <w:szCs w:val="18"/>
                <w:lang w:eastAsia="ja-JP"/>
              </w:rPr>
              <w:t>Dragisnica-Komarnica</w:t>
            </w:r>
            <w:proofErr w:type="spellEnd"/>
            <w:r w:rsidRPr="003B6A69">
              <w:rPr>
                <w:rFonts w:eastAsia="MS Mincho"/>
                <w:sz w:val="18"/>
                <w:szCs w:val="18"/>
                <w:lang w:eastAsia="ja-JP"/>
              </w:rPr>
              <w:t xml:space="preserve"> PN, </w:t>
            </w:r>
            <w:proofErr w:type="spellStart"/>
            <w:r w:rsidRPr="003B6A69">
              <w:rPr>
                <w:rFonts w:eastAsia="MS Mincho"/>
                <w:sz w:val="18"/>
                <w:szCs w:val="18"/>
                <w:lang w:eastAsia="ja-JP"/>
              </w:rPr>
              <w:t>Skadar</w:t>
            </w:r>
            <w:proofErr w:type="spellEnd"/>
            <w:r w:rsidRPr="003B6A69">
              <w:rPr>
                <w:rFonts w:eastAsia="MS Mincho"/>
                <w:sz w:val="18"/>
                <w:szCs w:val="18"/>
                <w:lang w:eastAsia="ja-JP"/>
              </w:rPr>
              <w:t xml:space="preserve"> Lake NP (Outcome 1). Targeted BD assessments and the baseline studies for the unprotected KBAs under Outcome 2 will include climate change threats and effects. Project Output 4.2 is aimed at strengthened resilience of High-Conservation Value forests to fires and other climate-induced threats. Finally, under Output 5 the project will develop and test </w:t>
            </w:r>
            <w:proofErr w:type="spellStart"/>
            <w:r w:rsidRPr="003B6A69">
              <w:rPr>
                <w:rFonts w:eastAsia="MS Mincho"/>
                <w:sz w:val="18"/>
                <w:szCs w:val="18"/>
                <w:lang w:eastAsia="ja-JP"/>
              </w:rPr>
              <w:t>agro</w:t>
            </w:r>
            <w:proofErr w:type="spellEnd"/>
            <w:r w:rsidRPr="003B6A69">
              <w:rPr>
                <w:rFonts w:eastAsia="MS Mincho"/>
                <w:sz w:val="18"/>
                <w:szCs w:val="18"/>
                <w:lang w:eastAsia="ja-JP"/>
              </w:rPr>
              <w:t xml:space="preserve">-environmental measures that will respond to the climate threats to the vulnerable agricultural lands within the biodiversity buffer zones and KBAs. Embedding CC issues and risk mediation measures at the design stage for the key project </w:t>
            </w:r>
            <w:proofErr w:type="spellStart"/>
            <w:r w:rsidRPr="003B6A69">
              <w:rPr>
                <w:rFonts w:eastAsia="MS Mincho"/>
                <w:sz w:val="18"/>
                <w:szCs w:val="18"/>
                <w:lang w:eastAsia="ja-JP"/>
              </w:rPr>
              <w:t>endeavours</w:t>
            </w:r>
            <w:proofErr w:type="spellEnd"/>
            <w:r w:rsidRPr="003B6A69">
              <w:rPr>
                <w:rFonts w:eastAsia="MS Mincho"/>
                <w:sz w:val="18"/>
                <w:szCs w:val="18"/>
                <w:lang w:eastAsia="ja-JP"/>
              </w:rPr>
              <w:t xml:space="preserve"> mentioned above is seen as a principal risk mitigation measure.</w:t>
            </w:r>
          </w:p>
        </w:tc>
      </w:tr>
      <w:tr w:rsidR="00AB2FD0" w:rsidRPr="003B6A69" w14:paraId="76363272" w14:textId="77777777" w:rsidTr="003B6A69">
        <w:tc>
          <w:tcPr>
            <w:tcW w:w="2430" w:type="dxa"/>
            <w:tcBorders>
              <w:top w:val="single" w:sz="4" w:space="0" w:color="auto"/>
              <w:left w:val="single" w:sz="4" w:space="0" w:color="auto"/>
              <w:bottom w:val="single" w:sz="4" w:space="0" w:color="auto"/>
              <w:right w:val="single" w:sz="4" w:space="0" w:color="auto"/>
            </w:tcBorders>
            <w:shd w:val="clear" w:color="auto" w:fill="auto"/>
          </w:tcPr>
          <w:p w14:paraId="58E5409D" w14:textId="77777777" w:rsidR="00AB2FD0" w:rsidRPr="003B6A69" w:rsidRDefault="00AB2FD0" w:rsidP="003B6A69">
            <w:pPr>
              <w:rPr>
                <w:rFonts w:eastAsia="MS Mincho"/>
                <w:sz w:val="18"/>
                <w:szCs w:val="18"/>
                <w:lang w:eastAsia="ja-JP"/>
              </w:rPr>
            </w:pPr>
            <w:r w:rsidRPr="003B6A69">
              <w:rPr>
                <w:rFonts w:eastAsia="MS Mincho"/>
                <w:sz w:val="18"/>
                <w:szCs w:val="18"/>
                <w:lang w:eastAsia="ja-JP"/>
              </w:rPr>
              <w:t xml:space="preserve">Risk 5:  New zonation of protected areas and enforcement of existing regulations could impinge on the livelihoods of nearby communities, potentially restricting access to land and/or resources (including ecosystem services). </w:t>
            </w:r>
          </w:p>
          <w:p w14:paraId="6DECA06C" w14:textId="77777777" w:rsidR="00AB2FD0" w:rsidRPr="003B6A69" w:rsidRDefault="00AB2FD0" w:rsidP="003B6A69">
            <w:pPr>
              <w:rPr>
                <w:rFonts w:eastAsia="MS Mincho"/>
                <w:sz w:val="18"/>
                <w:szCs w:val="18"/>
                <w:lang w:eastAsia="ja-JP"/>
              </w:rPr>
            </w:pPr>
          </w:p>
          <w:p w14:paraId="29D343D3" w14:textId="77777777" w:rsidR="00AB2FD0" w:rsidRPr="003B6A69" w:rsidRDefault="00AB2FD0" w:rsidP="003B6A69">
            <w:pPr>
              <w:rPr>
                <w:rFonts w:eastAsia="MS Mincho"/>
                <w:sz w:val="18"/>
                <w:szCs w:val="18"/>
                <w:lang w:eastAsia="ja-JP"/>
              </w:rPr>
            </w:pPr>
            <w:r w:rsidRPr="003B6A69">
              <w:rPr>
                <w:rFonts w:eastAsia="MS Mincho"/>
                <w:sz w:val="18"/>
                <w:szCs w:val="18"/>
                <w:lang w:eastAsia="ja-JP"/>
              </w:rPr>
              <w:t xml:space="preserve">(Principle 1 </w:t>
            </w:r>
            <w:proofErr w:type="gramStart"/>
            <w:r w:rsidRPr="003B6A69">
              <w:rPr>
                <w:rFonts w:eastAsia="MS Mincho"/>
                <w:sz w:val="18"/>
                <w:szCs w:val="18"/>
                <w:lang w:eastAsia="ja-JP"/>
              </w:rPr>
              <w:t>q3;</w:t>
            </w:r>
            <w:proofErr w:type="gramEnd"/>
            <w:r w:rsidRPr="003B6A69">
              <w:rPr>
                <w:rFonts w:eastAsia="MS Mincho"/>
                <w:sz w:val="18"/>
                <w:szCs w:val="18"/>
                <w:lang w:eastAsia="ja-JP"/>
              </w:rPr>
              <w:t xml:space="preserve"> </w:t>
            </w:r>
          </w:p>
          <w:p w14:paraId="28DDC168" w14:textId="77777777" w:rsidR="00AB2FD0" w:rsidRPr="003B6A69" w:rsidRDefault="00AB2FD0" w:rsidP="003B6A69">
            <w:pPr>
              <w:rPr>
                <w:rFonts w:eastAsia="MS Mincho"/>
                <w:sz w:val="18"/>
                <w:szCs w:val="18"/>
                <w:lang w:eastAsia="ja-JP"/>
              </w:rPr>
            </w:pPr>
            <w:r w:rsidRPr="003B6A69">
              <w:rPr>
                <w:rFonts w:eastAsia="MS Mincho"/>
                <w:sz w:val="18"/>
                <w:szCs w:val="18"/>
                <w:lang w:eastAsia="ja-JP"/>
              </w:rPr>
              <w:t>Standard 5, q5.2)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E517EC2" w14:textId="77777777" w:rsidR="00AB2FD0" w:rsidRPr="003B6A69" w:rsidRDefault="00AB2FD0" w:rsidP="003B6A69">
            <w:pPr>
              <w:rPr>
                <w:rFonts w:eastAsia="MS Mincho" w:cs="Minion Pro"/>
                <w:sz w:val="18"/>
                <w:szCs w:val="18"/>
                <w:lang w:eastAsia="ja-JP"/>
              </w:rPr>
            </w:pPr>
            <w:r w:rsidRPr="003B6A69">
              <w:rPr>
                <w:rFonts w:eastAsia="MS Mincho" w:cs="Minion Pro"/>
                <w:sz w:val="18"/>
                <w:szCs w:val="18"/>
                <w:lang w:eastAsia="ja-JP"/>
              </w:rPr>
              <w:t>I = 3</w:t>
            </w:r>
          </w:p>
          <w:p w14:paraId="7778B95B" w14:textId="77777777" w:rsidR="00AB2FD0" w:rsidRPr="003B6A69" w:rsidRDefault="00AB2FD0" w:rsidP="003B6A69">
            <w:pPr>
              <w:rPr>
                <w:rFonts w:eastAsia="MS Mincho" w:cs="Minion Pro"/>
                <w:sz w:val="18"/>
                <w:szCs w:val="18"/>
                <w:lang w:eastAsia="ja-JP"/>
              </w:rPr>
            </w:pPr>
            <w:r w:rsidRPr="003B6A69">
              <w:rPr>
                <w:rFonts w:eastAsia="MS Mincho" w:cs="Minion Pro"/>
                <w:sz w:val="18"/>
                <w:szCs w:val="18"/>
                <w:lang w:eastAsia="ja-JP"/>
              </w:rPr>
              <w:t>P = 3</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D6BD2F0" w14:textId="77777777" w:rsidR="00AB2FD0" w:rsidRPr="003B6A69" w:rsidRDefault="00AB2FD0" w:rsidP="003B6A69">
            <w:pPr>
              <w:rPr>
                <w:rFonts w:eastAsia="MS Mincho"/>
                <w:b/>
                <w:sz w:val="18"/>
                <w:szCs w:val="18"/>
              </w:rPr>
            </w:pPr>
            <w:r w:rsidRPr="003B6A69">
              <w:rPr>
                <w:rFonts w:eastAsia="MS Mincho"/>
                <w:b/>
                <w:sz w:val="18"/>
                <w:szCs w:val="18"/>
              </w:rPr>
              <w:t>Moderate</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5C883D31" w14:textId="77777777" w:rsidR="00AB2FD0" w:rsidRPr="003B6A69" w:rsidRDefault="00AB2FD0" w:rsidP="003B6A69">
            <w:pPr>
              <w:rPr>
                <w:rFonts w:eastAsia="MS Mincho"/>
                <w:sz w:val="18"/>
                <w:szCs w:val="18"/>
                <w:lang w:eastAsia="ja-JP"/>
              </w:rPr>
            </w:pPr>
            <w:r w:rsidRPr="003B6A69">
              <w:rPr>
                <w:sz w:val="18"/>
                <w:szCs w:val="18"/>
              </w:rPr>
              <w:t xml:space="preserve">The project will seek to strengthen management arrangements for the existing protected areas </w:t>
            </w:r>
            <w:proofErr w:type="gramStart"/>
            <w:r w:rsidRPr="003B6A69">
              <w:rPr>
                <w:sz w:val="18"/>
                <w:szCs w:val="18"/>
              </w:rPr>
              <w:t>in order to</w:t>
            </w:r>
            <w:proofErr w:type="gramEnd"/>
            <w:r w:rsidRPr="003B6A69">
              <w:rPr>
                <w:sz w:val="18"/>
                <w:szCs w:val="18"/>
              </w:rPr>
              <w:t xml:space="preserve"> ensure compliance with the international requirements for the protection of valuable biodiversity. Specifically, the project will help develop scenarios for the Tara River Basin UNESCO </w:t>
            </w:r>
            <w:r w:rsidRPr="003B6A69">
              <w:rPr>
                <w:sz w:val="18"/>
                <w:szCs w:val="18"/>
              </w:rPr>
              <w:lastRenderedPageBreak/>
              <w:t xml:space="preserve">Biosphere reserve and the </w:t>
            </w:r>
            <w:proofErr w:type="spellStart"/>
            <w:r w:rsidRPr="003B6A69">
              <w:rPr>
                <w:sz w:val="18"/>
                <w:szCs w:val="18"/>
              </w:rPr>
              <w:t>Durmitor</w:t>
            </w:r>
            <w:proofErr w:type="spellEnd"/>
            <w:r w:rsidRPr="003B6A69">
              <w:rPr>
                <w:sz w:val="18"/>
                <w:szCs w:val="18"/>
              </w:rPr>
              <w:t xml:space="preserve"> WH site to be properly managed with the balanced interests of the local communities and the biodiversity conservation. </w:t>
            </w:r>
          </w:p>
        </w:tc>
        <w:tc>
          <w:tcPr>
            <w:tcW w:w="6030" w:type="dxa"/>
            <w:gridSpan w:val="2"/>
            <w:tcBorders>
              <w:top w:val="single" w:sz="4" w:space="0" w:color="auto"/>
              <w:left w:val="single" w:sz="4" w:space="0" w:color="auto"/>
              <w:bottom w:val="single" w:sz="4" w:space="0" w:color="auto"/>
              <w:right w:val="single" w:sz="4" w:space="0" w:color="auto"/>
            </w:tcBorders>
            <w:shd w:val="clear" w:color="auto" w:fill="auto"/>
          </w:tcPr>
          <w:p w14:paraId="71A07250" w14:textId="77777777" w:rsidR="00AB2FD0" w:rsidRPr="003B6A69" w:rsidRDefault="00AB2FD0" w:rsidP="003B6A69">
            <w:pPr>
              <w:rPr>
                <w:noProof/>
                <w:sz w:val="18"/>
                <w:szCs w:val="18"/>
              </w:rPr>
            </w:pPr>
            <w:r w:rsidRPr="003B6A69">
              <w:rPr>
                <w:noProof/>
                <w:sz w:val="18"/>
                <w:szCs w:val="18"/>
              </w:rPr>
              <w:lastRenderedPageBreak/>
              <w:t>The ESMF for the project will identify procedures to ensure that Process Framework(s) are in place if it is confirmed that project activities may cause restrictions in access to natural resources in legally designated parks and protected areas. The purpose of a process framework is to establish a process by which members of potentially affected communities participate in the design of project components, determination of measures necessary to address the requirements of SES Standard 5.</w:t>
            </w:r>
            <w:r w:rsidRPr="003B6A69" w:rsidDel="002B3EF5">
              <w:rPr>
                <w:noProof/>
                <w:sz w:val="18"/>
                <w:szCs w:val="18"/>
              </w:rPr>
              <w:t xml:space="preserve"> </w:t>
            </w:r>
          </w:p>
          <w:p w14:paraId="334E6E62" w14:textId="77777777" w:rsidR="00AB2FD0" w:rsidRPr="003B6A69" w:rsidRDefault="00AB2FD0" w:rsidP="003B6A69">
            <w:pPr>
              <w:rPr>
                <w:noProof/>
                <w:sz w:val="18"/>
                <w:szCs w:val="18"/>
              </w:rPr>
            </w:pPr>
            <w:r w:rsidRPr="003B6A69">
              <w:rPr>
                <w:noProof/>
                <w:sz w:val="18"/>
                <w:szCs w:val="18"/>
              </w:rPr>
              <w:t xml:space="preserve">The social baseline for the PA management plans will confirm current land use/ownership, affected peoples, and possible social and economic impacts of the new zonation.  In any case, there will be no physical displacement as a result of enhanced management and new zonation developed with the project support. Before any significant changes are included into the revised PA management plans, they will be subject to an assessment of various impacts including that on community livelihoods. Environmental studies, as well as social </w:t>
            </w:r>
            <w:r w:rsidRPr="003B6A69">
              <w:rPr>
                <w:noProof/>
                <w:sz w:val="18"/>
                <w:szCs w:val="18"/>
              </w:rPr>
              <w:lastRenderedPageBreak/>
              <w:t>and economic baseline assessments, are part of the PA valuation process before proclamation/new zonation. All the changes to be introduced for the Tara River UNESCO Biosphere reserve and the Durmitor WH site will go through the consultative process through the recently established multi-stakeholder management board.  Through its activities, the project will contribute to the substantial increase of scientific knowledge of the sites, the contribution of non-governmental organizations and local populations, the adequate network design in terms of area and representativeness, and the adequacy of the EU and national legal frame.</w:t>
            </w:r>
          </w:p>
          <w:p w14:paraId="62ED813D" w14:textId="77777777" w:rsidR="00AB2FD0" w:rsidRPr="003B6A69" w:rsidRDefault="00AB2FD0" w:rsidP="003B6A69">
            <w:pPr>
              <w:rPr>
                <w:noProof/>
                <w:sz w:val="18"/>
                <w:szCs w:val="18"/>
              </w:rPr>
            </w:pPr>
          </w:p>
          <w:p w14:paraId="4C83E09E" w14:textId="77777777" w:rsidR="00AB2FD0" w:rsidRPr="003B6A69" w:rsidRDefault="00AB2FD0" w:rsidP="003B6A69">
            <w:pPr>
              <w:rPr>
                <w:noProof/>
                <w:sz w:val="18"/>
                <w:szCs w:val="18"/>
              </w:rPr>
            </w:pPr>
            <w:bookmarkStart w:id="72" w:name="_Hlk66780925"/>
            <w:r w:rsidRPr="003B6A69">
              <w:rPr>
                <w:noProof/>
                <w:sz w:val="18"/>
                <w:szCs w:val="18"/>
              </w:rPr>
              <w:t>With the implementation of legal framework prescribing and defining consultation process and with the additional effort of the team, relying on and replicating good practices implemented in the context of Piva, Komovi and later on Zeta, Orjen, Dragišnjica – Komarnica etc. the risks of limiting livelihood of the local population will be decreased to a minimum.</w:t>
            </w:r>
          </w:p>
          <w:bookmarkEnd w:id="72"/>
          <w:p w14:paraId="7A4CF6F8" w14:textId="77777777" w:rsidR="00AB2FD0" w:rsidRPr="003B6A69" w:rsidRDefault="00AB2FD0" w:rsidP="003B6A69">
            <w:pPr>
              <w:rPr>
                <w:noProof/>
                <w:sz w:val="18"/>
                <w:szCs w:val="18"/>
              </w:rPr>
            </w:pPr>
            <w:r w:rsidRPr="003B6A69">
              <w:rPr>
                <w:noProof/>
                <w:sz w:val="18"/>
                <w:szCs w:val="18"/>
              </w:rPr>
              <w:t xml:space="preserve">During the project development phase and before these official processes the project will ensure community engagement and assessment of possible impacts and alternative solutions for local livelihoods that depend on the PA resources. </w:t>
            </w:r>
          </w:p>
          <w:p w14:paraId="75AB85AC" w14:textId="77777777" w:rsidR="00AB2FD0" w:rsidRPr="003B6A69" w:rsidRDefault="00AB2FD0" w:rsidP="003B6A69">
            <w:pPr>
              <w:rPr>
                <w:noProof/>
                <w:sz w:val="18"/>
                <w:szCs w:val="18"/>
              </w:rPr>
            </w:pPr>
            <w:r w:rsidRPr="003B6A69">
              <w:rPr>
                <w:noProof/>
                <w:sz w:val="18"/>
                <w:szCs w:val="18"/>
              </w:rPr>
              <w:t>The project activities under Outcome 2  will contribute to the baseline feasibility assessments/justifications that may potentially lead to the expansion of PA system through the PAs at the category of parks of nature or N2000 sites. By definition and prescribed consultation process, designation of t these PAs categories has an important aspect of creating preconditions for local economic development. While PAs management involves capital investment and requires resources for on-going management and monitoring activities the countries PAs network already demonstrated opportunities to deliver a variety of socio-economic benefits, resulting from a range of provisioning, regulating and cultural services, each of which supports human well being. Quantitative and monetary data for the socio-economic benefits associated with countries PAs already provided evidence that the benefits to society are larger than the costs of managing and investing in the network.</w:t>
            </w:r>
          </w:p>
          <w:p w14:paraId="503401CF" w14:textId="77777777" w:rsidR="00AB2FD0" w:rsidRPr="003B6A69" w:rsidRDefault="00AB2FD0" w:rsidP="003B6A69">
            <w:pPr>
              <w:rPr>
                <w:noProof/>
                <w:sz w:val="18"/>
                <w:szCs w:val="18"/>
              </w:rPr>
            </w:pPr>
            <w:r w:rsidRPr="003B6A69">
              <w:rPr>
                <w:noProof/>
                <w:sz w:val="18"/>
                <w:szCs w:val="18"/>
              </w:rPr>
              <w:t xml:space="preserve">One specific example in the context is the area of Sinjajeina where the project has committed significant resources for BD assessment and revision of the draft Protection Study for the potential PA proclamation. The project-born inputs into this process will make sure that the proposed zonation and management arrangements for the area should include support to traditional livelihoods, revitalization of traditional agriculture (grazing) and nomadic settlements (katuns) as key elements representing the unique cultural value of the area, and ensure community engagement for increased local benefits from traditional agriculture and sustainable tourism development. </w:t>
            </w:r>
          </w:p>
        </w:tc>
      </w:tr>
      <w:tr w:rsidR="00AB2FD0" w:rsidRPr="003B6A69" w14:paraId="445607F2" w14:textId="77777777" w:rsidTr="003B6A69">
        <w:tc>
          <w:tcPr>
            <w:tcW w:w="2430" w:type="dxa"/>
            <w:shd w:val="clear" w:color="auto" w:fill="auto"/>
          </w:tcPr>
          <w:p w14:paraId="183A2DDC" w14:textId="77777777" w:rsidR="00AB2FD0" w:rsidRPr="003B6A69" w:rsidRDefault="00AB2FD0" w:rsidP="003B6A69">
            <w:pPr>
              <w:rPr>
                <w:rFonts w:eastAsia="MS Mincho"/>
                <w:sz w:val="18"/>
                <w:szCs w:val="18"/>
                <w:lang w:eastAsia="ja-JP"/>
              </w:rPr>
            </w:pPr>
            <w:r w:rsidRPr="003B6A69">
              <w:rPr>
                <w:rFonts w:eastAsia="MS Mincho"/>
                <w:sz w:val="18"/>
                <w:szCs w:val="18"/>
                <w:lang w:eastAsia="ja-JP"/>
              </w:rPr>
              <w:lastRenderedPageBreak/>
              <w:t>Risk 6: Project interventions associated with tourism development in the vicinity of historical sites might cause unintentional adverse impacts on historical sites and objects with cultural value.</w:t>
            </w:r>
          </w:p>
          <w:p w14:paraId="0AFE20E0" w14:textId="77777777" w:rsidR="00AB2FD0" w:rsidRPr="003B6A69" w:rsidRDefault="00AB2FD0" w:rsidP="003B6A69">
            <w:pPr>
              <w:rPr>
                <w:rFonts w:eastAsia="MS Mincho"/>
                <w:sz w:val="18"/>
                <w:szCs w:val="18"/>
                <w:lang w:eastAsia="ja-JP"/>
              </w:rPr>
            </w:pPr>
          </w:p>
          <w:p w14:paraId="523FDD95" w14:textId="77777777" w:rsidR="00AB2FD0" w:rsidRPr="003B6A69" w:rsidRDefault="00AB2FD0" w:rsidP="003B6A69">
            <w:pPr>
              <w:rPr>
                <w:rFonts w:eastAsia="MS Mincho"/>
                <w:sz w:val="18"/>
                <w:szCs w:val="18"/>
                <w:lang w:eastAsia="ja-JP"/>
              </w:rPr>
            </w:pPr>
            <w:r w:rsidRPr="003B6A69">
              <w:rPr>
                <w:rFonts w:eastAsia="MS Mincho"/>
                <w:sz w:val="18"/>
                <w:szCs w:val="18"/>
                <w:lang w:eastAsia="ja-JP"/>
              </w:rPr>
              <w:t>(Standard 4: q 4.1)</w:t>
            </w:r>
          </w:p>
        </w:tc>
        <w:tc>
          <w:tcPr>
            <w:tcW w:w="1440" w:type="dxa"/>
            <w:shd w:val="clear" w:color="auto" w:fill="auto"/>
          </w:tcPr>
          <w:p w14:paraId="77247D69" w14:textId="77777777" w:rsidR="00AB2FD0" w:rsidRPr="003B6A69" w:rsidRDefault="00AB2FD0" w:rsidP="003B6A69">
            <w:pPr>
              <w:rPr>
                <w:rFonts w:eastAsia="MS Mincho" w:cs="Minion Pro"/>
                <w:sz w:val="18"/>
                <w:szCs w:val="18"/>
                <w:lang w:eastAsia="ja-JP"/>
              </w:rPr>
            </w:pPr>
            <w:r w:rsidRPr="003B6A69">
              <w:rPr>
                <w:rFonts w:eastAsia="MS Mincho" w:cs="Minion Pro"/>
                <w:sz w:val="18"/>
                <w:szCs w:val="18"/>
                <w:lang w:eastAsia="ja-JP"/>
              </w:rPr>
              <w:t>I = 3</w:t>
            </w:r>
          </w:p>
          <w:p w14:paraId="4DEC0EA5" w14:textId="77777777" w:rsidR="00AB2FD0" w:rsidRPr="003B6A69" w:rsidRDefault="00AB2FD0" w:rsidP="003B6A69">
            <w:pPr>
              <w:rPr>
                <w:rFonts w:eastAsia="MS Mincho" w:cs="Minion Pro"/>
                <w:sz w:val="18"/>
                <w:szCs w:val="18"/>
                <w:lang w:eastAsia="ja-JP"/>
              </w:rPr>
            </w:pPr>
            <w:r w:rsidRPr="003B6A69">
              <w:rPr>
                <w:rFonts w:eastAsia="MS Mincho" w:cs="Minion Pro"/>
                <w:sz w:val="18"/>
                <w:szCs w:val="18"/>
                <w:lang w:eastAsia="ja-JP"/>
              </w:rPr>
              <w:t xml:space="preserve">P = </w:t>
            </w:r>
            <w:r w:rsidRPr="003B6A69">
              <w:rPr>
                <w:rFonts w:eastAsia="MS Mincho" w:cs="Minion Pro"/>
                <w:sz w:val="18"/>
                <w:szCs w:val="18"/>
              </w:rPr>
              <w:t>1</w:t>
            </w:r>
          </w:p>
        </w:tc>
        <w:tc>
          <w:tcPr>
            <w:tcW w:w="1260" w:type="dxa"/>
            <w:shd w:val="clear" w:color="auto" w:fill="auto"/>
          </w:tcPr>
          <w:p w14:paraId="73FAA030" w14:textId="77777777" w:rsidR="00AB2FD0" w:rsidRPr="003B6A69" w:rsidRDefault="00AB2FD0" w:rsidP="003B6A69">
            <w:pPr>
              <w:rPr>
                <w:rFonts w:eastAsia="MS Mincho"/>
                <w:b/>
                <w:sz w:val="18"/>
                <w:szCs w:val="18"/>
              </w:rPr>
            </w:pPr>
            <w:r w:rsidRPr="003B6A69">
              <w:rPr>
                <w:rFonts w:eastAsia="MS Mincho"/>
                <w:b/>
                <w:sz w:val="18"/>
                <w:szCs w:val="18"/>
              </w:rPr>
              <w:t>Low</w:t>
            </w:r>
          </w:p>
        </w:tc>
        <w:tc>
          <w:tcPr>
            <w:tcW w:w="1980" w:type="dxa"/>
            <w:shd w:val="clear" w:color="auto" w:fill="auto"/>
          </w:tcPr>
          <w:p w14:paraId="70E03FE1" w14:textId="77777777" w:rsidR="00AB2FD0" w:rsidRPr="003B6A69" w:rsidRDefault="00AB2FD0" w:rsidP="003B6A69">
            <w:pPr>
              <w:autoSpaceDE w:val="0"/>
              <w:autoSpaceDN w:val="0"/>
              <w:adjustRightInd w:val="0"/>
              <w:rPr>
                <w:rFonts w:eastAsia="MS Mincho" w:cs="ArialMT"/>
                <w:sz w:val="18"/>
                <w:szCs w:val="18"/>
                <w:lang w:eastAsia="ja-JP"/>
              </w:rPr>
            </w:pPr>
            <w:r w:rsidRPr="003B6A69">
              <w:rPr>
                <w:rFonts w:eastAsia="MS Mincho" w:cs="ArialMT"/>
                <w:sz w:val="18"/>
                <w:szCs w:val="18"/>
                <w:lang w:eastAsia="ja-JP"/>
              </w:rPr>
              <w:t>It is possible that the project will be somehow engaged with the tourism development in the vicinity of historical sites and cultural objects (Kotor-</w:t>
            </w:r>
            <w:proofErr w:type="spellStart"/>
            <w:r w:rsidRPr="003B6A69">
              <w:rPr>
                <w:rFonts w:eastAsia="MS Mincho" w:cs="ArialMT"/>
                <w:sz w:val="18"/>
                <w:szCs w:val="18"/>
                <w:lang w:eastAsia="ja-JP"/>
              </w:rPr>
              <w:t>Risan</w:t>
            </w:r>
            <w:proofErr w:type="spellEnd"/>
            <w:r w:rsidRPr="003B6A69">
              <w:rPr>
                <w:rFonts w:eastAsia="MS Mincho" w:cs="ArialMT"/>
                <w:sz w:val="18"/>
                <w:szCs w:val="18"/>
                <w:lang w:eastAsia="ja-JP"/>
              </w:rPr>
              <w:t xml:space="preserve"> Bay, </w:t>
            </w:r>
            <w:proofErr w:type="spellStart"/>
            <w:r w:rsidRPr="003B6A69">
              <w:rPr>
                <w:rFonts w:eastAsia="MS Mincho" w:cs="ArialMT"/>
                <w:sz w:val="18"/>
                <w:szCs w:val="18"/>
                <w:lang w:eastAsia="ja-JP"/>
              </w:rPr>
              <w:t>Lustica</w:t>
            </w:r>
            <w:proofErr w:type="spellEnd"/>
            <w:r w:rsidRPr="003B6A69">
              <w:rPr>
                <w:rFonts w:eastAsia="MS Mincho" w:cs="ArialMT"/>
                <w:sz w:val="18"/>
                <w:szCs w:val="18"/>
                <w:lang w:eastAsia="ja-JP"/>
              </w:rPr>
              <w:t xml:space="preserve"> Bay, Old Ulcinj, </w:t>
            </w:r>
            <w:proofErr w:type="spellStart"/>
            <w:r w:rsidRPr="003B6A69">
              <w:rPr>
                <w:rFonts w:eastAsia="MS Mincho" w:cs="ArialMT"/>
                <w:sz w:val="18"/>
                <w:szCs w:val="18"/>
                <w:lang w:eastAsia="ja-JP"/>
              </w:rPr>
              <w:t>Durmitor</w:t>
            </w:r>
            <w:proofErr w:type="spellEnd"/>
            <w:r w:rsidRPr="003B6A69">
              <w:rPr>
                <w:rFonts w:eastAsia="MS Mincho" w:cs="ArialMT"/>
                <w:sz w:val="18"/>
                <w:szCs w:val="18"/>
                <w:lang w:eastAsia="ja-JP"/>
              </w:rPr>
              <w:t xml:space="preserve"> world heritage sites etc.). </w:t>
            </w:r>
          </w:p>
        </w:tc>
        <w:tc>
          <w:tcPr>
            <w:tcW w:w="6030" w:type="dxa"/>
            <w:gridSpan w:val="2"/>
            <w:shd w:val="clear" w:color="auto" w:fill="auto"/>
          </w:tcPr>
          <w:p w14:paraId="65FF910C" w14:textId="77777777" w:rsidR="00AB2FD0" w:rsidRPr="003B6A69" w:rsidRDefault="00AB2FD0" w:rsidP="003B6A69">
            <w:pPr>
              <w:autoSpaceDE w:val="0"/>
              <w:autoSpaceDN w:val="0"/>
              <w:adjustRightInd w:val="0"/>
              <w:rPr>
                <w:rFonts w:eastAsia="MS Mincho" w:cs="ArialMT"/>
                <w:sz w:val="18"/>
                <w:szCs w:val="18"/>
                <w:lang w:eastAsia="ja-JP"/>
              </w:rPr>
            </w:pPr>
            <w:bookmarkStart w:id="73" w:name="_Hlk67740657"/>
            <w:r w:rsidRPr="003B6A69">
              <w:rPr>
                <w:rFonts w:eastAsia="MS Mincho" w:cs="ArialMT"/>
                <w:sz w:val="18"/>
                <w:szCs w:val="18"/>
                <w:lang w:eastAsia="ja-JP"/>
              </w:rPr>
              <w:t xml:space="preserve">The project will relay and conform to the national guidelines and framework set by the Protection and preservation program cultural goods, Cultural Tourism Development Program of Montenegro with Action </w:t>
            </w:r>
            <w:proofErr w:type="gramStart"/>
            <w:r w:rsidRPr="003B6A69">
              <w:rPr>
                <w:rFonts w:eastAsia="MS Mincho" w:cs="ArialMT"/>
                <w:sz w:val="18"/>
                <w:szCs w:val="18"/>
                <w:lang w:eastAsia="ja-JP"/>
              </w:rPr>
              <w:t>Plan</w:t>
            </w:r>
            <w:proofErr w:type="gramEnd"/>
            <w:r w:rsidRPr="003B6A69">
              <w:rPr>
                <w:rFonts w:eastAsia="MS Mincho" w:cs="ArialMT"/>
                <w:sz w:val="18"/>
                <w:szCs w:val="18"/>
                <w:lang w:eastAsia="ja-JP"/>
              </w:rPr>
              <w:t xml:space="preserve"> and the Law on Culture. Chance find procedures will be elaborated in the project ESMF.</w:t>
            </w:r>
          </w:p>
          <w:p w14:paraId="186C725F" w14:textId="77777777" w:rsidR="00AB2FD0" w:rsidRPr="003B6A69" w:rsidRDefault="00AB2FD0" w:rsidP="003B6A69">
            <w:pPr>
              <w:autoSpaceDE w:val="0"/>
              <w:autoSpaceDN w:val="0"/>
              <w:adjustRightInd w:val="0"/>
              <w:rPr>
                <w:rFonts w:eastAsia="MS Mincho" w:cs="ArialMT"/>
                <w:sz w:val="18"/>
                <w:szCs w:val="18"/>
                <w:lang w:eastAsia="ja-JP"/>
              </w:rPr>
            </w:pPr>
            <w:r w:rsidRPr="003B6A69">
              <w:rPr>
                <w:rFonts w:eastAsia="MS Mincho" w:cs="ArialMT"/>
                <w:sz w:val="18"/>
                <w:szCs w:val="18"/>
                <w:lang w:eastAsia="ja-JP"/>
              </w:rPr>
              <w:t xml:space="preserve">The World Heritage Convention and the Operational Guidelines for the Implementation of the World Heritage Convention will be at the core of any development affecting historical sites. </w:t>
            </w:r>
            <w:bookmarkEnd w:id="73"/>
          </w:p>
          <w:p w14:paraId="136C6767" w14:textId="77777777" w:rsidR="00AB2FD0" w:rsidRPr="003B6A69" w:rsidRDefault="00AB2FD0" w:rsidP="003B6A69">
            <w:pPr>
              <w:autoSpaceDE w:val="0"/>
              <w:autoSpaceDN w:val="0"/>
              <w:adjustRightInd w:val="0"/>
              <w:rPr>
                <w:rFonts w:eastAsia="MS Mincho" w:cs="ArialMT"/>
                <w:sz w:val="18"/>
                <w:szCs w:val="18"/>
                <w:lang w:eastAsia="ja-JP"/>
              </w:rPr>
            </w:pPr>
            <w:r w:rsidRPr="003B6A69">
              <w:rPr>
                <w:rFonts w:eastAsia="MS Mincho" w:cs="ArialMT"/>
                <w:sz w:val="18"/>
                <w:szCs w:val="18"/>
                <w:lang w:eastAsia="ja-JP"/>
              </w:rPr>
              <w:t xml:space="preserve">The Spatial Plan of Montenegro (that also concerns World Heritage) will undergo a Strategic Environmental Assessment. </w:t>
            </w:r>
            <w:r w:rsidRPr="003B6A69">
              <w:rPr>
                <w:rFonts w:eastAsia="MS Mincho" w:cs="ArialMT"/>
                <w:bCs/>
                <w:sz w:val="18"/>
                <w:szCs w:val="18"/>
                <w:lang w:val="en-GB" w:eastAsia="ja-JP"/>
              </w:rPr>
              <w:t xml:space="preserve">the core team responsible for elaboration and synthesis of the project activities to support the new Spatial Plan, will specifically look at the section related to spatial planning for the protection of nature and cultural heritage (as noted in </w:t>
            </w:r>
            <w:proofErr w:type="spellStart"/>
            <w:r w:rsidRPr="003B6A69">
              <w:rPr>
                <w:rFonts w:eastAsia="MS Mincho" w:cs="ArialMT"/>
                <w:bCs/>
                <w:sz w:val="18"/>
                <w:szCs w:val="18"/>
                <w:lang w:val="en-GB" w:eastAsia="ja-JP"/>
              </w:rPr>
              <w:t>Prodoc</w:t>
            </w:r>
            <w:proofErr w:type="spellEnd"/>
            <w:r w:rsidRPr="003B6A69">
              <w:rPr>
                <w:rFonts w:eastAsia="MS Mincho" w:cs="ArialMT"/>
                <w:bCs/>
                <w:sz w:val="18"/>
                <w:szCs w:val="18"/>
                <w:lang w:val="en-GB" w:eastAsia="ja-JP"/>
              </w:rPr>
              <w:t>).</w:t>
            </w:r>
          </w:p>
          <w:p w14:paraId="40C7996F" w14:textId="77777777" w:rsidR="00AB2FD0" w:rsidRPr="003B6A69" w:rsidRDefault="00AB2FD0" w:rsidP="003B6A69">
            <w:pPr>
              <w:autoSpaceDE w:val="0"/>
              <w:autoSpaceDN w:val="0"/>
              <w:adjustRightInd w:val="0"/>
              <w:rPr>
                <w:rFonts w:eastAsia="MS Mincho" w:cs="ArialMT"/>
                <w:sz w:val="18"/>
                <w:szCs w:val="18"/>
                <w:lang w:eastAsia="ja-JP"/>
              </w:rPr>
            </w:pPr>
          </w:p>
        </w:tc>
      </w:tr>
      <w:tr w:rsidR="00AB2FD0" w:rsidRPr="003B6A69" w14:paraId="31F02E52" w14:textId="77777777" w:rsidTr="003B6A69">
        <w:tc>
          <w:tcPr>
            <w:tcW w:w="2430" w:type="dxa"/>
            <w:shd w:val="clear" w:color="auto" w:fill="auto"/>
          </w:tcPr>
          <w:p w14:paraId="337BB9D6" w14:textId="77777777" w:rsidR="00AB2FD0" w:rsidRPr="003B6A69" w:rsidRDefault="00AB2FD0" w:rsidP="003B6A69">
            <w:pPr>
              <w:rPr>
                <w:rFonts w:eastAsia="MS Mincho"/>
                <w:sz w:val="18"/>
                <w:szCs w:val="18"/>
                <w:lang w:eastAsia="ja-JP"/>
              </w:rPr>
            </w:pPr>
            <w:r w:rsidRPr="003B6A69">
              <w:rPr>
                <w:rFonts w:eastAsia="MS Mincho"/>
                <w:sz w:val="18"/>
                <w:szCs w:val="18"/>
                <w:lang w:eastAsia="ja-JP"/>
              </w:rPr>
              <w:t>Risk 7: Generation of non-hazardous waste and pollution as a result of tourism development, as well as practice interventions for forestry and agriculture (</w:t>
            </w:r>
            <w:proofErr w:type="gramStart"/>
            <w:r w:rsidRPr="003B6A69">
              <w:rPr>
                <w:rFonts w:eastAsia="MS Mincho"/>
                <w:sz w:val="18"/>
                <w:szCs w:val="18"/>
                <w:lang w:eastAsia="ja-JP"/>
              </w:rPr>
              <w:t>e.g.</w:t>
            </w:r>
            <w:proofErr w:type="gramEnd"/>
            <w:r w:rsidRPr="003B6A69">
              <w:rPr>
                <w:rFonts w:eastAsia="MS Mincho"/>
                <w:sz w:val="18"/>
                <w:szCs w:val="18"/>
                <w:lang w:eastAsia="ja-JP"/>
              </w:rPr>
              <w:t xml:space="preserve"> use of pesticides)</w:t>
            </w:r>
          </w:p>
          <w:p w14:paraId="2C95284D" w14:textId="77777777" w:rsidR="00AB2FD0" w:rsidRPr="003B6A69" w:rsidRDefault="00AB2FD0" w:rsidP="003B6A69">
            <w:pPr>
              <w:rPr>
                <w:rFonts w:eastAsia="MS Mincho"/>
                <w:sz w:val="18"/>
                <w:szCs w:val="18"/>
                <w:lang w:eastAsia="ja-JP"/>
              </w:rPr>
            </w:pPr>
          </w:p>
          <w:p w14:paraId="7137D87A" w14:textId="77777777" w:rsidR="00AB2FD0" w:rsidRPr="003B6A69" w:rsidRDefault="00AB2FD0" w:rsidP="003B6A69">
            <w:pPr>
              <w:rPr>
                <w:rFonts w:eastAsia="MS Mincho"/>
                <w:sz w:val="18"/>
                <w:szCs w:val="18"/>
                <w:lang w:eastAsia="ja-JP"/>
              </w:rPr>
            </w:pPr>
            <w:r w:rsidRPr="003B6A69">
              <w:rPr>
                <w:rFonts w:eastAsia="MS Mincho"/>
                <w:sz w:val="18"/>
                <w:szCs w:val="18"/>
                <w:lang w:eastAsia="ja-JP"/>
              </w:rPr>
              <w:t>(Standard 7: q 7.2,7.4)</w:t>
            </w:r>
          </w:p>
        </w:tc>
        <w:tc>
          <w:tcPr>
            <w:tcW w:w="1440" w:type="dxa"/>
            <w:shd w:val="clear" w:color="auto" w:fill="auto"/>
          </w:tcPr>
          <w:p w14:paraId="0678BD9B" w14:textId="77777777" w:rsidR="00AB2FD0" w:rsidRPr="003B6A69" w:rsidRDefault="00AB2FD0" w:rsidP="003B6A69">
            <w:pPr>
              <w:rPr>
                <w:rFonts w:eastAsia="MS Mincho" w:cs="Minion Pro"/>
                <w:sz w:val="18"/>
                <w:szCs w:val="18"/>
                <w:lang w:eastAsia="ja-JP"/>
              </w:rPr>
            </w:pPr>
            <w:r w:rsidRPr="003B6A69">
              <w:rPr>
                <w:rFonts w:eastAsia="MS Mincho" w:cs="Minion Pro"/>
                <w:sz w:val="18"/>
                <w:szCs w:val="18"/>
                <w:lang w:eastAsia="ja-JP"/>
              </w:rPr>
              <w:t>I = 3</w:t>
            </w:r>
          </w:p>
          <w:p w14:paraId="610E8B65" w14:textId="77777777" w:rsidR="00AB2FD0" w:rsidRPr="003B6A69" w:rsidRDefault="00AB2FD0" w:rsidP="003B6A69">
            <w:pPr>
              <w:rPr>
                <w:rFonts w:eastAsia="MS Mincho" w:cs="Minion Pro"/>
                <w:sz w:val="18"/>
                <w:szCs w:val="18"/>
                <w:lang w:eastAsia="ja-JP"/>
              </w:rPr>
            </w:pPr>
            <w:r w:rsidRPr="003B6A69">
              <w:rPr>
                <w:rFonts w:eastAsia="MS Mincho" w:cs="Minion Pro"/>
                <w:sz w:val="18"/>
                <w:szCs w:val="18"/>
                <w:lang w:eastAsia="ja-JP"/>
              </w:rPr>
              <w:t xml:space="preserve">P = </w:t>
            </w:r>
            <w:r w:rsidRPr="003B6A69">
              <w:rPr>
                <w:rFonts w:eastAsia="MS Mincho" w:cs="Minion Pro"/>
                <w:sz w:val="18"/>
                <w:szCs w:val="18"/>
              </w:rPr>
              <w:t>1</w:t>
            </w:r>
          </w:p>
        </w:tc>
        <w:tc>
          <w:tcPr>
            <w:tcW w:w="1260" w:type="dxa"/>
            <w:shd w:val="clear" w:color="auto" w:fill="auto"/>
          </w:tcPr>
          <w:p w14:paraId="0606825A" w14:textId="77777777" w:rsidR="00AB2FD0" w:rsidRPr="003B6A69" w:rsidRDefault="00AB2FD0" w:rsidP="003B6A69">
            <w:pPr>
              <w:rPr>
                <w:rFonts w:eastAsia="MS Mincho"/>
                <w:b/>
                <w:sz w:val="18"/>
                <w:szCs w:val="18"/>
              </w:rPr>
            </w:pPr>
            <w:r w:rsidRPr="003B6A69">
              <w:rPr>
                <w:rFonts w:eastAsia="MS Mincho"/>
                <w:b/>
                <w:sz w:val="18"/>
                <w:szCs w:val="18"/>
              </w:rPr>
              <w:t>Low</w:t>
            </w:r>
          </w:p>
        </w:tc>
        <w:tc>
          <w:tcPr>
            <w:tcW w:w="1980" w:type="dxa"/>
            <w:shd w:val="clear" w:color="auto" w:fill="auto"/>
          </w:tcPr>
          <w:p w14:paraId="42C3764F" w14:textId="77777777" w:rsidR="00AB2FD0" w:rsidRPr="003B6A69" w:rsidRDefault="00AB2FD0" w:rsidP="003B6A69">
            <w:pPr>
              <w:autoSpaceDE w:val="0"/>
              <w:autoSpaceDN w:val="0"/>
              <w:adjustRightInd w:val="0"/>
              <w:rPr>
                <w:rFonts w:eastAsia="MS Mincho"/>
                <w:sz w:val="18"/>
                <w:szCs w:val="18"/>
                <w:lang w:eastAsia="ja-JP"/>
              </w:rPr>
            </w:pPr>
            <w:r w:rsidRPr="003B6A69">
              <w:rPr>
                <w:rFonts w:eastAsia="MS Mincho" w:cs="ArialMT"/>
                <w:sz w:val="18"/>
                <w:szCs w:val="18"/>
                <w:lang w:eastAsia="ja-JP"/>
              </w:rPr>
              <w:t>The project will control sectoral impacts, which may adversely affect the quality of nature values in and create waste and noise.</w:t>
            </w:r>
            <w:r w:rsidRPr="003B6A69">
              <w:rPr>
                <w:rFonts w:eastAsia="MS Mincho"/>
                <w:sz w:val="18"/>
                <w:szCs w:val="18"/>
                <w:lang w:eastAsia="ja-JP"/>
              </w:rPr>
              <w:t xml:space="preserve"> </w:t>
            </w:r>
          </w:p>
          <w:p w14:paraId="5F9E96B4" w14:textId="77777777" w:rsidR="00AB2FD0" w:rsidRPr="003B6A69" w:rsidRDefault="00AB2FD0" w:rsidP="003B6A69">
            <w:pPr>
              <w:rPr>
                <w:rFonts w:eastAsia="MS Mincho"/>
                <w:sz w:val="18"/>
                <w:szCs w:val="18"/>
                <w:lang w:eastAsia="ja-JP"/>
              </w:rPr>
            </w:pPr>
          </w:p>
        </w:tc>
        <w:tc>
          <w:tcPr>
            <w:tcW w:w="6030" w:type="dxa"/>
            <w:gridSpan w:val="2"/>
            <w:shd w:val="clear" w:color="auto" w:fill="auto"/>
          </w:tcPr>
          <w:p w14:paraId="620867B5" w14:textId="77777777" w:rsidR="00AB2FD0" w:rsidRPr="003B6A69" w:rsidRDefault="00AB2FD0" w:rsidP="003B6A69">
            <w:pPr>
              <w:autoSpaceDE w:val="0"/>
              <w:autoSpaceDN w:val="0"/>
              <w:adjustRightInd w:val="0"/>
              <w:rPr>
                <w:rFonts w:eastAsia="MS Mincho" w:cs="ArialMT"/>
                <w:sz w:val="18"/>
                <w:szCs w:val="18"/>
                <w:lang w:eastAsia="ja-JP"/>
              </w:rPr>
            </w:pPr>
            <w:r w:rsidRPr="003B6A69">
              <w:rPr>
                <w:rFonts w:eastAsia="MS Mincho" w:cs="ArialMT"/>
                <w:sz w:val="18"/>
                <w:szCs w:val="18"/>
                <w:lang w:eastAsia="ja-JP"/>
              </w:rPr>
              <w:t>The ESMF to be developed will identify procedures for site-specific management plans that may be needed to address potential waste and pollution (including noise pollution) impacts, to ensure consistency with national requirements and UNDP’s SES.</w:t>
            </w:r>
          </w:p>
          <w:p w14:paraId="777F6F4E" w14:textId="77777777" w:rsidR="00AB2FD0" w:rsidRPr="003B6A69" w:rsidRDefault="00AB2FD0" w:rsidP="003B6A69">
            <w:pPr>
              <w:autoSpaceDE w:val="0"/>
              <w:autoSpaceDN w:val="0"/>
              <w:adjustRightInd w:val="0"/>
              <w:rPr>
                <w:rFonts w:eastAsia="MS Mincho" w:cs="ArialMT"/>
                <w:sz w:val="18"/>
                <w:szCs w:val="18"/>
                <w:lang w:eastAsia="ja-JP"/>
              </w:rPr>
            </w:pPr>
            <w:r w:rsidRPr="003B6A69">
              <w:rPr>
                <w:rFonts w:eastAsia="MS Mincho" w:cs="ArialMT"/>
                <w:sz w:val="18"/>
                <w:szCs w:val="18"/>
                <w:lang w:eastAsia="ja-JP"/>
              </w:rPr>
              <w:t xml:space="preserve">The project will rely and conform to the national guidelines and framework set bylaws on waste management, food safety and forestry. </w:t>
            </w:r>
          </w:p>
          <w:p w14:paraId="6EDDFA65" w14:textId="77777777" w:rsidR="00AB2FD0" w:rsidRPr="003B6A69" w:rsidRDefault="00AB2FD0" w:rsidP="003B6A69">
            <w:pPr>
              <w:autoSpaceDE w:val="0"/>
              <w:autoSpaceDN w:val="0"/>
              <w:adjustRightInd w:val="0"/>
              <w:rPr>
                <w:rFonts w:eastAsia="MS Mincho" w:cs="ArialMT"/>
                <w:sz w:val="18"/>
                <w:szCs w:val="18"/>
                <w:lang w:eastAsia="ja-JP"/>
              </w:rPr>
            </w:pPr>
            <w:r w:rsidRPr="003B6A69">
              <w:rPr>
                <w:rFonts w:eastAsia="MS Mincho" w:cs="ArialMT"/>
                <w:sz w:val="18"/>
                <w:szCs w:val="18"/>
                <w:lang w:val="en-GB" w:eastAsia="ja-JP"/>
              </w:rPr>
              <w:t>Pesticide use is regulated by agricultural policies and law. The direct payment scheme is run in accordance with the existing rules and regulations. Pesticide use will be tackled as one of the principal criteria for the “green” payments scheme to be supported by the project. In general</w:t>
            </w:r>
            <w:r w:rsidRPr="003B6A69">
              <w:rPr>
                <w:rFonts w:eastAsia="MS Mincho" w:cs="ArialMT"/>
                <w:sz w:val="18"/>
                <w:szCs w:val="18"/>
                <w:lang w:eastAsia="ja-JP"/>
              </w:rPr>
              <w:t>, the eligibility criteria for the green payments scheme will be aligned with the SES principles.</w:t>
            </w:r>
          </w:p>
          <w:p w14:paraId="54DBE6A8" w14:textId="77777777" w:rsidR="00AB2FD0" w:rsidRPr="003B6A69" w:rsidRDefault="00AB2FD0" w:rsidP="003B6A69">
            <w:pPr>
              <w:autoSpaceDE w:val="0"/>
              <w:autoSpaceDN w:val="0"/>
              <w:adjustRightInd w:val="0"/>
              <w:rPr>
                <w:rFonts w:eastAsia="MS Mincho" w:cs="ArialMT"/>
                <w:sz w:val="18"/>
                <w:szCs w:val="18"/>
                <w:lang w:eastAsia="ja-JP"/>
              </w:rPr>
            </w:pPr>
            <w:r w:rsidRPr="003B6A69">
              <w:rPr>
                <w:rFonts w:eastAsia="MS Mincho" w:cs="ArialMT"/>
                <w:sz w:val="18"/>
                <w:szCs w:val="18"/>
                <w:lang w:eastAsia="ja-JP"/>
              </w:rPr>
              <w:t xml:space="preserve">UNDP will ensure that the Project will not use products that fall in Classes </w:t>
            </w:r>
            <w:proofErr w:type="spellStart"/>
            <w:r w:rsidRPr="003B6A69">
              <w:rPr>
                <w:rFonts w:eastAsia="MS Mincho" w:cs="ArialMT"/>
                <w:sz w:val="18"/>
                <w:szCs w:val="18"/>
                <w:lang w:eastAsia="ja-JP"/>
              </w:rPr>
              <w:t>Ia</w:t>
            </w:r>
            <w:proofErr w:type="spellEnd"/>
            <w:r w:rsidRPr="003B6A69">
              <w:rPr>
                <w:rFonts w:eastAsia="MS Mincho" w:cs="ArialMT"/>
                <w:sz w:val="18"/>
                <w:szCs w:val="18"/>
                <w:lang w:eastAsia="ja-JP"/>
              </w:rPr>
              <w:t xml:space="preserve"> (extremely hazardous) and </w:t>
            </w:r>
            <w:proofErr w:type="spellStart"/>
            <w:r w:rsidRPr="003B6A69">
              <w:rPr>
                <w:rFonts w:eastAsia="MS Mincho" w:cs="ArialMT"/>
                <w:sz w:val="18"/>
                <w:szCs w:val="18"/>
                <w:lang w:eastAsia="ja-JP"/>
              </w:rPr>
              <w:t>Ib</w:t>
            </w:r>
            <w:proofErr w:type="spellEnd"/>
            <w:r w:rsidRPr="003B6A69">
              <w:rPr>
                <w:rFonts w:eastAsia="MS Mincho" w:cs="ArialMT"/>
                <w:sz w:val="18"/>
                <w:szCs w:val="18"/>
                <w:lang w:eastAsia="ja-JP"/>
              </w:rPr>
              <w:t xml:space="preserve"> (highly hazardous) of the World Health Organization Recommended Classification of Pesticides by Hazard. For the agricultural pilots supported through Outcome 5, pesticides (allowable in accordance </w:t>
            </w:r>
            <w:proofErr w:type="gramStart"/>
            <w:r w:rsidRPr="003B6A69">
              <w:rPr>
                <w:rFonts w:eastAsia="MS Mincho" w:cs="ArialMT"/>
                <w:sz w:val="18"/>
                <w:szCs w:val="18"/>
                <w:lang w:eastAsia="ja-JP"/>
              </w:rPr>
              <w:t>to</w:t>
            </w:r>
            <w:proofErr w:type="gramEnd"/>
            <w:r w:rsidRPr="003B6A69">
              <w:rPr>
                <w:rFonts w:eastAsia="MS Mincho" w:cs="ArialMT"/>
                <w:sz w:val="18"/>
                <w:szCs w:val="18"/>
                <w:lang w:eastAsia="ja-JP"/>
              </w:rPr>
              <w:t xml:space="preserve"> the eligibility criteria for green practices established for the project) will be handled, stored, applied and disposed of in accordance with international good practice such as the FAO International Code of Conduct on the Distribution and Use of Pesticides.</w:t>
            </w:r>
          </w:p>
          <w:p w14:paraId="132C9F83" w14:textId="77777777" w:rsidR="00AB2FD0" w:rsidRPr="003B6A69" w:rsidRDefault="00AB2FD0" w:rsidP="003B6A69">
            <w:pPr>
              <w:autoSpaceDE w:val="0"/>
              <w:autoSpaceDN w:val="0"/>
              <w:adjustRightInd w:val="0"/>
              <w:rPr>
                <w:rFonts w:eastAsia="MS Mincho" w:cs="ArialMT"/>
                <w:sz w:val="18"/>
                <w:szCs w:val="18"/>
                <w:lang w:eastAsia="ja-JP"/>
              </w:rPr>
            </w:pPr>
          </w:p>
        </w:tc>
      </w:tr>
      <w:tr w:rsidR="00AB2FD0" w:rsidRPr="003B6A69" w14:paraId="49A2683D" w14:textId="77777777" w:rsidTr="003B6A69">
        <w:tc>
          <w:tcPr>
            <w:tcW w:w="2430" w:type="dxa"/>
            <w:shd w:val="clear" w:color="auto" w:fill="auto"/>
          </w:tcPr>
          <w:p w14:paraId="662DCF70" w14:textId="77777777" w:rsidR="00AB2FD0" w:rsidRPr="003B6A69" w:rsidRDefault="00AB2FD0" w:rsidP="003B6A69">
            <w:pPr>
              <w:rPr>
                <w:rFonts w:eastAsia="MS Mincho"/>
                <w:sz w:val="18"/>
                <w:szCs w:val="18"/>
                <w:lang w:eastAsia="ja-JP"/>
              </w:rPr>
            </w:pPr>
            <w:r w:rsidRPr="003B6A69">
              <w:rPr>
                <w:rFonts w:eastAsia="MS Mincho"/>
                <w:sz w:val="18"/>
                <w:szCs w:val="18"/>
                <w:lang w:eastAsia="ja-JP"/>
              </w:rPr>
              <w:t xml:space="preserve">Risk 8: The </w:t>
            </w:r>
            <w:r w:rsidRPr="003B6A69">
              <w:rPr>
                <w:sz w:val="18"/>
                <w:szCs w:val="18"/>
              </w:rPr>
              <w:t xml:space="preserve">project involves capacity building of firefighters and the establishment of local firefighting crews.  The project will also support “patrolling” </w:t>
            </w:r>
            <w:r w:rsidRPr="003B6A69">
              <w:rPr>
                <w:sz w:val="18"/>
                <w:szCs w:val="18"/>
              </w:rPr>
              <w:lastRenderedPageBreak/>
              <w:t xml:space="preserve">and “enforcement” within the pilot protected areas. These activities might be associated with safety risks.  </w:t>
            </w:r>
          </w:p>
          <w:p w14:paraId="067BD8C1" w14:textId="77777777" w:rsidR="00AB2FD0" w:rsidRPr="003B6A69" w:rsidRDefault="00AB2FD0" w:rsidP="003B6A69">
            <w:pPr>
              <w:rPr>
                <w:rFonts w:eastAsia="MS Mincho"/>
                <w:sz w:val="18"/>
                <w:szCs w:val="18"/>
                <w:lang w:eastAsia="ja-JP"/>
              </w:rPr>
            </w:pPr>
          </w:p>
          <w:p w14:paraId="58370827" w14:textId="77777777" w:rsidR="00AB2FD0" w:rsidRPr="003B6A69" w:rsidRDefault="00AB2FD0" w:rsidP="003B6A69">
            <w:pPr>
              <w:rPr>
                <w:rFonts w:eastAsia="MS Mincho"/>
                <w:sz w:val="18"/>
                <w:szCs w:val="18"/>
                <w:lang w:eastAsia="ja-JP"/>
              </w:rPr>
            </w:pPr>
            <w:r w:rsidRPr="003B6A69">
              <w:rPr>
                <w:rFonts w:eastAsia="MS Mincho"/>
                <w:sz w:val="18"/>
                <w:szCs w:val="18"/>
                <w:lang w:eastAsia="ja-JP"/>
              </w:rPr>
              <w:t>(Standard 3: q 3.7,3.9)</w:t>
            </w:r>
          </w:p>
        </w:tc>
        <w:tc>
          <w:tcPr>
            <w:tcW w:w="1440" w:type="dxa"/>
            <w:shd w:val="clear" w:color="auto" w:fill="auto"/>
          </w:tcPr>
          <w:p w14:paraId="5240A82B" w14:textId="77777777" w:rsidR="00AB2FD0" w:rsidRPr="003B6A69" w:rsidRDefault="00AB2FD0" w:rsidP="003B6A69">
            <w:pPr>
              <w:rPr>
                <w:rFonts w:eastAsia="MS Mincho" w:cs="Minion Pro"/>
                <w:sz w:val="18"/>
                <w:szCs w:val="18"/>
                <w:lang w:eastAsia="ja-JP"/>
              </w:rPr>
            </w:pPr>
            <w:r w:rsidRPr="003B6A69">
              <w:rPr>
                <w:rFonts w:eastAsia="MS Mincho" w:cs="Minion Pro"/>
                <w:sz w:val="18"/>
                <w:szCs w:val="18"/>
                <w:lang w:eastAsia="ja-JP"/>
              </w:rPr>
              <w:lastRenderedPageBreak/>
              <w:t>I = 3</w:t>
            </w:r>
          </w:p>
          <w:p w14:paraId="158057F5" w14:textId="77777777" w:rsidR="00AB2FD0" w:rsidRPr="003B6A69" w:rsidRDefault="00AB2FD0" w:rsidP="003B6A69">
            <w:pPr>
              <w:rPr>
                <w:rFonts w:eastAsia="MS Mincho" w:cs="Minion Pro"/>
                <w:sz w:val="18"/>
                <w:szCs w:val="18"/>
                <w:lang w:eastAsia="ja-JP"/>
              </w:rPr>
            </w:pPr>
            <w:r w:rsidRPr="003B6A69">
              <w:rPr>
                <w:rFonts w:eastAsia="MS Mincho" w:cs="Minion Pro"/>
                <w:sz w:val="18"/>
                <w:szCs w:val="18"/>
                <w:lang w:eastAsia="ja-JP"/>
              </w:rPr>
              <w:t xml:space="preserve">P = </w:t>
            </w:r>
            <w:r w:rsidRPr="003B6A69">
              <w:rPr>
                <w:rFonts w:eastAsia="MS Mincho" w:cs="Minion Pro"/>
                <w:sz w:val="18"/>
                <w:szCs w:val="18"/>
              </w:rPr>
              <w:t>1</w:t>
            </w:r>
          </w:p>
        </w:tc>
        <w:tc>
          <w:tcPr>
            <w:tcW w:w="1260" w:type="dxa"/>
            <w:shd w:val="clear" w:color="auto" w:fill="auto"/>
          </w:tcPr>
          <w:p w14:paraId="77BB1FC7" w14:textId="77777777" w:rsidR="00AB2FD0" w:rsidRPr="003B6A69" w:rsidRDefault="00AB2FD0" w:rsidP="003B6A69">
            <w:pPr>
              <w:rPr>
                <w:rFonts w:eastAsia="MS Mincho"/>
                <w:b/>
                <w:sz w:val="18"/>
                <w:szCs w:val="18"/>
              </w:rPr>
            </w:pPr>
            <w:r w:rsidRPr="003B6A69">
              <w:rPr>
                <w:rFonts w:eastAsia="MS Mincho"/>
                <w:b/>
                <w:sz w:val="18"/>
                <w:szCs w:val="18"/>
              </w:rPr>
              <w:t>Low</w:t>
            </w:r>
          </w:p>
        </w:tc>
        <w:tc>
          <w:tcPr>
            <w:tcW w:w="1980" w:type="dxa"/>
            <w:shd w:val="clear" w:color="auto" w:fill="auto"/>
          </w:tcPr>
          <w:p w14:paraId="60BF03F6" w14:textId="77777777" w:rsidR="00AB2FD0" w:rsidRPr="003B6A69" w:rsidRDefault="00AB2FD0" w:rsidP="003B6A69">
            <w:pPr>
              <w:autoSpaceDE w:val="0"/>
              <w:autoSpaceDN w:val="0"/>
              <w:adjustRightInd w:val="0"/>
              <w:rPr>
                <w:rFonts w:eastAsia="MS Mincho"/>
                <w:sz w:val="18"/>
                <w:szCs w:val="18"/>
                <w:lang w:eastAsia="ja-JP"/>
              </w:rPr>
            </w:pPr>
          </w:p>
        </w:tc>
        <w:tc>
          <w:tcPr>
            <w:tcW w:w="6030" w:type="dxa"/>
            <w:gridSpan w:val="2"/>
            <w:shd w:val="clear" w:color="auto" w:fill="auto"/>
          </w:tcPr>
          <w:p w14:paraId="1B07D926" w14:textId="77777777" w:rsidR="00AB2FD0" w:rsidRPr="003B6A69" w:rsidRDefault="00AB2FD0" w:rsidP="003B6A69">
            <w:pPr>
              <w:autoSpaceDE w:val="0"/>
              <w:autoSpaceDN w:val="0"/>
              <w:adjustRightInd w:val="0"/>
              <w:rPr>
                <w:rFonts w:eastAsia="MS Mincho" w:cs="ArialMT"/>
                <w:sz w:val="18"/>
                <w:szCs w:val="18"/>
                <w:lang w:eastAsia="ja-JP"/>
              </w:rPr>
            </w:pPr>
            <w:r w:rsidRPr="003B6A69">
              <w:rPr>
                <w:rFonts w:eastAsia="MS Mincho" w:cs="ArialMT"/>
                <w:sz w:val="18"/>
                <w:szCs w:val="18"/>
                <w:lang w:eastAsia="ja-JP"/>
              </w:rPr>
              <w:t xml:space="preserve">Safety risk for firefighting is </w:t>
            </w:r>
            <w:proofErr w:type="gramStart"/>
            <w:r w:rsidRPr="003B6A69">
              <w:rPr>
                <w:rFonts w:eastAsia="MS Mincho" w:cs="ArialMT"/>
                <w:sz w:val="18"/>
                <w:szCs w:val="18"/>
                <w:lang w:eastAsia="ja-JP"/>
              </w:rPr>
              <w:t>by definition included</w:t>
            </w:r>
            <w:proofErr w:type="gramEnd"/>
            <w:r w:rsidRPr="003B6A69">
              <w:rPr>
                <w:rFonts w:eastAsia="MS Mincho" w:cs="ArialMT"/>
                <w:sz w:val="18"/>
                <w:szCs w:val="18"/>
                <w:lang w:eastAsia="ja-JP"/>
              </w:rPr>
              <w:t xml:space="preserve"> as a principal aspect in any training program on the subject. The country has accumulated vast experience on the subject and has benefited from the best available resources outside during major fire outbreaks in 2017 and earlier. The capacity-building effort of the project will be based on the existing experience and best practices available. </w:t>
            </w:r>
            <w:r w:rsidRPr="003B6A69">
              <w:rPr>
                <w:rFonts w:eastAsia="MS Mincho" w:cs="ArialMT"/>
                <w:sz w:val="18"/>
                <w:szCs w:val="18"/>
                <w:lang w:eastAsia="ja-JP"/>
              </w:rPr>
              <w:lastRenderedPageBreak/>
              <w:t xml:space="preserve">It is not something that will be developed from scratch with a zero baseline; the best practice does </w:t>
            </w:r>
            <w:proofErr w:type="gramStart"/>
            <w:r w:rsidRPr="003B6A69">
              <w:rPr>
                <w:rFonts w:eastAsia="MS Mincho" w:cs="ArialMT"/>
                <w:sz w:val="18"/>
                <w:szCs w:val="18"/>
                <w:lang w:eastAsia="ja-JP"/>
              </w:rPr>
              <w:t>exist</w:t>
            </w:r>
            <w:proofErr w:type="gramEnd"/>
            <w:r w:rsidRPr="003B6A69">
              <w:rPr>
                <w:rFonts w:eastAsia="MS Mincho" w:cs="ArialMT"/>
                <w:sz w:val="18"/>
                <w:szCs w:val="18"/>
                <w:lang w:eastAsia="ja-JP"/>
              </w:rPr>
              <w:t xml:space="preserve"> and it includes safety issues as a primary priority.</w:t>
            </w:r>
          </w:p>
          <w:p w14:paraId="1722460C" w14:textId="77777777" w:rsidR="00AB2FD0" w:rsidRPr="003B6A69" w:rsidRDefault="00AB2FD0" w:rsidP="003B6A69">
            <w:pPr>
              <w:autoSpaceDE w:val="0"/>
              <w:autoSpaceDN w:val="0"/>
              <w:adjustRightInd w:val="0"/>
              <w:rPr>
                <w:rFonts w:eastAsia="MS Mincho" w:cs="ArialMT"/>
                <w:sz w:val="18"/>
                <w:szCs w:val="18"/>
                <w:lang w:eastAsia="ja-JP"/>
              </w:rPr>
            </w:pPr>
          </w:p>
          <w:p w14:paraId="18E5F987" w14:textId="77777777" w:rsidR="00AB2FD0" w:rsidRPr="003B6A69" w:rsidRDefault="00AB2FD0" w:rsidP="003B6A69">
            <w:pPr>
              <w:autoSpaceDE w:val="0"/>
              <w:autoSpaceDN w:val="0"/>
              <w:adjustRightInd w:val="0"/>
              <w:rPr>
                <w:rFonts w:eastAsia="MS Mincho" w:cs="ArialMT"/>
                <w:sz w:val="18"/>
                <w:szCs w:val="18"/>
                <w:lang w:eastAsia="ja-JP"/>
              </w:rPr>
            </w:pPr>
            <w:r w:rsidRPr="003B6A69">
              <w:rPr>
                <w:rFonts w:eastAsia="MS Mincho" w:cs="ArialMT"/>
                <w:sz w:val="18"/>
                <w:szCs w:val="18"/>
                <w:lang w:eastAsia="ja-JP"/>
              </w:rPr>
              <w:t xml:space="preserve">Patrolling and enforcement activities within the protected areas are performed in strict accordance with the regulations, by qualified personnel with appropriate licenses. Qualified trainers with the necessary certifications will be engaged. Training </w:t>
            </w:r>
            <w:proofErr w:type="spellStart"/>
            <w:r w:rsidRPr="003B6A69">
              <w:rPr>
                <w:rFonts w:eastAsia="MS Mincho" w:cs="ArialMT"/>
                <w:sz w:val="18"/>
                <w:szCs w:val="18"/>
                <w:lang w:eastAsia="ja-JP"/>
              </w:rPr>
              <w:t>programmes</w:t>
            </w:r>
            <w:proofErr w:type="spellEnd"/>
            <w:r w:rsidRPr="003B6A69">
              <w:rPr>
                <w:rFonts w:eastAsia="MS Mincho" w:cs="ArialMT"/>
                <w:sz w:val="18"/>
                <w:szCs w:val="18"/>
                <w:lang w:eastAsia="ja-JP"/>
              </w:rPr>
              <w:t xml:space="preserve"> are standardized and include safety issues. These processes are strictly regulated in accordance with the existing law; there is long-term practice that’s collected, analyzed, and used for trainings.</w:t>
            </w:r>
          </w:p>
        </w:tc>
      </w:tr>
      <w:tr w:rsidR="00AB2FD0" w:rsidRPr="003B6A69" w14:paraId="367FD1F9" w14:textId="77777777" w:rsidTr="003B6A69">
        <w:trPr>
          <w:trHeight w:val="593"/>
        </w:trPr>
        <w:tc>
          <w:tcPr>
            <w:tcW w:w="2430" w:type="dxa"/>
            <w:vMerge w:val="restart"/>
            <w:shd w:val="clear" w:color="auto" w:fill="auto"/>
          </w:tcPr>
          <w:p w14:paraId="7685CED6" w14:textId="77777777" w:rsidR="00AB2FD0" w:rsidRPr="003B6A69" w:rsidRDefault="00AB2FD0" w:rsidP="003B6A69">
            <w:pPr>
              <w:rPr>
                <w:rFonts w:eastAsia="MS Mincho"/>
                <w:b/>
                <w:szCs w:val="20"/>
                <w:lang w:eastAsia="ja-JP"/>
              </w:rPr>
            </w:pPr>
          </w:p>
        </w:tc>
        <w:tc>
          <w:tcPr>
            <w:tcW w:w="10710" w:type="dxa"/>
            <w:gridSpan w:val="5"/>
            <w:shd w:val="clear" w:color="auto" w:fill="0F243E"/>
          </w:tcPr>
          <w:p w14:paraId="065CF06A" w14:textId="77777777" w:rsidR="00AB2FD0" w:rsidRPr="003B6A69" w:rsidRDefault="00AB2FD0" w:rsidP="003B6A69">
            <w:pPr>
              <w:rPr>
                <w:rFonts w:eastAsia="MS Mincho"/>
                <w:b/>
                <w:sz w:val="18"/>
                <w:szCs w:val="18"/>
                <w:lang w:eastAsia="ja-JP"/>
              </w:rPr>
            </w:pPr>
            <w:r w:rsidRPr="003B6A69">
              <w:rPr>
                <w:rFonts w:eastAsia="MS Mincho"/>
                <w:b/>
                <w:szCs w:val="20"/>
                <w:lang w:eastAsia="ja-JP"/>
              </w:rPr>
              <w:t xml:space="preserve">QUESTION 4: What is the overall Project risk categorization? </w:t>
            </w:r>
          </w:p>
        </w:tc>
      </w:tr>
      <w:tr w:rsidR="00AB2FD0" w:rsidRPr="003B6A69" w14:paraId="0953F07A" w14:textId="77777777" w:rsidTr="003B6A69">
        <w:tc>
          <w:tcPr>
            <w:tcW w:w="2430" w:type="dxa"/>
            <w:vMerge/>
            <w:shd w:val="clear" w:color="auto" w:fill="auto"/>
          </w:tcPr>
          <w:p w14:paraId="60A71186" w14:textId="77777777" w:rsidR="00AB2FD0" w:rsidRPr="003B6A69" w:rsidRDefault="00AB2FD0" w:rsidP="003B6A69">
            <w:pPr>
              <w:rPr>
                <w:rFonts w:eastAsia="MS Mincho"/>
                <w:sz w:val="18"/>
                <w:szCs w:val="18"/>
                <w:u w:val="single"/>
                <w:lang w:eastAsia="ja-JP"/>
              </w:rPr>
            </w:pPr>
          </w:p>
        </w:tc>
        <w:tc>
          <w:tcPr>
            <w:tcW w:w="4680" w:type="dxa"/>
            <w:gridSpan w:val="3"/>
            <w:shd w:val="clear" w:color="auto" w:fill="auto"/>
          </w:tcPr>
          <w:p w14:paraId="04583A3E" w14:textId="77777777" w:rsidR="00AB2FD0" w:rsidRPr="003B6A69" w:rsidRDefault="00AB2FD0" w:rsidP="003B6A69">
            <w:pPr>
              <w:jc w:val="center"/>
              <w:rPr>
                <w:rFonts w:eastAsia="MS Mincho"/>
                <w:b/>
                <w:sz w:val="18"/>
                <w:szCs w:val="18"/>
                <w:lang w:eastAsia="ja-JP"/>
              </w:rPr>
            </w:pPr>
            <w:r w:rsidRPr="003B6A69">
              <w:rPr>
                <w:rFonts w:eastAsia="MS Mincho"/>
                <w:b/>
                <w:sz w:val="18"/>
                <w:szCs w:val="18"/>
                <w:lang w:eastAsia="ja-JP"/>
              </w:rPr>
              <w:t xml:space="preserve">Select one (see </w:t>
            </w:r>
            <w:hyperlink r:id="rId38" w:history="1">
              <w:r w:rsidRPr="003B6A69">
                <w:rPr>
                  <w:rFonts w:eastAsia="MS Mincho"/>
                  <w:b/>
                  <w:color w:val="0000FF"/>
                  <w:sz w:val="18"/>
                  <w:szCs w:val="18"/>
                  <w:u w:val="single"/>
                  <w:lang w:eastAsia="ja-JP"/>
                </w:rPr>
                <w:t>SESP</w:t>
              </w:r>
            </w:hyperlink>
            <w:r w:rsidRPr="003B6A69">
              <w:rPr>
                <w:rFonts w:eastAsia="MS Mincho"/>
                <w:b/>
                <w:sz w:val="18"/>
                <w:szCs w:val="18"/>
                <w:lang w:eastAsia="ja-JP"/>
              </w:rPr>
              <w:t xml:space="preserve"> for guidance)</w:t>
            </w:r>
          </w:p>
        </w:tc>
        <w:tc>
          <w:tcPr>
            <w:tcW w:w="6030" w:type="dxa"/>
            <w:gridSpan w:val="2"/>
            <w:shd w:val="clear" w:color="auto" w:fill="auto"/>
          </w:tcPr>
          <w:p w14:paraId="47BF19F7" w14:textId="77777777" w:rsidR="00AB2FD0" w:rsidRPr="003B6A69" w:rsidRDefault="00AB2FD0" w:rsidP="003B6A69">
            <w:pPr>
              <w:jc w:val="center"/>
              <w:rPr>
                <w:rFonts w:eastAsia="MS Mincho"/>
                <w:b/>
                <w:sz w:val="18"/>
                <w:szCs w:val="18"/>
                <w:lang w:eastAsia="ja-JP"/>
              </w:rPr>
            </w:pPr>
            <w:r w:rsidRPr="003B6A69">
              <w:rPr>
                <w:rFonts w:eastAsia="MS Mincho"/>
                <w:b/>
                <w:sz w:val="18"/>
                <w:szCs w:val="18"/>
                <w:lang w:eastAsia="ja-JP"/>
              </w:rPr>
              <w:t>Comments</w:t>
            </w:r>
          </w:p>
        </w:tc>
      </w:tr>
      <w:tr w:rsidR="00AB2FD0" w:rsidRPr="003B6A69" w14:paraId="1A89D6AE" w14:textId="77777777" w:rsidTr="003B6A69">
        <w:trPr>
          <w:trHeight w:val="251"/>
        </w:trPr>
        <w:tc>
          <w:tcPr>
            <w:tcW w:w="2430" w:type="dxa"/>
            <w:vMerge/>
            <w:shd w:val="clear" w:color="auto" w:fill="auto"/>
          </w:tcPr>
          <w:p w14:paraId="743D2054" w14:textId="77777777" w:rsidR="00AB2FD0" w:rsidRPr="003B6A69" w:rsidRDefault="00AB2FD0" w:rsidP="003B6A69">
            <w:pPr>
              <w:rPr>
                <w:rFonts w:eastAsia="MS Mincho" w:cs="Minion Pro"/>
                <w:sz w:val="18"/>
                <w:szCs w:val="18"/>
                <w:lang w:eastAsia="ja-JP"/>
              </w:rPr>
            </w:pPr>
          </w:p>
        </w:tc>
        <w:tc>
          <w:tcPr>
            <w:tcW w:w="4680" w:type="dxa"/>
            <w:gridSpan w:val="3"/>
            <w:shd w:val="clear" w:color="auto" w:fill="auto"/>
          </w:tcPr>
          <w:p w14:paraId="680E3691" w14:textId="77777777" w:rsidR="00AB2FD0" w:rsidRPr="003B6A69" w:rsidRDefault="00AB2FD0" w:rsidP="003B6A69">
            <w:pPr>
              <w:jc w:val="right"/>
              <w:rPr>
                <w:rFonts w:eastAsia="MS Mincho" w:cs="Minion Pro"/>
                <w:b/>
                <w:i/>
                <w:sz w:val="18"/>
                <w:szCs w:val="18"/>
                <w:lang w:eastAsia="ja-JP"/>
              </w:rPr>
            </w:pPr>
            <w:r w:rsidRPr="003B6A69">
              <w:rPr>
                <w:rFonts w:eastAsia="MS Mincho" w:cs="Minion Pro"/>
                <w:b/>
                <w:i/>
                <w:sz w:val="18"/>
                <w:szCs w:val="18"/>
                <w:lang w:eastAsia="ja-JP"/>
              </w:rPr>
              <w:t>Low Risk</w:t>
            </w:r>
          </w:p>
        </w:tc>
        <w:tc>
          <w:tcPr>
            <w:tcW w:w="630" w:type="dxa"/>
            <w:shd w:val="clear" w:color="auto" w:fill="auto"/>
          </w:tcPr>
          <w:p w14:paraId="045042DA" w14:textId="77777777" w:rsidR="00AB2FD0" w:rsidRPr="003B6A69" w:rsidRDefault="00AB2FD0" w:rsidP="003B6A69">
            <w:pPr>
              <w:ind w:left="-2230" w:firstLine="2230"/>
              <w:rPr>
                <w:rFonts w:eastAsia="MS Mincho"/>
                <w:b/>
                <w:sz w:val="18"/>
                <w:szCs w:val="18"/>
                <w:lang w:eastAsia="ja-JP"/>
              </w:rPr>
            </w:pPr>
            <w:r w:rsidRPr="003B6A69">
              <w:rPr>
                <w:rFonts w:ascii="Segoe UI Symbol" w:eastAsia="MS Mincho" w:hAnsi="Segoe UI Symbol" w:cs="Segoe UI Symbol"/>
                <w:b/>
                <w:sz w:val="18"/>
                <w:szCs w:val="18"/>
                <w:lang w:eastAsia="ja-JP"/>
              </w:rPr>
              <w:t>☐</w:t>
            </w:r>
          </w:p>
        </w:tc>
        <w:tc>
          <w:tcPr>
            <w:tcW w:w="5400" w:type="dxa"/>
            <w:shd w:val="clear" w:color="auto" w:fill="auto"/>
          </w:tcPr>
          <w:p w14:paraId="1621676F" w14:textId="77777777" w:rsidR="00AB2FD0" w:rsidRPr="003B6A69" w:rsidRDefault="00AB2FD0" w:rsidP="003B6A69">
            <w:pPr>
              <w:rPr>
                <w:rFonts w:eastAsia="MS Mincho"/>
                <w:b/>
                <w:sz w:val="18"/>
                <w:szCs w:val="18"/>
                <w:lang w:eastAsia="ja-JP"/>
              </w:rPr>
            </w:pPr>
          </w:p>
        </w:tc>
      </w:tr>
      <w:tr w:rsidR="00AB2FD0" w:rsidRPr="003B6A69" w14:paraId="45745AEF" w14:textId="77777777" w:rsidTr="003B6A69">
        <w:tc>
          <w:tcPr>
            <w:tcW w:w="2430" w:type="dxa"/>
            <w:vMerge/>
            <w:shd w:val="clear" w:color="auto" w:fill="auto"/>
          </w:tcPr>
          <w:p w14:paraId="34FDA462" w14:textId="77777777" w:rsidR="00AB2FD0" w:rsidRPr="003B6A69" w:rsidRDefault="00AB2FD0" w:rsidP="003B6A69">
            <w:pPr>
              <w:rPr>
                <w:rFonts w:eastAsia="MS Mincho" w:cs="Minion Pro"/>
                <w:sz w:val="18"/>
                <w:szCs w:val="18"/>
                <w:lang w:eastAsia="ja-JP"/>
              </w:rPr>
            </w:pPr>
          </w:p>
        </w:tc>
        <w:tc>
          <w:tcPr>
            <w:tcW w:w="4680" w:type="dxa"/>
            <w:gridSpan w:val="3"/>
            <w:shd w:val="clear" w:color="auto" w:fill="auto"/>
          </w:tcPr>
          <w:p w14:paraId="01980EE9" w14:textId="77777777" w:rsidR="00AB2FD0" w:rsidRPr="003B6A69" w:rsidRDefault="00AB2FD0" w:rsidP="003B6A69">
            <w:pPr>
              <w:jc w:val="right"/>
              <w:rPr>
                <w:rFonts w:eastAsia="MS Mincho" w:cs="Minion Pro"/>
                <w:b/>
                <w:i/>
                <w:sz w:val="18"/>
                <w:szCs w:val="18"/>
                <w:lang w:eastAsia="ja-JP"/>
              </w:rPr>
            </w:pPr>
            <w:r w:rsidRPr="003B6A69">
              <w:rPr>
                <w:rFonts w:eastAsia="MS Mincho" w:cs="Minion Pro"/>
                <w:b/>
                <w:i/>
                <w:sz w:val="18"/>
                <w:szCs w:val="18"/>
                <w:lang w:eastAsia="ja-JP"/>
              </w:rPr>
              <w:t>Moderate Risk</w:t>
            </w:r>
          </w:p>
        </w:tc>
        <w:tc>
          <w:tcPr>
            <w:tcW w:w="630" w:type="dxa"/>
            <w:shd w:val="clear" w:color="auto" w:fill="auto"/>
          </w:tcPr>
          <w:p w14:paraId="4180A2D0" w14:textId="77777777" w:rsidR="00AB2FD0" w:rsidRPr="003B6A69" w:rsidRDefault="00AB2FD0" w:rsidP="003B6A69">
            <w:pPr>
              <w:ind w:left="-2230" w:firstLine="2230"/>
              <w:rPr>
                <w:rFonts w:eastAsia="MS Mincho"/>
                <w:b/>
                <w:sz w:val="18"/>
                <w:szCs w:val="18"/>
                <w:lang w:eastAsia="ja-JP"/>
              </w:rPr>
            </w:pPr>
            <w:r w:rsidRPr="003B6A69">
              <w:rPr>
                <w:rFonts w:ascii="Segoe UI Symbol" w:eastAsia="MS Mincho" w:hAnsi="Segoe UI Symbol" w:cs="Segoe UI Symbol"/>
                <w:b/>
                <w:szCs w:val="20"/>
                <w:lang w:eastAsia="ja-JP"/>
              </w:rPr>
              <w:t>X</w:t>
            </w:r>
          </w:p>
        </w:tc>
        <w:tc>
          <w:tcPr>
            <w:tcW w:w="5400" w:type="dxa"/>
            <w:shd w:val="clear" w:color="auto" w:fill="auto"/>
          </w:tcPr>
          <w:p w14:paraId="7EF2D8CE" w14:textId="77777777" w:rsidR="00AB2FD0" w:rsidRPr="003B6A69" w:rsidRDefault="00AB2FD0" w:rsidP="003B6A69">
            <w:pPr>
              <w:pStyle w:val="Default"/>
              <w:rPr>
                <w:rFonts w:ascii="Calibri" w:hAnsi="Calibri" w:cs="Times New Roman"/>
                <w:b/>
                <w:sz w:val="18"/>
                <w:szCs w:val="18"/>
              </w:rPr>
            </w:pPr>
            <w:r w:rsidRPr="003B6A69">
              <w:rPr>
                <w:rFonts w:asciiTheme="minorHAnsi" w:hAnsiTheme="minorHAnsi"/>
                <w:bCs/>
                <w:sz w:val="18"/>
                <w:szCs w:val="18"/>
              </w:rPr>
              <w:t xml:space="preserve">The overall social and environmental risk category is Moderate, as determined by the highest level of significance of identified risks. The SESP has identified several Moderate risks summarized above, associated with a very limited impact that will be avoided or mitigated via straightforward management instruments, such as a comprehensive Stakeholder Engagement Plan and a Gender Action </w:t>
            </w:r>
            <w:proofErr w:type="gramStart"/>
            <w:r w:rsidRPr="003B6A69">
              <w:rPr>
                <w:rFonts w:asciiTheme="minorHAnsi" w:hAnsiTheme="minorHAnsi"/>
                <w:bCs/>
                <w:sz w:val="18"/>
                <w:szCs w:val="18"/>
              </w:rPr>
              <w:t>Plan..</w:t>
            </w:r>
            <w:proofErr w:type="gramEnd"/>
            <w:r w:rsidRPr="003B6A69">
              <w:rPr>
                <w:rFonts w:asciiTheme="minorHAnsi" w:hAnsiTheme="minorHAnsi"/>
                <w:bCs/>
                <w:sz w:val="18"/>
                <w:szCs w:val="18"/>
              </w:rPr>
              <w:t xml:space="preserve"> The PPG studies revealed no substantive background or detail for developing the specific management plans. Certain elements of an ESMF were incorporated into the SESP and SEP, subject to further </w:t>
            </w:r>
            <w:proofErr w:type="spellStart"/>
            <w:r w:rsidRPr="003B6A69">
              <w:rPr>
                <w:rFonts w:asciiTheme="minorHAnsi" w:hAnsiTheme="minorHAnsi"/>
                <w:bCs/>
                <w:sz w:val="18"/>
                <w:szCs w:val="18"/>
              </w:rPr>
              <w:t>detalization</w:t>
            </w:r>
            <w:proofErr w:type="spellEnd"/>
            <w:r w:rsidRPr="003B6A69">
              <w:rPr>
                <w:rFonts w:asciiTheme="minorHAnsi" w:hAnsiTheme="minorHAnsi"/>
                <w:bCs/>
                <w:sz w:val="18"/>
                <w:szCs w:val="18"/>
              </w:rPr>
              <w:t xml:space="preserve"> and planning through an ESMF during the project inception phase. The NIM Implementing Partner will make sure that the detailed management measures for specific risks are proposed in accordance with the existing national law and regulations. UNDP will ensure consistency with UNDP’s SES as part of UNDP’s assurance role in the project. N</w:t>
            </w:r>
            <w:r w:rsidRPr="003B6A69">
              <w:rPr>
                <w:rFonts w:asciiTheme="minorHAnsi" w:hAnsiTheme="minorHAnsi"/>
                <w:bCs/>
                <w:sz w:val="18"/>
                <w:szCs w:val="18"/>
                <w:lang w:val="en-GB"/>
              </w:rPr>
              <w:t xml:space="preserve">o activities that may have potential adverse impacts on people or the environment will be implemented until relevant environmental and social assessments are conducted and management measures/plans put in place. Related project procedures to ensure these safeguards are in place will be elaborated in the ESMF. Preparation of ESMF is considered as a priority capacity-building exercise that would require the close engagement of both UNDP and the NIM Implementing Partner as the project will be testing full NIM implementation modality for the first time in the country practice.   </w:t>
            </w:r>
          </w:p>
        </w:tc>
      </w:tr>
      <w:tr w:rsidR="00AB2FD0" w:rsidRPr="003B6A69" w14:paraId="082E4FC5" w14:textId="77777777" w:rsidTr="003B6A69">
        <w:tc>
          <w:tcPr>
            <w:tcW w:w="2430" w:type="dxa"/>
            <w:vMerge/>
            <w:shd w:val="clear" w:color="auto" w:fill="auto"/>
          </w:tcPr>
          <w:p w14:paraId="1BD165A8" w14:textId="77777777" w:rsidR="00AB2FD0" w:rsidRPr="003B6A69" w:rsidRDefault="00AB2FD0" w:rsidP="003B6A69">
            <w:pPr>
              <w:rPr>
                <w:rFonts w:eastAsia="MS Mincho" w:cs="Minion Pro"/>
                <w:sz w:val="18"/>
                <w:szCs w:val="18"/>
                <w:lang w:eastAsia="ja-JP"/>
              </w:rPr>
            </w:pPr>
          </w:p>
        </w:tc>
        <w:tc>
          <w:tcPr>
            <w:tcW w:w="4680" w:type="dxa"/>
            <w:gridSpan w:val="3"/>
            <w:shd w:val="clear" w:color="auto" w:fill="auto"/>
          </w:tcPr>
          <w:p w14:paraId="4B35A7E9" w14:textId="77777777" w:rsidR="00AB2FD0" w:rsidRPr="003B6A69" w:rsidRDefault="00AB2FD0" w:rsidP="003B6A69">
            <w:pPr>
              <w:jc w:val="right"/>
              <w:rPr>
                <w:rFonts w:eastAsia="MS Mincho" w:cs="Minion Pro"/>
                <w:b/>
                <w:i/>
                <w:sz w:val="18"/>
                <w:szCs w:val="18"/>
                <w:lang w:eastAsia="ja-JP"/>
              </w:rPr>
            </w:pPr>
            <w:r w:rsidRPr="003B6A69">
              <w:rPr>
                <w:rFonts w:eastAsia="MS Mincho" w:cs="Minion Pro"/>
                <w:b/>
                <w:i/>
                <w:sz w:val="18"/>
                <w:szCs w:val="18"/>
                <w:lang w:eastAsia="ja-JP"/>
              </w:rPr>
              <w:t>High Risk</w:t>
            </w:r>
          </w:p>
        </w:tc>
        <w:tc>
          <w:tcPr>
            <w:tcW w:w="630" w:type="dxa"/>
            <w:shd w:val="clear" w:color="auto" w:fill="auto"/>
          </w:tcPr>
          <w:p w14:paraId="6477733A" w14:textId="77777777" w:rsidR="00AB2FD0" w:rsidRPr="003B6A69" w:rsidRDefault="00AB2FD0" w:rsidP="003B6A69">
            <w:pPr>
              <w:ind w:left="-2230" w:firstLine="2230"/>
              <w:rPr>
                <w:rFonts w:eastAsia="MS Mincho"/>
                <w:b/>
                <w:sz w:val="18"/>
                <w:szCs w:val="18"/>
                <w:lang w:eastAsia="ja-JP"/>
              </w:rPr>
            </w:pPr>
            <w:r w:rsidRPr="003B6A69">
              <w:rPr>
                <w:rFonts w:ascii="Segoe UI Symbol" w:eastAsia="MS Mincho" w:hAnsi="Segoe UI Symbol" w:cs="Segoe UI Symbol"/>
                <w:b/>
                <w:sz w:val="18"/>
                <w:szCs w:val="18"/>
                <w:lang w:eastAsia="ja-JP"/>
              </w:rPr>
              <w:t>☐</w:t>
            </w:r>
          </w:p>
        </w:tc>
        <w:tc>
          <w:tcPr>
            <w:tcW w:w="5400" w:type="dxa"/>
            <w:shd w:val="clear" w:color="auto" w:fill="auto"/>
          </w:tcPr>
          <w:p w14:paraId="558C7340" w14:textId="77777777" w:rsidR="00AB2FD0" w:rsidRPr="003B6A69" w:rsidRDefault="00AB2FD0" w:rsidP="003B6A69">
            <w:pPr>
              <w:rPr>
                <w:rFonts w:eastAsia="MS Mincho"/>
                <w:b/>
                <w:sz w:val="18"/>
                <w:szCs w:val="18"/>
                <w:lang w:eastAsia="ja-JP"/>
              </w:rPr>
            </w:pPr>
          </w:p>
        </w:tc>
      </w:tr>
      <w:tr w:rsidR="00AB2FD0" w:rsidRPr="003B6A69" w14:paraId="4B8E12F3" w14:textId="77777777" w:rsidTr="003B6A69">
        <w:trPr>
          <w:trHeight w:val="782"/>
        </w:trPr>
        <w:tc>
          <w:tcPr>
            <w:tcW w:w="2430" w:type="dxa"/>
            <w:vMerge w:val="restart"/>
            <w:shd w:val="clear" w:color="auto" w:fill="FFFFFF"/>
          </w:tcPr>
          <w:p w14:paraId="73B6F328" w14:textId="77777777" w:rsidR="00AB2FD0" w:rsidRPr="003B6A69" w:rsidRDefault="00AB2FD0" w:rsidP="003B6A69">
            <w:pPr>
              <w:ind w:hanging="18"/>
              <w:rPr>
                <w:rFonts w:eastAsia="MS Mincho"/>
                <w:b/>
                <w:szCs w:val="20"/>
                <w:lang w:eastAsia="ja-JP"/>
              </w:rPr>
            </w:pPr>
          </w:p>
        </w:tc>
        <w:tc>
          <w:tcPr>
            <w:tcW w:w="4680" w:type="dxa"/>
            <w:gridSpan w:val="3"/>
            <w:shd w:val="clear" w:color="auto" w:fill="0F243E"/>
            <w:vAlign w:val="center"/>
          </w:tcPr>
          <w:p w14:paraId="4C9B4762" w14:textId="77777777" w:rsidR="00AB2FD0" w:rsidRPr="003B6A69" w:rsidRDefault="00AB2FD0" w:rsidP="003B6A69">
            <w:pPr>
              <w:tabs>
                <w:tab w:val="left" w:pos="360"/>
              </w:tabs>
              <w:rPr>
                <w:rFonts w:eastAsia="MS Mincho"/>
                <w:szCs w:val="20"/>
                <w:lang w:eastAsia="ja-JP"/>
              </w:rPr>
            </w:pPr>
            <w:r w:rsidRPr="003B6A69">
              <w:rPr>
                <w:rFonts w:eastAsia="MS Mincho"/>
                <w:b/>
                <w:szCs w:val="20"/>
                <w:lang w:eastAsia="ja-JP"/>
              </w:rPr>
              <w:t>QUESTION 5: Based on the identified risks and risk categorization, what requirements of the SES are relevant?</w:t>
            </w:r>
          </w:p>
        </w:tc>
        <w:tc>
          <w:tcPr>
            <w:tcW w:w="6030" w:type="dxa"/>
            <w:gridSpan w:val="2"/>
            <w:shd w:val="clear" w:color="auto" w:fill="0F243E"/>
            <w:vAlign w:val="center"/>
          </w:tcPr>
          <w:p w14:paraId="7C0E4C32" w14:textId="77777777" w:rsidR="00AB2FD0" w:rsidRPr="003B6A69" w:rsidRDefault="00AB2FD0" w:rsidP="003B6A69">
            <w:pPr>
              <w:tabs>
                <w:tab w:val="left" w:pos="360"/>
              </w:tabs>
              <w:jc w:val="center"/>
              <w:rPr>
                <w:rFonts w:eastAsia="MS Mincho"/>
                <w:b/>
                <w:szCs w:val="20"/>
                <w:lang w:eastAsia="ja-JP"/>
              </w:rPr>
            </w:pPr>
          </w:p>
        </w:tc>
      </w:tr>
      <w:tr w:rsidR="00AB2FD0" w:rsidRPr="003B6A69" w14:paraId="36805DFC" w14:textId="77777777" w:rsidTr="003B6A69">
        <w:trPr>
          <w:trHeight w:val="296"/>
        </w:trPr>
        <w:tc>
          <w:tcPr>
            <w:tcW w:w="2430" w:type="dxa"/>
            <w:vMerge/>
            <w:shd w:val="clear" w:color="auto" w:fill="FFFFFF"/>
          </w:tcPr>
          <w:p w14:paraId="2479C6A0" w14:textId="77777777" w:rsidR="00AB2FD0" w:rsidRPr="003B6A69" w:rsidRDefault="00AB2FD0" w:rsidP="003B6A69">
            <w:pPr>
              <w:rPr>
                <w:rFonts w:eastAsia="MS Mincho"/>
                <w:sz w:val="18"/>
                <w:szCs w:val="18"/>
                <w:u w:val="single"/>
                <w:lang w:eastAsia="ja-JP"/>
              </w:rPr>
            </w:pPr>
          </w:p>
        </w:tc>
        <w:tc>
          <w:tcPr>
            <w:tcW w:w="4680" w:type="dxa"/>
            <w:gridSpan w:val="3"/>
            <w:shd w:val="clear" w:color="auto" w:fill="auto"/>
          </w:tcPr>
          <w:p w14:paraId="6EC5B380" w14:textId="77777777" w:rsidR="00AB2FD0" w:rsidRPr="003B6A69" w:rsidRDefault="00AB2FD0" w:rsidP="003B6A69">
            <w:pPr>
              <w:tabs>
                <w:tab w:val="left" w:pos="360"/>
              </w:tabs>
              <w:jc w:val="center"/>
              <w:rPr>
                <w:rFonts w:ascii="Menlo Bold" w:eastAsia="MS Mincho" w:hAnsi="Menlo Bold" w:cs="Menlo Bold"/>
                <w:b/>
                <w:szCs w:val="20"/>
                <w:lang w:eastAsia="ja-JP"/>
              </w:rPr>
            </w:pPr>
            <w:r w:rsidRPr="003B6A69">
              <w:rPr>
                <w:rFonts w:eastAsia="MS Mincho"/>
                <w:sz w:val="18"/>
                <w:szCs w:val="18"/>
                <w:lang w:eastAsia="ja-JP"/>
              </w:rPr>
              <w:t>Check all that apply</w:t>
            </w:r>
          </w:p>
        </w:tc>
        <w:tc>
          <w:tcPr>
            <w:tcW w:w="6030" w:type="dxa"/>
            <w:gridSpan w:val="2"/>
            <w:shd w:val="clear" w:color="auto" w:fill="auto"/>
          </w:tcPr>
          <w:p w14:paraId="31842B5D" w14:textId="77777777" w:rsidR="00AB2FD0" w:rsidRPr="003B6A69" w:rsidRDefault="00AB2FD0" w:rsidP="003B6A69">
            <w:pPr>
              <w:tabs>
                <w:tab w:val="left" w:pos="360"/>
              </w:tabs>
              <w:jc w:val="center"/>
              <w:rPr>
                <w:rFonts w:eastAsia="MS Mincho"/>
                <w:b/>
                <w:sz w:val="18"/>
                <w:szCs w:val="18"/>
                <w:lang w:eastAsia="ja-JP"/>
              </w:rPr>
            </w:pPr>
            <w:r w:rsidRPr="003B6A69">
              <w:rPr>
                <w:rFonts w:eastAsia="MS Mincho"/>
                <w:b/>
                <w:sz w:val="18"/>
                <w:szCs w:val="18"/>
                <w:lang w:eastAsia="ja-JP"/>
              </w:rPr>
              <w:t>Comments</w:t>
            </w:r>
          </w:p>
        </w:tc>
      </w:tr>
      <w:tr w:rsidR="00AB2FD0" w:rsidRPr="003B6A69" w14:paraId="21627E2E" w14:textId="77777777" w:rsidTr="003B6A69">
        <w:tc>
          <w:tcPr>
            <w:tcW w:w="2430" w:type="dxa"/>
            <w:vMerge/>
            <w:shd w:val="clear" w:color="auto" w:fill="FFFFFF"/>
          </w:tcPr>
          <w:p w14:paraId="75A26628" w14:textId="77777777" w:rsidR="00AB2FD0" w:rsidRPr="003B6A69" w:rsidRDefault="00AB2FD0" w:rsidP="003B6A69">
            <w:pPr>
              <w:tabs>
                <w:tab w:val="left" w:pos="270"/>
              </w:tabs>
              <w:ind w:left="270" w:hanging="270"/>
              <w:rPr>
                <w:rFonts w:eastAsia="MS Mincho"/>
                <w:sz w:val="18"/>
                <w:szCs w:val="18"/>
                <w:lang w:eastAsia="ja-JP"/>
              </w:rPr>
            </w:pPr>
          </w:p>
        </w:tc>
        <w:tc>
          <w:tcPr>
            <w:tcW w:w="4680" w:type="dxa"/>
            <w:gridSpan w:val="3"/>
            <w:shd w:val="clear" w:color="auto" w:fill="auto"/>
          </w:tcPr>
          <w:p w14:paraId="72361606" w14:textId="77777777" w:rsidR="00AB2FD0" w:rsidRPr="003B6A69" w:rsidRDefault="00AB2FD0" w:rsidP="003B6A69">
            <w:pPr>
              <w:tabs>
                <w:tab w:val="left" w:pos="270"/>
              </w:tabs>
              <w:ind w:left="270" w:hanging="270"/>
              <w:rPr>
                <w:rFonts w:eastAsia="MS Mincho"/>
                <w:b/>
                <w:i/>
                <w:sz w:val="18"/>
                <w:szCs w:val="18"/>
                <w:lang w:eastAsia="ja-JP"/>
              </w:rPr>
            </w:pPr>
            <w:r w:rsidRPr="003B6A69">
              <w:rPr>
                <w:rFonts w:eastAsia="MS Mincho"/>
                <w:b/>
                <w:i/>
                <w:sz w:val="18"/>
                <w:szCs w:val="18"/>
                <w:lang w:eastAsia="ja-JP"/>
              </w:rPr>
              <w:t>Principle 1: Human Rights</w:t>
            </w:r>
          </w:p>
        </w:tc>
        <w:tc>
          <w:tcPr>
            <w:tcW w:w="630" w:type="dxa"/>
            <w:shd w:val="clear" w:color="auto" w:fill="auto"/>
            <w:vAlign w:val="center"/>
          </w:tcPr>
          <w:p w14:paraId="1FF7CA02" w14:textId="77777777" w:rsidR="00AB2FD0" w:rsidRPr="003B6A69" w:rsidRDefault="00AB2FD0" w:rsidP="003B6A69">
            <w:pPr>
              <w:tabs>
                <w:tab w:val="left" w:pos="360"/>
              </w:tabs>
              <w:rPr>
                <w:rFonts w:eastAsia="MS Mincho"/>
                <w:sz w:val="18"/>
                <w:szCs w:val="18"/>
                <w:lang w:eastAsia="ja-JP"/>
              </w:rPr>
            </w:pPr>
            <w:r w:rsidRPr="003B6A69">
              <w:rPr>
                <w:rFonts w:ascii="Segoe UI Symbol" w:eastAsia="MS Mincho" w:hAnsi="Segoe UI Symbol" w:cs="Segoe UI Symbol"/>
                <w:b/>
                <w:szCs w:val="20"/>
                <w:lang w:eastAsia="ja-JP"/>
              </w:rPr>
              <w:t>X</w:t>
            </w:r>
          </w:p>
        </w:tc>
        <w:tc>
          <w:tcPr>
            <w:tcW w:w="5400" w:type="dxa"/>
            <w:shd w:val="clear" w:color="auto" w:fill="auto"/>
          </w:tcPr>
          <w:p w14:paraId="000D82E0" w14:textId="77777777" w:rsidR="00AB2FD0" w:rsidRPr="003B6A69" w:rsidRDefault="00AB2FD0" w:rsidP="003B6A69">
            <w:pPr>
              <w:rPr>
                <w:rFonts w:eastAsia="MS Mincho"/>
                <w:sz w:val="18"/>
                <w:szCs w:val="18"/>
                <w:lang w:eastAsia="ja-JP"/>
              </w:rPr>
            </w:pPr>
            <w:r w:rsidRPr="003B6A69">
              <w:rPr>
                <w:rFonts w:eastAsia="MS Mincho"/>
                <w:sz w:val="18"/>
                <w:szCs w:val="18"/>
                <w:lang w:eastAsia="ja-JP"/>
              </w:rPr>
              <w:t xml:space="preserve">As the project will be working in the areas where the poverty rate is high and vulnerable and </w:t>
            </w:r>
            <w:proofErr w:type="spellStart"/>
            <w:r w:rsidRPr="003B6A69">
              <w:rPr>
                <w:rFonts w:eastAsia="MS Mincho"/>
                <w:sz w:val="18"/>
                <w:szCs w:val="18"/>
                <w:lang w:eastAsia="ja-JP"/>
              </w:rPr>
              <w:t>marginalised</w:t>
            </w:r>
            <w:proofErr w:type="spellEnd"/>
            <w:r w:rsidRPr="003B6A69">
              <w:rPr>
                <w:rFonts w:eastAsia="MS Mincho"/>
                <w:sz w:val="18"/>
                <w:szCs w:val="18"/>
                <w:lang w:eastAsia="ja-JP"/>
              </w:rPr>
              <w:t xml:space="preserve"> groups rely mainly on opportunities for small-scale business development, the project design, stakeholder engagement and assessment of benefits should be sensitive to the human rights, </w:t>
            </w:r>
            <w:proofErr w:type="gramStart"/>
            <w:r w:rsidRPr="003B6A69">
              <w:rPr>
                <w:rFonts w:eastAsia="MS Mincho"/>
                <w:sz w:val="18"/>
                <w:szCs w:val="18"/>
                <w:lang w:eastAsia="ja-JP"/>
              </w:rPr>
              <w:t>inclusion</w:t>
            </w:r>
            <w:proofErr w:type="gramEnd"/>
            <w:r w:rsidRPr="003B6A69">
              <w:rPr>
                <w:rFonts w:eastAsia="MS Mincho"/>
                <w:sz w:val="18"/>
                <w:szCs w:val="18"/>
                <w:lang w:eastAsia="ja-JP"/>
              </w:rPr>
              <w:t xml:space="preserve"> and equality principles. </w:t>
            </w:r>
          </w:p>
        </w:tc>
      </w:tr>
      <w:tr w:rsidR="00AB2FD0" w:rsidRPr="003B6A69" w14:paraId="79882791" w14:textId="77777777" w:rsidTr="003B6A69">
        <w:tc>
          <w:tcPr>
            <w:tcW w:w="2430" w:type="dxa"/>
            <w:vMerge/>
            <w:shd w:val="clear" w:color="auto" w:fill="FFFFFF"/>
          </w:tcPr>
          <w:p w14:paraId="5A8F6408" w14:textId="77777777" w:rsidR="00AB2FD0" w:rsidRPr="003B6A69" w:rsidRDefault="00AB2FD0" w:rsidP="003B6A69">
            <w:pPr>
              <w:tabs>
                <w:tab w:val="left" w:pos="270"/>
              </w:tabs>
              <w:ind w:left="270" w:hanging="270"/>
              <w:rPr>
                <w:rFonts w:eastAsia="MS Mincho"/>
                <w:sz w:val="18"/>
                <w:szCs w:val="18"/>
                <w:lang w:eastAsia="ja-JP"/>
              </w:rPr>
            </w:pPr>
          </w:p>
        </w:tc>
        <w:tc>
          <w:tcPr>
            <w:tcW w:w="4680" w:type="dxa"/>
            <w:gridSpan w:val="3"/>
            <w:shd w:val="clear" w:color="auto" w:fill="auto"/>
          </w:tcPr>
          <w:p w14:paraId="49FD6CA9" w14:textId="77777777" w:rsidR="00AB2FD0" w:rsidRPr="003B6A69" w:rsidRDefault="00AB2FD0" w:rsidP="003B6A69">
            <w:pPr>
              <w:tabs>
                <w:tab w:val="left" w:pos="270"/>
              </w:tabs>
              <w:ind w:left="270" w:hanging="270"/>
              <w:rPr>
                <w:rFonts w:eastAsia="MS Mincho"/>
                <w:b/>
                <w:i/>
                <w:sz w:val="18"/>
                <w:szCs w:val="18"/>
                <w:lang w:eastAsia="ja-JP"/>
              </w:rPr>
            </w:pPr>
            <w:r w:rsidRPr="003B6A69">
              <w:rPr>
                <w:rFonts w:eastAsia="MS Mincho"/>
                <w:b/>
                <w:i/>
                <w:sz w:val="18"/>
                <w:szCs w:val="18"/>
                <w:lang w:eastAsia="ja-JP"/>
              </w:rPr>
              <w:t>Principle 2: Gender Equality and Women’s Empowerment</w:t>
            </w:r>
          </w:p>
        </w:tc>
        <w:tc>
          <w:tcPr>
            <w:tcW w:w="630" w:type="dxa"/>
            <w:shd w:val="clear" w:color="auto" w:fill="auto"/>
            <w:vAlign w:val="center"/>
          </w:tcPr>
          <w:p w14:paraId="1A3E5C80" w14:textId="77777777" w:rsidR="00AB2FD0" w:rsidRPr="003B6A69" w:rsidRDefault="00AB2FD0" w:rsidP="003B6A69">
            <w:pPr>
              <w:tabs>
                <w:tab w:val="left" w:pos="360"/>
              </w:tabs>
              <w:rPr>
                <w:rFonts w:eastAsia="MS Mincho"/>
                <w:sz w:val="18"/>
                <w:szCs w:val="18"/>
                <w:lang w:eastAsia="ja-JP"/>
              </w:rPr>
            </w:pPr>
            <w:r w:rsidRPr="003B6A69">
              <w:rPr>
                <w:rFonts w:ascii="Segoe UI Symbol" w:eastAsia="MS Mincho" w:hAnsi="Segoe UI Symbol" w:cs="Segoe UI Symbol"/>
                <w:b/>
                <w:szCs w:val="20"/>
                <w:lang w:eastAsia="ja-JP"/>
              </w:rPr>
              <w:t>X</w:t>
            </w:r>
          </w:p>
        </w:tc>
        <w:tc>
          <w:tcPr>
            <w:tcW w:w="5400" w:type="dxa"/>
            <w:shd w:val="clear" w:color="auto" w:fill="auto"/>
          </w:tcPr>
          <w:p w14:paraId="656F4A74" w14:textId="77777777" w:rsidR="00AB2FD0" w:rsidRPr="003B6A69" w:rsidRDefault="00AB2FD0" w:rsidP="003B6A69">
            <w:pPr>
              <w:tabs>
                <w:tab w:val="left" w:pos="360"/>
              </w:tabs>
              <w:rPr>
                <w:rFonts w:eastAsia="MS Mincho"/>
                <w:sz w:val="18"/>
                <w:szCs w:val="18"/>
                <w:lang w:eastAsia="ja-JP"/>
              </w:rPr>
            </w:pPr>
            <w:r w:rsidRPr="003B6A69">
              <w:rPr>
                <w:sz w:val="18"/>
                <w:szCs w:val="18"/>
                <w:lang w:val="en"/>
              </w:rPr>
              <w:t>Local livelihoods in the rural areas where the project will work depend on small-scale business development based on subsistence use of natural resources. It is mainly family business in highly patriarchal communities where women are often disadvantaged. The proposed project has no activities directly dealing with equity considerations or gender disparities, however, the decision-making and local capacity development processes within the project should be sensitive to these issues.</w:t>
            </w:r>
          </w:p>
        </w:tc>
      </w:tr>
      <w:tr w:rsidR="00AB2FD0" w:rsidRPr="003B6A69" w14:paraId="19FE88B3" w14:textId="77777777" w:rsidTr="003B6A69">
        <w:tc>
          <w:tcPr>
            <w:tcW w:w="2430" w:type="dxa"/>
            <w:vMerge/>
            <w:shd w:val="clear" w:color="auto" w:fill="FFFFFF"/>
          </w:tcPr>
          <w:p w14:paraId="7762E74C" w14:textId="77777777" w:rsidR="00AB2FD0" w:rsidRPr="003B6A69" w:rsidRDefault="00AB2FD0" w:rsidP="003B6A69">
            <w:pPr>
              <w:tabs>
                <w:tab w:val="left" w:pos="270"/>
              </w:tabs>
              <w:ind w:left="270" w:hanging="270"/>
              <w:rPr>
                <w:rFonts w:eastAsia="MS Mincho"/>
                <w:sz w:val="18"/>
                <w:szCs w:val="18"/>
                <w:lang w:eastAsia="ja-JP"/>
              </w:rPr>
            </w:pPr>
          </w:p>
        </w:tc>
        <w:tc>
          <w:tcPr>
            <w:tcW w:w="4680" w:type="dxa"/>
            <w:gridSpan w:val="3"/>
            <w:shd w:val="clear" w:color="auto" w:fill="auto"/>
          </w:tcPr>
          <w:p w14:paraId="2850581B" w14:textId="77777777" w:rsidR="00AB2FD0" w:rsidRPr="003B6A69" w:rsidRDefault="00AB2FD0" w:rsidP="003B6A69">
            <w:pPr>
              <w:tabs>
                <w:tab w:val="left" w:pos="270"/>
              </w:tabs>
              <w:ind w:left="270" w:hanging="270"/>
              <w:rPr>
                <w:rFonts w:eastAsia="MS Mincho"/>
                <w:b/>
                <w:i/>
                <w:sz w:val="18"/>
                <w:szCs w:val="18"/>
                <w:lang w:eastAsia="ja-JP"/>
              </w:rPr>
            </w:pPr>
            <w:r w:rsidRPr="003B6A69">
              <w:rPr>
                <w:rFonts w:eastAsia="MS Mincho"/>
                <w:b/>
                <w:i/>
                <w:sz w:val="18"/>
                <w:szCs w:val="18"/>
                <w:lang w:eastAsia="ja-JP"/>
              </w:rPr>
              <w:t>1.</w:t>
            </w:r>
            <w:r w:rsidRPr="003B6A69">
              <w:rPr>
                <w:rFonts w:eastAsia="MS Mincho"/>
                <w:b/>
                <w:i/>
                <w:sz w:val="18"/>
                <w:szCs w:val="18"/>
                <w:lang w:eastAsia="ja-JP"/>
              </w:rPr>
              <w:tab/>
              <w:t>Biodiversity Conservation and Natural Resource Management</w:t>
            </w:r>
          </w:p>
        </w:tc>
        <w:tc>
          <w:tcPr>
            <w:tcW w:w="630" w:type="dxa"/>
            <w:shd w:val="clear" w:color="auto" w:fill="auto"/>
            <w:vAlign w:val="center"/>
          </w:tcPr>
          <w:p w14:paraId="2D50C346" w14:textId="77777777" w:rsidR="00AB2FD0" w:rsidRPr="003B6A69" w:rsidRDefault="00AB2FD0" w:rsidP="003B6A69">
            <w:pPr>
              <w:tabs>
                <w:tab w:val="left" w:pos="360"/>
              </w:tabs>
              <w:rPr>
                <w:rFonts w:eastAsia="MS Mincho"/>
                <w:szCs w:val="20"/>
                <w:lang w:eastAsia="ja-JP"/>
              </w:rPr>
            </w:pPr>
            <w:r w:rsidRPr="003B6A69">
              <w:rPr>
                <w:rFonts w:ascii="Segoe UI Symbol" w:eastAsia="MS Mincho" w:hAnsi="Segoe UI Symbol" w:cs="Segoe UI Symbol"/>
                <w:b/>
                <w:szCs w:val="20"/>
                <w:lang w:eastAsia="ja-JP"/>
              </w:rPr>
              <w:t>X</w:t>
            </w:r>
          </w:p>
        </w:tc>
        <w:tc>
          <w:tcPr>
            <w:tcW w:w="5400" w:type="dxa"/>
            <w:shd w:val="clear" w:color="auto" w:fill="auto"/>
          </w:tcPr>
          <w:p w14:paraId="0E602881" w14:textId="77777777" w:rsidR="00AB2FD0" w:rsidRPr="003B6A69" w:rsidRDefault="00AB2FD0" w:rsidP="003B6A69">
            <w:pPr>
              <w:tabs>
                <w:tab w:val="left" w:pos="360"/>
              </w:tabs>
              <w:rPr>
                <w:rFonts w:eastAsia="MS Mincho"/>
                <w:sz w:val="18"/>
                <w:szCs w:val="18"/>
                <w:lang w:eastAsia="ja-JP"/>
              </w:rPr>
            </w:pPr>
            <w:r w:rsidRPr="003B6A69">
              <w:rPr>
                <w:rFonts w:eastAsia="MS Mincho"/>
                <w:bCs/>
                <w:sz w:val="18"/>
                <w:szCs w:val="18"/>
                <w:lang w:eastAsia="ja-JP"/>
              </w:rPr>
              <w:t xml:space="preserve">The positive impact of the project on the status of biodiversity values and the quality of ecosystem services can be very limited, due to conflicting sectoral interests combined with the enforcement capacity constraints. There is a risk that </w:t>
            </w:r>
            <w:r w:rsidRPr="003B6A69">
              <w:rPr>
                <w:rFonts w:eastAsia="MS Mincho"/>
                <w:sz w:val="18"/>
                <w:szCs w:val="18"/>
                <w:lang w:eastAsia="ja-JP"/>
              </w:rPr>
              <w:t>the business-as-usual approach will prevail, leading to the deterioration of the biodiversity values and loss of vitally important ecosystem services.</w:t>
            </w:r>
          </w:p>
        </w:tc>
      </w:tr>
      <w:tr w:rsidR="00AB2FD0" w:rsidRPr="003B6A69" w14:paraId="396AD12B" w14:textId="77777777" w:rsidTr="003B6A69">
        <w:trPr>
          <w:trHeight w:val="296"/>
        </w:trPr>
        <w:tc>
          <w:tcPr>
            <w:tcW w:w="2430" w:type="dxa"/>
            <w:vMerge/>
            <w:shd w:val="clear" w:color="auto" w:fill="FFFFFF"/>
          </w:tcPr>
          <w:p w14:paraId="54CEF878" w14:textId="77777777" w:rsidR="00AB2FD0" w:rsidRPr="003B6A69" w:rsidRDefault="00AB2FD0" w:rsidP="003B6A69">
            <w:pPr>
              <w:tabs>
                <w:tab w:val="left" w:pos="270"/>
              </w:tabs>
              <w:ind w:left="270" w:hanging="270"/>
              <w:rPr>
                <w:rFonts w:eastAsia="MS Mincho"/>
                <w:sz w:val="18"/>
                <w:szCs w:val="18"/>
                <w:lang w:eastAsia="ja-JP"/>
              </w:rPr>
            </w:pPr>
          </w:p>
        </w:tc>
        <w:tc>
          <w:tcPr>
            <w:tcW w:w="4680" w:type="dxa"/>
            <w:gridSpan w:val="3"/>
            <w:shd w:val="clear" w:color="auto" w:fill="auto"/>
          </w:tcPr>
          <w:p w14:paraId="231EEB56" w14:textId="77777777" w:rsidR="00AB2FD0" w:rsidRPr="003B6A69" w:rsidRDefault="00AB2FD0" w:rsidP="003B6A69">
            <w:pPr>
              <w:tabs>
                <w:tab w:val="left" w:pos="270"/>
              </w:tabs>
              <w:ind w:left="270" w:hanging="270"/>
              <w:rPr>
                <w:rFonts w:eastAsia="MS Mincho"/>
                <w:b/>
                <w:i/>
                <w:sz w:val="18"/>
                <w:szCs w:val="18"/>
                <w:lang w:eastAsia="ja-JP"/>
              </w:rPr>
            </w:pPr>
            <w:r w:rsidRPr="003B6A69">
              <w:rPr>
                <w:rFonts w:eastAsia="MS Mincho"/>
                <w:b/>
                <w:i/>
                <w:sz w:val="18"/>
                <w:szCs w:val="18"/>
                <w:lang w:eastAsia="ja-JP"/>
              </w:rPr>
              <w:t>2.</w:t>
            </w:r>
            <w:r w:rsidRPr="003B6A69">
              <w:rPr>
                <w:rFonts w:eastAsia="MS Mincho"/>
                <w:b/>
                <w:i/>
                <w:sz w:val="18"/>
                <w:szCs w:val="18"/>
                <w:lang w:eastAsia="ja-JP"/>
              </w:rPr>
              <w:tab/>
              <w:t>Climate Change Mitigation and Adaptation</w:t>
            </w:r>
          </w:p>
        </w:tc>
        <w:tc>
          <w:tcPr>
            <w:tcW w:w="630" w:type="dxa"/>
            <w:shd w:val="clear" w:color="auto" w:fill="auto"/>
            <w:vAlign w:val="center"/>
          </w:tcPr>
          <w:p w14:paraId="7437109D" w14:textId="77777777" w:rsidR="00AB2FD0" w:rsidRPr="003B6A69" w:rsidRDefault="00AB2FD0" w:rsidP="003B6A69">
            <w:pPr>
              <w:tabs>
                <w:tab w:val="left" w:pos="360"/>
              </w:tabs>
              <w:rPr>
                <w:rFonts w:eastAsia="MS Mincho"/>
                <w:sz w:val="18"/>
                <w:szCs w:val="18"/>
                <w:lang w:eastAsia="ja-JP"/>
              </w:rPr>
            </w:pPr>
            <w:r w:rsidRPr="003B6A69">
              <w:rPr>
                <w:rFonts w:ascii="Segoe UI Symbol" w:eastAsia="MS Mincho" w:hAnsi="Segoe UI Symbol" w:cs="Segoe UI Symbol"/>
                <w:b/>
                <w:szCs w:val="20"/>
                <w:lang w:eastAsia="ja-JP"/>
              </w:rPr>
              <w:t>X</w:t>
            </w:r>
          </w:p>
        </w:tc>
        <w:tc>
          <w:tcPr>
            <w:tcW w:w="5400" w:type="dxa"/>
            <w:shd w:val="clear" w:color="auto" w:fill="auto"/>
          </w:tcPr>
          <w:p w14:paraId="7F855716" w14:textId="77777777" w:rsidR="00AB2FD0" w:rsidRPr="003B6A69" w:rsidRDefault="00AB2FD0" w:rsidP="003B6A69">
            <w:pPr>
              <w:tabs>
                <w:tab w:val="left" w:pos="360"/>
              </w:tabs>
              <w:rPr>
                <w:rFonts w:eastAsia="MS Mincho"/>
                <w:sz w:val="18"/>
                <w:szCs w:val="18"/>
                <w:lang w:eastAsia="ja-JP"/>
              </w:rPr>
            </w:pPr>
            <w:r w:rsidRPr="003B6A69">
              <w:rPr>
                <w:rFonts w:eastAsia="MS Mincho"/>
                <w:noProof/>
                <w:sz w:val="18"/>
                <w:szCs w:val="18"/>
                <w:lang w:eastAsia="ja-JP"/>
              </w:rPr>
              <w:t xml:space="preserve">Climate change effects and consequences, such as extreme climatic events and habitat conversion may become a significant factor determining the project impact on biodiversity and ecosystems. </w:t>
            </w:r>
          </w:p>
        </w:tc>
      </w:tr>
      <w:tr w:rsidR="00AB2FD0" w:rsidRPr="003B6A69" w14:paraId="3E48B72B" w14:textId="77777777" w:rsidTr="003B6A69">
        <w:tc>
          <w:tcPr>
            <w:tcW w:w="2430" w:type="dxa"/>
            <w:vMerge/>
            <w:shd w:val="clear" w:color="auto" w:fill="FFFFFF"/>
          </w:tcPr>
          <w:p w14:paraId="51E720EF" w14:textId="77777777" w:rsidR="00AB2FD0" w:rsidRPr="003B6A69" w:rsidRDefault="00AB2FD0" w:rsidP="003B6A69">
            <w:pPr>
              <w:tabs>
                <w:tab w:val="left" w:pos="270"/>
              </w:tabs>
              <w:ind w:left="270" w:hanging="270"/>
              <w:rPr>
                <w:rFonts w:eastAsia="MS Mincho"/>
                <w:sz w:val="18"/>
                <w:szCs w:val="18"/>
                <w:lang w:eastAsia="ja-JP"/>
              </w:rPr>
            </w:pPr>
          </w:p>
        </w:tc>
        <w:tc>
          <w:tcPr>
            <w:tcW w:w="4680" w:type="dxa"/>
            <w:gridSpan w:val="3"/>
            <w:shd w:val="clear" w:color="auto" w:fill="auto"/>
          </w:tcPr>
          <w:p w14:paraId="2AE74126" w14:textId="77777777" w:rsidR="00AB2FD0" w:rsidRPr="003B6A69" w:rsidRDefault="00AB2FD0" w:rsidP="003B6A69">
            <w:pPr>
              <w:tabs>
                <w:tab w:val="left" w:pos="270"/>
              </w:tabs>
              <w:ind w:left="270" w:hanging="270"/>
              <w:rPr>
                <w:rFonts w:eastAsia="MS Mincho"/>
                <w:b/>
                <w:i/>
                <w:sz w:val="18"/>
                <w:szCs w:val="18"/>
                <w:lang w:eastAsia="ja-JP"/>
              </w:rPr>
            </w:pPr>
            <w:r w:rsidRPr="003B6A69">
              <w:rPr>
                <w:rFonts w:eastAsia="MS Mincho"/>
                <w:b/>
                <w:i/>
                <w:sz w:val="18"/>
                <w:szCs w:val="18"/>
                <w:lang w:eastAsia="ja-JP"/>
              </w:rPr>
              <w:t>3.</w:t>
            </w:r>
            <w:r w:rsidRPr="003B6A69">
              <w:rPr>
                <w:rFonts w:eastAsia="MS Mincho"/>
                <w:b/>
                <w:i/>
                <w:sz w:val="18"/>
                <w:szCs w:val="18"/>
                <w:lang w:eastAsia="ja-JP"/>
              </w:rPr>
              <w:tab/>
              <w:t>Community Health, Safety and Working Conditions</w:t>
            </w:r>
          </w:p>
        </w:tc>
        <w:tc>
          <w:tcPr>
            <w:tcW w:w="630" w:type="dxa"/>
            <w:shd w:val="clear" w:color="auto" w:fill="auto"/>
            <w:vAlign w:val="center"/>
          </w:tcPr>
          <w:p w14:paraId="04BB1DDC" w14:textId="77777777" w:rsidR="00AB2FD0" w:rsidRPr="003B6A69" w:rsidRDefault="00AB2FD0" w:rsidP="003B6A69">
            <w:pPr>
              <w:tabs>
                <w:tab w:val="left" w:pos="360"/>
              </w:tabs>
              <w:rPr>
                <w:rFonts w:eastAsia="MS Mincho"/>
                <w:sz w:val="18"/>
                <w:szCs w:val="18"/>
                <w:lang w:eastAsia="ja-JP"/>
              </w:rPr>
            </w:pPr>
            <w:r w:rsidRPr="003B6A69">
              <w:rPr>
                <w:rFonts w:ascii="Segoe UI Symbol" w:eastAsia="MS Mincho" w:hAnsi="Segoe UI Symbol" w:cs="Segoe UI Symbol"/>
                <w:b/>
                <w:szCs w:val="20"/>
                <w:lang w:eastAsia="ja-JP"/>
              </w:rPr>
              <w:t>☐</w:t>
            </w:r>
          </w:p>
        </w:tc>
        <w:tc>
          <w:tcPr>
            <w:tcW w:w="5400" w:type="dxa"/>
            <w:shd w:val="clear" w:color="auto" w:fill="auto"/>
          </w:tcPr>
          <w:p w14:paraId="1975263D" w14:textId="77777777" w:rsidR="00AB2FD0" w:rsidRPr="003B6A69" w:rsidRDefault="00AB2FD0" w:rsidP="003B6A69">
            <w:pPr>
              <w:tabs>
                <w:tab w:val="left" w:pos="360"/>
              </w:tabs>
              <w:rPr>
                <w:rFonts w:eastAsia="MS Mincho"/>
                <w:sz w:val="18"/>
                <w:szCs w:val="18"/>
                <w:lang w:eastAsia="ja-JP"/>
              </w:rPr>
            </w:pPr>
          </w:p>
        </w:tc>
      </w:tr>
      <w:tr w:rsidR="00AB2FD0" w:rsidRPr="003B6A69" w14:paraId="0589E8D6" w14:textId="77777777" w:rsidTr="003B6A69">
        <w:tc>
          <w:tcPr>
            <w:tcW w:w="2430" w:type="dxa"/>
            <w:vMerge/>
            <w:shd w:val="clear" w:color="auto" w:fill="FFFFFF"/>
          </w:tcPr>
          <w:p w14:paraId="06A7D1A1" w14:textId="77777777" w:rsidR="00AB2FD0" w:rsidRPr="003B6A69" w:rsidRDefault="00AB2FD0" w:rsidP="003B6A69">
            <w:pPr>
              <w:tabs>
                <w:tab w:val="left" w:pos="270"/>
              </w:tabs>
              <w:ind w:left="270" w:hanging="270"/>
              <w:rPr>
                <w:rFonts w:eastAsia="MS Mincho"/>
                <w:sz w:val="18"/>
                <w:szCs w:val="18"/>
                <w:lang w:eastAsia="ja-JP"/>
              </w:rPr>
            </w:pPr>
          </w:p>
        </w:tc>
        <w:tc>
          <w:tcPr>
            <w:tcW w:w="4680" w:type="dxa"/>
            <w:gridSpan w:val="3"/>
            <w:shd w:val="clear" w:color="auto" w:fill="auto"/>
          </w:tcPr>
          <w:p w14:paraId="6F21BB44" w14:textId="77777777" w:rsidR="00AB2FD0" w:rsidRPr="003B6A69" w:rsidRDefault="00AB2FD0" w:rsidP="003B6A69">
            <w:pPr>
              <w:tabs>
                <w:tab w:val="left" w:pos="270"/>
              </w:tabs>
              <w:ind w:left="270" w:hanging="270"/>
              <w:rPr>
                <w:rFonts w:eastAsia="MS Mincho"/>
                <w:b/>
                <w:i/>
                <w:sz w:val="18"/>
                <w:szCs w:val="18"/>
                <w:lang w:eastAsia="ja-JP"/>
              </w:rPr>
            </w:pPr>
            <w:r w:rsidRPr="003B6A69">
              <w:rPr>
                <w:rFonts w:eastAsia="MS Mincho"/>
                <w:b/>
                <w:i/>
                <w:sz w:val="18"/>
                <w:szCs w:val="18"/>
                <w:lang w:eastAsia="ja-JP"/>
              </w:rPr>
              <w:t>4.</w:t>
            </w:r>
            <w:r w:rsidRPr="003B6A69">
              <w:rPr>
                <w:rFonts w:eastAsia="MS Mincho"/>
                <w:b/>
                <w:i/>
                <w:sz w:val="18"/>
                <w:szCs w:val="18"/>
                <w:lang w:eastAsia="ja-JP"/>
              </w:rPr>
              <w:tab/>
              <w:t>Cultural Heritage</w:t>
            </w:r>
          </w:p>
        </w:tc>
        <w:tc>
          <w:tcPr>
            <w:tcW w:w="630" w:type="dxa"/>
            <w:shd w:val="clear" w:color="auto" w:fill="auto"/>
            <w:vAlign w:val="center"/>
          </w:tcPr>
          <w:p w14:paraId="7C1A1F3A" w14:textId="77777777" w:rsidR="00AB2FD0" w:rsidRPr="003B6A69" w:rsidRDefault="00AB2FD0" w:rsidP="003B6A69">
            <w:pPr>
              <w:tabs>
                <w:tab w:val="left" w:pos="360"/>
              </w:tabs>
              <w:rPr>
                <w:rFonts w:eastAsia="MS Mincho"/>
                <w:sz w:val="18"/>
                <w:szCs w:val="18"/>
                <w:lang w:eastAsia="ja-JP"/>
              </w:rPr>
            </w:pPr>
            <w:r w:rsidRPr="003B6A69">
              <w:rPr>
                <w:rFonts w:ascii="Segoe UI Symbol" w:eastAsia="MS Mincho" w:hAnsi="Segoe UI Symbol" w:cs="Segoe UI Symbol"/>
                <w:b/>
                <w:szCs w:val="20"/>
                <w:lang w:eastAsia="ja-JP"/>
              </w:rPr>
              <w:t>☐</w:t>
            </w:r>
          </w:p>
        </w:tc>
        <w:tc>
          <w:tcPr>
            <w:tcW w:w="5400" w:type="dxa"/>
            <w:shd w:val="clear" w:color="auto" w:fill="auto"/>
          </w:tcPr>
          <w:p w14:paraId="112CFA45" w14:textId="77777777" w:rsidR="00AB2FD0" w:rsidRPr="003B6A69" w:rsidRDefault="00AB2FD0" w:rsidP="003B6A69">
            <w:pPr>
              <w:tabs>
                <w:tab w:val="left" w:pos="360"/>
              </w:tabs>
              <w:rPr>
                <w:rFonts w:eastAsia="MS Mincho"/>
                <w:sz w:val="18"/>
                <w:szCs w:val="18"/>
                <w:lang w:eastAsia="ja-JP"/>
              </w:rPr>
            </w:pPr>
          </w:p>
        </w:tc>
      </w:tr>
      <w:tr w:rsidR="00AB2FD0" w:rsidRPr="003B6A69" w14:paraId="4EF01258" w14:textId="77777777" w:rsidTr="003B6A69">
        <w:tc>
          <w:tcPr>
            <w:tcW w:w="2430" w:type="dxa"/>
            <w:vMerge/>
            <w:shd w:val="clear" w:color="auto" w:fill="FFFFFF"/>
          </w:tcPr>
          <w:p w14:paraId="16B5FCF6" w14:textId="77777777" w:rsidR="00AB2FD0" w:rsidRPr="003B6A69" w:rsidRDefault="00AB2FD0" w:rsidP="003B6A69">
            <w:pPr>
              <w:tabs>
                <w:tab w:val="left" w:pos="270"/>
              </w:tabs>
              <w:ind w:left="270" w:hanging="270"/>
              <w:rPr>
                <w:rFonts w:eastAsia="MS Mincho"/>
                <w:sz w:val="18"/>
                <w:szCs w:val="18"/>
                <w:lang w:eastAsia="ja-JP"/>
              </w:rPr>
            </w:pPr>
          </w:p>
        </w:tc>
        <w:tc>
          <w:tcPr>
            <w:tcW w:w="4680" w:type="dxa"/>
            <w:gridSpan w:val="3"/>
            <w:shd w:val="clear" w:color="auto" w:fill="auto"/>
          </w:tcPr>
          <w:p w14:paraId="5EB62B14" w14:textId="77777777" w:rsidR="00AB2FD0" w:rsidRPr="003B6A69" w:rsidRDefault="00AB2FD0" w:rsidP="003B6A69">
            <w:pPr>
              <w:tabs>
                <w:tab w:val="left" w:pos="270"/>
              </w:tabs>
              <w:ind w:left="270" w:hanging="270"/>
              <w:rPr>
                <w:rFonts w:eastAsia="MS Mincho"/>
                <w:b/>
                <w:i/>
                <w:sz w:val="18"/>
                <w:szCs w:val="18"/>
                <w:lang w:eastAsia="ja-JP"/>
              </w:rPr>
            </w:pPr>
            <w:r w:rsidRPr="003B6A69">
              <w:rPr>
                <w:rFonts w:eastAsia="MS Mincho"/>
                <w:b/>
                <w:i/>
                <w:sz w:val="18"/>
                <w:szCs w:val="18"/>
                <w:lang w:eastAsia="ja-JP"/>
              </w:rPr>
              <w:t>5.</w:t>
            </w:r>
            <w:r w:rsidRPr="003B6A69">
              <w:rPr>
                <w:rFonts w:eastAsia="MS Mincho"/>
                <w:b/>
                <w:i/>
                <w:sz w:val="18"/>
                <w:szCs w:val="18"/>
                <w:lang w:eastAsia="ja-JP"/>
              </w:rPr>
              <w:tab/>
              <w:t>Displacement and Resettlement</w:t>
            </w:r>
          </w:p>
        </w:tc>
        <w:tc>
          <w:tcPr>
            <w:tcW w:w="630" w:type="dxa"/>
            <w:shd w:val="clear" w:color="auto" w:fill="auto"/>
            <w:vAlign w:val="center"/>
          </w:tcPr>
          <w:p w14:paraId="0D9F8392" w14:textId="77777777" w:rsidR="00AB2FD0" w:rsidRPr="003B6A69" w:rsidRDefault="00AB2FD0" w:rsidP="003B6A69">
            <w:pPr>
              <w:tabs>
                <w:tab w:val="left" w:pos="360"/>
              </w:tabs>
              <w:rPr>
                <w:rFonts w:eastAsia="MS Mincho"/>
                <w:sz w:val="18"/>
                <w:szCs w:val="18"/>
                <w:lang w:eastAsia="ja-JP"/>
              </w:rPr>
            </w:pPr>
            <w:r w:rsidRPr="003B6A69">
              <w:rPr>
                <w:rFonts w:ascii="Segoe UI Symbol" w:eastAsia="MS Mincho" w:hAnsi="Segoe UI Symbol" w:cs="Segoe UI Symbol"/>
                <w:b/>
                <w:szCs w:val="20"/>
                <w:lang w:eastAsia="ja-JP"/>
              </w:rPr>
              <w:t>X</w:t>
            </w:r>
          </w:p>
        </w:tc>
        <w:tc>
          <w:tcPr>
            <w:tcW w:w="5400" w:type="dxa"/>
            <w:shd w:val="clear" w:color="auto" w:fill="auto"/>
          </w:tcPr>
          <w:p w14:paraId="3B8741B2" w14:textId="77777777" w:rsidR="00AB2FD0" w:rsidRPr="003B6A69" w:rsidRDefault="00AB2FD0" w:rsidP="003B6A69">
            <w:pPr>
              <w:tabs>
                <w:tab w:val="left" w:pos="360"/>
              </w:tabs>
              <w:rPr>
                <w:rFonts w:eastAsia="MS Mincho"/>
                <w:sz w:val="18"/>
                <w:szCs w:val="18"/>
                <w:lang w:eastAsia="ja-JP"/>
              </w:rPr>
            </w:pPr>
            <w:r w:rsidRPr="003B6A69">
              <w:rPr>
                <w:rFonts w:eastAsia="MS Mincho"/>
                <w:sz w:val="18"/>
                <w:szCs w:val="18"/>
                <w:lang w:eastAsia="ja-JP"/>
              </w:rPr>
              <w:t xml:space="preserve">While the project will not result in physical displacement, economic displacement may occur </w:t>
            </w:r>
            <w:proofErr w:type="gramStart"/>
            <w:r w:rsidRPr="003B6A69">
              <w:rPr>
                <w:rFonts w:eastAsia="MS Mincho"/>
                <w:sz w:val="18"/>
                <w:szCs w:val="18"/>
                <w:lang w:eastAsia="ja-JP"/>
              </w:rPr>
              <w:t>as a result of</w:t>
            </w:r>
            <w:proofErr w:type="gramEnd"/>
            <w:r w:rsidRPr="003B6A69">
              <w:rPr>
                <w:rFonts w:eastAsia="MS Mincho"/>
                <w:sz w:val="18"/>
                <w:szCs w:val="18"/>
                <w:lang w:eastAsia="ja-JP"/>
              </w:rPr>
              <w:t xml:space="preserve"> restricted access to natural resources and ecosystem services.</w:t>
            </w:r>
          </w:p>
        </w:tc>
      </w:tr>
      <w:tr w:rsidR="00AB2FD0" w:rsidRPr="003B6A69" w14:paraId="6AF695B9" w14:textId="77777777" w:rsidTr="003B6A69">
        <w:tc>
          <w:tcPr>
            <w:tcW w:w="2430" w:type="dxa"/>
            <w:vMerge/>
            <w:shd w:val="clear" w:color="auto" w:fill="FFFFFF"/>
          </w:tcPr>
          <w:p w14:paraId="6AFC9B26" w14:textId="77777777" w:rsidR="00AB2FD0" w:rsidRPr="003B6A69" w:rsidRDefault="00AB2FD0" w:rsidP="003B6A69">
            <w:pPr>
              <w:tabs>
                <w:tab w:val="left" w:pos="270"/>
              </w:tabs>
              <w:ind w:left="270" w:hanging="270"/>
              <w:rPr>
                <w:rFonts w:eastAsia="MS Mincho"/>
                <w:sz w:val="18"/>
                <w:szCs w:val="18"/>
                <w:lang w:eastAsia="ja-JP"/>
              </w:rPr>
            </w:pPr>
          </w:p>
        </w:tc>
        <w:tc>
          <w:tcPr>
            <w:tcW w:w="4680" w:type="dxa"/>
            <w:gridSpan w:val="3"/>
            <w:shd w:val="clear" w:color="auto" w:fill="auto"/>
          </w:tcPr>
          <w:p w14:paraId="77D8F132" w14:textId="77777777" w:rsidR="00AB2FD0" w:rsidRPr="003B6A69" w:rsidRDefault="00AB2FD0" w:rsidP="003B6A69">
            <w:pPr>
              <w:tabs>
                <w:tab w:val="left" w:pos="270"/>
              </w:tabs>
              <w:ind w:left="270" w:hanging="270"/>
              <w:rPr>
                <w:rFonts w:eastAsia="MS Mincho"/>
                <w:b/>
                <w:i/>
                <w:sz w:val="18"/>
                <w:szCs w:val="18"/>
                <w:lang w:eastAsia="ja-JP"/>
              </w:rPr>
            </w:pPr>
            <w:r w:rsidRPr="003B6A69">
              <w:rPr>
                <w:rFonts w:eastAsia="MS Mincho"/>
                <w:b/>
                <w:i/>
                <w:sz w:val="18"/>
                <w:szCs w:val="18"/>
                <w:lang w:eastAsia="ja-JP"/>
              </w:rPr>
              <w:t>6.</w:t>
            </w:r>
            <w:r w:rsidRPr="003B6A69">
              <w:rPr>
                <w:rFonts w:eastAsia="MS Mincho"/>
                <w:b/>
                <w:i/>
                <w:sz w:val="18"/>
                <w:szCs w:val="18"/>
                <w:lang w:eastAsia="ja-JP"/>
              </w:rPr>
              <w:tab/>
              <w:t>Indigenous Peoples</w:t>
            </w:r>
          </w:p>
        </w:tc>
        <w:tc>
          <w:tcPr>
            <w:tcW w:w="630" w:type="dxa"/>
            <w:shd w:val="clear" w:color="auto" w:fill="auto"/>
            <w:vAlign w:val="center"/>
          </w:tcPr>
          <w:p w14:paraId="58A9F6AF" w14:textId="77777777" w:rsidR="00AB2FD0" w:rsidRPr="003B6A69" w:rsidRDefault="00AB2FD0" w:rsidP="003B6A69">
            <w:pPr>
              <w:tabs>
                <w:tab w:val="left" w:pos="360"/>
              </w:tabs>
              <w:rPr>
                <w:rFonts w:eastAsia="MS Mincho"/>
                <w:sz w:val="18"/>
                <w:szCs w:val="18"/>
                <w:lang w:eastAsia="ja-JP"/>
              </w:rPr>
            </w:pPr>
            <w:r w:rsidRPr="003B6A69">
              <w:rPr>
                <w:rFonts w:ascii="Segoe UI Symbol" w:eastAsia="MS Mincho" w:hAnsi="Segoe UI Symbol" w:cs="Segoe UI Symbol"/>
                <w:b/>
                <w:szCs w:val="20"/>
                <w:lang w:eastAsia="ja-JP"/>
              </w:rPr>
              <w:t>☐</w:t>
            </w:r>
          </w:p>
        </w:tc>
        <w:tc>
          <w:tcPr>
            <w:tcW w:w="5400" w:type="dxa"/>
            <w:shd w:val="clear" w:color="auto" w:fill="auto"/>
          </w:tcPr>
          <w:p w14:paraId="0B698A98" w14:textId="77777777" w:rsidR="00AB2FD0" w:rsidRPr="003B6A69" w:rsidRDefault="00AB2FD0" w:rsidP="003B6A69">
            <w:pPr>
              <w:tabs>
                <w:tab w:val="left" w:pos="360"/>
              </w:tabs>
              <w:rPr>
                <w:rFonts w:eastAsia="MS Mincho"/>
                <w:sz w:val="18"/>
                <w:szCs w:val="18"/>
                <w:lang w:eastAsia="ja-JP"/>
              </w:rPr>
            </w:pPr>
          </w:p>
        </w:tc>
      </w:tr>
      <w:tr w:rsidR="00AB2FD0" w:rsidRPr="003B6A69" w14:paraId="67DFBFB2" w14:textId="77777777" w:rsidTr="003B6A69">
        <w:tc>
          <w:tcPr>
            <w:tcW w:w="2430" w:type="dxa"/>
            <w:vMerge/>
            <w:shd w:val="clear" w:color="auto" w:fill="FFFFFF"/>
          </w:tcPr>
          <w:p w14:paraId="10DAD65E" w14:textId="77777777" w:rsidR="00AB2FD0" w:rsidRPr="003B6A69" w:rsidRDefault="00AB2FD0" w:rsidP="003B6A69">
            <w:pPr>
              <w:tabs>
                <w:tab w:val="left" w:pos="270"/>
              </w:tabs>
              <w:ind w:left="270" w:hanging="270"/>
              <w:rPr>
                <w:rFonts w:eastAsia="MS Mincho"/>
                <w:sz w:val="18"/>
                <w:szCs w:val="18"/>
                <w:lang w:eastAsia="ja-JP"/>
              </w:rPr>
            </w:pPr>
          </w:p>
        </w:tc>
        <w:tc>
          <w:tcPr>
            <w:tcW w:w="4680" w:type="dxa"/>
            <w:gridSpan w:val="3"/>
            <w:shd w:val="clear" w:color="auto" w:fill="auto"/>
          </w:tcPr>
          <w:p w14:paraId="365E86E0" w14:textId="77777777" w:rsidR="00AB2FD0" w:rsidRPr="003B6A69" w:rsidRDefault="00AB2FD0" w:rsidP="003B6A69">
            <w:pPr>
              <w:tabs>
                <w:tab w:val="left" w:pos="270"/>
              </w:tabs>
              <w:ind w:left="270" w:hanging="270"/>
              <w:rPr>
                <w:rFonts w:eastAsia="MS Mincho"/>
                <w:b/>
                <w:i/>
                <w:sz w:val="18"/>
                <w:szCs w:val="18"/>
                <w:lang w:eastAsia="ja-JP"/>
              </w:rPr>
            </w:pPr>
            <w:r w:rsidRPr="003B6A69">
              <w:rPr>
                <w:rFonts w:eastAsia="MS Mincho"/>
                <w:b/>
                <w:i/>
                <w:sz w:val="18"/>
                <w:szCs w:val="18"/>
                <w:lang w:eastAsia="ja-JP"/>
              </w:rPr>
              <w:t>7.</w:t>
            </w:r>
            <w:r w:rsidRPr="003B6A69">
              <w:rPr>
                <w:rFonts w:eastAsia="MS Mincho"/>
                <w:b/>
                <w:i/>
                <w:sz w:val="18"/>
                <w:szCs w:val="18"/>
                <w:lang w:eastAsia="ja-JP"/>
              </w:rPr>
              <w:tab/>
              <w:t>Pollution Prevention and Resource Efficiency</w:t>
            </w:r>
          </w:p>
        </w:tc>
        <w:tc>
          <w:tcPr>
            <w:tcW w:w="630" w:type="dxa"/>
            <w:shd w:val="clear" w:color="auto" w:fill="auto"/>
            <w:vAlign w:val="center"/>
          </w:tcPr>
          <w:p w14:paraId="63691817" w14:textId="77777777" w:rsidR="00AB2FD0" w:rsidRPr="003B6A69" w:rsidRDefault="00AB2FD0" w:rsidP="003B6A69">
            <w:pPr>
              <w:tabs>
                <w:tab w:val="left" w:pos="360"/>
              </w:tabs>
              <w:rPr>
                <w:rFonts w:eastAsia="MS Mincho"/>
                <w:sz w:val="18"/>
                <w:szCs w:val="18"/>
                <w:lang w:eastAsia="ja-JP"/>
              </w:rPr>
            </w:pPr>
            <w:r w:rsidRPr="003B6A69">
              <w:rPr>
                <w:rFonts w:ascii="Segoe UI Symbol" w:eastAsia="MS Mincho" w:hAnsi="Segoe UI Symbol" w:cs="Segoe UI Symbol"/>
                <w:b/>
                <w:szCs w:val="20"/>
                <w:lang w:eastAsia="ja-JP"/>
              </w:rPr>
              <w:t>☐</w:t>
            </w:r>
          </w:p>
        </w:tc>
        <w:tc>
          <w:tcPr>
            <w:tcW w:w="5400" w:type="dxa"/>
            <w:shd w:val="clear" w:color="auto" w:fill="auto"/>
          </w:tcPr>
          <w:p w14:paraId="51CE0697" w14:textId="77777777" w:rsidR="00AB2FD0" w:rsidRPr="003B6A69" w:rsidRDefault="00AB2FD0" w:rsidP="003B6A69">
            <w:pPr>
              <w:tabs>
                <w:tab w:val="left" w:pos="360"/>
              </w:tabs>
              <w:rPr>
                <w:rFonts w:eastAsia="MS Mincho"/>
                <w:sz w:val="18"/>
                <w:szCs w:val="18"/>
                <w:lang w:eastAsia="ja-JP"/>
              </w:rPr>
            </w:pPr>
          </w:p>
        </w:tc>
      </w:tr>
    </w:tbl>
    <w:p w14:paraId="0DC9FEA3" w14:textId="77777777" w:rsidR="00AB2FD0" w:rsidRPr="003B6A69" w:rsidRDefault="00AB2FD0" w:rsidP="00AB2FD0">
      <w:pPr>
        <w:tabs>
          <w:tab w:val="left" w:pos="360"/>
        </w:tabs>
        <w:rPr>
          <w:rFonts w:eastAsia="MS Mincho"/>
          <w:b/>
          <w:i/>
          <w:sz w:val="18"/>
          <w:szCs w:val="18"/>
          <w:lang w:eastAsia="ja-JP"/>
        </w:rPr>
      </w:pPr>
    </w:p>
    <w:p w14:paraId="193A6711" w14:textId="77777777" w:rsidR="00AB2FD0" w:rsidRPr="003B6A69" w:rsidRDefault="00AB2FD0" w:rsidP="00AB2FD0">
      <w:pPr>
        <w:spacing w:after="160" w:line="259" w:lineRule="auto"/>
        <w:jc w:val="left"/>
        <w:rPr>
          <w:rFonts w:eastAsia="MS Mincho"/>
          <w:sz w:val="18"/>
          <w:szCs w:val="18"/>
          <w:lang w:eastAsia="ja-JP"/>
        </w:rPr>
      </w:pPr>
      <w:r w:rsidRPr="003B6A69">
        <w:rPr>
          <w:rFonts w:eastAsia="MS Mincho"/>
          <w:sz w:val="18"/>
          <w:szCs w:val="18"/>
          <w:lang w:eastAsia="ja-JP"/>
        </w:rPr>
        <w:br w:type="page"/>
      </w:r>
    </w:p>
    <w:p w14:paraId="7090C553" w14:textId="77777777" w:rsidR="00AB2FD0" w:rsidRPr="003B6A69" w:rsidRDefault="00AB2FD0" w:rsidP="00AB2FD0">
      <w:pPr>
        <w:tabs>
          <w:tab w:val="left" w:pos="360"/>
        </w:tabs>
        <w:rPr>
          <w:rFonts w:eastAsia="MS Mincho"/>
          <w:sz w:val="18"/>
          <w:szCs w:val="18"/>
          <w:lang w:eastAsia="ja-JP"/>
        </w:rPr>
      </w:pPr>
    </w:p>
    <w:p w14:paraId="7CEEEC4C" w14:textId="77777777" w:rsidR="00AB2FD0" w:rsidRPr="003B6A69" w:rsidRDefault="00AB2FD0" w:rsidP="00AB2FD0">
      <w:pPr>
        <w:spacing w:before="200"/>
        <w:ind w:left="360"/>
        <w:rPr>
          <w:rFonts w:eastAsia="MS Mincho"/>
          <w:b/>
          <w:color w:val="4F81BD"/>
          <w:sz w:val="24"/>
          <w:lang w:eastAsia="ja-JP"/>
        </w:rPr>
      </w:pPr>
      <w:r w:rsidRPr="003B6A69">
        <w:rPr>
          <w:rFonts w:eastAsia="MS Mincho"/>
          <w:b/>
          <w:color w:val="4F81BD"/>
          <w:sz w:val="24"/>
          <w:lang w:eastAsia="ja-JP"/>
        </w:rPr>
        <w:t xml:space="preserve">Final Sign Off </w:t>
      </w:r>
    </w:p>
    <w:p w14:paraId="74EC1638" w14:textId="77777777" w:rsidR="00AB2FD0" w:rsidRPr="003B6A69" w:rsidRDefault="00AB2FD0" w:rsidP="00AB2FD0">
      <w:pPr>
        <w:tabs>
          <w:tab w:val="left" w:pos="360"/>
          <w:tab w:val="left" w:pos="4320"/>
        </w:tabs>
        <w:rPr>
          <w:rFonts w:eastAsia="MS Mincho"/>
          <w:sz w:val="18"/>
          <w:szCs w:val="18"/>
          <w:lang w:eastAsia="ja-JP"/>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5"/>
        <w:gridCol w:w="1350"/>
        <w:gridCol w:w="8725"/>
      </w:tblGrid>
      <w:tr w:rsidR="00AB2FD0" w:rsidRPr="003B6A69" w14:paraId="190E0260" w14:textId="77777777" w:rsidTr="003B6A69">
        <w:tc>
          <w:tcPr>
            <w:tcW w:w="2875" w:type="dxa"/>
            <w:shd w:val="clear" w:color="auto" w:fill="C6D9F1"/>
          </w:tcPr>
          <w:p w14:paraId="201D50DE" w14:textId="77777777" w:rsidR="00AB2FD0" w:rsidRPr="003B6A69" w:rsidRDefault="00AB2FD0" w:rsidP="003B6A69">
            <w:pPr>
              <w:tabs>
                <w:tab w:val="left" w:pos="360"/>
                <w:tab w:val="left" w:pos="4320"/>
              </w:tabs>
              <w:rPr>
                <w:rFonts w:eastAsia="MS Mincho"/>
                <w:b/>
                <w:i/>
                <w:sz w:val="18"/>
                <w:szCs w:val="18"/>
                <w:lang w:eastAsia="ja-JP"/>
              </w:rPr>
            </w:pPr>
            <w:r w:rsidRPr="003B6A69">
              <w:rPr>
                <w:rFonts w:eastAsia="MS Mincho"/>
                <w:b/>
                <w:i/>
                <w:sz w:val="18"/>
                <w:szCs w:val="18"/>
                <w:lang w:eastAsia="ja-JP"/>
              </w:rPr>
              <w:t>Signature</w:t>
            </w:r>
          </w:p>
        </w:tc>
        <w:tc>
          <w:tcPr>
            <w:tcW w:w="1350" w:type="dxa"/>
            <w:shd w:val="clear" w:color="auto" w:fill="C6D9F1"/>
          </w:tcPr>
          <w:p w14:paraId="1FB40521" w14:textId="77777777" w:rsidR="00AB2FD0" w:rsidRPr="003B6A69" w:rsidRDefault="00AB2FD0" w:rsidP="003B6A69">
            <w:pPr>
              <w:tabs>
                <w:tab w:val="left" w:pos="360"/>
                <w:tab w:val="left" w:pos="4320"/>
              </w:tabs>
              <w:rPr>
                <w:rFonts w:eastAsia="MS Mincho"/>
                <w:b/>
                <w:i/>
                <w:sz w:val="18"/>
                <w:szCs w:val="18"/>
                <w:lang w:eastAsia="ja-JP"/>
              </w:rPr>
            </w:pPr>
            <w:r w:rsidRPr="003B6A69">
              <w:rPr>
                <w:rFonts w:eastAsia="MS Mincho"/>
                <w:b/>
                <w:i/>
                <w:sz w:val="18"/>
                <w:szCs w:val="18"/>
                <w:lang w:eastAsia="ja-JP"/>
              </w:rPr>
              <w:t>Date</w:t>
            </w:r>
          </w:p>
        </w:tc>
        <w:tc>
          <w:tcPr>
            <w:tcW w:w="8725" w:type="dxa"/>
            <w:shd w:val="clear" w:color="auto" w:fill="C6D9F1"/>
          </w:tcPr>
          <w:p w14:paraId="58358A78" w14:textId="77777777" w:rsidR="00AB2FD0" w:rsidRPr="003B6A69" w:rsidRDefault="00AB2FD0" w:rsidP="003B6A69">
            <w:pPr>
              <w:tabs>
                <w:tab w:val="left" w:pos="360"/>
                <w:tab w:val="left" w:pos="4320"/>
              </w:tabs>
              <w:rPr>
                <w:rFonts w:eastAsia="MS Mincho"/>
                <w:b/>
                <w:i/>
                <w:sz w:val="18"/>
                <w:szCs w:val="18"/>
                <w:lang w:eastAsia="ja-JP"/>
              </w:rPr>
            </w:pPr>
            <w:r w:rsidRPr="003B6A69">
              <w:rPr>
                <w:rFonts w:eastAsia="MS Mincho"/>
                <w:b/>
                <w:i/>
                <w:sz w:val="18"/>
                <w:szCs w:val="18"/>
                <w:lang w:eastAsia="ja-JP"/>
              </w:rPr>
              <w:t>Description</w:t>
            </w:r>
          </w:p>
        </w:tc>
      </w:tr>
      <w:tr w:rsidR="00AB2FD0" w:rsidRPr="003B6A69" w14:paraId="0863CD59" w14:textId="77777777" w:rsidTr="003B6A69">
        <w:trPr>
          <w:trHeight w:val="629"/>
        </w:trPr>
        <w:tc>
          <w:tcPr>
            <w:tcW w:w="2875" w:type="dxa"/>
            <w:shd w:val="clear" w:color="auto" w:fill="auto"/>
          </w:tcPr>
          <w:p w14:paraId="497DDC1D" w14:textId="77777777" w:rsidR="00AB2FD0" w:rsidRPr="003B6A69" w:rsidRDefault="00AB2FD0" w:rsidP="003B6A69">
            <w:pPr>
              <w:tabs>
                <w:tab w:val="left" w:pos="360"/>
                <w:tab w:val="left" w:pos="4320"/>
              </w:tabs>
              <w:rPr>
                <w:rFonts w:eastAsia="MS Mincho"/>
                <w:szCs w:val="20"/>
                <w:lang w:eastAsia="ja-JP"/>
              </w:rPr>
            </w:pPr>
            <w:r w:rsidRPr="003B6A69">
              <w:rPr>
                <w:rFonts w:eastAsia="MS Mincho"/>
                <w:szCs w:val="20"/>
                <w:lang w:eastAsia="ja-JP"/>
              </w:rPr>
              <w:t>QA Assessor</w:t>
            </w:r>
          </w:p>
        </w:tc>
        <w:tc>
          <w:tcPr>
            <w:tcW w:w="1350" w:type="dxa"/>
            <w:shd w:val="clear" w:color="auto" w:fill="auto"/>
          </w:tcPr>
          <w:p w14:paraId="7C722A0F" w14:textId="77777777" w:rsidR="00AB2FD0" w:rsidRPr="003B6A69" w:rsidRDefault="00AB2FD0" w:rsidP="003B6A69">
            <w:pPr>
              <w:tabs>
                <w:tab w:val="left" w:pos="360"/>
                <w:tab w:val="left" w:pos="4320"/>
              </w:tabs>
              <w:rPr>
                <w:rFonts w:eastAsia="MS Mincho"/>
                <w:szCs w:val="20"/>
                <w:lang w:eastAsia="ja-JP"/>
              </w:rPr>
            </w:pPr>
          </w:p>
        </w:tc>
        <w:tc>
          <w:tcPr>
            <w:tcW w:w="8725" w:type="dxa"/>
            <w:shd w:val="clear" w:color="auto" w:fill="auto"/>
          </w:tcPr>
          <w:p w14:paraId="42C4865F" w14:textId="77777777" w:rsidR="00AB2FD0" w:rsidRPr="003B6A69" w:rsidRDefault="00AB2FD0" w:rsidP="003B6A69">
            <w:pPr>
              <w:tabs>
                <w:tab w:val="left" w:pos="720"/>
              </w:tabs>
              <w:spacing w:line="264" w:lineRule="auto"/>
              <w:rPr>
                <w:rFonts w:eastAsia="MS Mincho"/>
                <w:szCs w:val="20"/>
                <w:lang w:eastAsia="ja-JP"/>
              </w:rPr>
            </w:pPr>
            <w:r w:rsidRPr="003B6A69">
              <w:rPr>
                <w:rFonts w:eastAsia="MS Mincho"/>
                <w:szCs w:val="20"/>
                <w:lang w:eastAsia="ja-JP"/>
              </w:rPr>
              <w:t>UNDP staff member responsible for the Project</w:t>
            </w:r>
            <w:r w:rsidRPr="003B6A69">
              <w:rPr>
                <w:rFonts w:eastAsia="MS Mincho"/>
                <w:szCs w:val="20"/>
                <w:lang w:val="en-GB" w:eastAsia="ja-JP"/>
              </w:rPr>
              <w:t>, typically a UNDP Programme Officer. Final signature confirms they have “checked” to ensure that the SESP is adequately conducted.</w:t>
            </w:r>
          </w:p>
        </w:tc>
      </w:tr>
      <w:tr w:rsidR="00AB2FD0" w:rsidRPr="003B6A69" w14:paraId="616FA653" w14:textId="77777777" w:rsidTr="003B6A69">
        <w:tc>
          <w:tcPr>
            <w:tcW w:w="2875" w:type="dxa"/>
            <w:shd w:val="clear" w:color="auto" w:fill="auto"/>
          </w:tcPr>
          <w:p w14:paraId="77C972D8" w14:textId="77777777" w:rsidR="00AB2FD0" w:rsidRPr="003B6A69" w:rsidRDefault="00AB2FD0" w:rsidP="003B6A69">
            <w:pPr>
              <w:tabs>
                <w:tab w:val="left" w:pos="360"/>
                <w:tab w:val="left" w:pos="4320"/>
              </w:tabs>
              <w:rPr>
                <w:rFonts w:eastAsia="MS Mincho"/>
                <w:szCs w:val="20"/>
                <w:lang w:eastAsia="ja-JP"/>
              </w:rPr>
            </w:pPr>
            <w:r w:rsidRPr="003B6A69">
              <w:rPr>
                <w:rFonts w:eastAsia="MS Mincho"/>
                <w:szCs w:val="20"/>
                <w:lang w:eastAsia="ja-JP"/>
              </w:rPr>
              <w:t>QA Approver</w:t>
            </w:r>
          </w:p>
        </w:tc>
        <w:tc>
          <w:tcPr>
            <w:tcW w:w="1350" w:type="dxa"/>
            <w:shd w:val="clear" w:color="auto" w:fill="auto"/>
          </w:tcPr>
          <w:p w14:paraId="0647CC6C" w14:textId="77777777" w:rsidR="00AB2FD0" w:rsidRPr="003B6A69" w:rsidRDefault="00AB2FD0" w:rsidP="003B6A69">
            <w:pPr>
              <w:tabs>
                <w:tab w:val="left" w:pos="360"/>
                <w:tab w:val="left" w:pos="4320"/>
              </w:tabs>
              <w:rPr>
                <w:rFonts w:eastAsia="MS Mincho"/>
                <w:szCs w:val="20"/>
                <w:lang w:eastAsia="ja-JP"/>
              </w:rPr>
            </w:pPr>
          </w:p>
        </w:tc>
        <w:tc>
          <w:tcPr>
            <w:tcW w:w="8725" w:type="dxa"/>
            <w:shd w:val="clear" w:color="auto" w:fill="auto"/>
          </w:tcPr>
          <w:p w14:paraId="0B79F9C5" w14:textId="77777777" w:rsidR="00AB2FD0" w:rsidRPr="003B6A69" w:rsidRDefault="00AB2FD0" w:rsidP="003B6A69">
            <w:pPr>
              <w:tabs>
                <w:tab w:val="left" w:pos="360"/>
                <w:tab w:val="left" w:pos="4320"/>
              </w:tabs>
              <w:rPr>
                <w:rFonts w:eastAsia="MS Mincho"/>
                <w:szCs w:val="20"/>
                <w:lang w:eastAsia="ja-JP"/>
              </w:rPr>
            </w:pPr>
            <w:r w:rsidRPr="003B6A69">
              <w:rPr>
                <w:rFonts w:eastAsia="MS Mincho"/>
                <w:szCs w:val="20"/>
                <w:lang w:val="en-GB" w:eastAsia="ja-JP"/>
              </w:rPr>
              <w:t>UNDP senior manager, typically the UNDP Deputy Country Director (DCD), Country Director (CD)</w:t>
            </w:r>
            <w:r w:rsidRPr="003B6A69">
              <w:rPr>
                <w:rFonts w:eastAsia="MS Mincho"/>
                <w:b/>
                <w:szCs w:val="20"/>
                <w:lang w:eastAsia="ja-JP"/>
              </w:rPr>
              <w:t xml:space="preserve">, </w:t>
            </w:r>
            <w:r w:rsidRPr="003B6A69">
              <w:rPr>
                <w:rFonts w:eastAsia="MS Mincho"/>
                <w:szCs w:val="20"/>
                <w:lang w:eastAsia="ja-JP"/>
              </w:rPr>
              <w:t>Deputy Resident Representative (DRR), or Resident Representative (RR). The QA Approver cannot also be the QA Assessor. Final signature confirms they have “cleared” the SESP prior to submittal to the PAC.</w:t>
            </w:r>
          </w:p>
        </w:tc>
      </w:tr>
      <w:tr w:rsidR="00AB2FD0" w:rsidRPr="003B6A69" w14:paraId="3FB12BBF" w14:textId="77777777" w:rsidTr="003B6A69">
        <w:tc>
          <w:tcPr>
            <w:tcW w:w="2875" w:type="dxa"/>
            <w:shd w:val="clear" w:color="auto" w:fill="auto"/>
          </w:tcPr>
          <w:p w14:paraId="134C9AFE" w14:textId="77777777" w:rsidR="00AB2FD0" w:rsidRPr="003B6A69" w:rsidRDefault="00AB2FD0" w:rsidP="003B6A69">
            <w:pPr>
              <w:tabs>
                <w:tab w:val="left" w:pos="360"/>
                <w:tab w:val="left" w:pos="4320"/>
              </w:tabs>
              <w:rPr>
                <w:rFonts w:eastAsia="MS Mincho"/>
                <w:szCs w:val="20"/>
                <w:lang w:eastAsia="ja-JP"/>
              </w:rPr>
            </w:pPr>
            <w:r w:rsidRPr="003B6A69">
              <w:rPr>
                <w:rFonts w:eastAsia="MS Mincho"/>
                <w:szCs w:val="20"/>
                <w:lang w:eastAsia="ja-JP"/>
              </w:rPr>
              <w:t>PAC Chair</w:t>
            </w:r>
          </w:p>
        </w:tc>
        <w:tc>
          <w:tcPr>
            <w:tcW w:w="1350" w:type="dxa"/>
            <w:shd w:val="clear" w:color="auto" w:fill="auto"/>
          </w:tcPr>
          <w:p w14:paraId="7CE2B7C5" w14:textId="77777777" w:rsidR="00AB2FD0" w:rsidRPr="003B6A69" w:rsidRDefault="00AB2FD0" w:rsidP="003B6A69">
            <w:pPr>
              <w:tabs>
                <w:tab w:val="left" w:pos="360"/>
                <w:tab w:val="left" w:pos="4320"/>
              </w:tabs>
              <w:rPr>
                <w:rFonts w:eastAsia="MS Mincho"/>
                <w:szCs w:val="20"/>
                <w:lang w:eastAsia="ja-JP"/>
              </w:rPr>
            </w:pPr>
          </w:p>
        </w:tc>
        <w:tc>
          <w:tcPr>
            <w:tcW w:w="8725" w:type="dxa"/>
            <w:shd w:val="clear" w:color="auto" w:fill="auto"/>
          </w:tcPr>
          <w:p w14:paraId="20B0F4EF" w14:textId="77777777" w:rsidR="00AB2FD0" w:rsidRPr="003B6A69" w:rsidRDefault="00AB2FD0" w:rsidP="003B6A69">
            <w:pPr>
              <w:tabs>
                <w:tab w:val="left" w:pos="360"/>
                <w:tab w:val="left" w:pos="4320"/>
              </w:tabs>
              <w:rPr>
                <w:rFonts w:eastAsia="MS Mincho"/>
                <w:szCs w:val="20"/>
                <w:lang w:eastAsia="ja-JP"/>
              </w:rPr>
            </w:pPr>
            <w:r w:rsidRPr="003B6A69">
              <w:rPr>
                <w:rFonts w:eastAsia="MS Mincho"/>
                <w:szCs w:val="20"/>
                <w:lang w:eastAsia="ja-JP"/>
              </w:rPr>
              <w:t xml:space="preserve">UNDP chair of the PAC.  In some </w:t>
            </w:r>
            <w:proofErr w:type="gramStart"/>
            <w:r w:rsidRPr="003B6A69">
              <w:rPr>
                <w:rFonts w:eastAsia="MS Mincho"/>
                <w:szCs w:val="20"/>
                <w:lang w:eastAsia="ja-JP"/>
              </w:rPr>
              <w:t>cases</w:t>
            </w:r>
            <w:proofErr w:type="gramEnd"/>
            <w:r w:rsidRPr="003B6A69">
              <w:rPr>
                <w:rFonts w:eastAsia="MS Mincho"/>
                <w:szCs w:val="20"/>
                <w:lang w:eastAsia="ja-JP"/>
              </w:rPr>
              <w:t xml:space="preserve"> PAC Chair may also be the QA Approver. Final signature confirms that the SESP was considered as part of the project appraisal and considered in recommendations of the PAC. </w:t>
            </w:r>
          </w:p>
        </w:tc>
      </w:tr>
    </w:tbl>
    <w:p w14:paraId="0AE81DB3" w14:textId="77777777" w:rsidR="00AB2FD0" w:rsidRPr="003B6A69" w:rsidRDefault="00AB2FD0" w:rsidP="00AB2FD0">
      <w:pPr>
        <w:rPr>
          <w:rFonts w:eastAsia="MS Mincho"/>
          <w:lang w:eastAsia="ja-JP"/>
        </w:rPr>
        <w:sectPr w:rsidR="00AB2FD0" w:rsidRPr="003B6A69" w:rsidSect="003B6A69">
          <w:pgSz w:w="15840" w:h="12240" w:orient="landscape"/>
          <w:pgMar w:top="1440" w:right="1440" w:bottom="1440" w:left="1440" w:header="720" w:footer="720" w:gutter="0"/>
          <w:cols w:space="720"/>
          <w:titlePg/>
          <w:docGrid w:linePitch="360"/>
        </w:sectPr>
      </w:pPr>
    </w:p>
    <w:p w14:paraId="05C8114E" w14:textId="77777777" w:rsidR="00AB2FD0" w:rsidRPr="003B6A69" w:rsidRDefault="00AB2FD0" w:rsidP="00AB2FD0">
      <w:pPr>
        <w:rPr>
          <w:b/>
          <w:color w:val="2E74B5" w:themeColor="accent1" w:themeShade="BF"/>
          <w:sz w:val="22"/>
          <w:szCs w:val="22"/>
          <w:lang w:eastAsia="ja-JP"/>
        </w:rPr>
      </w:pPr>
      <w:bookmarkStart w:id="74" w:name="_Toc404528202"/>
      <w:bookmarkStart w:id="75" w:name="_Toc62720648"/>
      <w:r w:rsidRPr="003B6A69">
        <w:rPr>
          <w:b/>
          <w:color w:val="2E74B5" w:themeColor="accent1" w:themeShade="BF"/>
          <w:sz w:val="22"/>
          <w:szCs w:val="22"/>
          <w:lang w:eastAsia="ja-JP"/>
        </w:rPr>
        <w:lastRenderedPageBreak/>
        <w:t>SESP Attachment 1. Social and Environmental Risk Screening Checklist</w:t>
      </w:r>
      <w:bookmarkEnd w:id="74"/>
      <w:bookmarkEnd w:id="75"/>
    </w:p>
    <w:p w14:paraId="674C966E" w14:textId="77777777" w:rsidR="00AB2FD0" w:rsidRPr="003B6A69" w:rsidRDefault="00AB2FD0" w:rsidP="00AB2FD0">
      <w:pPr>
        <w:rPr>
          <w:rFonts w:eastAsia="MS Mincho"/>
          <w:lang w:eastAsia="ja-JP"/>
        </w:rPr>
      </w:pPr>
    </w:p>
    <w:p w14:paraId="0033E38A" w14:textId="77777777" w:rsidR="00AB2FD0" w:rsidRPr="003B6A69" w:rsidRDefault="00AB2FD0" w:rsidP="00AB2FD0">
      <w:pPr>
        <w:rPr>
          <w:rFonts w:eastAsia="MS Mincho"/>
          <w:lang w:eastAsia="ja-JP"/>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35"/>
        <w:gridCol w:w="833"/>
      </w:tblGrid>
      <w:tr w:rsidR="00AB2FD0" w:rsidRPr="003B6A69" w14:paraId="37395F92" w14:textId="77777777" w:rsidTr="003B6A69">
        <w:tc>
          <w:tcPr>
            <w:tcW w:w="8635" w:type="dxa"/>
            <w:tcBorders>
              <w:bottom w:val="single" w:sz="4" w:space="0" w:color="auto"/>
            </w:tcBorders>
            <w:shd w:val="clear" w:color="auto" w:fill="8DB3E2"/>
          </w:tcPr>
          <w:p w14:paraId="61ACD5FC" w14:textId="77777777" w:rsidR="00AB2FD0" w:rsidRPr="003B6A69" w:rsidRDefault="00AB2FD0" w:rsidP="003B6A69">
            <w:pPr>
              <w:tabs>
                <w:tab w:val="left" w:pos="810"/>
              </w:tabs>
              <w:rPr>
                <w:rFonts w:eastAsia="Times New Roman"/>
                <w:u w:val="single"/>
                <w:lang w:eastAsia="ja-JP"/>
              </w:rPr>
            </w:pPr>
            <w:r w:rsidRPr="003B6A69">
              <w:rPr>
                <w:rFonts w:eastAsia="MS Mincho"/>
                <w:b/>
                <w:lang w:eastAsia="ja-JP"/>
              </w:rPr>
              <w:t xml:space="preserve">Checklist Potential Social and Environmental </w:t>
            </w:r>
            <w:r w:rsidRPr="003B6A69">
              <w:rPr>
                <w:rFonts w:eastAsia="MS Mincho"/>
                <w:b/>
                <w:u w:val="single"/>
                <w:lang w:eastAsia="ja-JP"/>
              </w:rPr>
              <w:t>Risks</w:t>
            </w:r>
          </w:p>
        </w:tc>
        <w:tc>
          <w:tcPr>
            <w:tcW w:w="833" w:type="dxa"/>
            <w:tcBorders>
              <w:bottom w:val="single" w:sz="4" w:space="0" w:color="auto"/>
            </w:tcBorders>
            <w:shd w:val="clear" w:color="auto" w:fill="8DB3E2"/>
          </w:tcPr>
          <w:p w14:paraId="3E9A0EDF" w14:textId="77777777" w:rsidR="00AB2FD0" w:rsidRPr="003B6A69" w:rsidRDefault="00AB2FD0" w:rsidP="003B6A69">
            <w:pPr>
              <w:tabs>
                <w:tab w:val="left" w:pos="810"/>
              </w:tabs>
              <w:rPr>
                <w:rFonts w:eastAsia="Times New Roman"/>
                <w:lang w:eastAsia="ja-JP"/>
              </w:rPr>
            </w:pPr>
          </w:p>
        </w:tc>
      </w:tr>
      <w:tr w:rsidR="00AB2FD0" w:rsidRPr="003B6A69" w14:paraId="22BC0EA2" w14:textId="77777777" w:rsidTr="003B6A69">
        <w:tc>
          <w:tcPr>
            <w:tcW w:w="8635" w:type="dxa"/>
            <w:tcBorders>
              <w:bottom w:val="single" w:sz="4" w:space="0" w:color="auto"/>
            </w:tcBorders>
            <w:shd w:val="clear" w:color="auto" w:fill="DBE5F1"/>
          </w:tcPr>
          <w:p w14:paraId="2F1446B9" w14:textId="77777777" w:rsidR="00AB2FD0" w:rsidRPr="003B6A69" w:rsidRDefault="00AB2FD0" w:rsidP="003B6A69">
            <w:pPr>
              <w:tabs>
                <w:tab w:val="left" w:pos="810"/>
              </w:tabs>
              <w:spacing w:before="120" w:after="120"/>
              <w:rPr>
                <w:rFonts w:eastAsia="MS Mincho"/>
                <w:b/>
                <w:sz w:val="18"/>
                <w:szCs w:val="18"/>
                <w:lang w:eastAsia="ja-JP"/>
              </w:rPr>
            </w:pPr>
            <w:r w:rsidRPr="003B6A69">
              <w:rPr>
                <w:rFonts w:eastAsia="MS Mincho"/>
                <w:b/>
                <w:sz w:val="18"/>
                <w:szCs w:val="18"/>
                <w:lang w:eastAsia="ja-JP"/>
              </w:rPr>
              <w:t>Principles 1: Human Rights</w:t>
            </w:r>
          </w:p>
        </w:tc>
        <w:tc>
          <w:tcPr>
            <w:tcW w:w="833" w:type="dxa"/>
            <w:tcBorders>
              <w:bottom w:val="single" w:sz="4" w:space="0" w:color="auto"/>
            </w:tcBorders>
            <w:shd w:val="clear" w:color="auto" w:fill="DBE5F1"/>
          </w:tcPr>
          <w:p w14:paraId="37E9E327" w14:textId="77777777" w:rsidR="00AB2FD0" w:rsidRPr="003B6A69" w:rsidRDefault="00AB2FD0" w:rsidP="003B6A69">
            <w:pPr>
              <w:tabs>
                <w:tab w:val="left" w:pos="810"/>
              </w:tabs>
              <w:jc w:val="center"/>
              <w:rPr>
                <w:rFonts w:eastAsia="MS Mincho"/>
                <w:b/>
                <w:sz w:val="18"/>
                <w:szCs w:val="18"/>
                <w:lang w:eastAsia="ja-JP"/>
              </w:rPr>
            </w:pPr>
            <w:r w:rsidRPr="003B6A69">
              <w:rPr>
                <w:rFonts w:eastAsia="Times New Roman"/>
                <w:b/>
                <w:sz w:val="16"/>
                <w:szCs w:val="16"/>
                <w:lang w:eastAsia="ja-JP"/>
              </w:rPr>
              <w:t xml:space="preserve">Answer </w:t>
            </w:r>
            <w:r w:rsidRPr="003B6A69">
              <w:rPr>
                <w:rFonts w:eastAsia="Times New Roman"/>
                <w:b/>
                <w:sz w:val="16"/>
                <w:szCs w:val="16"/>
                <w:lang w:eastAsia="ja-JP"/>
              </w:rPr>
              <w:br/>
              <w:t>(Yes/No)</w:t>
            </w:r>
          </w:p>
        </w:tc>
      </w:tr>
      <w:tr w:rsidR="00AB2FD0" w:rsidRPr="003B6A69" w14:paraId="5F9B5144" w14:textId="77777777" w:rsidTr="003B6A69">
        <w:tc>
          <w:tcPr>
            <w:tcW w:w="8635" w:type="dxa"/>
            <w:tcBorders>
              <w:bottom w:val="single" w:sz="4" w:space="0" w:color="auto"/>
            </w:tcBorders>
            <w:shd w:val="clear" w:color="auto" w:fill="auto"/>
          </w:tcPr>
          <w:p w14:paraId="238A30EC" w14:textId="77777777" w:rsidR="00AB2FD0" w:rsidRPr="003B6A69" w:rsidRDefault="00AB2FD0" w:rsidP="003B6A69">
            <w:pPr>
              <w:tabs>
                <w:tab w:val="left" w:pos="900"/>
              </w:tabs>
              <w:spacing w:before="60"/>
              <w:ind w:left="567" w:hanging="567"/>
              <w:rPr>
                <w:rFonts w:eastAsia="Times New Roman"/>
                <w:sz w:val="18"/>
                <w:szCs w:val="18"/>
                <w:lang w:eastAsia="ja-JP"/>
              </w:rPr>
            </w:pPr>
            <w:r w:rsidRPr="003B6A69">
              <w:rPr>
                <w:rFonts w:eastAsia="Times New Roman"/>
                <w:sz w:val="18"/>
                <w:szCs w:val="18"/>
                <w:lang w:eastAsia="ja-JP"/>
              </w:rPr>
              <w:t>1.</w:t>
            </w:r>
            <w:r w:rsidRPr="003B6A69">
              <w:rPr>
                <w:rFonts w:eastAsia="Times New Roman"/>
                <w:sz w:val="18"/>
                <w:szCs w:val="18"/>
                <w:lang w:eastAsia="ja-JP"/>
              </w:rPr>
              <w:tab/>
              <w:t xml:space="preserve">Could the Project lead to adverse impacts on enjoyment of the human rights (civil, political, economic, </w:t>
            </w:r>
            <w:proofErr w:type="gramStart"/>
            <w:r w:rsidRPr="003B6A69">
              <w:rPr>
                <w:rFonts w:eastAsia="Times New Roman"/>
                <w:sz w:val="18"/>
                <w:szCs w:val="18"/>
                <w:lang w:eastAsia="ja-JP"/>
              </w:rPr>
              <w:t>social</w:t>
            </w:r>
            <w:proofErr w:type="gramEnd"/>
            <w:r w:rsidRPr="003B6A69">
              <w:rPr>
                <w:rFonts w:eastAsia="Times New Roman"/>
                <w:sz w:val="18"/>
                <w:szCs w:val="18"/>
                <w:lang w:eastAsia="ja-JP"/>
              </w:rPr>
              <w:t xml:space="preserve"> or cultural) of the affected population and particularly of marginalized groups?</w:t>
            </w:r>
          </w:p>
        </w:tc>
        <w:tc>
          <w:tcPr>
            <w:tcW w:w="833" w:type="dxa"/>
            <w:tcBorders>
              <w:bottom w:val="single" w:sz="4" w:space="0" w:color="auto"/>
            </w:tcBorders>
            <w:shd w:val="clear" w:color="auto" w:fill="auto"/>
          </w:tcPr>
          <w:p w14:paraId="07839FEF" w14:textId="77777777" w:rsidR="00AB2FD0" w:rsidRPr="003B6A69" w:rsidRDefault="00AB2FD0" w:rsidP="003B6A69">
            <w:pPr>
              <w:tabs>
                <w:tab w:val="left" w:pos="810"/>
              </w:tabs>
              <w:rPr>
                <w:rFonts w:eastAsia="MS Mincho"/>
                <w:sz w:val="18"/>
                <w:szCs w:val="18"/>
                <w:lang w:eastAsia="ja-JP"/>
              </w:rPr>
            </w:pPr>
            <w:r w:rsidRPr="003B6A69">
              <w:rPr>
                <w:rFonts w:eastAsia="MS Mincho"/>
                <w:sz w:val="18"/>
                <w:szCs w:val="18"/>
                <w:lang w:eastAsia="ja-JP"/>
              </w:rPr>
              <w:t>No</w:t>
            </w:r>
          </w:p>
        </w:tc>
      </w:tr>
      <w:tr w:rsidR="00AB2FD0" w:rsidRPr="003B6A69" w14:paraId="1B067313" w14:textId="77777777" w:rsidTr="003B6A69">
        <w:tc>
          <w:tcPr>
            <w:tcW w:w="8635" w:type="dxa"/>
            <w:tcBorders>
              <w:bottom w:val="single" w:sz="4" w:space="0" w:color="auto"/>
            </w:tcBorders>
            <w:shd w:val="clear" w:color="auto" w:fill="auto"/>
          </w:tcPr>
          <w:p w14:paraId="64897571" w14:textId="77777777" w:rsidR="00AB2FD0" w:rsidRPr="003B6A69" w:rsidRDefault="00AB2FD0" w:rsidP="003B6A69">
            <w:pPr>
              <w:tabs>
                <w:tab w:val="left" w:pos="900"/>
              </w:tabs>
              <w:spacing w:before="60"/>
              <w:ind w:left="567" w:hanging="567"/>
              <w:rPr>
                <w:rFonts w:eastAsia="Times New Roman"/>
                <w:sz w:val="18"/>
                <w:szCs w:val="18"/>
                <w:lang w:eastAsia="ja-JP"/>
              </w:rPr>
            </w:pPr>
            <w:r w:rsidRPr="003B6A69">
              <w:rPr>
                <w:rFonts w:eastAsia="Times New Roman"/>
                <w:sz w:val="18"/>
                <w:szCs w:val="18"/>
                <w:lang w:eastAsia="ja-JP"/>
              </w:rPr>
              <w:t xml:space="preserve">2. </w:t>
            </w:r>
            <w:r w:rsidRPr="003B6A69">
              <w:rPr>
                <w:rFonts w:eastAsia="Times New Roman"/>
                <w:sz w:val="18"/>
                <w:szCs w:val="18"/>
                <w:lang w:eastAsia="ja-JP"/>
              </w:rPr>
              <w:tab/>
              <w:t>Is there a likelihood that the Project would have inequitable or discriminatory adverse impacts on affected populations, particularly people living in poverty or marginalized or excluded individuals or groups?</w:t>
            </w:r>
            <w:r w:rsidRPr="003B6A69">
              <w:rPr>
                <w:rFonts w:eastAsia="Times New Roman"/>
                <w:sz w:val="18"/>
                <w:szCs w:val="18"/>
                <w:vertAlign w:val="superscript"/>
                <w:lang w:eastAsia="ja-JP"/>
              </w:rPr>
              <w:t xml:space="preserve"> </w:t>
            </w:r>
            <w:r w:rsidRPr="003B6A69">
              <w:rPr>
                <w:rFonts w:eastAsia="Times New Roman"/>
                <w:sz w:val="18"/>
                <w:szCs w:val="18"/>
                <w:vertAlign w:val="superscript"/>
                <w:lang w:eastAsia="ja-JP"/>
              </w:rPr>
              <w:footnoteReference w:id="17"/>
            </w:r>
            <w:r w:rsidRPr="003B6A69">
              <w:rPr>
                <w:rFonts w:eastAsia="Times New Roman"/>
                <w:sz w:val="18"/>
                <w:szCs w:val="18"/>
                <w:lang w:eastAsia="ja-JP"/>
              </w:rPr>
              <w:t xml:space="preserve"> </w:t>
            </w:r>
          </w:p>
        </w:tc>
        <w:tc>
          <w:tcPr>
            <w:tcW w:w="833" w:type="dxa"/>
            <w:tcBorders>
              <w:bottom w:val="single" w:sz="4" w:space="0" w:color="auto"/>
            </w:tcBorders>
            <w:shd w:val="clear" w:color="auto" w:fill="auto"/>
          </w:tcPr>
          <w:p w14:paraId="086B64CB" w14:textId="77777777" w:rsidR="00AB2FD0" w:rsidRPr="003B6A69" w:rsidRDefault="00AB2FD0" w:rsidP="003B6A69">
            <w:pPr>
              <w:tabs>
                <w:tab w:val="left" w:pos="810"/>
              </w:tabs>
              <w:rPr>
                <w:rFonts w:eastAsia="MS Mincho"/>
                <w:sz w:val="18"/>
                <w:szCs w:val="18"/>
                <w:lang w:eastAsia="ja-JP"/>
              </w:rPr>
            </w:pPr>
            <w:r w:rsidRPr="003B6A69">
              <w:rPr>
                <w:rFonts w:eastAsia="MS Mincho"/>
                <w:sz w:val="18"/>
                <w:szCs w:val="18"/>
                <w:lang w:eastAsia="ja-JP"/>
              </w:rPr>
              <w:t>Yes</w:t>
            </w:r>
          </w:p>
        </w:tc>
      </w:tr>
      <w:tr w:rsidR="00AB2FD0" w:rsidRPr="003B6A69" w14:paraId="04B46350" w14:textId="77777777" w:rsidTr="003B6A69">
        <w:tc>
          <w:tcPr>
            <w:tcW w:w="8635" w:type="dxa"/>
            <w:tcBorders>
              <w:bottom w:val="single" w:sz="4" w:space="0" w:color="auto"/>
            </w:tcBorders>
            <w:shd w:val="clear" w:color="auto" w:fill="auto"/>
          </w:tcPr>
          <w:p w14:paraId="617963A3" w14:textId="77777777" w:rsidR="00AB2FD0" w:rsidRPr="003B6A69" w:rsidRDefault="00AB2FD0" w:rsidP="003B6A69">
            <w:pPr>
              <w:tabs>
                <w:tab w:val="left" w:pos="900"/>
              </w:tabs>
              <w:spacing w:before="60"/>
              <w:ind w:left="567" w:hanging="567"/>
              <w:rPr>
                <w:rFonts w:eastAsia="Times New Roman"/>
                <w:sz w:val="18"/>
                <w:szCs w:val="18"/>
                <w:lang w:eastAsia="ja-JP"/>
              </w:rPr>
            </w:pPr>
            <w:r w:rsidRPr="003B6A69">
              <w:rPr>
                <w:rFonts w:eastAsia="Times New Roman"/>
                <w:sz w:val="18"/>
                <w:szCs w:val="18"/>
                <w:lang w:eastAsia="ja-JP"/>
              </w:rPr>
              <w:t>3.</w:t>
            </w:r>
            <w:r w:rsidRPr="003B6A69">
              <w:rPr>
                <w:rFonts w:eastAsia="Times New Roman"/>
                <w:sz w:val="18"/>
                <w:szCs w:val="18"/>
                <w:lang w:eastAsia="ja-JP"/>
              </w:rPr>
              <w:tab/>
              <w:t xml:space="preserve">Could the Project potentially restrict availability, quality of and access to resources or basic services, </w:t>
            </w:r>
            <w:proofErr w:type="gramStart"/>
            <w:r w:rsidRPr="003B6A69">
              <w:rPr>
                <w:rFonts w:eastAsia="Times New Roman"/>
                <w:sz w:val="18"/>
                <w:szCs w:val="18"/>
                <w:lang w:eastAsia="ja-JP"/>
              </w:rPr>
              <w:t>in particular to</w:t>
            </w:r>
            <w:proofErr w:type="gramEnd"/>
            <w:r w:rsidRPr="003B6A69">
              <w:rPr>
                <w:rFonts w:eastAsia="Times New Roman"/>
                <w:sz w:val="18"/>
                <w:szCs w:val="18"/>
                <w:lang w:eastAsia="ja-JP"/>
              </w:rPr>
              <w:t xml:space="preserve"> marginalized individuals or groups?</w:t>
            </w:r>
          </w:p>
        </w:tc>
        <w:tc>
          <w:tcPr>
            <w:tcW w:w="833" w:type="dxa"/>
            <w:tcBorders>
              <w:bottom w:val="single" w:sz="4" w:space="0" w:color="auto"/>
            </w:tcBorders>
            <w:shd w:val="clear" w:color="auto" w:fill="auto"/>
          </w:tcPr>
          <w:p w14:paraId="08F045DA" w14:textId="77777777" w:rsidR="00AB2FD0" w:rsidRPr="003B6A69" w:rsidRDefault="00AB2FD0" w:rsidP="003B6A69">
            <w:pPr>
              <w:tabs>
                <w:tab w:val="left" w:pos="810"/>
              </w:tabs>
              <w:rPr>
                <w:rFonts w:eastAsia="MS Mincho"/>
                <w:sz w:val="18"/>
                <w:szCs w:val="18"/>
                <w:lang w:eastAsia="ja-JP"/>
              </w:rPr>
            </w:pPr>
            <w:r w:rsidRPr="003B6A69">
              <w:rPr>
                <w:rFonts w:eastAsia="MS Mincho"/>
                <w:sz w:val="18"/>
                <w:szCs w:val="18"/>
                <w:lang w:eastAsia="ja-JP"/>
              </w:rPr>
              <w:t>Yes</w:t>
            </w:r>
          </w:p>
        </w:tc>
      </w:tr>
      <w:tr w:rsidR="00AB2FD0" w:rsidRPr="003B6A69" w14:paraId="5F861880" w14:textId="77777777" w:rsidTr="003B6A69">
        <w:tc>
          <w:tcPr>
            <w:tcW w:w="8635" w:type="dxa"/>
            <w:tcBorders>
              <w:bottom w:val="single" w:sz="4" w:space="0" w:color="auto"/>
            </w:tcBorders>
            <w:shd w:val="clear" w:color="auto" w:fill="auto"/>
          </w:tcPr>
          <w:p w14:paraId="1752A07F" w14:textId="77777777" w:rsidR="00AB2FD0" w:rsidRPr="003B6A69" w:rsidRDefault="00AB2FD0" w:rsidP="003B6A69">
            <w:pPr>
              <w:tabs>
                <w:tab w:val="left" w:pos="900"/>
              </w:tabs>
              <w:spacing w:before="60"/>
              <w:ind w:left="567" w:hanging="567"/>
              <w:rPr>
                <w:rFonts w:eastAsia="Times New Roman"/>
                <w:sz w:val="18"/>
                <w:szCs w:val="18"/>
                <w:lang w:eastAsia="ja-JP"/>
              </w:rPr>
            </w:pPr>
            <w:r w:rsidRPr="003B6A69">
              <w:rPr>
                <w:rFonts w:eastAsia="Times New Roman"/>
                <w:sz w:val="18"/>
                <w:szCs w:val="18"/>
                <w:lang w:eastAsia="ja-JP"/>
              </w:rPr>
              <w:t>4.</w:t>
            </w:r>
            <w:r w:rsidRPr="003B6A69">
              <w:rPr>
                <w:rFonts w:eastAsia="Times New Roman"/>
                <w:sz w:val="18"/>
                <w:szCs w:val="18"/>
                <w:lang w:eastAsia="ja-JP"/>
              </w:rPr>
              <w:tab/>
              <w:t>Is there a likelihood that the Project would exclude any potentially affected stakeholders, in particular marginalized groups, from fully participating in decisions that may affect them?</w:t>
            </w:r>
          </w:p>
        </w:tc>
        <w:tc>
          <w:tcPr>
            <w:tcW w:w="833" w:type="dxa"/>
            <w:tcBorders>
              <w:bottom w:val="single" w:sz="4" w:space="0" w:color="auto"/>
            </w:tcBorders>
            <w:shd w:val="clear" w:color="auto" w:fill="auto"/>
          </w:tcPr>
          <w:p w14:paraId="57E3F6F6" w14:textId="77777777" w:rsidR="00AB2FD0" w:rsidRPr="003B6A69" w:rsidRDefault="00AB2FD0" w:rsidP="003B6A69">
            <w:pPr>
              <w:tabs>
                <w:tab w:val="left" w:pos="810"/>
              </w:tabs>
              <w:rPr>
                <w:rFonts w:eastAsia="MS Mincho"/>
                <w:sz w:val="18"/>
                <w:szCs w:val="18"/>
                <w:lang w:eastAsia="ja-JP"/>
              </w:rPr>
            </w:pPr>
            <w:r w:rsidRPr="003B6A69">
              <w:rPr>
                <w:rFonts w:eastAsia="MS Mincho"/>
                <w:sz w:val="18"/>
                <w:szCs w:val="18"/>
                <w:lang w:eastAsia="ja-JP"/>
              </w:rPr>
              <w:t>Yes</w:t>
            </w:r>
          </w:p>
        </w:tc>
      </w:tr>
      <w:tr w:rsidR="00AB2FD0" w:rsidRPr="003B6A69" w14:paraId="7C29D68E" w14:textId="77777777" w:rsidTr="003B6A69">
        <w:tc>
          <w:tcPr>
            <w:tcW w:w="8635" w:type="dxa"/>
            <w:tcBorders>
              <w:bottom w:val="single" w:sz="4" w:space="0" w:color="auto"/>
            </w:tcBorders>
            <w:shd w:val="clear" w:color="auto" w:fill="auto"/>
          </w:tcPr>
          <w:p w14:paraId="3666DE3C" w14:textId="77777777" w:rsidR="00AB2FD0" w:rsidRPr="003B6A69" w:rsidDel="00074D34" w:rsidRDefault="00AB2FD0" w:rsidP="003B6A69">
            <w:pPr>
              <w:tabs>
                <w:tab w:val="left" w:pos="900"/>
              </w:tabs>
              <w:spacing w:before="60"/>
              <w:ind w:left="567" w:hanging="567"/>
              <w:rPr>
                <w:rFonts w:eastAsia="Times New Roman"/>
                <w:sz w:val="18"/>
                <w:szCs w:val="18"/>
                <w:lang w:eastAsia="ja-JP"/>
              </w:rPr>
            </w:pPr>
            <w:r w:rsidRPr="003B6A69">
              <w:rPr>
                <w:rFonts w:eastAsia="Times New Roman"/>
                <w:sz w:val="18"/>
                <w:szCs w:val="18"/>
                <w:lang w:eastAsia="ja-JP"/>
              </w:rPr>
              <w:t>5.</w:t>
            </w:r>
            <w:r w:rsidRPr="003B6A69">
              <w:rPr>
                <w:rFonts w:eastAsia="Times New Roman"/>
                <w:sz w:val="18"/>
                <w:szCs w:val="18"/>
                <w:lang w:eastAsia="ja-JP"/>
              </w:rPr>
              <w:tab/>
              <w:t>Is there a risk that duty-bearers do not have the capacity to meet their obligations in the Project?</w:t>
            </w:r>
          </w:p>
        </w:tc>
        <w:tc>
          <w:tcPr>
            <w:tcW w:w="833" w:type="dxa"/>
            <w:tcBorders>
              <w:bottom w:val="single" w:sz="4" w:space="0" w:color="auto"/>
            </w:tcBorders>
            <w:shd w:val="clear" w:color="auto" w:fill="auto"/>
          </w:tcPr>
          <w:p w14:paraId="236887AE" w14:textId="77777777" w:rsidR="00AB2FD0" w:rsidRPr="003B6A69" w:rsidRDefault="00AB2FD0" w:rsidP="003B6A69">
            <w:pPr>
              <w:tabs>
                <w:tab w:val="left" w:pos="810"/>
              </w:tabs>
              <w:rPr>
                <w:rFonts w:eastAsia="MS Mincho"/>
                <w:sz w:val="18"/>
                <w:szCs w:val="18"/>
                <w:lang w:eastAsia="ja-JP"/>
              </w:rPr>
            </w:pPr>
            <w:r w:rsidRPr="003B6A69">
              <w:rPr>
                <w:rFonts w:eastAsia="MS Mincho"/>
                <w:sz w:val="18"/>
                <w:szCs w:val="18"/>
                <w:lang w:eastAsia="ja-JP"/>
              </w:rPr>
              <w:t>Yes</w:t>
            </w:r>
          </w:p>
        </w:tc>
      </w:tr>
      <w:tr w:rsidR="00AB2FD0" w:rsidRPr="003B6A69" w14:paraId="59431129" w14:textId="77777777" w:rsidTr="003B6A69">
        <w:tc>
          <w:tcPr>
            <w:tcW w:w="8635" w:type="dxa"/>
            <w:tcBorders>
              <w:bottom w:val="single" w:sz="4" w:space="0" w:color="auto"/>
            </w:tcBorders>
            <w:shd w:val="clear" w:color="auto" w:fill="auto"/>
          </w:tcPr>
          <w:p w14:paraId="6C18F633" w14:textId="77777777" w:rsidR="00AB2FD0" w:rsidRPr="003B6A69" w:rsidRDefault="00AB2FD0" w:rsidP="003B6A69">
            <w:pPr>
              <w:tabs>
                <w:tab w:val="left" w:pos="900"/>
              </w:tabs>
              <w:spacing w:before="60"/>
              <w:ind w:left="567" w:hanging="567"/>
              <w:rPr>
                <w:rFonts w:eastAsia="Times New Roman"/>
                <w:sz w:val="18"/>
                <w:szCs w:val="18"/>
                <w:lang w:eastAsia="ja-JP"/>
              </w:rPr>
            </w:pPr>
            <w:r w:rsidRPr="003B6A69">
              <w:rPr>
                <w:rFonts w:eastAsia="Times New Roman"/>
                <w:sz w:val="18"/>
                <w:szCs w:val="18"/>
                <w:lang w:eastAsia="ja-JP"/>
              </w:rPr>
              <w:t>6.</w:t>
            </w:r>
            <w:r w:rsidRPr="003B6A69">
              <w:rPr>
                <w:rFonts w:eastAsia="Times New Roman"/>
                <w:sz w:val="18"/>
                <w:szCs w:val="18"/>
                <w:lang w:eastAsia="ja-JP"/>
              </w:rPr>
              <w:tab/>
              <w:t xml:space="preserve">Is there a risk that rights-holders do not have the capacity to claim their rights? </w:t>
            </w:r>
          </w:p>
        </w:tc>
        <w:tc>
          <w:tcPr>
            <w:tcW w:w="833" w:type="dxa"/>
            <w:tcBorders>
              <w:bottom w:val="single" w:sz="4" w:space="0" w:color="auto"/>
            </w:tcBorders>
            <w:shd w:val="clear" w:color="auto" w:fill="auto"/>
          </w:tcPr>
          <w:p w14:paraId="14AA0308" w14:textId="77777777" w:rsidR="00AB2FD0" w:rsidRPr="003B6A69" w:rsidRDefault="00AB2FD0" w:rsidP="003B6A69">
            <w:pPr>
              <w:tabs>
                <w:tab w:val="left" w:pos="810"/>
              </w:tabs>
              <w:rPr>
                <w:rFonts w:eastAsia="MS Mincho"/>
                <w:sz w:val="18"/>
                <w:szCs w:val="18"/>
                <w:lang w:eastAsia="ja-JP"/>
              </w:rPr>
            </w:pPr>
            <w:r w:rsidRPr="003B6A69">
              <w:rPr>
                <w:rFonts w:eastAsia="MS Mincho"/>
                <w:sz w:val="18"/>
                <w:szCs w:val="18"/>
                <w:lang w:eastAsia="ja-JP"/>
              </w:rPr>
              <w:t>No</w:t>
            </w:r>
          </w:p>
        </w:tc>
      </w:tr>
      <w:tr w:rsidR="00AB2FD0" w:rsidRPr="003B6A69" w14:paraId="40E9741F" w14:textId="77777777" w:rsidTr="003B6A69">
        <w:tc>
          <w:tcPr>
            <w:tcW w:w="8635" w:type="dxa"/>
            <w:tcBorders>
              <w:bottom w:val="single" w:sz="4" w:space="0" w:color="auto"/>
            </w:tcBorders>
            <w:shd w:val="clear" w:color="auto" w:fill="auto"/>
          </w:tcPr>
          <w:p w14:paraId="7CF64821" w14:textId="77777777" w:rsidR="00AB2FD0" w:rsidRPr="003B6A69" w:rsidRDefault="00AB2FD0" w:rsidP="003B6A69">
            <w:pPr>
              <w:tabs>
                <w:tab w:val="left" w:pos="900"/>
              </w:tabs>
              <w:spacing w:before="60"/>
              <w:ind w:left="567" w:hanging="567"/>
              <w:rPr>
                <w:rFonts w:eastAsia="Times New Roman"/>
                <w:sz w:val="18"/>
                <w:szCs w:val="18"/>
                <w:lang w:eastAsia="ja-JP"/>
              </w:rPr>
            </w:pPr>
            <w:r w:rsidRPr="003B6A69">
              <w:rPr>
                <w:rFonts w:eastAsia="Times New Roman"/>
                <w:sz w:val="18"/>
                <w:szCs w:val="18"/>
                <w:lang w:eastAsia="ja-JP"/>
              </w:rPr>
              <w:t>7.</w:t>
            </w:r>
            <w:r w:rsidRPr="003B6A69">
              <w:rPr>
                <w:rFonts w:eastAsia="Times New Roman"/>
                <w:sz w:val="18"/>
                <w:szCs w:val="18"/>
                <w:lang w:eastAsia="ja-JP"/>
              </w:rPr>
              <w:tab/>
              <w:t>Have local communities or individuals, given the opportunity, raised human rights concerns regarding the Project during the stakeholder engagement process?</w:t>
            </w:r>
          </w:p>
        </w:tc>
        <w:tc>
          <w:tcPr>
            <w:tcW w:w="833" w:type="dxa"/>
            <w:tcBorders>
              <w:bottom w:val="single" w:sz="4" w:space="0" w:color="auto"/>
            </w:tcBorders>
            <w:shd w:val="clear" w:color="auto" w:fill="auto"/>
          </w:tcPr>
          <w:p w14:paraId="0F3A0BF5" w14:textId="77777777" w:rsidR="00AB2FD0" w:rsidRPr="003B6A69" w:rsidRDefault="00AB2FD0" w:rsidP="003B6A69">
            <w:pPr>
              <w:tabs>
                <w:tab w:val="left" w:pos="810"/>
              </w:tabs>
              <w:rPr>
                <w:rFonts w:eastAsia="MS Mincho"/>
                <w:sz w:val="18"/>
                <w:szCs w:val="18"/>
                <w:lang w:eastAsia="ja-JP"/>
              </w:rPr>
            </w:pPr>
            <w:r w:rsidRPr="003B6A69">
              <w:rPr>
                <w:rFonts w:eastAsia="MS Mincho"/>
                <w:sz w:val="18"/>
                <w:szCs w:val="18"/>
                <w:lang w:eastAsia="ja-JP"/>
              </w:rPr>
              <w:t>No</w:t>
            </w:r>
          </w:p>
        </w:tc>
      </w:tr>
      <w:tr w:rsidR="00AB2FD0" w:rsidRPr="003B6A69" w14:paraId="7DD9DFCB" w14:textId="77777777" w:rsidTr="003B6A69">
        <w:tc>
          <w:tcPr>
            <w:tcW w:w="8635" w:type="dxa"/>
            <w:tcBorders>
              <w:bottom w:val="single" w:sz="4" w:space="0" w:color="auto"/>
            </w:tcBorders>
            <w:shd w:val="clear" w:color="auto" w:fill="auto"/>
          </w:tcPr>
          <w:p w14:paraId="571892FD" w14:textId="77777777" w:rsidR="00AB2FD0" w:rsidRPr="003B6A69" w:rsidRDefault="00AB2FD0" w:rsidP="003B6A69">
            <w:pPr>
              <w:tabs>
                <w:tab w:val="left" w:pos="900"/>
              </w:tabs>
              <w:spacing w:before="60"/>
              <w:ind w:left="567" w:hanging="567"/>
              <w:rPr>
                <w:rFonts w:eastAsia="Times New Roman"/>
                <w:sz w:val="18"/>
                <w:szCs w:val="18"/>
                <w:lang w:eastAsia="ja-JP"/>
              </w:rPr>
            </w:pPr>
            <w:r w:rsidRPr="003B6A69">
              <w:rPr>
                <w:rFonts w:eastAsia="Times New Roman"/>
                <w:sz w:val="18"/>
                <w:szCs w:val="18"/>
                <w:lang w:eastAsia="ja-JP"/>
              </w:rPr>
              <w:t>8.</w:t>
            </w:r>
            <w:r w:rsidRPr="003B6A69">
              <w:rPr>
                <w:rFonts w:eastAsia="Times New Roman"/>
                <w:sz w:val="18"/>
                <w:szCs w:val="18"/>
                <w:lang w:eastAsia="ja-JP"/>
              </w:rPr>
              <w:tab/>
              <w:t>Is there a risk that the Project would exacerbate conflicts among and/or the risk of violence to project-affected communities and individuals?</w:t>
            </w:r>
          </w:p>
        </w:tc>
        <w:tc>
          <w:tcPr>
            <w:tcW w:w="833" w:type="dxa"/>
            <w:tcBorders>
              <w:bottom w:val="single" w:sz="4" w:space="0" w:color="auto"/>
            </w:tcBorders>
            <w:shd w:val="clear" w:color="auto" w:fill="auto"/>
          </w:tcPr>
          <w:p w14:paraId="64CBE9EC" w14:textId="77777777" w:rsidR="00AB2FD0" w:rsidRPr="003B6A69" w:rsidRDefault="00AB2FD0" w:rsidP="003B6A69">
            <w:pPr>
              <w:tabs>
                <w:tab w:val="left" w:pos="810"/>
              </w:tabs>
              <w:rPr>
                <w:rFonts w:eastAsia="MS Mincho"/>
                <w:sz w:val="18"/>
                <w:szCs w:val="18"/>
                <w:lang w:eastAsia="ja-JP"/>
              </w:rPr>
            </w:pPr>
            <w:r w:rsidRPr="003B6A69">
              <w:rPr>
                <w:rFonts w:eastAsia="MS Mincho"/>
                <w:sz w:val="18"/>
                <w:szCs w:val="18"/>
                <w:lang w:eastAsia="ja-JP"/>
              </w:rPr>
              <w:t>Yes</w:t>
            </w:r>
          </w:p>
        </w:tc>
      </w:tr>
      <w:tr w:rsidR="00AB2FD0" w:rsidRPr="003B6A69" w14:paraId="3EBEBB10" w14:textId="77777777" w:rsidTr="003B6A69">
        <w:tc>
          <w:tcPr>
            <w:tcW w:w="8635" w:type="dxa"/>
            <w:tcBorders>
              <w:bottom w:val="single" w:sz="4" w:space="0" w:color="auto"/>
            </w:tcBorders>
            <w:shd w:val="clear" w:color="auto" w:fill="DBE5F1"/>
          </w:tcPr>
          <w:p w14:paraId="2A6B5F84" w14:textId="77777777" w:rsidR="00AB2FD0" w:rsidRPr="003B6A69" w:rsidRDefault="00AB2FD0" w:rsidP="003B6A69">
            <w:pPr>
              <w:tabs>
                <w:tab w:val="left" w:pos="810"/>
              </w:tabs>
              <w:spacing w:before="120" w:after="120"/>
              <w:rPr>
                <w:rFonts w:eastAsia="MS Mincho"/>
                <w:b/>
                <w:sz w:val="18"/>
                <w:szCs w:val="18"/>
                <w:lang w:eastAsia="ja-JP"/>
              </w:rPr>
            </w:pPr>
            <w:r w:rsidRPr="003B6A69">
              <w:rPr>
                <w:rFonts w:eastAsia="MS Mincho"/>
                <w:b/>
                <w:sz w:val="18"/>
                <w:szCs w:val="18"/>
                <w:lang w:eastAsia="ja-JP"/>
              </w:rPr>
              <w:t>Principle 2: Gender Equality and Women’s Empowerment</w:t>
            </w:r>
          </w:p>
        </w:tc>
        <w:tc>
          <w:tcPr>
            <w:tcW w:w="833" w:type="dxa"/>
            <w:tcBorders>
              <w:bottom w:val="single" w:sz="4" w:space="0" w:color="auto"/>
            </w:tcBorders>
            <w:shd w:val="clear" w:color="auto" w:fill="DBE5F1"/>
          </w:tcPr>
          <w:p w14:paraId="743C0CAA" w14:textId="77777777" w:rsidR="00AB2FD0" w:rsidRPr="003B6A69" w:rsidRDefault="00AB2FD0" w:rsidP="003B6A69">
            <w:pPr>
              <w:tabs>
                <w:tab w:val="left" w:pos="810"/>
              </w:tabs>
              <w:spacing w:before="120" w:after="120"/>
              <w:rPr>
                <w:rFonts w:eastAsia="MS Mincho"/>
                <w:b/>
                <w:sz w:val="18"/>
                <w:szCs w:val="18"/>
                <w:lang w:eastAsia="ja-JP"/>
              </w:rPr>
            </w:pPr>
          </w:p>
        </w:tc>
      </w:tr>
      <w:tr w:rsidR="00AB2FD0" w:rsidRPr="003B6A69" w14:paraId="68CD209C" w14:textId="77777777" w:rsidTr="003B6A69">
        <w:tc>
          <w:tcPr>
            <w:tcW w:w="8635" w:type="dxa"/>
            <w:tcBorders>
              <w:bottom w:val="single" w:sz="4" w:space="0" w:color="auto"/>
            </w:tcBorders>
            <w:shd w:val="clear" w:color="auto" w:fill="auto"/>
          </w:tcPr>
          <w:p w14:paraId="361B1E78" w14:textId="77777777" w:rsidR="00AB2FD0" w:rsidRPr="003B6A69" w:rsidRDefault="00AB2FD0" w:rsidP="003B6A69">
            <w:pPr>
              <w:tabs>
                <w:tab w:val="left" w:pos="900"/>
              </w:tabs>
              <w:spacing w:before="60"/>
              <w:ind w:left="567" w:hanging="567"/>
              <w:rPr>
                <w:rFonts w:eastAsia="Times New Roman"/>
                <w:sz w:val="18"/>
                <w:szCs w:val="18"/>
                <w:lang w:eastAsia="ja-JP"/>
              </w:rPr>
            </w:pPr>
            <w:r w:rsidRPr="003B6A69">
              <w:rPr>
                <w:rFonts w:eastAsia="Times New Roman"/>
                <w:sz w:val="18"/>
                <w:szCs w:val="18"/>
                <w:lang w:eastAsia="ja-JP"/>
              </w:rPr>
              <w:t>1.</w:t>
            </w:r>
            <w:r w:rsidRPr="003B6A69">
              <w:rPr>
                <w:rFonts w:eastAsia="Times New Roman"/>
                <w:sz w:val="18"/>
                <w:szCs w:val="18"/>
                <w:lang w:eastAsia="ja-JP"/>
              </w:rPr>
              <w:tab/>
              <w:t xml:space="preserve">Is there a likelihood that the proposed Project would have adverse impacts on gender equality and/or the situation of women and girls? </w:t>
            </w:r>
          </w:p>
        </w:tc>
        <w:tc>
          <w:tcPr>
            <w:tcW w:w="833" w:type="dxa"/>
            <w:tcBorders>
              <w:bottom w:val="single" w:sz="4" w:space="0" w:color="auto"/>
            </w:tcBorders>
            <w:shd w:val="clear" w:color="auto" w:fill="auto"/>
          </w:tcPr>
          <w:p w14:paraId="496CAA46" w14:textId="77777777" w:rsidR="00AB2FD0" w:rsidRPr="003B6A69" w:rsidRDefault="00AB2FD0" w:rsidP="003B6A69">
            <w:pPr>
              <w:tabs>
                <w:tab w:val="left" w:pos="810"/>
              </w:tabs>
              <w:rPr>
                <w:rFonts w:eastAsia="MS Mincho"/>
                <w:sz w:val="18"/>
                <w:szCs w:val="18"/>
                <w:lang w:eastAsia="ja-JP"/>
              </w:rPr>
            </w:pPr>
            <w:r w:rsidRPr="003B6A69">
              <w:rPr>
                <w:rFonts w:eastAsia="MS Mincho"/>
                <w:sz w:val="18"/>
                <w:szCs w:val="18"/>
                <w:lang w:eastAsia="ja-JP"/>
              </w:rPr>
              <w:t>No</w:t>
            </w:r>
          </w:p>
        </w:tc>
      </w:tr>
      <w:tr w:rsidR="00AB2FD0" w:rsidRPr="003B6A69" w14:paraId="710255D1" w14:textId="77777777" w:rsidTr="003B6A69">
        <w:tc>
          <w:tcPr>
            <w:tcW w:w="8635" w:type="dxa"/>
            <w:tcBorders>
              <w:bottom w:val="single" w:sz="4" w:space="0" w:color="auto"/>
            </w:tcBorders>
            <w:shd w:val="clear" w:color="auto" w:fill="auto"/>
          </w:tcPr>
          <w:p w14:paraId="2068F111" w14:textId="77777777" w:rsidR="00AB2FD0" w:rsidRPr="003B6A69" w:rsidRDefault="00AB2FD0" w:rsidP="003B6A69">
            <w:pPr>
              <w:tabs>
                <w:tab w:val="left" w:pos="900"/>
              </w:tabs>
              <w:spacing w:before="60"/>
              <w:ind w:left="567" w:hanging="567"/>
              <w:rPr>
                <w:rFonts w:eastAsia="Times New Roman"/>
                <w:sz w:val="18"/>
                <w:szCs w:val="18"/>
                <w:lang w:eastAsia="ja-JP"/>
              </w:rPr>
            </w:pPr>
            <w:r w:rsidRPr="003B6A69">
              <w:rPr>
                <w:rFonts w:eastAsia="Times New Roman"/>
                <w:sz w:val="18"/>
                <w:szCs w:val="18"/>
                <w:lang w:eastAsia="ja-JP"/>
              </w:rPr>
              <w:t>2.</w:t>
            </w:r>
            <w:r w:rsidRPr="003B6A69">
              <w:rPr>
                <w:rFonts w:eastAsia="Times New Roman"/>
                <w:sz w:val="18"/>
                <w:szCs w:val="18"/>
                <w:lang w:eastAsia="ja-JP"/>
              </w:rPr>
              <w:tab/>
              <w:t>Would the Project potentially reproduce discrimination against women based on gender, especially regarding participation in design and implementation or access to opportunities and benefits?</w:t>
            </w:r>
          </w:p>
        </w:tc>
        <w:tc>
          <w:tcPr>
            <w:tcW w:w="833" w:type="dxa"/>
            <w:tcBorders>
              <w:bottom w:val="single" w:sz="4" w:space="0" w:color="auto"/>
            </w:tcBorders>
            <w:shd w:val="clear" w:color="auto" w:fill="auto"/>
          </w:tcPr>
          <w:p w14:paraId="74F4DE55" w14:textId="77777777" w:rsidR="00AB2FD0" w:rsidRPr="003B6A69" w:rsidRDefault="00AB2FD0" w:rsidP="003B6A69">
            <w:pPr>
              <w:tabs>
                <w:tab w:val="left" w:pos="810"/>
              </w:tabs>
              <w:rPr>
                <w:rFonts w:eastAsia="MS Mincho"/>
                <w:sz w:val="18"/>
                <w:szCs w:val="18"/>
                <w:lang w:eastAsia="ja-JP"/>
              </w:rPr>
            </w:pPr>
            <w:r w:rsidRPr="003B6A69">
              <w:rPr>
                <w:rFonts w:eastAsia="MS Mincho"/>
                <w:sz w:val="18"/>
                <w:szCs w:val="18"/>
                <w:lang w:eastAsia="ja-JP"/>
              </w:rPr>
              <w:t>Yes</w:t>
            </w:r>
          </w:p>
        </w:tc>
      </w:tr>
      <w:tr w:rsidR="00AB2FD0" w:rsidRPr="003B6A69" w14:paraId="23BCD2C7" w14:textId="77777777" w:rsidTr="003B6A69">
        <w:tc>
          <w:tcPr>
            <w:tcW w:w="8635" w:type="dxa"/>
            <w:tcBorders>
              <w:bottom w:val="single" w:sz="4" w:space="0" w:color="auto"/>
            </w:tcBorders>
            <w:shd w:val="clear" w:color="auto" w:fill="auto"/>
          </w:tcPr>
          <w:p w14:paraId="01A32558" w14:textId="77777777" w:rsidR="00AB2FD0" w:rsidRPr="003B6A69" w:rsidRDefault="00AB2FD0" w:rsidP="003B6A69">
            <w:pPr>
              <w:tabs>
                <w:tab w:val="left" w:pos="900"/>
              </w:tabs>
              <w:spacing w:before="60"/>
              <w:ind w:left="567" w:hanging="567"/>
              <w:rPr>
                <w:rFonts w:eastAsia="Times New Roman"/>
                <w:sz w:val="18"/>
                <w:szCs w:val="18"/>
                <w:lang w:eastAsia="ja-JP"/>
              </w:rPr>
            </w:pPr>
            <w:r w:rsidRPr="003B6A69">
              <w:rPr>
                <w:rFonts w:eastAsia="Times New Roman"/>
                <w:sz w:val="18"/>
                <w:szCs w:val="18"/>
                <w:lang w:eastAsia="ja-JP"/>
              </w:rPr>
              <w:t>3.</w:t>
            </w:r>
            <w:r w:rsidRPr="003B6A69">
              <w:rPr>
                <w:rFonts w:eastAsia="Times New Roman"/>
                <w:sz w:val="18"/>
                <w:szCs w:val="18"/>
                <w:lang w:eastAsia="ja-JP"/>
              </w:rPr>
              <w:tab/>
              <w:t>Have women’s groups/leaders raised gender equality concerns regarding the Project during the stakeholder engagement process and has this been included in the overall Project proposal and in the risk assessment?</w:t>
            </w:r>
          </w:p>
        </w:tc>
        <w:tc>
          <w:tcPr>
            <w:tcW w:w="833" w:type="dxa"/>
            <w:tcBorders>
              <w:bottom w:val="single" w:sz="4" w:space="0" w:color="auto"/>
            </w:tcBorders>
            <w:shd w:val="clear" w:color="auto" w:fill="auto"/>
          </w:tcPr>
          <w:p w14:paraId="6ADC6287" w14:textId="77777777" w:rsidR="00AB2FD0" w:rsidRPr="003B6A69" w:rsidRDefault="00AB2FD0" w:rsidP="003B6A69">
            <w:pPr>
              <w:tabs>
                <w:tab w:val="left" w:pos="810"/>
              </w:tabs>
              <w:rPr>
                <w:rFonts w:eastAsia="MS Mincho"/>
                <w:sz w:val="18"/>
                <w:szCs w:val="18"/>
                <w:lang w:eastAsia="ja-JP"/>
              </w:rPr>
            </w:pPr>
            <w:r w:rsidRPr="003B6A69">
              <w:rPr>
                <w:rFonts w:eastAsia="MS Mincho"/>
                <w:sz w:val="18"/>
                <w:szCs w:val="18"/>
                <w:lang w:eastAsia="ja-JP"/>
              </w:rPr>
              <w:t>No</w:t>
            </w:r>
          </w:p>
        </w:tc>
      </w:tr>
      <w:tr w:rsidR="00AB2FD0" w:rsidRPr="003B6A69" w14:paraId="17D73C42" w14:textId="77777777" w:rsidTr="003B6A69">
        <w:tc>
          <w:tcPr>
            <w:tcW w:w="8635" w:type="dxa"/>
            <w:tcBorders>
              <w:bottom w:val="single" w:sz="4" w:space="0" w:color="auto"/>
            </w:tcBorders>
            <w:shd w:val="clear" w:color="auto" w:fill="auto"/>
          </w:tcPr>
          <w:p w14:paraId="1DEED35E" w14:textId="77777777" w:rsidR="00AB2FD0" w:rsidRPr="003B6A69" w:rsidRDefault="00AB2FD0" w:rsidP="003B6A69">
            <w:pPr>
              <w:tabs>
                <w:tab w:val="left" w:pos="900"/>
              </w:tabs>
              <w:spacing w:before="60"/>
              <w:ind w:left="567" w:hanging="567"/>
              <w:rPr>
                <w:rFonts w:eastAsia="Times New Roman"/>
                <w:sz w:val="18"/>
                <w:szCs w:val="18"/>
                <w:lang w:eastAsia="ja-JP"/>
              </w:rPr>
            </w:pPr>
            <w:r w:rsidRPr="003B6A69">
              <w:rPr>
                <w:rFonts w:eastAsia="Times New Roman"/>
                <w:sz w:val="18"/>
                <w:szCs w:val="18"/>
                <w:lang w:eastAsia="ja-JP"/>
              </w:rPr>
              <w:t>4.</w:t>
            </w:r>
            <w:r w:rsidRPr="003B6A69">
              <w:rPr>
                <w:rFonts w:eastAsia="Times New Roman"/>
                <w:sz w:val="18"/>
                <w:szCs w:val="18"/>
                <w:lang w:eastAsia="ja-JP"/>
              </w:rPr>
              <w:tab/>
              <w:t xml:space="preserve">Would the Project potentially limit women’s ability to use, develop and protect natural resources, </w:t>
            </w:r>
            <w:proofErr w:type="gramStart"/>
            <w:r w:rsidRPr="003B6A69">
              <w:rPr>
                <w:rFonts w:eastAsia="Times New Roman"/>
                <w:sz w:val="18"/>
                <w:szCs w:val="18"/>
                <w:lang w:eastAsia="ja-JP"/>
              </w:rPr>
              <w:t>taking into account</w:t>
            </w:r>
            <w:proofErr w:type="gramEnd"/>
            <w:r w:rsidRPr="003B6A69">
              <w:rPr>
                <w:rFonts w:eastAsia="Times New Roman"/>
                <w:sz w:val="18"/>
                <w:szCs w:val="18"/>
                <w:lang w:eastAsia="ja-JP"/>
              </w:rPr>
              <w:t xml:space="preserve"> different roles and positions of women and men in accessing environmental goods and services?</w:t>
            </w:r>
          </w:p>
          <w:p w14:paraId="6E2F8407" w14:textId="77777777" w:rsidR="00AB2FD0" w:rsidRPr="003B6A69" w:rsidRDefault="00AB2FD0" w:rsidP="003B6A69">
            <w:pPr>
              <w:tabs>
                <w:tab w:val="left" w:pos="900"/>
              </w:tabs>
              <w:spacing w:before="60"/>
              <w:ind w:left="567" w:hanging="567"/>
              <w:rPr>
                <w:rFonts w:eastAsia="Times New Roman"/>
                <w:i/>
                <w:sz w:val="18"/>
                <w:szCs w:val="18"/>
                <w:lang w:eastAsia="ja-JP"/>
              </w:rPr>
            </w:pPr>
            <w:r w:rsidRPr="003B6A69">
              <w:rPr>
                <w:rFonts w:eastAsia="MS Mincho"/>
                <w:sz w:val="18"/>
                <w:szCs w:val="18"/>
                <w:lang w:eastAsia="ja-JP"/>
              </w:rPr>
              <w:tab/>
            </w:r>
            <w:r w:rsidRPr="003B6A69">
              <w:rPr>
                <w:rFonts w:eastAsia="MS Mincho"/>
                <w:i/>
                <w:sz w:val="18"/>
                <w:szCs w:val="18"/>
                <w:lang w:eastAsia="ja-JP"/>
              </w:rPr>
              <w:t>For example, activities that could lead to natural resources degradation or depletion in communities who depend on these resources for their livelihoods and well being</w:t>
            </w:r>
          </w:p>
        </w:tc>
        <w:tc>
          <w:tcPr>
            <w:tcW w:w="833" w:type="dxa"/>
            <w:tcBorders>
              <w:bottom w:val="single" w:sz="4" w:space="0" w:color="auto"/>
            </w:tcBorders>
            <w:shd w:val="clear" w:color="auto" w:fill="auto"/>
          </w:tcPr>
          <w:p w14:paraId="2FE8FA4E" w14:textId="77777777" w:rsidR="00AB2FD0" w:rsidRPr="003B6A69" w:rsidRDefault="00AB2FD0" w:rsidP="003B6A69">
            <w:pPr>
              <w:tabs>
                <w:tab w:val="left" w:pos="810"/>
              </w:tabs>
              <w:rPr>
                <w:rFonts w:eastAsia="MS Mincho"/>
                <w:sz w:val="18"/>
                <w:szCs w:val="18"/>
                <w:lang w:eastAsia="ja-JP"/>
              </w:rPr>
            </w:pPr>
            <w:r w:rsidRPr="003B6A69">
              <w:rPr>
                <w:rFonts w:eastAsia="MS Mincho"/>
                <w:sz w:val="18"/>
                <w:szCs w:val="18"/>
                <w:lang w:eastAsia="ja-JP"/>
              </w:rPr>
              <w:t>No</w:t>
            </w:r>
          </w:p>
        </w:tc>
      </w:tr>
      <w:tr w:rsidR="00AB2FD0" w:rsidRPr="003B6A69" w14:paraId="257EBA1A" w14:textId="77777777" w:rsidTr="003B6A69">
        <w:tc>
          <w:tcPr>
            <w:tcW w:w="8635" w:type="dxa"/>
            <w:tcBorders>
              <w:bottom w:val="single" w:sz="4" w:space="0" w:color="auto"/>
            </w:tcBorders>
            <w:shd w:val="clear" w:color="auto" w:fill="DBE5F1"/>
          </w:tcPr>
          <w:p w14:paraId="372F731D" w14:textId="77777777" w:rsidR="00AB2FD0" w:rsidRPr="003B6A69" w:rsidRDefault="00AB2FD0" w:rsidP="003B6A69">
            <w:pPr>
              <w:tabs>
                <w:tab w:val="left" w:pos="810"/>
              </w:tabs>
              <w:spacing w:before="120" w:after="120"/>
              <w:rPr>
                <w:rFonts w:eastAsia="Times New Roman"/>
                <w:b/>
                <w:sz w:val="18"/>
                <w:szCs w:val="18"/>
                <w:lang w:eastAsia="ja-JP"/>
              </w:rPr>
            </w:pPr>
            <w:r w:rsidRPr="003B6A69">
              <w:rPr>
                <w:rFonts w:eastAsia="MS Mincho"/>
                <w:b/>
                <w:sz w:val="18"/>
                <w:szCs w:val="18"/>
                <w:lang w:eastAsia="ja-JP"/>
              </w:rPr>
              <w:t xml:space="preserve">Principle 3:  Environmental Sustainability: </w:t>
            </w:r>
            <w:r w:rsidRPr="003B6A69">
              <w:rPr>
                <w:rFonts w:eastAsia="MS Mincho"/>
                <w:sz w:val="18"/>
                <w:szCs w:val="18"/>
                <w:lang w:eastAsia="ja-JP"/>
              </w:rPr>
              <w:t>Screening</w:t>
            </w:r>
            <w:r w:rsidRPr="003B6A69">
              <w:rPr>
                <w:rFonts w:eastAsia="MS Mincho"/>
                <w:b/>
                <w:sz w:val="18"/>
                <w:szCs w:val="18"/>
                <w:lang w:eastAsia="ja-JP"/>
              </w:rPr>
              <w:t xml:space="preserve"> </w:t>
            </w:r>
            <w:r w:rsidRPr="003B6A69">
              <w:rPr>
                <w:rFonts w:eastAsia="MS Mincho"/>
                <w:sz w:val="18"/>
                <w:szCs w:val="18"/>
                <w:lang w:eastAsia="ja-JP"/>
              </w:rPr>
              <w:t>questions regarding environmental risks are encompassed by the specific Standard-related questions below</w:t>
            </w:r>
          </w:p>
        </w:tc>
        <w:tc>
          <w:tcPr>
            <w:tcW w:w="833" w:type="dxa"/>
            <w:tcBorders>
              <w:bottom w:val="single" w:sz="4" w:space="0" w:color="auto"/>
            </w:tcBorders>
            <w:shd w:val="clear" w:color="auto" w:fill="DBE5F1"/>
          </w:tcPr>
          <w:p w14:paraId="325FEFC9" w14:textId="77777777" w:rsidR="00AB2FD0" w:rsidRPr="003B6A69" w:rsidRDefault="00AB2FD0" w:rsidP="003B6A69">
            <w:pPr>
              <w:tabs>
                <w:tab w:val="left" w:pos="810"/>
              </w:tabs>
              <w:rPr>
                <w:rFonts w:eastAsia="MS Mincho"/>
                <w:sz w:val="18"/>
                <w:szCs w:val="18"/>
                <w:lang w:eastAsia="ja-JP"/>
              </w:rPr>
            </w:pPr>
          </w:p>
        </w:tc>
      </w:tr>
      <w:tr w:rsidR="00AB2FD0" w:rsidRPr="003B6A69" w14:paraId="6998D6D7" w14:textId="77777777" w:rsidTr="003B6A69">
        <w:tc>
          <w:tcPr>
            <w:tcW w:w="8635" w:type="dxa"/>
            <w:tcBorders>
              <w:bottom w:val="single" w:sz="4" w:space="0" w:color="auto"/>
            </w:tcBorders>
            <w:shd w:val="clear" w:color="auto" w:fill="auto"/>
          </w:tcPr>
          <w:p w14:paraId="09B6473F" w14:textId="77777777" w:rsidR="00AB2FD0" w:rsidRPr="003B6A69" w:rsidRDefault="00AB2FD0" w:rsidP="003B6A69">
            <w:pPr>
              <w:tabs>
                <w:tab w:val="left" w:pos="810"/>
              </w:tabs>
              <w:rPr>
                <w:rFonts w:eastAsia="Times New Roman"/>
                <w:b/>
                <w:sz w:val="18"/>
                <w:szCs w:val="18"/>
                <w:lang w:eastAsia="ja-JP"/>
              </w:rPr>
            </w:pPr>
          </w:p>
        </w:tc>
        <w:tc>
          <w:tcPr>
            <w:tcW w:w="833" w:type="dxa"/>
            <w:tcBorders>
              <w:bottom w:val="single" w:sz="4" w:space="0" w:color="auto"/>
            </w:tcBorders>
            <w:shd w:val="clear" w:color="auto" w:fill="auto"/>
          </w:tcPr>
          <w:p w14:paraId="30D80086" w14:textId="77777777" w:rsidR="00AB2FD0" w:rsidRPr="003B6A69" w:rsidRDefault="00AB2FD0" w:rsidP="003B6A69">
            <w:pPr>
              <w:tabs>
                <w:tab w:val="left" w:pos="810"/>
              </w:tabs>
              <w:rPr>
                <w:rFonts w:eastAsia="MS Mincho"/>
                <w:sz w:val="18"/>
                <w:szCs w:val="18"/>
                <w:lang w:eastAsia="ja-JP"/>
              </w:rPr>
            </w:pPr>
          </w:p>
        </w:tc>
      </w:tr>
      <w:tr w:rsidR="00AB2FD0" w:rsidRPr="003B6A69" w14:paraId="21EDCC20" w14:textId="77777777" w:rsidTr="003B6A69">
        <w:tc>
          <w:tcPr>
            <w:tcW w:w="8635" w:type="dxa"/>
            <w:tcBorders>
              <w:bottom w:val="single" w:sz="4" w:space="0" w:color="auto"/>
            </w:tcBorders>
            <w:shd w:val="clear" w:color="auto" w:fill="DBE5F1"/>
            <w:vAlign w:val="center"/>
          </w:tcPr>
          <w:p w14:paraId="2776DEDB" w14:textId="77777777" w:rsidR="00AB2FD0" w:rsidRPr="003B6A69" w:rsidRDefault="00AB2FD0" w:rsidP="003B6A69">
            <w:pPr>
              <w:tabs>
                <w:tab w:val="left" w:pos="570"/>
              </w:tabs>
              <w:spacing w:before="120" w:after="120"/>
              <w:rPr>
                <w:rFonts w:eastAsia="Times New Roman"/>
                <w:b/>
                <w:sz w:val="18"/>
                <w:szCs w:val="18"/>
                <w:lang w:eastAsia="ja-JP"/>
              </w:rPr>
            </w:pPr>
            <w:r w:rsidRPr="003B6A69">
              <w:rPr>
                <w:rFonts w:eastAsia="Times New Roman"/>
                <w:b/>
                <w:sz w:val="18"/>
                <w:szCs w:val="18"/>
                <w:lang w:eastAsia="ja-JP"/>
              </w:rPr>
              <w:t xml:space="preserve">Standard 1: Biodiversity Conservation and Sustainable </w:t>
            </w:r>
            <w:hyperlink w:anchor="SustNatResManGlossary" w:history="1">
              <w:r w:rsidRPr="003B6A69">
                <w:rPr>
                  <w:rFonts w:eastAsia="Times New Roman"/>
                  <w:b/>
                  <w:sz w:val="18"/>
                  <w:szCs w:val="18"/>
                  <w:lang w:eastAsia="ja-JP"/>
                </w:rPr>
                <w:t>Natural</w:t>
              </w:r>
            </w:hyperlink>
            <w:r w:rsidRPr="003B6A69">
              <w:rPr>
                <w:rFonts w:eastAsia="MS Mincho"/>
                <w:b/>
                <w:sz w:val="18"/>
                <w:szCs w:val="18"/>
                <w:lang w:eastAsia="ja-JP"/>
              </w:rPr>
              <w:t xml:space="preserve"> Resource Management</w:t>
            </w:r>
          </w:p>
        </w:tc>
        <w:tc>
          <w:tcPr>
            <w:tcW w:w="833" w:type="dxa"/>
            <w:tcBorders>
              <w:bottom w:val="single" w:sz="4" w:space="0" w:color="auto"/>
            </w:tcBorders>
            <w:shd w:val="clear" w:color="auto" w:fill="DBE5F1"/>
          </w:tcPr>
          <w:p w14:paraId="16504EDA" w14:textId="77777777" w:rsidR="00AB2FD0" w:rsidRPr="003B6A69" w:rsidRDefault="00AB2FD0" w:rsidP="003B6A69">
            <w:pPr>
              <w:rPr>
                <w:rFonts w:eastAsia="Times New Roman"/>
                <w:b/>
                <w:sz w:val="18"/>
                <w:szCs w:val="18"/>
                <w:lang w:eastAsia="ja-JP"/>
              </w:rPr>
            </w:pPr>
          </w:p>
        </w:tc>
      </w:tr>
      <w:tr w:rsidR="00AB2FD0" w:rsidRPr="003B6A69" w14:paraId="370A326D" w14:textId="77777777" w:rsidTr="003B6A69">
        <w:tc>
          <w:tcPr>
            <w:tcW w:w="8635" w:type="dxa"/>
            <w:shd w:val="clear" w:color="auto" w:fill="auto"/>
          </w:tcPr>
          <w:p w14:paraId="3ABCB3AE" w14:textId="77777777" w:rsidR="00AB2FD0" w:rsidRPr="003B6A69" w:rsidRDefault="00AB2FD0" w:rsidP="003B6A69">
            <w:pPr>
              <w:tabs>
                <w:tab w:val="left" w:pos="900"/>
              </w:tabs>
              <w:spacing w:before="60"/>
              <w:ind w:left="567" w:hanging="567"/>
              <w:rPr>
                <w:rFonts w:eastAsia="Times New Roman"/>
                <w:sz w:val="18"/>
                <w:szCs w:val="18"/>
                <w:lang w:eastAsia="ja-JP"/>
              </w:rPr>
            </w:pPr>
            <w:r w:rsidRPr="003B6A69">
              <w:rPr>
                <w:rFonts w:eastAsia="Times New Roman"/>
                <w:sz w:val="18"/>
                <w:szCs w:val="18"/>
                <w:lang w:eastAsia="ja-JP"/>
              </w:rPr>
              <w:t xml:space="preserve">1.1 </w:t>
            </w:r>
            <w:r w:rsidRPr="003B6A69">
              <w:rPr>
                <w:rFonts w:eastAsia="Times New Roman"/>
                <w:sz w:val="18"/>
                <w:szCs w:val="18"/>
                <w:lang w:eastAsia="ja-JP"/>
              </w:rPr>
              <w:tab/>
              <w:t>Would the Project potentially cause adverse impacts to habitats (</w:t>
            </w:r>
            <w:proofErr w:type="gramStart"/>
            <w:r w:rsidRPr="003B6A69">
              <w:rPr>
                <w:rFonts w:eastAsia="Times New Roman"/>
                <w:sz w:val="18"/>
                <w:szCs w:val="18"/>
                <w:lang w:eastAsia="ja-JP"/>
              </w:rPr>
              <w:t>e.g.</w:t>
            </w:r>
            <w:proofErr w:type="gramEnd"/>
            <w:r w:rsidRPr="003B6A69">
              <w:rPr>
                <w:rFonts w:eastAsia="Times New Roman"/>
                <w:sz w:val="18"/>
                <w:szCs w:val="18"/>
                <w:lang w:eastAsia="ja-JP"/>
              </w:rPr>
              <w:t xml:space="preserve"> modified, natural, and critical habitats) and/or ecosystems and ecosystem services?</w:t>
            </w:r>
            <w:r w:rsidRPr="003B6A69">
              <w:rPr>
                <w:rFonts w:eastAsia="Times New Roman"/>
                <w:sz w:val="18"/>
                <w:szCs w:val="18"/>
                <w:lang w:eastAsia="ja-JP"/>
              </w:rPr>
              <w:br/>
            </w:r>
            <w:r w:rsidRPr="003B6A69">
              <w:rPr>
                <w:rFonts w:eastAsia="Times New Roman"/>
                <w:sz w:val="18"/>
                <w:szCs w:val="18"/>
                <w:lang w:eastAsia="ja-JP"/>
              </w:rPr>
              <w:br/>
            </w:r>
            <w:r w:rsidRPr="003B6A69">
              <w:rPr>
                <w:rFonts w:eastAsia="Times New Roman"/>
                <w:i/>
                <w:sz w:val="18"/>
                <w:szCs w:val="18"/>
                <w:lang w:eastAsia="ja-JP"/>
              </w:rPr>
              <w:t>For example, through habitat loss, conversion or degradation, fragmentation, hydrological changes</w:t>
            </w:r>
          </w:p>
        </w:tc>
        <w:tc>
          <w:tcPr>
            <w:tcW w:w="833" w:type="dxa"/>
            <w:shd w:val="clear" w:color="auto" w:fill="auto"/>
          </w:tcPr>
          <w:p w14:paraId="7445DBB2" w14:textId="77777777" w:rsidR="00AB2FD0" w:rsidRPr="003B6A69" w:rsidRDefault="00AB2FD0" w:rsidP="003B6A69">
            <w:pPr>
              <w:rPr>
                <w:rFonts w:eastAsia="Times New Roman"/>
                <w:sz w:val="18"/>
                <w:szCs w:val="18"/>
                <w:lang w:eastAsia="ja-JP"/>
              </w:rPr>
            </w:pPr>
            <w:r w:rsidRPr="003B6A69">
              <w:rPr>
                <w:rFonts w:eastAsia="Times New Roman"/>
                <w:sz w:val="18"/>
                <w:szCs w:val="18"/>
                <w:lang w:eastAsia="ja-JP"/>
              </w:rPr>
              <w:t>Yes</w:t>
            </w:r>
          </w:p>
        </w:tc>
      </w:tr>
      <w:tr w:rsidR="00AB2FD0" w:rsidRPr="003B6A69" w14:paraId="76D6C746" w14:textId="77777777" w:rsidTr="003B6A69">
        <w:tc>
          <w:tcPr>
            <w:tcW w:w="8635" w:type="dxa"/>
            <w:tcBorders>
              <w:bottom w:val="single" w:sz="4" w:space="0" w:color="auto"/>
            </w:tcBorders>
            <w:shd w:val="clear" w:color="auto" w:fill="auto"/>
          </w:tcPr>
          <w:p w14:paraId="1D3D55B1" w14:textId="77777777" w:rsidR="00AB2FD0" w:rsidRPr="003B6A69" w:rsidRDefault="00AB2FD0" w:rsidP="003B6A69">
            <w:pPr>
              <w:tabs>
                <w:tab w:val="left" w:pos="900"/>
              </w:tabs>
              <w:autoSpaceDE w:val="0"/>
              <w:autoSpaceDN w:val="0"/>
              <w:adjustRightInd w:val="0"/>
              <w:spacing w:before="60"/>
              <w:ind w:left="567" w:hanging="567"/>
              <w:rPr>
                <w:rFonts w:eastAsia="Times New Roman"/>
                <w:color w:val="000000"/>
                <w:sz w:val="18"/>
                <w:szCs w:val="18"/>
                <w:lang w:eastAsia="ja-JP"/>
              </w:rPr>
            </w:pPr>
            <w:r w:rsidRPr="003B6A69">
              <w:rPr>
                <w:rFonts w:eastAsia="Times New Roman"/>
                <w:bCs/>
                <w:color w:val="000000"/>
                <w:sz w:val="18"/>
                <w:szCs w:val="18"/>
                <w:lang w:eastAsia="ja-JP"/>
              </w:rPr>
              <w:lastRenderedPageBreak/>
              <w:t xml:space="preserve">1.2 </w:t>
            </w:r>
            <w:r w:rsidRPr="003B6A69">
              <w:rPr>
                <w:rFonts w:eastAsia="Times New Roman"/>
                <w:bCs/>
                <w:color w:val="000000"/>
                <w:sz w:val="18"/>
                <w:szCs w:val="18"/>
                <w:lang w:eastAsia="ja-JP"/>
              </w:rPr>
              <w:tab/>
              <w:t>Are any Project activities proposed within or adjacent to critical habitats and/or environmentally sensitive areas, including legally protected areas (</w:t>
            </w:r>
            <w:proofErr w:type="gramStart"/>
            <w:r w:rsidRPr="003B6A69">
              <w:rPr>
                <w:rFonts w:eastAsia="Times New Roman"/>
                <w:bCs/>
                <w:color w:val="000000"/>
                <w:sz w:val="18"/>
                <w:szCs w:val="18"/>
                <w:lang w:eastAsia="ja-JP"/>
              </w:rPr>
              <w:t>e.g.</w:t>
            </w:r>
            <w:proofErr w:type="gramEnd"/>
            <w:r w:rsidRPr="003B6A69">
              <w:rPr>
                <w:rFonts w:eastAsia="Times New Roman"/>
                <w:bCs/>
                <w:color w:val="000000"/>
                <w:sz w:val="18"/>
                <w:szCs w:val="18"/>
                <w:lang w:eastAsia="ja-JP"/>
              </w:rPr>
              <w:t xml:space="preserve"> nature reserve, national park), areas proposed for protection, or recognized as such by authoritative sources and/or indigenous peoples or local communities?</w:t>
            </w:r>
          </w:p>
        </w:tc>
        <w:tc>
          <w:tcPr>
            <w:tcW w:w="833" w:type="dxa"/>
            <w:tcBorders>
              <w:bottom w:val="single" w:sz="4" w:space="0" w:color="auto"/>
            </w:tcBorders>
            <w:shd w:val="clear" w:color="auto" w:fill="auto"/>
          </w:tcPr>
          <w:p w14:paraId="550D35D3" w14:textId="77777777" w:rsidR="00AB2FD0" w:rsidRPr="003B6A69" w:rsidRDefault="00AB2FD0" w:rsidP="003B6A69">
            <w:pPr>
              <w:rPr>
                <w:rFonts w:eastAsia="Times New Roman"/>
                <w:sz w:val="18"/>
                <w:szCs w:val="18"/>
                <w:lang w:eastAsia="ja-JP"/>
              </w:rPr>
            </w:pPr>
            <w:r w:rsidRPr="003B6A69">
              <w:rPr>
                <w:rFonts w:eastAsia="Times New Roman"/>
                <w:sz w:val="18"/>
                <w:szCs w:val="18"/>
                <w:lang w:eastAsia="ja-JP"/>
              </w:rPr>
              <w:t>Yes</w:t>
            </w:r>
          </w:p>
        </w:tc>
      </w:tr>
      <w:tr w:rsidR="00AB2FD0" w:rsidRPr="003B6A69" w14:paraId="1302B01D" w14:textId="77777777" w:rsidTr="003B6A69">
        <w:tc>
          <w:tcPr>
            <w:tcW w:w="8635" w:type="dxa"/>
            <w:tcBorders>
              <w:bottom w:val="single" w:sz="4" w:space="0" w:color="auto"/>
            </w:tcBorders>
            <w:shd w:val="clear" w:color="auto" w:fill="auto"/>
          </w:tcPr>
          <w:p w14:paraId="28A7D0A7" w14:textId="77777777" w:rsidR="00AB2FD0" w:rsidRPr="003B6A69" w:rsidRDefault="00AB2FD0" w:rsidP="003B6A69">
            <w:pPr>
              <w:tabs>
                <w:tab w:val="left" w:pos="900"/>
              </w:tabs>
              <w:spacing w:before="60"/>
              <w:ind w:left="567" w:hanging="567"/>
              <w:rPr>
                <w:rFonts w:eastAsia="Times New Roman"/>
                <w:sz w:val="18"/>
                <w:szCs w:val="18"/>
                <w:lang w:eastAsia="ja-JP"/>
              </w:rPr>
            </w:pPr>
            <w:r w:rsidRPr="003B6A69">
              <w:rPr>
                <w:rFonts w:eastAsia="Times New Roman"/>
                <w:sz w:val="18"/>
                <w:szCs w:val="18"/>
                <w:lang w:eastAsia="ja-JP"/>
              </w:rPr>
              <w:t>1.3</w:t>
            </w:r>
            <w:r w:rsidRPr="003B6A69">
              <w:rPr>
                <w:rFonts w:eastAsia="Times New Roman"/>
                <w:sz w:val="18"/>
                <w:szCs w:val="18"/>
                <w:lang w:eastAsia="ja-JP"/>
              </w:rPr>
              <w:tab/>
              <w:t>Does the Project involve changes to the use of lands and resources that may have adverse impacts on habitats, ecosystems, and/or livelihoods? (Note: if restrictions and/or limitations of access to lands would apply, refer to Standard 5)</w:t>
            </w:r>
          </w:p>
        </w:tc>
        <w:tc>
          <w:tcPr>
            <w:tcW w:w="833" w:type="dxa"/>
            <w:tcBorders>
              <w:bottom w:val="single" w:sz="4" w:space="0" w:color="auto"/>
            </w:tcBorders>
            <w:shd w:val="clear" w:color="auto" w:fill="auto"/>
          </w:tcPr>
          <w:p w14:paraId="48FC52D6" w14:textId="77777777" w:rsidR="00AB2FD0" w:rsidRPr="003B6A69" w:rsidRDefault="00AB2FD0" w:rsidP="003B6A69">
            <w:pPr>
              <w:rPr>
                <w:rFonts w:eastAsia="Times New Roman"/>
                <w:sz w:val="18"/>
                <w:szCs w:val="18"/>
                <w:lang w:eastAsia="ja-JP"/>
              </w:rPr>
            </w:pPr>
            <w:r w:rsidRPr="003B6A69">
              <w:rPr>
                <w:rFonts w:eastAsia="Times New Roman"/>
                <w:sz w:val="18"/>
                <w:szCs w:val="18"/>
                <w:lang w:eastAsia="ja-JP"/>
              </w:rPr>
              <w:t>Yes</w:t>
            </w:r>
          </w:p>
        </w:tc>
      </w:tr>
      <w:tr w:rsidR="00AB2FD0" w:rsidRPr="003B6A69" w14:paraId="082350B6" w14:textId="77777777" w:rsidTr="003B6A69">
        <w:tc>
          <w:tcPr>
            <w:tcW w:w="8635" w:type="dxa"/>
            <w:tcBorders>
              <w:bottom w:val="single" w:sz="4" w:space="0" w:color="auto"/>
            </w:tcBorders>
            <w:shd w:val="clear" w:color="auto" w:fill="auto"/>
          </w:tcPr>
          <w:p w14:paraId="692B103D" w14:textId="77777777" w:rsidR="00AB2FD0" w:rsidRPr="003B6A69" w:rsidRDefault="00AB2FD0" w:rsidP="003B6A69">
            <w:pPr>
              <w:tabs>
                <w:tab w:val="left" w:pos="900"/>
              </w:tabs>
              <w:spacing w:before="60"/>
              <w:ind w:left="567" w:hanging="567"/>
              <w:rPr>
                <w:rFonts w:eastAsia="Times New Roman"/>
                <w:sz w:val="18"/>
                <w:szCs w:val="18"/>
                <w:lang w:eastAsia="ja-JP"/>
              </w:rPr>
            </w:pPr>
            <w:r w:rsidRPr="003B6A69">
              <w:rPr>
                <w:rFonts w:eastAsia="Times New Roman"/>
                <w:sz w:val="18"/>
                <w:szCs w:val="18"/>
                <w:lang w:eastAsia="ja-JP"/>
              </w:rPr>
              <w:t>1.4</w:t>
            </w:r>
            <w:r w:rsidRPr="003B6A69">
              <w:rPr>
                <w:rFonts w:eastAsia="Times New Roman"/>
                <w:sz w:val="18"/>
                <w:szCs w:val="18"/>
                <w:lang w:eastAsia="ja-JP"/>
              </w:rPr>
              <w:tab/>
              <w:t>Would Project activities pose risks to endangered species?</w:t>
            </w:r>
          </w:p>
        </w:tc>
        <w:tc>
          <w:tcPr>
            <w:tcW w:w="833" w:type="dxa"/>
            <w:tcBorders>
              <w:bottom w:val="single" w:sz="4" w:space="0" w:color="auto"/>
            </w:tcBorders>
            <w:shd w:val="clear" w:color="auto" w:fill="auto"/>
          </w:tcPr>
          <w:p w14:paraId="341AEDD8" w14:textId="77777777" w:rsidR="00AB2FD0" w:rsidRPr="003B6A69" w:rsidRDefault="00AB2FD0" w:rsidP="003B6A69">
            <w:pPr>
              <w:rPr>
                <w:rFonts w:eastAsia="Times New Roman"/>
                <w:sz w:val="18"/>
                <w:szCs w:val="18"/>
                <w:lang w:eastAsia="ja-JP"/>
              </w:rPr>
            </w:pPr>
            <w:r w:rsidRPr="003B6A69">
              <w:rPr>
                <w:rFonts w:eastAsia="Times New Roman"/>
                <w:sz w:val="18"/>
                <w:szCs w:val="18"/>
                <w:lang w:eastAsia="ja-JP"/>
              </w:rPr>
              <w:t>No</w:t>
            </w:r>
          </w:p>
        </w:tc>
      </w:tr>
      <w:tr w:rsidR="00AB2FD0" w:rsidRPr="003B6A69" w14:paraId="341E0886" w14:textId="77777777" w:rsidTr="003B6A69">
        <w:tc>
          <w:tcPr>
            <w:tcW w:w="8635" w:type="dxa"/>
            <w:tcBorders>
              <w:bottom w:val="single" w:sz="4" w:space="0" w:color="auto"/>
            </w:tcBorders>
            <w:shd w:val="clear" w:color="auto" w:fill="auto"/>
          </w:tcPr>
          <w:p w14:paraId="4DDC1668" w14:textId="77777777" w:rsidR="00AB2FD0" w:rsidRPr="003B6A69" w:rsidRDefault="00AB2FD0" w:rsidP="003B6A69">
            <w:pPr>
              <w:tabs>
                <w:tab w:val="left" w:pos="900"/>
              </w:tabs>
              <w:spacing w:before="60"/>
              <w:ind w:left="567" w:hanging="567"/>
              <w:rPr>
                <w:rFonts w:eastAsia="Times New Roman"/>
                <w:sz w:val="18"/>
                <w:szCs w:val="18"/>
                <w:lang w:eastAsia="ja-JP"/>
              </w:rPr>
            </w:pPr>
            <w:r w:rsidRPr="003B6A69">
              <w:rPr>
                <w:rFonts w:eastAsia="Times New Roman"/>
                <w:sz w:val="18"/>
                <w:szCs w:val="18"/>
                <w:lang w:eastAsia="ja-JP"/>
              </w:rPr>
              <w:t xml:space="preserve">1.5 </w:t>
            </w:r>
            <w:r w:rsidRPr="003B6A69">
              <w:rPr>
                <w:rFonts w:eastAsia="Times New Roman"/>
                <w:sz w:val="18"/>
                <w:szCs w:val="18"/>
                <w:lang w:eastAsia="ja-JP"/>
              </w:rPr>
              <w:tab/>
              <w:t xml:space="preserve">Would the Project pose a risk of introducing invasive alien species? </w:t>
            </w:r>
          </w:p>
        </w:tc>
        <w:tc>
          <w:tcPr>
            <w:tcW w:w="833" w:type="dxa"/>
            <w:tcBorders>
              <w:bottom w:val="single" w:sz="4" w:space="0" w:color="auto"/>
            </w:tcBorders>
            <w:shd w:val="clear" w:color="auto" w:fill="auto"/>
          </w:tcPr>
          <w:p w14:paraId="0F5467C7" w14:textId="77777777" w:rsidR="00AB2FD0" w:rsidRPr="003B6A69" w:rsidRDefault="00AB2FD0" w:rsidP="003B6A69">
            <w:pPr>
              <w:rPr>
                <w:rFonts w:eastAsia="Times New Roman"/>
                <w:sz w:val="18"/>
                <w:szCs w:val="18"/>
                <w:lang w:eastAsia="ja-JP"/>
              </w:rPr>
            </w:pPr>
            <w:r w:rsidRPr="003B6A69">
              <w:rPr>
                <w:rFonts w:eastAsia="Times New Roman"/>
                <w:sz w:val="18"/>
                <w:szCs w:val="18"/>
                <w:lang w:eastAsia="ja-JP"/>
              </w:rPr>
              <w:t>No</w:t>
            </w:r>
          </w:p>
        </w:tc>
      </w:tr>
      <w:tr w:rsidR="00AB2FD0" w:rsidRPr="003B6A69" w14:paraId="02BB27E1" w14:textId="77777777" w:rsidTr="003B6A69">
        <w:tc>
          <w:tcPr>
            <w:tcW w:w="8635" w:type="dxa"/>
            <w:tcBorders>
              <w:bottom w:val="single" w:sz="4" w:space="0" w:color="auto"/>
            </w:tcBorders>
            <w:shd w:val="clear" w:color="auto" w:fill="auto"/>
          </w:tcPr>
          <w:p w14:paraId="7F39BE3D" w14:textId="77777777" w:rsidR="00AB2FD0" w:rsidRPr="003B6A69" w:rsidRDefault="00AB2FD0" w:rsidP="003B6A69">
            <w:pPr>
              <w:tabs>
                <w:tab w:val="left" w:pos="900"/>
              </w:tabs>
              <w:spacing w:before="60"/>
              <w:ind w:left="567" w:hanging="567"/>
              <w:rPr>
                <w:rFonts w:eastAsia="Times New Roman"/>
                <w:sz w:val="18"/>
                <w:szCs w:val="18"/>
                <w:lang w:eastAsia="ja-JP"/>
              </w:rPr>
            </w:pPr>
            <w:r w:rsidRPr="003B6A69">
              <w:rPr>
                <w:rFonts w:eastAsia="Times New Roman"/>
                <w:sz w:val="18"/>
                <w:szCs w:val="18"/>
                <w:lang w:eastAsia="ja-JP"/>
              </w:rPr>
              <w:t>1.6</w:t>
            </w:r>
            <w:r w:rsidRPr="003B6A69">
              <w:rPr>
                <w:rFonts w:eastAsia="Times New Roman"/>
                <w:sz w:val="18"/>
                <w:szCs w:val="18"/>
                <w:lang w:eastAsia="ja-JP"/>
              </w:rPr>
              <w:tab/>
              <w:t>Does the Project involve harvesting of natural forests, plantation development, or reforestation?</w:t>
            </w:r>
          </w:p>
        </w:tc>
        <w:tc>
          <w:tcPr>
            <w:tcW w:w="833" w:type="dxa"/>
            <w:tcBorders>
              <w:bottom w:val="single" w:sz="4" w:space="0" w:color="auto"/>
            </w:tcBorders>
            <w:shd w:val="clear" w:color="auto" w:fill="auto"/>
          </w:tcPr>
          <w:p w14:paraId="654427E3" w14:textId="77777777" w:rsidR="00AB2FD0" w:rsidRPr="003B6A69" w:rsidRDefault="00AB2FD0" w:rsidP="003B6A69">
            <w:pPr>
              <w:rPr>
                <w:rFonts w:eastAsia="Times New Roman"/>
                <w:sz w:val="18"/>
                <w:szCs w:val="18"/>
                <w:lang w:eastAsia="ja-JP"/>
              </w:rPr>
            </w:pPr>
            <w:r w:rsidRPr="003B6A69">
              <w:rPr>
                <w:rFonts w:eastAsia="Times New Roman"/>
                <w:sz w:val="18"/>
                <w:szCs w:val="18"/>
                <w:lang w:eastAsia="ja-JP"/>
              </w:rPr>
              <w:t>Yes</w:t>
            </w:r>
          </w:p>
        </w:tc>
      </w:tr>
      <w:tr w:rsidR="00AB2FD0" w:rsidRPr="003B6A69" w14:paraId="180343DC" w14:textId="77777777" w:rsidTr="003B6A69">
        <w:tc>
          <w:tcPr>
            <w:tcW w:w="8635" w:type="dxa"/>
            <w:tcBorders>
              <w:bottom w:val="single" w:sz="4" w:space="0" w:color="auto"/>
            </w:tcBorders>
            <w:shd w:val="clear" w:color="auto" w:fill="auto"/>
          </w:tcPr>
          <w:p w14:paraId="60F5923E" w14:textId="77777777" w:rsidR="00AB2FD0" w:rsidRPr="003B6A69" w:rsidRDefault="00AB2FD0" w:rsidP="003B6A69">
            <w:pPr>
              <w:tabs>
                <w:tab w:val="left" w:pos="900"/>
              </w:tabs>
              <w:spacing w:before="60"/>
              <w:ind w:left="567" w:hanging="567"/>
              <w:rPr>
                <w:rFonts w:eastAsia="Times New Roman"/>
                <w:sz w:val="18"/>
                <w:szCs w:val="18"/>
                <w:lang w:eastAsia="ja-JP"/>
              </w:rPr>
            </w:pPr>
            <w:r w:rsidRPr="003B6A69">
              <w:rPr>
                <w:rFonts w:eastAsia="Times New Roman"/>
                <w:sz w:val="18"/>
                <w:szCs w:val="18"/>
                <w:lang w:eastAsia="ja-JP"/>
              </w:rPr>
              <w:t xml:space="preserve">1.7 </w:t>
            </w:r>
            <w:r w:rsidRPr="003B6A69">
              <w:rPr>
                <w:rFonts w:eastAsia="Times New Roman"/>
                <w:sz w:val="18"/>
                <w:szCs w:val="18"/>
                <w:lang w:eastAsia="ja-JP"/>
              </w:rPr>
              <w:tab/>
              <w:t>Does the Project involve the production and/or harvesting of fish populations or other aquatic species?</w:t>
            </w:r>
          </w:p>
        </w:tc>
        <w:tc>
          <w:tcPr>
            <w:tcW w:w="833" w:type="dxa"/>
            <w:tcBorders>
              <w:bottom w:val="single" w:sz="4" w:space="0" w:color="auto"/>
            </w:tcBorders>
            <w:shd w:val="clear" w:color="auto" w:fill="auto"/>
          </w:tcPr>
          <w:p w14:paraId="47F83482" w14:textId="77777777" w:rsidR="00AB2FD0" w:rsidRPr="003B6A69" w:rsidRDefault="00AB2FD0" w:rsidP="003B6A69">
            <w:pPr>
              <w:rPr>
                <w:rFonts w:eastAsia="Times New Roman"/>
                <w:sz w:val="18"/>
                <w:szCs w:val="18"/>
                <w:lang w:eastAsia="ja-JP"/>
              </w:rPr>
            </w:pPr>
            <w:r w:rsidRPr="003B6A69">
              <w:rPr>
                <w:rFonts w:eastAsia="Times New Roman"/>
                <w:sz w:val="18"/>
                <w:szCs w:val="18"/>
                <w:lang w:eastAsia="ja-JP"/>
              </w:rPr>
              <w:t>No</w:t>
            </w:r>
          </w:p>
        </w:tc>
      </w:tr>
      <w:tr w:rsidR="00AB2FD0" w:rsidRPr="003B6A69" w14:paraId="0404E1B8" w14:textId="77777777" w:rsidTr="003B6A69">
        <w:tc>
          <w:tcPr>
            <w:tcW w:w="8635" w:type="dxa"/>
            <w:tcBorders>
              <w:bottom w:val="single" w:sz="4" w:space="0" w:color="auto"/>
            </w:tcBorders>
            <w:shd w:val="clear" w:color="auto" w:fill="auto"/>
          </w:tcPr>
          <w:p w14:paraId="504F0039" w14:textId="77777777" w:rsidR="00AB2FD0" w:rsidRPr="003B6A69" w:rsidRDefault="00AB2FD0" w:rsidP="003B6A69">
            <w:pPr>
              <w:tabs>
                <w:tab w:val="left" w:pos="900"/>
              </w:tabs>
              <w:spacing w:before="60"/>
              <w:ind w:left="567" w:hanging="567"/>
              <w:rPr>
                <w:rFonts w:eastAsia="Times New Roman"/>
                <w:sz w:val="18"/>
                <w:szCs w:val="18"/>
                <w:lang w:eastAsia="ja-JP"/>
              </w:rPr>
            </w:pPr>
            <w:r w:rsidRPr="003B6A69">
              <w:rPr>
                <w:rFonts w:eastAsia="Times New Roman"/>
                <w:sz w:val="18"/>
                <w:szCs w:val="18"/>
                <w:lang w:eastAsia="ja-JP"/>
              </w:rPr>
              <w:t xml:space="preserve">1.8 </w:t>
            </w:r>
            <w:r w:rsidRPr="003B6A69">
              <w:rPr>
                <w:rFonts w:eastAsia="Times New Roman"/>
                <w:sz w:val="18"/>
                <w:szCs w:val="18"/>
                <w:lang w:eastAsia="ja-JP"/>
              </w:rPr>
              <w:tab/>
              <w:t>Does the Project involve significant extraction, diversion or containment of surface or ground water?</w:t>
            </w:r>
          </w:p>
          <w:p w14:paraId="01C8787B" w14:textId="77777777" w:rsidR="00AB2FD0" w:rsidRPr="003B6A69" w:rsidRDefault="00AB2FD0" w:rsidP="003B6A69">
            <w:pPr>
              <w:tabs>
                <w:tab w:val="left" w:pos="900"/>
              </w:tabs>
              <w:spacing w:before="60"/>
              <w:ind w:left="567" w:hanging="567"/>
              <w:rPr>
                <w:rFonts w:eastAsia="Times New Roman"/>
                <w:i/>
                <w:sz w:val="18"/>
                <w:szCs w:val="18"/>
                <w:lang w:eastAsia="ja-JP"/>
              </w:rPr>
            </w:pPr>
            <w:r w:rsidRPr="003B6A69">
              <w:rPr>
                <w:rFonts w:eastAsia="Times New Roman"/>
                <w:sz w:val="18"/>
                <w:szCs w:val="18"/>
                <w:lang w:eastAsia="ja-JP"/>
              </w:rPr>
              <w:tab/>
            </w:r>
            <w:r w:rsidRPr="003B6A69">
              <w:rPr>
                <w:rFonts w:eastAsia="Times New Roman"/>
                <w:i/>
                <w:sz w:val="18"/>
                <w:szCs w:val="18"/>
                <w:lang w:eastAsia="ja-JP"/>
              </w:rPr>
              <w:t>For example, construction of dams, reservoirs, river basin developments, groundwater extraction</w:t>
            </w:r>
          </w:p>
        </w:tc>
        <w:tc>
          <w:tcPr>
            <w:tcW w:w="833" w:type="dxa"/>
            <w:tcBorders>
              <w:bottom w:val="single" w:sz="4" w:space="0" w:color="auto"/>
            </w:tcBorders>
            <w:shd w:val="clear" w:color="auto" w:fill="auto"/>
          </w:tcPr>
          <w:p w14:paraId="02C2BE22" w14:textId="77777777" w:rsidR="00AB2FD0" w:rsidRPr="003B6A69" w:rsidRDefault="00AB2FD0" w:rsidP="003B6A69">
            <w:pPr>
              <w:rPr>
                <w:rFonts w:eastAsia="Times New Roman"/>
                <w:sz w:val="18"/>
                <w:szCs w:val="18"/>
                <w:lang w:eastAsia="ja-JP"/>
              </w:rPr>
            </w:pPr>
            <w:r w:rsidRPr="003B6A69">
              <w:rPr>
                <w:rFonts w:eastAsia="Times New Roman"/>
                <w:sz w:val="18"/>
                <w:szCs w:val="18"/>
                <w:lang w:eastAsia="ja-JP"/>
              </w:rPr>
              <w:t>No</w:t>
            </w:r>
          </w:p>
        </w:tc>
      </w:tr>
      <w:tr w:rsidR="00AB2FD0" w:rsidRPr="003B6A69" w14:paraId="02ADF584" w14:textId="77777777" w:rsidTr="003B6A69">
        <w:tc>
          <w:tcPr>
            <w:tcW w:w="8635" w:type="dxa"/>
            <w:tcBorders>
              <w:bottom w:val="single" w:sz="4" w:space="0" w:color="auto"/>
            </w:tcBorders>
            <w:shd w:val="clear" w:color="auto" w:fill="auto"/>
          </w:tcPr>
          <w:p w14:paraId="4A53FF45" w14:textId="77777777" w:rsidR="00AB2FD0" w:rsidRPr="003B6A69" w:rsidRDefault="00AB2FD0" w:rsidP="003B6A69">
            <w:pPr>
              <w:tabs>
                <w:tab w:val="left" w:pos="900"/>
              </w:tabs>
              <w:spacing w:before="60"/>
              <w:ind w:left="567" w:hanging="567"/>
              <w:rPr>
                <w:rFonts w:eastAsia="Times New Roman"/>
                <w:sz w:val="18"/>
                <w:szCs w:val="18"/>
                <w:lang w:eastAsia="ja-JP"/>
              </w:rPr>
            </w:pPr>
            <w:r w:rsidRPr="003B6A69">
              <w:rPr>
                <w:rFonts w:eastAsia="Times New Roman"/>
                <w:sz w:val="18"/>
                <w:szCs w:val="18"/>
                <w:lang w:eastAsia="ja-JP"/>
              </w:rPr>
              <w:t>1.9</w:t>
            </w:r>
            <w:r w:rsidRPr="003B6A69">
              <w:rPr>
                <w:rFonts w:eastAsia="Times New Roman"/>
                <w:sz w:val="18"/>
                <w:szCs w:val="18"/>
                <w:lang w:eastAsia="ja-JP"/>
              </w:rPr>
              <w:tab/>
              <w:t>Does the Project involve utilization of genetic resources? (</w:t>
            </w:r>
            <w:proofErr w:type="gramStart"/>
            <w:r w:rsidRPr="003B6A69">
              <w:rPr>
                <w:rFonts w:eastAsia="Times New Roman"/>
                <w:sz w:val="18"/>
                <w:szCs w:val="18"/>
                <w:lang w:eastAsia="ja-JP"/>
              </w:rPr>
              <w:t>e.g.</w:t>
            </w:r>
            <w:proofErr w:type="gramEnd"/>
            <w:r w:rsidRPr="003B6A69">
              <w:rPr>
                <w:rFonts w:eastAsia="Times New Roman"/>
                <w:sz w:val="18"/>
                <w:szCs w:val="18"/>
                <w:lang w:eastAsia="ja-JP"/>
              </w:rPr>
              <w:t xml:space="preserve"> collection and/or harvesting, commercial development) </w:t>
            </w:r>
          </w:p>
        </w:tc>
        <w:tc>
          <w:tcPr>
            <w:tcW w:w="833" w:type="dxa"/>
            <w:tcBorders>
              <w:bottom w:val="single" w:sz="4" w:space="0" w:color="auto"/>
            </w:tcBorders>
            <w:shd w:val="clear" w:color="auto" w:fill="auto"/>
          </w:tcPr>
          <w:p w14:paraId="1374CB75" w14:textId="77777777" w:rsidR="00AB2FD0" w:rsidRPr="003B6A69" w:rsidRDefault="00AB2FD0" w:rsidP="003B6A69">
            <w:pPr>
              <w:tabs>
                <w:tab w:val="left" w:pos="585"/>
              </w:tabs>
              <w:spacing w:before="60"/>
              <w:ind w:left="567" w:hanging="567"/>
              <w:rPr>
                <w:rFonts w:eastAsia="Times New Roman"/>
                <w:sz w:val="18"/>
                <w:szCs w:val="18"/>
                <w:lang w:eastAsia="ja-JP"/>
              </w:rPr>
            </w:pPr>
            <w:r w:rsidRPr="003B6A69">
              <w:rPr>
                <w:rFonts w:eastAsia="Times New Roman"/>
                <w:sz w:val="18"/>
                <w:szCs w:val="18"/>
                <w:lang w:eastAsia="ja-JP"/>
              </w:rPr>
              <w:t>No</w:t>
            </w:r>
          </w:p>
        </w:tc>
      </w:tr>
      <w:tr w:rsidR="00AB2FD0" w:rsidRPr="003B6A69" w14:paraId="7FC572B3" w14:textId="77777777" w:rsidTr="003B6A69">
        <w:tc>
          <w:tcPr>
            <w:tcW w:w="8635" w:type="dxa"/>
            <w:tcBorders>
              <w:bottom w:val="single" w:sz="4" w:space="0" w:color="auto"/>
            </w:tcBorders>
            <w:shd w:val="clear" w:color="auto" w:fill="auto"/>
          </w:tcPr>
          <w:p w14:paraId="66B06A4B" w14:textId="77777777" w:rsidR="00AB2FD0" w:rsidRPr="003B6A69" w:rsidRDefault="00AB2FD0" w:rsidP="003B6A69">
            <w:pPr>
              <w:tabs>
                <w:tab w:val="left" w:pos="900"/>
              </w:tabs>
              <w:spacing w:before="60"/>
              <w:ind w:left="567" w:hanging="567"/>
              <w:rPr>
                <w:rFonts w:eastAsia="Times New Roman"/>
                <w:b/>
                <w:sz w:val="18"/>
                <w:szCs w:val="18"/>
                <w:lang w:eastAsia="ja-JP"/>
              </w:rPr>
            </w:pPr>
            <w:r w:rsidRPr="003B6A69">
              <w:rPr>
                <w:rFonts w:eastAsia="Times New Roman"/>
                <w:sz w:val="18"/>
                <w:szCs w:val="18"/>
                <w:lang w:eastAsia="ja-JP"/>
              </w:rPr>
              <w:t>1.10</w:t>
            </w:r>
            <w:r w:rsidRPr="003B6A69">
              <w:rPr>
                <w:rFonts w:eastAsia="Times New Roman"/>
                <w:sz w:val="18"/>
                <w:szCs w:val="18"/>
                <w:lang w:eastAsia="ja-JP"/>
              </w:rPr>
              <w:tab/>
              <w:t>Would the Project generate potential adverse transboundary or global environmental concerns?</w:t>
            </w:r>
          </w:p>
        </w:tc>
        <w:tc>
          <w:tcPr>
            <w:tcW w:w="833" w:type="dxa"/>
            <w:tcBorders>
              <w:bottom w:val="single" w:sz="4" w:space="0" w:color="auto"/>
            </w:tcBorders>
            <w:shd w:val="clear" w:color="auto" w:fill="auto"/>
          </w:tcPr>
          <w:p w14:paraId="18EAB8EF" w14:textId="77777777" w:rsidR="00AB2FD0" w:rsidRPr="003B6A69" w:rsidRDefault="00AB2FD0" w:rsidP="003B6A69">
            <w:pPr>
              <w:tabs>
                <w:tab w:val="left" w:pos="585"/>
              </w:tabs>
              <w:spacing w:before="60"/>
              <w:ind w:left="567" w:hanging="567"/>
              <w:rPr>
                <w:rFonts w:eastAsia="Times New Roman"/>
                <w:sz w:val="18"/>
                <w:szCs w:val="18"/>
                <w:lang w:eastAsia="ja-JP"/>
              </w:rPr>
            </w:pPr>
            <w:r w:rsidRPr="003B6A69">
              <w:rPr>
                <w:rFonts w:eastAsia="Times New Roman"/>
                <w:sz w:val="18"/>
                <w:szCs w:val="18"/>
                <w:lang w:eastAsia="ja-JP"/>
              </w:rPr>
              <w:t>No</w:t>
            </w:r>
          </w:p>
        </w:tc>
      </w:tr>
      <w:tr w:rsidR="00AB2FD0" w:rsidRPr="003B6A69" w14:paraId="6CD999C7" w14:textId="77777777" w:rsidTr="003B6A69">
        <w:tc>
          <w:tcPr>
            <w:tcW w:w="8635" w:type="dxa"/>
            <w:tcBorders>
              <w:bottom w:val="single" w:sz="4" w:space="0" w:color="auto"/>
            </w:tcBorders>
            <w:shd w:val="clear" w:color="auto" w:fill="auto"/>
          </w:tcPr>
          <w:p w14:paraId="54CE40FA" w14:textId="77777777" w:rsidR="00AB2FD0" w:rsidRPr="003B6A69" w:rsidRDefault="00AB2FD0" w:rsidP="003B6A69">
            <w:pPr>
              <w:tabs>
                <w:tab w:val="left" w:pos="900"/>
              </w:tabs>
              <w:spacing w:before="60"/>
              <w:ind w:left="567" w:hanging="567"/>
              <w:rPr>
                <w:rFonts w:eastAsia="Times New Roman"/>
                <w:sz w:val="18"/>
                <w:szCs w:val="18"/>
                <w:lang w:eastAsia="ja-JP"/>
              </w:rPr>
            </w:pPr>
            <w:r w:rsidRPr="003B6A69">
              <w:rPr>
                <w:rFonts w:eastAsia="Times New Roman"/>
                <w:sz w:val="18"/>
                <w:szCs w:val="18"/>
                <w:lang w:eastAsia="ja-JP"/>
              </w:rPr>
              <w:t>1.11</w:t>
            </w:r>
            <w:r w:rsidRPr="003B6A69">
              <w:rPr>
                <w:rFonts w:eastAsia="Times New Roman"/>
                <w:sz w:val="18"/>
                <w:szCs w:val="18"/>
                <w:lang w:eastAsia="ja-JP"/>
              </w:rPr>
              <w:tab/>
              <w:t>Would the Project result in secondary or consequential development activities which could lead to adverse social and environmental effects, or would it generate cumulative impacts with other known existing or planned activities in the area?</w:t>
            </w:r>
          </w:p>
          <w:p w14:paraId="079F8BB8" w14:textId="77777777" w:rsidR="00AB2FD0" w:rsidRPr="003B6A69" w:rsidRDefault="00AB2FD0" w:rsidP="003B6A69">
            <w:pPr>
              <w:tabs>
                <w:tab w:val="left" w:pos="900"/>
              </w:tabs>
              <w:spacing w:before="60"/>
              <w:ind w:left="567" w:hanging="567"/>
              <w:rPr>
                <w:rFonts w:eastAsia="Times New Roman"/>
                <w:i/>
                <w:sz w:val="18"/>
                <w:szCs w:val="18"/>
                <w:lang w:eastAsia="ja-JP"/>
              </w:rPr>
            </w:pPr>
            <w:r w:rsidRPr="003B6A69">
              <w:rPr>
                <w:rFonts w:eastAsia="Times New Roman"/>
                <w:sz w:val="18"/>
                <w:szCs w:val="18"/>
                <w:lang w:eastAsia="ja-JP"/>
              </w:rPr>
              <w:tab/>
            </w:r>
            <w:r w:rsidRPr="003B6A69">
              <w:rPr>
                <w:rFonts w:eastAsia="Times New Roman"/>
                <w:i/>
                <w:sz w:val="18"/>
                <w:szCs w:val="18"/>
                <w:lang w:eastAsia="ja-JP"/>
              </w:rPr>
              <w:t>For example, a new road through forested lands will generate direct environmental and social impacts (</w:t>
            </w:r>
            <w:proofErr w:type="gramStart"/>
            <w:r w:rsidRPr="003B6A69">
              <w:rPr>
                <w:rFonts w:eastAsia="Times New Roman"/>
                <w:i/>
                <w:sz w:val="18"/>
                <w:szCs w:val="18"/>
                <w:lang w:eastAsia="ja-JP"/>
              </w:rPr>
              <w:t>e.g.</w:t>
            </w:r>
            <w:proofErr w:type="gramEnd"/>
            <w:r w:rsidRPr="003B6A69">
              <w:rPr>
                <w:rFonts w:eastAsia="Times New Roman"/>
                <w:i/>
                <w:sz w:val="18"/>
                <w:szCs w:val="18"/>
                <w:lang w:eastAsia="ja-JP"/>
              </w:rPr>
              <w:t xml:space="preserve"> felling of trees, earthworks, potential relocation of inhabitants). The new road may also facilitate encroachment on lands by illegal settlers or generate unplanned commercial development along the route, potentially in sensitive areas. These are indirect, secondary, or induced impacts that need to be considered. Also, if similar developments in the same forested area are planned, then cumulative impacts of multiple activities (even if not part of the same Project) need to be considered.</w:t>
            </w:r>
          </w:p>
        </w:tc>
        <w:tc>
          <w:tcPr>
            <w:tcW w:w="833" w:type="dxa"/>
            <w:tcBorders>
              <w:bottom w:val="single" w:sz="4" w:space="0" w:color="auto"/>
            </w:tcBorders>
            <w:shd w:val="clear" w:color="auto" w:fill="auto"/>
          </w:tcPr>
          <w:p w14:paraId="0EBFBD9B" w14:textId="77777777" w:rsidR="00AB2FD0" w:rsidRPr="003B6A69" w:rsidRDefault="00AB2FD0" w:rsidP="003B6A69">
            <w:pPr>
              <w:tabs>
                <w:tab w:val="left" w:pos="585"/>
              </w:tabs>
              <w:spacing w:before="60"/>
              <w:ind w:left="567" w:hanging="567"/>
              <w:rPr>
                <w:rFonts w:eastAsia="Times New Roman"/>
                <w:sz w:val="18"/>
                <w:szCs w:val="18"/>
                <w:lang w:eastAsia="ja-JP"/>
              </w:rPr>
            </w:pPr>
            <w:r w:rsidRPr="003B6A69">
              <w:rPr>
                <w:rFonts w:eastAsia="Times New Roman"/>
                <w:sz w:val="18"/>
                <w:szCs w:val="18"/>
                <w:lang w:eastAsia="ja-JP"/>
              </w:rPr>
              <w:t>Yes</w:t>
            </w:r>
          </w:p>
        </w:tc>
      </w:tr>
      <w:tr w:rsidR="00AB2FD0" w:rsidRPr="003B6A69" w14:paraId="2BD77D74" w14:textId="77777777" w:rsidTr="003B6A69">
        <w:trPr>
          <w:trHeight w:val="530"/>
        </w:trPr>
        <w:tc>
          <w:tcPr>
            <w:tcW w:w="8635" w:type="dxa"/>
            <w:tcBorders>
              <w:bottom w:val="single" w:sz="4" w:space="0" w:color="auto"/>
            </w:tcBorders>
            <w:shd w:val="clear" w:color="auto" w:fill="DBE5F1"/>
            <w:vAlign w:val="center"/>
          </w:tcPr>
          <w:p w14:paraId="72ED6984" w14:textId="77777777" w:rsidR="00AB2FD0" w:rsidRPr="003B6A69" w:rsidRDefault="00AB2FD0" w:rsidP="003B6A69">
            <w:pPr>
              <w:tabs>
                <w:tab w:val="left" w:pos="555"/>
              </w:tabs>
              <w:spacing w:before="120" w:after="120"/>
              <w:rPr>
                <w:rFonts w:eastAsia="Times New Roman"/>
                <w:b/>
                <w:sz w:val="18"/>
                <w:szCs w:val="18"/>
                <w:lang w:eastAsia="ja-JP"/>
              </w:rPr>
            </w:pPr>
            <w:r w:rsidRPr="003B6A69">
              <w:rPr>
                <w:rFonts w:eastAsia="Times New Roman"/>
                <w:b/>
                <w:sz w:val="18"/>
                <w:szCs w:val="18"/>
                <w:lang w:eastAsia="ja-JP"/>
              </w:rPr>
              <w:t>Standard 2: Climate Change Mitigation and Adaptation</w:t>
            </w:r>
          </w:p>
        </w:tc>
        <w:tc>
          <w:tcPr>
            <w:tcW w:w="833" w:type="dxa"/>
            <w:tcBorders>
              <w:bottom w:val="single" w:sz="4" w:space="0" w:color="auto"/>
            </w:tcBorders>
            <w:shd w:val="clear" w:color="auto" w:fill="DBE5F1"/>
          </w:tcPr>
          <w:p w14:paraId="18F5E178" w14:textId="77777777" w:rsidR="00AB2FD0" w:rsidRPr="003B6A69" w:rsidRDefault="00AB2FD0" w:rsidP="003B6A69">
            <w:pPr>
              <w:tabs>
                <w:tab w:val="left" w:pos="585"/>
              </w:tabs>
              <w:spacing w:before="60"/>
              <w:ind w:left="567" w:hanging="567"/>
              <w:rPr>
                <w:rFonts w:eastAsia="Times New Roman"/>
                <w:sz w:val="18"/>
                <w:szCs w:val="18"/>
                <w:lang w:eastAsia="ja-JP"/>
              </w:rPr>
            </w:pPr>
          </w:p>
        </w:tc>
      </w:tr>
      <w:tr w:rsidR="00AB2FD0" w:rsidRPr="003B6A69" w14:paraId="65CF16FE" w14:textId="77777777" w:rsidTr="003B6A69">
        <w:tc>
          <w:tcPr>
            <w:tcW w:w="8635" w:type="dxa"/>
            <w:tcBorders>
              <w:bottom w:val="single" w:sz="4" w:space="0" w:color="auto"/>
            </w:tcBorders>
            <w:shd w:val="clear" w:color="auto" w:fill="auto"/>
          </w:tcPr>
          <w:p w14:paraId="04F4A236" w14:textId="77777777" w:rsidR="00AB2FD0" w:rsidRPr="003B6A69" w:rsidRDefault="00AB2FD0" w:rsidP="003B6A69">
            <w:pPr>
              <w:tabs>
                <w:tab w:val="left" w:pos="585"/>
              </w:tabs>
              <w:spacing w:before="60"/>
              <w:ind w:left="567" w:hanging="567"/>
              <w:rPr>
                <w:rFonts w:eastAsia="Times New Roman"/>
                <w:sz w:val="18"/>
                <w:szCs w:val="18"/>
                <w:lang w:eastAsia="ja-JP"/>
              </w:rPr>
            </w:pPr>
            <w:r w:rsidRPr="003B6A69">
              <w:rPr>
                <w:rFonts w:eastAsia="Times New Roman"/>
                <w:sz w:val="18"/>
                <w:szCs w:val="18"/>
                <w:lang w:eastAsia="ja-JP"/>
              </w:rPr>
              <w:t xml:space="preserve">2.1 </w:t>
            </w:r>
            <w:r w:rsidRPr="003B6A69">
              <w:rPr>
                <w:rFonts w:eastAsia="Times New Roman"/>
                <w:sz w:val="18"/>
                <w:szCs w:val="18"/>
                <w:lang w:eastAsia="ja-JP"/>
              </w:rPr>
              <w:tab/>
              <w:t>Will the proposed Project result in significant</w:t>
            </w:r>
            <w:r w:rsidRPr="003B6A69">
              <w:rPr>
                <w:rFonts w:eastAsia="MS Mincho"/>
                <w:sz w:val="18"/>
                <w:szCs w:val="18"/>
                <w:vertAlign w:val="superscript"/>
                <w:lang w:eastAsia="ja-JP"/>
              </w:rPr>
              <w:footnoteReference w:id="18"/>
            </w:r>
            <w:r w:rsidRPr="003B6A69">
              <w:rPr>
                <w:rFonts w:eastAsia="Times New Roman"/>
                <w:sz w:val="18"/>
                <w:szCs w:val="18"/>
                <w:vertAlign w:val="superscript"/>
                <w:lang w:eastAsia="ja-JP"/>
              </w:rPr>
              <w:t xml:space="preserve"> </w:t>
            </w:r>
            <w:r w:rsidRPr="003B6A69">
              <w:rPr>
                <w:rFonts w:eastAsia="Times New Roman"/>
                <w:sz w:val="18"/>
                <w:szCs w:val="18"/>
                <w:lang w:eastAsia="ja-JP"/>
              </w:rPr>
              <w:t xml:space="preserve">greenhouse gas emissions or may exacerbate climate change? </w:t>
            </w:r>
          </w:p>
        </w:tc>
        <w:tc>
          <w:tcPr>
            <w:tcW w:w="833" w:type="dxa"/>
            <w:tcBorders>
              <w:bottom w:val="single" w:sz="4" w:space="0" w:color="auto"/>
            </w:tcBorders>
            <w:shd w:val="clear" w:color="auto" w:fill="auto"/>
          </w:tcPr>
          <w:p w14:paraId="37FFA7A4" w14:textId="77777777" w:rsidR="00AB2FD0" w:rsidRPr="003B6A69" w:rsidRDefault="00AB2FD0" w:rsidP="003B6A69">
            <w:pPr>
              <w:tabs>
                <w:tab w:val="left" w:pos="585"/>
              </w:tabs>
              <w:spacing w:before="60"/>
              <w:ind w:left="567" w:hanging="567"/>
              <w:rPr>
                <w:rFonts w:eastAsia="Times New Roman"/>
                <w:sz w:val="18"/>
                <w:szCs w:val="18"/>
                <w:lang w:eastAsia="ja-JP"/>
              </w:rPr>
            </w:pPr>
            <w:r w:rsidRPr="003B6A69">
              <w:rPr>
                <w:rFonts w:eastAsia="Times New Roman"/>
                <w:sz w:val="18"/>
                <w:szCs w:val="18"/>
                <w:lang w:eastAsia="ja-JP"/>
              </w:rPr>
              <w:t>No</w:t>
            </w:r>
          </w:p>
        </w:tc>
      </w:tr>
      <w:tr w:rsidR="00AB2FD0" w:rsidRPr="003B6A69" w14:paraId="03D359D7" w14:textId="77777777" w:rsidTr="003B6A69">
        <w:tc>
          <w:tcPr>
            <w:tcW w:w="8635" w:type="dxa"/>
            <w:tcBorders>
              <w:bottom w:val="single" w:sz="4" w:space="0" w:color="auto"/>
            </w:tcBorders>
            <w:shd w:val="clear" w:color="auto" w:fill="auto"/>
          </w:tcPr>
          <w:p w14:paraId="54B1F500" w14:textId="77777777" w:rsidR="00AB2FD0" w:rsidRPr="003B6A69" w:rsidRDefault="00AB2FD0" w:rsidP="003B6A69">
            <w:pPr>
              <w:tabs>
                <w:tab w:val="left" w:pos="585"/>
              </w:tabs>
              <w:autoSpaceDE w:val="0"/>
              <w:autoSpaceDN w:val="0"/>
              <w:adjustRightInd w:val="0"/>
              <w:spacing w:before="60"/>
              <w:ind w:left="567" w:hanging="567"/>
              <w:rPr>
                <w:rFonts w:eastAsia="Times New Roman"/>
                <w:sz w:val="18"/>
                <w:szCs w:val="18"/>
                <w:lang w:eastAsia="ja-JP"/>
              </w:rPr>
            </w:pPr>
            <w:r w:rsidRPr="003B6A69">
              <w:rPr>
                <w:rFonts w:eastAsia="Times New Roman"/>
                <w:sz w:val="18"/>
                <w:szCs w:val="18"/>
                <w:lang w:eastAsia="ja-JP"/>
              </w:rPr>
              <w:t>2.2</w:t>
            </w:r>
            <w:r w:rsidRPr="003B6A69">
              <w:rPr>
                <w:rFonts w:eastAsia="Times New Roman"/>
                <w:sz w:val="18"/>
                <w:szCs w:val="18"/>
                <w:lang w:eastAsia="ja-JP"/>
              </w:rPr>
              <w:tab/>
              <w:t xml:space="preserve">Would the potential outcomes of the Project be sensitive or vulnerable to potential impacts of </w:t>
            </w:r>
            <w:r w:rsidRPr="003B6A69">
              <w:rPr>
                <w:rFonts w:eastAsia="Times New Roman"/>
                <w:bCs/>
                <w:color w:val="000000"/>
                <w:sz w:val="18"/>
                <w:szCs w:val="18"/>
                <w:lang w:eastAsia="ja-JP"/>
              </w:rPr>
              <w:t>climate</w:t>
            </w:r>
            <w:r w:rsidRPr="003B6A69">
              <w:rPr>
                <w:rFonts w:eastAsia="Times New Roman"/>
                <w:sz w:val="18"/>
                <w:szCs w:val="18"/>
                <w:lang w:eastAsia="ja-JP"/>
              </w:rPr>
              <w:t xml:space="preserve"> change? </w:t>
            </w:r>
          </w:p>
        </w:tc>
        <w:tc>
          <w:tcPr>
            <w:tcW w:w="833" w:type="dxa"/>
            <w:tcBorders>
              <w:bottom w:val="single" w:sz="4" w:space="0" w:color="auto"/>
            </w:tcBorders>
            <w:shd w:val="clear" w:color="auto" w:fill="auto"/>
          </w:tcPr>
          <w:p w14:paraId="4A10DBF6" w14:textId="77777777" w:rsidR="00AB2FD0" w:rsidRPr="003B6A69" w:rsidRDefault="00AB2FD0" w:rsidP="003B6A69">
            <w:pPr>
              <w:tabs>
                <w:tab w:val="left" w:pos="585"/>
              </w:tabs>
              <w:spacing w:before="60"/>
              <w:ind w:left="567" w:hanging="567"/>
              <w:rPr>
                <w:rFonts w:eastAsia="Times New Roman"/>
                <w:sz w:val="18"/>
                <w:szCs w:val="18"/>
                <w:lang w:eastAsia="ja-JP"/>
              </w:rPr>
            </w:pPr>
            <w:r w:rsidRPr="003B6A69">
              <w:rPr>
                <w:rFonts w:eastAsia="Times New Roman"/>
                <w:sz w:val="18"/>
                <w:szCs w:val="18"/>
                <w:lang w:eastAsia="ja-JP"/>
              </w:rPr>
              <w:t>Yes</w:t>
            </w:r>
          </w:p>
        </w:tc>
      </w:tr>
      <w:tr w:rsidR="00AB2FD0" w:rsidRPr="003B6A69" w14:paraId="62CC5DA4" w14:textId="77777777" w:rsidTr="003B6A69">
        <w:tc>
          <w:tcPr>
            <w:tcW w:w="8635" w:type="dxa"/>
            <w:tcBorders>
              <w:bottom w:val="single" w:sz="4" w:space="0" w:color="auto"/>
            </w:tcBorders>
            <w:shd w:val="clear" w:color="auto" w:fill="auto"/>
          </w:tcPr>
          <w:p w14:paraId="5E2A4F0A" w14:textId="77777777" w:rsidR="00AB2FD0" w:rsidRPr="003B6A69" w:rsidRDefault="00AB2FD0" w:rsidP="003B6A69">
            <w:pPr>
              <w:tabs>
                <w:tab w:val="left" w:pos="585"/>
              </w:tabs>
              <w:spacing w:before="60"/>
              <w:ind w:left="567" w:hanging="567"/>
              <w:rPr>
                <w:rFonts w:eastAsia="Times New Roman"/>
                <w:sz w:val="18"/>
                <w:szCs w:val="18"/>
                <w:lang w:eastAsia="ja-JP"/>
              </w:rPr>
            </w:pPr>
            <w:r w:rsidRPr="003B6A69">
              <w:rPr>
                <w:rFonts w:eastAsia="Times New Roman"/>
                <w:sz w:val="18"/>
                <w:szCs w:val="18"/>
                <w:lang w:eastAsia="ja-JP"/>
              </w:rPr>
              <w:t>2.3</w:t>
            </w:r>
            <w:r w:rsidRPr="003B6A69">
              <w:rPr>
                <w:rFonts w:eastAsia="Times New Roman"/>
                <w:sz w:val="18"/>
                <w:szCs w:val="18"/>
                <w:lang w:eastAsia="ja-JP"/>
              </w:rPr>
              <w:tab/>
              <w:t xml:space="preserve">Is the proposed Project likely to </w:t>
            </w:r>
            <w:proofErr w:type="gramStart"/>
            <w:r w:rsidRPr="003B6A69">
              <w:rPr>
                <w:rFonts w:eastAsia="Times New Roman"/>
                <w:sz w:val="18"/>
                <w:szCs w:val="18"/>
                <w:lang w:eastAsia="ja-JP"/>
              </w:rPr>
              <w:t>directly or indirectly increase</w:t>
            </w:r>
            <w:proofErr w:type="gramEnd"/>
            <w:r w:rsidRPr="003B6A69">
              <w:rPr>
                <w:rFonts w:eastAsia="Times New Roman"/>
                <w:sz w:val="18"/>
                <w:szCs w:val="18"/>
                <w:lang w:eastAsia="ja-JP"/>
              </w:rPr>
              <w:t xml:space="preserve"> social and environmental </w:t>
            </w:r>
            <w:hyperlink w:anchor="CCVulnerabilityGlossary" w:history="1">
              <w:r w:rsidRPr="003B6A69">
                <w:rPr>
                  <w:rFonts w:eastAsia="Times New Roman"/>
                  <w:sz w:val="18"/>
                  <w:szCs w:val="18"/>
                  <w:lang w:eastAsia="ja-JP"/>
                </w:rPr>
                <w:t>vulnerability to climate change</w:t>
              </w:r>
            </w:hyperlink>
            <w:r w:rsidRPr="003B6A69">
              <w:rPr>
                <w:rFonts w:eastAsia="Times New Roman"/>
                <w:sz w:val="18"/>
                <w:szCs w:val="18"/>
                <w:lang w:eastAsia="ja-JP"/>
              </w:rPr>
              <w:t xml:space="preserve"> now or in the future (also known as maladaptive practices)?</w:t>
            </w:r>
          </w:p>
          <w:p w14:paraId="18272CD8" w14:textId="77777777" w:rsidR="00AB2FD0" w:rsidRPr="003B6A69" w:rsidRDefault="00AB2FD0" w:rsidP="003B6A69">
            <w:pPr>
              <w:tabs>
                <w:tab w:val="left" w:pos="630"/>
              </w:tabs>
              <w:spacing w:before="60"/>
              <w:ind w:left="630"/>
              <w:rPr>
                <w:rFonts w:eastAsia="Times New Roman"/>
                <w:sz w:val="18"/>
                <w:szCs w:val="18"/>
                <w:lang w:eastAsia="ja-JP"/>
              </w:rPr>
            </w:pPr>
            <w:r w:rsidRPr="003B6A69">
              <w:rPr>
                <w:rFonts w:eastAsia="Times New Roman"/>
                <w:i/>
                <w:sz w:val="18"/>
                <w:szCs w:val="18"/>
                <w:lang w:eastAsia="ja-JP"/>
              </w:rPr>
              <w:t>For example, changes to land use planning may encourage further development of floodplains, potentially increasing the population’s vulnerability to climate change, specifically flooding</w:t>
            </w:r>
          </w:p>
        </w:tc>
        <w:tc>
          <w:tcPr>
            <w:tcW w:w="833" w:type="dxa"/>
            <w:tcBorders>
              <w:bottom w:val="single" w:sz="4" w:space="0" w:color="auto"/>
            </w:tcBorders>
            <w:shd w:val="clear" w:color="auto" w:fill="auto"/>
          </w:tcPr>
          <w:p w14:paraId="31F017C3" w14:textId="77777777" w:rsidR="00AB2FD0" w:rsidRPr="003B6A69" w:rsidRDefault="00AB2FD0" w:rsidP="003B6A69">
            <w:pPr>
              <w:tabs>
                <w:tab w:val="left" w:pos="585"/>
              </w:tabs>
              <w:spacing w:before="60"/>
              <w:ind w:left="567" w:hanging="567"/>
              <w:rPr>
                <w:rFonts w:eastAsia="Times New Roman"/>
                <w:sz w:val="18"/>
                <w:szCs w:val="18"/>
                <w:lang w:eastAsia="ja-JP"/>
              </w:rPr>
            </w:pPr>
            <w:r w:rsidRPr="003B6A69">
              <w:rPr>
                <w:rFonts w:eastAsia="Times New Roman"/>
                <w:sz w:val="18"/>
                <w:szCs w:val="18"/>
                <w:lang w:eastAsia="ja-JP"/>
              </w:rPr>
              <w:t>No</w:t>
            </w:r>
          </w:p>
        </w:tc>
      </w:tr>
      <w:tr w:rsidR="00AB2FD0" w:rsidRPr="003B6A69" w14:paraId="467A449B" w14:textId="77777777" w:rsidTr="003B6A69">
        <w:trPr>
          <w:trHeight w:val="539"/>
        </w:trPr>
        <w:tc>
          <w:tcPr>
            <w:tcW w:w="8635" w:type="dxa"/>
            <w:tcBorders>
              <w:bottom w:val="single" w:sz="4" w:space="0" w:color="auto"/>
            </w:tcBorders>
            <w:shd w:val="clear" w:color="auto" w:fill="DBE5F1"/>
            <w:vAlign w:val="center"/>
          </w:tcPr>
          <w:p w14:paraId="5531598F" w14:textId="77777777" w:rsidR="00AB2FD0" w:rsidRPr="003B6A69" w:rsidRDefault="00AB2FD0" w:rsidP="003B6A69">
            <w:pPr>
              <w:tabs>
                <w:tab w:val="left" w:pos="0"/>
                <w:tab w:val="left" w:pos="555"/>
              </w:tabs>
              <w:spacing w:before="60"/>
              <w:rPr>
                <w:rFonts w:eastAsia="Times New Roman"/>
                <w:b/>
                <w:sz w:val="18"/>
                <w:szCs w:val="18"/>
                <w:lang w:eastAsia="ja-JP"/>
              </w:rPr>
            </w:pPr>
            <w:r w:rsidRPr="003B6A69">
              <w:rPr>
                <w:rFonts w:eastAsia="Times New Roman"/>
                <w:b/>
                <w:sz w:val="18"/>
                <w:szCs w:val="18"/>
                <w:lang w:eastAsia="ja-JP"/>
              </w:rPr>
              <w:t>Standard 3: Community Health, Safety and Working Conditions</w:t>
            </w:r>
          </w:p>
        </w:tc>
        <w:tc>
          <w:tcPr>
            <w:tcW w:w="833" w:type="dxa"/>
            <w:tcBorders>
              <w:bottom w:val="single" w:sz="4" w:space="0" w:color="auto"/>
            </w:tcBorders>
            <w:shd w:val="clear" w:color="auto" w:fill="DBE5F1"/>
            <w:vAlign w:val="center"/>
          </w:tcPr>
          <w:p w14:paraId="61459BE3" w14:textId="77777777" w:rsidR="00AB2FD0" w:rsidRPr="003B6A69" w:rsidRDefault="00AB2FD0" w:rsidP="003B6A69">
            <w:pPr>
              <w:tabs>
                <w:tab w:val="left" w:pos="585"/>
              </w:tabs>
              <w:spacing w:before="60"/>
              <w:ind w:left="567" w:hanging="567"/>
              <w:rPr>
                <w:rFonts w:eastAsia="Times New Roman"/>
                <w:sz w:val="18"/>
                <w:szCs w:val="18"/>
                <w:lang w:eastAsia="ja-JP"/>
              </w:rPr>
            </w:pPr>
          </w:p>
        </w:tc>
      </w:tr>
      <w:tr w:rsidR="00AB2FD0" w:rsidRPr="003B6A69" w14:paraId="2AF47D2F" w14:textId="77777777" w:rsidTr="003B6A69">
        <w:tc>
          <w:tcPr>
            <w:tcW w:w="8635" w:type="dxa"/>
            <w:tcBorders>
              <w:bottom w:val="single" w:sz="4" w:space="0" w:color="auto"/>
            </w:tcBorders>
            <w:shd w:val="clear" w:color="auto" w:fill="auto"/>
          </w:tcPr>
          <w:p w14:paraId="5BA6D2C9" w14:textId="77777777" w:rsidR="00AB2FD0" w:rsidRPr="003B6A69" w:rsidRDefault="00AB2FD0" w:rsidP="003B6A69">
            <w:pPr>
              <w:tabs>
                <w:tab w:val="left" w:pos="585"/>
              </w:tabs>
              <w:spacing w:before="60"/>
              <w:ind w:left="567" w:hanging="567"/>
              <w:rPr>
                <w:rFonts w:eastAsia="Times New Roman"/>
                <w:sz w:val="18"/>
                <w:szCs w:val="18"/>
                <w:lang w:eastAsia="ja-JP"/>
              </w:rPr>
            </w:pPr>
            <w:r w:rsidRPr="003B6A69">
              <w:rPr>
                <w:rFonts w:eastAsia="Times New Roman"/>
                <w:sz w:val="18"/>
                <w:szCs w:val="18"/>
                <w:lang w:eastAsia="ja-JP"/>
              </w:rPr>
              <w:t>3.1</w:t>
            </w:r>
            <w:r w:rsidRPr="003B6A69">
              <w:rPr>
                <w:rFonts w:eastAsia="Times New Roman"/>
                <w:sz w:val="18"/>
                <w:szCs w:val="18"/>
                <w:lang w:eastAsia="ja-JP"/>
              </w:rPr>
              <w:tab/>
              <w:t>Would elements of Project construction, operation, or decommissioning pose potential safety risks to local communities?</w:t>
            </w:r>
          </w:p>
        </w:tc>
        <w:tc>
          <w:tcPr>
            <w:tcW w:w="833" w:type="dxa"/>
            <w:tcBorders>
              <w:bottom w:val="single" w:sz="4" w:space="0" w:color="auto"/>
            </w:tcBorders>
            <w:shd w:val="clear" w:color="auto" w:fill="auto"/>
          </w:tcPr>
          <w:p w14:paraId="29F1591D" w14:textId="77777777" w:rsidR="00AB2FD0" w:rsidRPr="003B6A69" w:rsidRDefault="00AB2FD0" w:rsidP="003B6A69">
            <w:pPr>
              <w:tabs>
                <w:tab w:val="left" w:pos="585"/>
              </w:tabs>
              <w:spacing w:before="60"/>
              <w:ind w:left="567" w:hanging="567"/>
              <w:rPr>
                <w:rFonts w:eastAsia="Times New Roman"/>
                <w:sz w:val="18"/>
                <w:szCs w:val="18"/>
                <w:lang w:eastAsia="ja-JP"/>
              </w:rPr>
            </w:pPr>
            <w:r w:rsidRPr="003B6A69">
              <w:rPr>
                <w:rFonts w:eastAsia="Times New Roman"/>
                <w:sz w:val="18"/>
                <w:szCs w:val="18"/>
                <w:lang w:eastAsia="ja-JP"/>
              </w:rPr>
              <w:t>No</w:t>
            </w:r>
          </w:p>
        </w:tc>
      </w:tr>
      <w:tr w:rsidR="00AB2FD0" w:rsidRPr="003B6A69" w14:paraId="0A4C44E7" w14:textId="77777777" w:rsidTr="003B6A69">
        <w:tc>
          <w:tcPr>
            <w:tcW w:w="8635" w:type="dxa"/>
            <w:tcBorders>
              <w:bottom w:val="single" w:sz="4" w:space="0" w:color="auto"/>
            </w:tcBorders>
            <w:shd w:val="clear" w:color="auto" w:fill="auto"/>
          </w:tcPr>
          <w:p w14:paraId="00735124" w14:textId="77777777" w:rsidR="00AB2FD0" w:rsidRPr="003B6A69" w:rsidRDefault="00AB2FD0" w:rsidP="003B6A69">
            <w:pPr>
              <w:tabs>
                <w:tab w:val="left" w:pos="585"/>
              </w:tabs>
              <w:spacing w:before="60"/>
              <w:ind w:left="567" w:hanging="567"/>
              <w:rPr>
                <w:rFonts w:eastAsia="Times New Roman"/>
                <w:sz w:val="18"/>
                <w:szCs w:val="18"/>
                <w:lang w:eastAsia="ja-JP"/>
              </w:rPr>
            </w:pPr>
            <w:r w:rsidRPr="003B6A69">
              <w:rPr>
                <w:rFonts w:eastAsia="MS Mincho"/>
                <w:sz w:val="18"/>
                <w:szCs w:val="18"/>
                <w:lang w:eastAsia="ja-JP"/>
              </w:rPr>
              <w:t>3.2</w:t>
            </w:r>
            <w:r w:rsidRPr="003B6A69">
              <w:rPr>
                <w:rFonts w:eastAsia="MS Mincho"/>
                <w:sz w:val="18"/>
                <w:szCs w:val="18"/>
                <w:lang w:eastAsia="ja-JP"/>
              </w:rPr>
              <w:tab/>
              <w:t>Would the Project pose potential risks to community health and safety due to the transport, storage, and use and/or disposal of hazardous or dangerous materials (</w:t>
            </w:r>
            <w:proofErr w:type="gramStart"/>
            <w:r w:rsidRPr="003B6A69">
              <w:rPr>
                <w:rFonts w:eastAsia="MS Mincho"/>
                <w:sz w:val="18"/>
                <w:szCs w:val="18"/>
                <w:lang w:eastAsia="ja-JP"/>
              </w:rPr>
              <w:t>e.g.</w:t>
            </w:r>
            <w:proofErr w:type="gramEnd"/>
            <w:r w:rsidRPr="003B6A69">
              <w:rPr>
                <w:rFonts w:eastAsia="MS Mincho"/>
                <w:sz w:val="18"/>
                <w:szCs w:val="18"/>
                <w:lang w:eastAsia="ja-JP"/>
              </w:rPr>
              <w:t xml:space="preserve"> explosives, fuel and other chemicals during construction and operation)?</w:t>
            </w:r>
          </w:p>
        </w:tc>
        <w:tc>
          <w:tcPr>
            <w:tcW w:w="833" w:type="dxa"/>
            <w:tcBorders>
              <w:bottom w:val="single" w:sz="4" w:space="0" w:color="auto"/>
            </w:tcBorders>
            <w:shd w:val="clear" w:color="auto" w:fill="auto"/>
          </w:tcPr>
          <w:p w14:paraId="62FC761E" w14:textId="77777777" w:rsidR="00AB2FD0" w:rsidRPr="003B6A69" w:rsidRDefault="00AB2FD0" w:rsidP="003B6A69">
            <w:pPr>
              <w:tabs>
                <w:tab w:val="left" w:pos="585"/>
              </w:tabs>
              <w:spacing w:before="60"/>
              <w:ind w:left="567" w:hanging="567"/>
              <w:rPr>
                <w:rFonts w:eastAsia="Times New Roman"/>
                <w:sz w:val="18"/>
                <w:szCs w:val="18"/>
                <w:lang w:eastAsia="ja-JP"/>
              </w:rPr>
            </w:pPr>
            <w:r w:rsidRPr="003B6A69">
              <w:rPr>
                <w:rFonts w:eastAsia="Times New Roman"/>
                <w:sz w:val="18"/>
                <w:szCs w:val="18"/>
                <w:lang w:eastAsia="ja-JP"/>
              </w:rPr>
              <w:t>No</w:t>
            </w:r>
          </w:p>
        </w:tc>
      </w:tr>
      <w:tr w:rsidR="00AB2FD0" w:rsidRPr="003B6A69" w14:paraId="65A174E2" w14:textId="77777777" w:rsidTr="003B6A69">
        <w:tc>
          <w:tcPr>
            <w:tcW w:w="8635" w:type="dxa"/>
            <w:tcBorders>
              <w:bottom w:val="single" w:sz="4" w:space="0" w:color="auto"/>
            </w:tcBorders>
            <w:shd w:val="clear" w:color="auto" w:fill="auto"/>
          </w:tcPr>
          <w:p w14:paraId="2AFC155B" w14:textId="77777777" w:rsidR="00AB2FD0" w:rsidRPr="003B6A69" w:rsidRDefault="00AB2FD0" w:rsidP="003B6A69">
            <w:pPr>
              <w:tabs>
                <w:tab w:val="left" w:pos="585"/>
              </w:tabs>
              <w:spacing w:before="60"/>
              <w:ind w:left="567" w:hanging="567"/>
              <w:rPr>
                <w:rFonts w:eastAsia="Times New Roman"/>
                <w:sz w:val="18"/>
                <w:szCs w:val="18"/>
                <w:lang w:eastAsia="ja-JP"/>
              </w:rPr>
            </w:pPr>
            <w:r w:rsidRPr="003B6A69">
              <w:rPr>
                <w:rFonts w:eastAsia="Times New Roman"/>
                <w:sz w:val="18"/>
                <w:szCs w:val="18"/>
                <w:lang w:eastAsia="ja-JP"/>
              </w:rPr>
              <w:t>3.3</w:t>
            </w:r>
            <w:r w:rsidRPr="003B6A69">
              <w:rPr>
                <w:rFonts w:eastAsia="Times New Roman"/>
                <w:sz w:val="18"/>
                <w:szCs w:val="18"/>
                <w:lang w:eastAsia="ja-JP"/>
              </w:rPr>
              <w:tab/>
              <w:t>Does the Project involve large-scale infrastructure development (</w:t>
            </w:r>
            <w:proofErr w:type="gramStart"/>
            <w:r w:rsidRPr="003B6A69">
              <w:rPr>
                <w:rFonts w:eastAsia="Times New Roman"/>
                <w:sz w:val="18"/>
                <w:szCs w:val="18"/>
                <w:lang w:eastAsia="ja-JP"/>
              </w:rPr>
              <w:t>e.g.</w:t>
            </w:r>
            <w:proofErr w:type="gramEnd"/>
            <w:r w:rsidRPr="003B6A69">
              <w:rPr>
                <w:rFonts w:eastAsia="Times New Roman"/>
                <w:sz w:val="18"/>
                <w:szCs w:val="18"/>
                <w:lang w:eastAsia="ja-JP"/>
              </w:rPr>
              <w:t xml:space="preserve"> dams, roads, buildings)?</w:t>
            </w:r>
          </w:p>
        </w:tc>
        <w:tc>
          <w:tcPr>
            <w:tcW w:w="833" w:type="dxa"/>
            <w:tcBorders>
              <w:bottom w:val="single" w:sz="4" w:space="0" w:color="auto"/>
            </w:tcBorders>
            <w:shd w:val="clear" w:color="auto" w:fill="auto"/>
          </w:tcPr>
          <w:p w14:paraId="23CC09D2" w14:textId="77777777" w:rsidR="00AB2FD0" w:rsidRPr="003B6A69" w:rsidRDefault="00AB2FD0" w:rsidP="003B6A69">
            <w:pPr>
              <w:tabs>
                <w:tab w:val="left" w:pos="585"/>
              </w:tabs>
              <w:spacing w:before="60"/>
              <w:ind w:left="567" w:hanging="567"/>
              <w:rPr>
                <w:rFonts w:eastAsia="Times New Roman"/>
                <w:sz w:val="18"/>
                <w:szCs w:val="18"/>
                <w:lang w:eastAsia="ja-JP"/>
              </w:rPr>
            </w:pPr>
            <w:r w:rsidRPr="003B6A69">
              <w:rPr>
                <w:rFonts w:eastAsia="Times New Roman"/>
                <w:sz w:val="18"/>
                <w:szCs w:val="18"/>
                <w:lang w:eastAsia="ja-JP"/>
              </w:rPr>
              <w:t>No</w:t>
            </w:r>
          </w:p>
        </w:tc>
      </w:tr>
      <w:tr w:rsidR="00AB2FD0" w:rsidRPr="003B6A69" w14:paraId="495ECA95" w14:textId="77777777" w:rsidTr="003B6A69">
        <w:tc>
          <w:tcPr>
            <w:tcW w:w="8635" w:type="dxa"/>
            <w:tcBorders>
              <w:bottom w:val="single" w:sz="4" w:space="0" w:color="auto"/>
            </w:tcBorders>
            <w:shd w:val="clear" w:color="auto" w:fill="auto"/>
          </w:tcPr>
          <w:p w14:paraId="7E0DF9C2" w14:textId="77777777" w:rsidR="00AB2FD0" w:rsidRPr="003B6A69" w:rsidRDefault="00AB2FD0" w:rsidP="003B6A69">
            <w:pPr>
              <w:tabs>
                <w:tab w:val="left" w:pos="585"/>
              </w:tabs>
              <w:spacing w:before="60"/>
              <w:ind w:left="567" w:hanging="567"/>
              <w:rPr>
                <w:rFonts w:eastAsia="Times New Roman"/>
                <w:sz w:val="18"/>
                <w:szCs w:val="18"/>
                <w:lang w:eastAsia="ja-JP"/>
              </w:rPr>
            </w:pPr>
            <w:r w:rsidRPr="003B6A69">
              <w:rPr>
                <w:rFonts w:eastAsia="Times New Roman"/>
                <w:sz w:val="18"/>
                <w:szCs w:val="18"/>
                <w:lang w:eastAsia="ja-JP"/>
              </w:rPr>
              <w:t>3.4</w:t>
            </w:r>
            <w:r w:rsidRPr="003B6A69">
              <w:rPr>
                <w:rFonts w:eastAsia="Times New Roman"/>
                <w:sz w:val="18"/>
                <w:szCs w:val="18"/>
                <w:lang w:eastAsia="ja-JP"/>
              </w:rPr>
              <w:tab/>
              <w:t>Would failure of structural elements of the Project pose risks to communities? (</w:t>
            </w:r>
            <w:proofErr w:type="gramStart"/>
            <w:r w:rsidRPr="003B6A69">
              <w:rPr>
                <w:rFonts w:eastAsia="Times New Roman"/>
                <w:sz w:val="18"/>
                <w:szCs w:val="18"/>
                <w:lang w:eastAsia="ja-JP"/>
              </w:rPr>
              <w:t>e.g.</w:t>
            </w:r>
            <w:proofErr w:type="gramEnd"/>
            <w:r w:rsidRPr="003B6A69">
              <w:rPr>
                <w:rFonts w:eastAsia="Times New Roman"/>
                <w:sz w:val="18"/>
                <w:szCs w:val="18"/>
                <w:lang w:eastAsia="ja-JP"/>
              </w:rPr>
              <w:t xml:space="preserve"> collapse of buildings or infrastructure)</w:t>
            </w:r>
          </w:p>
        </w:tc>
        <w:tc>
          <w:tcPr>
            <w:tcW w:w="833" w:type="dxa"/>
            <w:tcBorders>
              <w:bottom w:val="single" w:sz="4" w:space="0" w:color="auto"/>
            </w:tcBorders>
            <w:shd w:val="clear" w:color="auto" w:fill="auto"/>
          </w:tcPr>
          <w:p w14:paraId="79338ABF" w14:textId="77777777" w:rsidR="00AB2FD0" w:rsidRPr="003B6A69" w:rsidRDefault="00AB2FD0" w:rsidP="003B6A69">
            <w:pPr>
              <w:tabs>
                <w:tab w:val="left" w:pos="585"/>
              </w:tabs>
              <w:spacing w:before="60"/>
              <w:ind w:left="567" w:hanging="567"/>
              <w:rPr>
                <w:rFonts w:eastAsia="Times New Roman"/>
                <w:sz w:val="18"/>
                <w:szCs w:val="18"/>
                <w:lang w:eastAsia="ja-JP"/>
              </w:rPr>
            </w:pPr>
            <w:r w:rsidRPr="003B6A69">
              <w:rPr>
                <w:rFonts w:eastAsia="Times New Roman"/>
                <w:sz w:val="18"/>
                <w:szCs w:val="18"/>
                <w:lang w:eastAsia="ja-JP"/>
              </w:rPr>
              <w:t>No</w:t>
            </w:r>
          </w:p>
        </w:tc>
      </w:tr>
      <w:tr w:rsidR="00AB2FD0" w:rsidRPr="003B6A69" w14:paraId="69C5FDC5" w14:textId="77777777" w:rsidTr="003B6A69">
        <w:tc>
          <w:tcPr>
            <w:tcW w:w="8635" w:type="dxa"/>
            <w:tcBorders>
              <w:bottom w:val="single" w:sz="4" w:space="0" w:color="auto"/>
            </w:tcBorders>
            <w:shd w:val="clear" w:color="auto" w:fill="auto"/>
          </w:tcPr>
          <w:p w14:paraId="548E8015" w14:textId="77777777" w:rsidR="00AB2FD0" w:rsidRPr="003B6A69" w:rsidRDefault="00AB2FD0" w:rsidP="003B6A69">
            <w:pPr>
              <w:tabs>
                <w:tab w:val="left" w:pos="585"/>
              </w:tabs>
              <w:spacing w:before="60"/>
              <w:ind w:left="567" w:hanging="567"/>
              <w:rPr>
                <w:rFonts w:eastAsia="Times New Roman"/>
                <w:sz w:val="18"/>
                <w:szCs w:val="18"/>
                <w:lang w:eastAsia="ja-JP"/>
              </w:rPr>
            </w:pPr>
            <w:r w:rsidRPr="003B6A69">
              <w:rPr>
                <w:rFonts w:eastAsia="Times New Roman"/>
                <w:sz w:val="18"/>
                <w:szCs w:val="18"/>
                <w:lang w:eastAsia="ja-JP"/>
              </w:rPr>
              <w:t>3.5</w:t>
            </w:r>
            <w:r w:rsidRPr="003B6A69">
              <w:rPr>
                <w:rFonts w:eastAsia="Times New Roman"/>
                <w:sz w:val="18"/>
                <w:szCs w:val="18"/>
                <w:lang w:eastAsia="ja-JP"/>
              </w:rPr>
              <w:tab/>
              <w:t xml:space="preserve">Would the proposed Project be susceptible to or lead to increased vulnerability to earthquakes, subsidence, landslides, erosion, </w:t>
            </w:r>
            <w:proofErr w:type="gramStart"/>
            <w:r w:rsidRPr="003B6A69">
              <w:rPr>
                <w:rFonts w:eastAsia="Times New Roman"/>
                <w:sz w:val="18"/>
                <w:szCs w:val="18"/>
                <w:lang w:eastAsia="ja-JP"/>
              </w:rPr>
              <w:t>flooding</w:t>
            </w:r>
            <w:proofErr w:type="gramEnd"/>
            <w:r w:rsidRPr="003B6A69">
              <w:rPr>
                <w:rFonts w:eastAsia="Times New Roman"/>
                <w:sz w:val="18"/>
                <w:szCs w:val="18"/>
                <w:lang w:eastAsia="ja-JP"/>
              </w:rPr>
              <w:t xml:space="preserve"> or extreme climatic conditions?</w:t>
            </w:r>
          </w:p>
        </w:tc>
        <w:tc>
          <w:tcPr>
            <w:tcW w:w="833" w:type="dxa"/>
            <w:tcBorders>
              <w:bottom w:val="single" w:sz="4" w:space="0" w:color="auto"/>
            </w:tcBorders>
            <w:shd w:val="clear" w:color="auto" w:fill="auto"/>
          </w:tcPr>
          <w:p w14:paraId="79D48A2E" w14:textId="77777777" w:rsidR="00AB2FD0" w:rsidRPr="003B6A69" w:rsidRDefault="00AB2FD0" w:rsidP="003B6A69">
            <w:pPr>
              <w:tabs>
                <w:tab w:val="left" w:pos="585"/>
              </w:tabs>
              <w:spacing w:before="60"/>
              <w:ind w:left="567" w:hanging="567"/>
              <w:rPr>
                <w:rFonts w:eastAsia="Times New Roman"/>
                <w:sz w:val="18"/>
                <w:szCs w:val="18"/>
                <w:lang w:eastAsia="ja-JP"/>
              </w:rPr>
            </w:pPr>
            <w:r w:rsidRPr="003B6A69">
              <w:rPr>
                <w:rFonts w:eastAsia="Times New Roman"/>
                <w:sz w:val="18"/>
                <w:szCs w:val="18"/>
                <w:lang w:eastAsia="ja-JP"/>
              </w:rPr>
              <w:t>Yes</w:t>
            </w:r>
          </w:p>
        </w:tc>
      </w:tr>
      <w:tr w:rsidR="00AB2FD0" w:rsidRPr="003B6A69" w14:paraId="23385F53" w14:textId="77777777" w:rsidTr="003B6A69">
        <w:tc>
          <w:tcPr>
            <w:tcW w:w="8635" w:type="dxa"/>
            <w:tcBorders>
              <w:bottom w:val="single" w:sz="4" w:space="0" w:color="auto"/>
            </w:tcBorders>
            <w:shd w:val="clear" w:color="auto" w:fill="auto"/>
          </w:tcPr>
          <w:p w14:paraId="6BA56088" w14:textId="77777777" w:rsidR="00AB2FD0" w:rsidRPr="003B6A69" w:rsidRDefault="00AB2FD0" w:rsidP="003B6A69">
            <w:pPr>
              <w:tabs>
                <w:tab w:val="left" w:pos="585"/>
              </w:tabs>
              <w:spacing w:before="60"/>
              <w:ind w:left="567" w:hanging="567"/>
              <w:rPr>
                <w:rFonts w:eastAsia="Times New Roman"/>
                <w:sz w:val="18"/>
                <w:szCs w:val="18"/>
                <w:lang w:eastAsia="ja-JP"/>
              </w:rPr>
            </w:pPr>
            <w:r w:rsidRPr="003B6A69">
              <w:rPr>
                <w:rFonts w:eastAsia="Times New Roman"/>
                <w:sz w:val="18"/>
                <w:szCs w:val="18"/>
                <w:lang w:eastAsia="ja-JP"/>
              </w:rPr>
              <w:lastRenderedPageBreak/>
              <w:t>3.6</w:t>
            </w:r>
            <w:r w:rsidRPr="003B6A69">
              <w:rPr>
                <w:rFonts w:eastAsia="Times New Roman"/>
                <w:sz w:val="18"/>
                <w:szCs w:val="18"/>
                <w:lang w:eastAsia="ja-JP"/>
              </w:rPr>
              <w:tab/>
              <w:t>Would the Project result in potential increased health risks (</w:t>
            </w:r>
            <w:proofErr w:type="gramStart"/>
            <w:r w:rsidRPr="003B6A69">
              <w:rPr>
                <w:rFonts w:eastAsia="Times New Roman"/>
                <w:sz w:val="18"/>
                <w:szCs w:val="18"/>
                <w:lang w:eastAsia="ja-JP"/>
              </w:rPr>
              <w:t>e.g.</w:t>
            </w:r>
            <w:proofErr w:type="gramEnd"/>
            <w:r w:rsidRPr="003B6A69">
              <w:rPr>
                <w:rFonts w:eastAsia="Times New Roman"/>
                <w:sz w:val="18"/>
                <w:szCs w:val="18"/>
                <w:lang w:eastAsia="ja-JP"/>
              </w:rPr>
              <w:t xml:space="preserve"> from water-borne or other vector-borne diseases or communicable infections such as HIV/AIDS)?</w:t>
            </w:r>
          </w:p>
        </w:tc>
        <w:tc>
          <w:tcPr>
            <w:tcW w:w="833" w:type="dxa"/>
            <w:tcBorders>
              <w:bottom w:val="single" w:sz="4" w:space="0" w:color="auto"/>
            </w:tcBorders>
            <w:shd w:val="clear" w:color="auto" w:fill="auto"/>
          </w:tcPr>
          <w:p w14:paraId="427525CF" w14:textId="77777777" w:rsidR="00AB2FD0" w:rsidRPr="003B6A69" w:rsidRDefault="00AB2FD0" w:rsidP="003B6A69">
            <w:pPr>
              <w:tabs>
                <w:tab w:val="left" w:pos="585"/>
              </w:tabs>
              <w:spacing w:before="60"/>
              <w:ind w:left="567" w:hanging="567"/>
              <w:rPr>
                <w:rFonts w:eastAsia="Times New Roman"/>
                <w:sz w:val="18"/>
                <w:szCs w:val="18"/>
                <w:lang w:eastAsia="ja-JP"/>
              </w:rPr>
            </w:pPr>
            <w:r w:rsidRPr="003B6A69">
              <w:rPr>
                <w:rFonts w:eastAsia="Times New Roman"/>
                <w:sz w:val="18"/>
                <w:szCs w:val="18"/>
                <w:lang w:eastAsia="ja-JP"/>
              </w:rPr>
              <w:t>No</w:t>
            </w:r>
          </w:p>
        </w:tc>
      </w:tr>
      <w:tr w:rsidR="00AB2FD0" w:rsidRPr="003B6A69" w14:paraId="15DC852A" w14:textId="77777777" w:rsidTr="003B6A69">
        <w:tc>
          <w:tcPr>
            <w:tcW w:w="8635" w:type="dxa"/>
            <w:tcBorders>
              <w:bottom w:val="single" w:sz="4" w:space="0" w:color="auto"/>
            </w:tcBorders>
            <w:shd w:val="clear" w:color="auto" w:fill="auto"/>
          </w:tcPr>
          <w:p w14:paraId="44ADC6EC" w14:textId="77777777" w:rsidR="00AB2FD0" w:rsidRPr="003B6A69" w:rsidRDefault="00AB2FD0" w:rsidP="003B6A69">
            <w:pPr>
              <w:tabs>
                <w:tab w:val="left" w:pos="585"/>
              </w:tabs>
              <w:spacing w:before="60"/>
              <w:ind w:left="567" w:hanging="567"/>
              <w:rPr>
                <w:rFonts w:eastAsia="Times New Roman"/>
                <w:sz w:val="18"/>
                <w:szCs w:val="18"/>
                <w:lang w:eastAsia="ja-JP"/>
              </w:rPr>
            </w:pPr>
            <w:r w:rsidRPr="003B6A69">
              <w:rPr>
                <w:rFonts w:eastAsia="Times New Roman"/>
                <w:sz w:val="18"/>
                <w:szCs w:val="18"/>
                <w:lang w:eastAsia="ja-JP"/>
              </w:rPr>
              <w:t>3.7</w:t>
            </w:r>
            <w:r w:rsidRPr="003B6A69">
              <w:rPr>
                <w:rFonts w:eastAsia="Times New Roman"/>
                <w:sz w:val="18"/>
                <w:szCs w:val="18"/>
                <w:lang w:eastAsia="ja-JP"/>
              </w:rPr>
              <w:tab/>
              <w:t>Does the Project pose potential risks and vulnerabilities related to occupational health and safety due to physical, chemical, biological, and radiological hazards during Project construction, operation, or decommissioning?</w:t>
            </w:r>
          </w:p>
        </w:tc>
        <w:tc>
          <w:tcPr>
            <w:tcW w:w="833" w:type="dxa"/>
            <w:tcBorders>
              <w:bottom w:val="single" w:sz="4" w:space="0" w:color="auto"/>
            </w:tcBorders>
            <w:shd w:val="clear" w:color="auto" w:fill="auto"/>
          </w:tcPr>
          <w:p w14:paraId="59B5286B" w14:textId="77777777" w:rsidR="00AB2FD0" w:rsidRPr="003B6A69" w:rsidRDefault="00AB2FD0" w:rsidP="003B6A69">
            <w:pPr>
              <w:tabs>
                <w:tab w:val="left" w:pos="585"/>
              </w:tabs>
              <w:spacing w:before="60"/>
              <w:ind w:left="567" w:hanging="567"/>
              <w:rPr>
                <w:rFonts w:eastAsia="Times New Roman"/>
                <w:sz w:val="18"/>
                <w:szCs w:val="18"/>
                <w:lang w:eastAsia="ja-JP"/>
              </w:rPr>
            </w:pPr>
            <w:r w:rsidRPr="003B6A69">
              <w:rPr>
                <w:rFonts w:eastAsia="Times New Roman"/>
                <w:sz w:val="18"/>
                <w:szCs w:val="18"/>
                <w:lang w:eastAsia="ja-JP"/>
              </w:rPr>
              <w:t>Yes</w:t>
            </w:r>
          </w:p>
        </w:tc>
      </w:tr>
      <w:tr w:rsidR="00AB2FD0" w:rsidRPr="003B6A69" w14:paraId="7F1618BA" w14:textId="77777777" w:rsidTr="003B6A69">
        <w:tc>
          <w:tcPr>
            <w:tcW w:w="8635" w:type="dxa"/>
            <w:tcBorders>
              <w:bottom w:val="single" w:sz="4" w:space="0" w:color="auto"/>
            </w:tcBorders>
            <w:shd w:val="clear" w:color="auto" w:fill="auto"/>
          </w:tcPr>
          <w:p w14:paraId="47ED4C23" w14:textId="77777777" w:rsidR="00AB2FD0" w:rsidRPr="003B6A69" w:rsidRDefault="00AB2FD0" w:rsidP="003B6A69">
            <w:pPr>
              <w:tabs>
                <w:tab w:val="left" w:pos="585"/>
              </w:tabs>
              <w:spacing w:before="60"/>
              <w:ind w:left="567" w:hanging="567"/>
              <w:rPr>
                <w:rFonts w:eastAsia="Times New Roman"/>
                <w:sz w:val="18"/>
                <w:szCs w:val="18"/>
                <w:lang w:eastAsia="ja-JP"/>
              </w:rPr>
            </w:pPr>
            <w:r w:rsidRPr="003B6A69">
              <w:rPr>
                <w:rFonts w:eastAsia="Times New Roman"/>
                <w:sz w:val="18"/>
                <w:szCs w:val="18"/>
                <w:lang w:eastAsia="ja-JP"/>
              </w:rPr>
              <w:t>3.8</w:t>
            </w:r>
            <w:r w:rsidRPr="003B6A69">
              <w:rPr>
                <w:rFonts w:eastAsia="Times New Roman"/>
                <w:sz w:val="18"/>
                <w:szCs w:val="18"/>
                <w:lang w:eastAsia="ja-JP"/>
              </w:rPr>
              <w:tab/>
              <w:t>Does the Project involve support for employment or livelihoods that may fail to comply with national and international labor standards (</w:t>
            </w:r>
            <w:proofErr w:type="gramStart"/>
            <w:r w:rsidRPr="003B6A69">
              <w:rPr>
                <w:rFonts w:eastAsia="Times New Roman"/>
                <w:sz w:val="18"/>
                <w:szCs w:val="18"/>
                <w:lang w:eastAsia="ja-JP"/>
              </w:rPr>
              <w:t>i.e.</w:t>
            </w:r>
            <w:proofErr w:type="gramEnd"/>
            <w:r w:rsidRPr="003B6A69">
              <w:rPr>
                <w:rFonts w:eastAsia="Times New Roman"/>
                <w:sz w:val="18"/>
                <w:szCs w:val="18"/>
                <w:lang w:eastAsia="ja-JP"/>
              </w:rPr>
              <w:t xml:space="preserve"> principles and standards of ILO fundamental conventions)?  </w:t>
            </w:r>
          </w:p>
        </w:tc>
        <w:tc>
          <w:tcPr>
            <w:tcW w:w="833" w:type="dxa"/>
            <w:tcBorders>
              <w:bottom w:val="single" w:sz="4" w:space="0" w:color="auto"/>
            </w:tcBorders>
            <w:shd w:val="clear" w:color="auto" w:fill="auto"/>
          </w:tcPr>
          <w:p w14:paraId="758EB72C" w14:textId="77777777" w:rsidR="00AB2FD0" w:rsidRPr="003B6A69" w:rsidRDefault="00AB2FD0" w:rsidP="003B6A69">
            <w:pPr>
              <w:tabs>
                <w:tab w:val="left" w:pos="585"/>
              </w:tabs>
              <w:spacing w:before="60"/>
              <w:ind w:left="567" w:hanging="567"/>
              <w:rPr>
                <w:rFonts w:eastAsia="Times New Roman"/>
                <w:sz w:val="18"/>
                <w:szCs w:val="18"/>
                <w:lang w:eastAsia="ja-JP"/>
              </w:rPr>
            </w:pPr>
            <w:r w:rsidRPr="003B6A69">
              <w:rPr>
                <w:rFonts w:eastAsia="Times New Roman"/>
                <w:sz w:val="18"/>
                <w:szCs w:val="18"/>
                <w:lang w:eastAsia="ja-JP"/>
              </w:rPr>
              <w:t>No</w:t>
            </w:r>
          </w:p>
        </w:tc>
      </w:tr>
      <w:tr w:rsidR="00AB2FD0" w:rsidRPr="003B6A69" w14:paraId="0381944F" w14:textId="77777777" w:rsidTr="003B6A69">
        <w:tc>
          <w:tcPr>
            <w:tcW w:w="8635" w:type="dxa"/>
            <w:tcBorders>
              <w:bottom w:val="single" w:sz="4" w:space="0" w:color="auto"/>
            </w:tcBorders>
            <w:shd w:val="clear" w:color="auto" w:fill="auto"/>
          </w:tcPr>
          <w:p w14:paraId="0DBFA09E" w14:textId="77777777" w:rsidR="00AB2FD0" w:rsidRPr="003B6A69" w:rsidRDefault="00AB2FD0" w:rsidP="003B6A69">
            <w:pPr>
              <w:tabs>
                <w:tab w:val="left" w:pos="585"/>
              </w:tabs>
              <w:spacing w:before="60"/>
              <w:ind w:left="567" w:hanging="567"/>
              <w:rPr>
                <w:rFonts w:eastAsia="Times New Roman"/>
                <w:sz w:val="18"/>
                <w:szCs w:val="18"/>
                <w:lang w:eastAsia="ja-JP"/>
              </w:rPr>
            </w:pPr>
            <w:r w:rsidRPr="003B6A69">
              <w:rPr>
                <w:rFonts w:eastAsia="Times New Roman"/>
                <w:sz w:val="18"/>
                <w:szCs w:val="18"/>
                <w:lang w:eastAsia="ja-JP"/>
              </w:rPr>
              <w:t>3.9</w:t>
            </w:r>
            <w:r w:rsidRPr="003B6A69">
              <w:rPr>
                <w:rFonts w:eastAsia="Times New Roman"/>
                <w:sz w:val="18"/>
                <w:szCs w:val="18"/>
                <w:lang w:eastAsia="ja-JP"/>
              </w:rPr>
              <w:tab/>
              <w:t>Does the Project engage security personnel that may pose a potential risk to health and safety of communities and/or individuals (</w:t>
            </w:r>
            <w:proofErr w:type="gramStart"/>
            <w:r w:rsidRPr="003B6A69">
              <w:rPr>
                <w:rFonts w:eastAsia="Times New Roman"/>
                <w:sz w:val="18"/>
                <w:szCs w:val="18"/>
                <w:lang w:eastAsia="ja-JP"/>
              </w:rPr>
              <w:t>e.g.</w:t>
            </w:r>
            <w:proofErr w:type="gramEnd"/>
            <w:r w:rsidRPr="003B6A69">
              <w:rPr>
                <w:rFonts w:eastAsia="Times New Roman"/>
                <w:sz w:val="18"/>
                <w:szCs w:val="18"/>
                <w:lang w:eastAsia="ja-JP"/>
              </w:rPr>
              <w:t xml:space="preserve"> due to a lack of adequate training or accountability)?</w:t>
            </w:r>
          </w:p>
        </w:tc>
        <w:tc>
          <w:tcPr>
            <w:tcW w:w="833" w:type="dxa"/>
            <w:tcBorders>
              <w:bottom w:val="single" w:sz="4" w:space="0" w:color="auto"/>
            </w:tcBorders>
            <w:shd w:val="clear" w:color="auto" w:fill="auto"/>
          </w:tcPr>
          <w:p w14:paraId="0B81896B" w14:textId="77777777" w:rsidR="00AB2FD0" w:rsidRPr="003B6A69" w:rsidRDefault="00AB2FD0" w:rsidP="003B6A69">
            <w:pPr>
              <w:tabs>
                <w:tab w:val="left" w:pos="585"/>
              </w:tabs>
              <w:spacing w:before="60"/>
              <w:ind w:left="567" w:hanging="567"/>
              <w:rPr>
                <w:rFonts w:eastAsia="Times New Roman"/>
                <w:sz w:val="18"/>
                <w:szCs w:val="18"/>
                <w:lang w:eastAsia="ja-JP"/>
              </w:rPr>
            </w:pPr>
            <w:r w:rsidRPr="003B6A69">
              <w:rPr>
                <w:rFonts w:eastAsia="Times New Roman"/>
                <w:sz w:val="18"/>
                <w:szCs w:val="18"/>
                <w:lang w:eastAsia="ja-JP"/>
              </w:rPr>
              <w:t>Yes</w:t>
            </w:r>
          </w:p>
        </w:tc>
      </w:tr>
      <w:tr w:rsidR="00AB2FD0" w:rsidRPr="003B6A69" w14:paraId="1F888DA4" w14:textId="77777777" w:rsidTr="003B6A69">
        <w:trPr>
          <w:trHeight w:val="503"/>
        </w:trPr>
        <w:tc>
          <w:tcPr>
            <w:tcW w:w="8635" w:type="dxa"/>
            <w:tcBorders>
              <w:bottom w:val="single" w:sz="4" w:space="0" w:color="auto"/>
            </w:tcBorders>
            <w:shd w:val="clear" w:color="auto" w:fill="DBE5F1"/>
            <w:vAlign w:val="center"/>
          </w:tcPr>
          <w:p w14:paraId="1D234449" w14:textId="77777777" w:rsidR="00AB2FD0" w:rsidRPr="003B6A69" w:rsidRDefault="00AB2FD0" w:rsidP="003B6A69">
            <w:pPr>
              <w:tabs>
                <w:tab w:val="left" w:pos="0"/>
                <w:tab w:val="left" w:pos="555"/>
              </w:tabs>
              <w:spacing w:before="60"/>
              <w:rPr>
                <w:rFonts w:eastAsia="Times New Roman"/>
                <w:b/>
                <w:sz w:val="18"/>
                <w:szCs w:val="18"/>
                <w:lang w:eastAsia="ja-JP"/>
              </w:rPr>
            </w:pPr>
            <w:r w:rsidRPr="003B6A69">
              <w:rPr>
                <w:rFonts w:eastAsia="Times New Roman"/>
                <w:b/>
                <w:sz w:val="18"/>
                <w:szCs w:val="18"/>
                <w:lang w:eastAsia="ja-JP"/>
              </w:rPr>
              <w:t>Standard 4: Cultural Heritage</w:t>
            </w:r>
          </w:p>
        </w:tc>
        <w:tc>
          <w:tcPr>
            <w:tcW w:w="833" w:type="dxa"/>
            <w:tcBorders>
              <w:bottom w:val="single" w:sz="4" w:space="0" w:color="auto"/>
            </w:tcBorders>
            <w:shd w:val="clear" w:color="auto" w:fill="DBE5F1"/>
            <w:vAlign w:val="center"/>
          </w:tcPr>
          <w:p w14:paraId="6CFF7717" w14:textId="77777777" w:rsidR="00AB2FD0" w:rsidRPr="003B6A69" w:rsidRDefault="00AB2FD0" w:rsidP="003B6A69">
            <w:pPr>
              <w:tabs>
                <w:tab w:val="left" w:pos="585"/>
              </w:tabs>
              <w:spacing w:before="60"/>
              <w:ind w:left="567" w:hanging="567"/>
              <w:rPr>
                <w:rFonts w:eastAsia="Times New Roman"/>
                <w:sz w:val="18"/>
                <w:szCs w:val="18"/>
                <w:lang w:eastAsia="ja-JP"/>
              </w:rPr>
            </w:pPr>
          </w:p>
        </w:tc>
      </w:tr>
      <w:tr w:rsidR="00AB2FD0" w:rsidRPr="003B6A69" w14:paraId="6D964AE7" w14:textId="77777777" w:rsidTr="003B6A69">
        <w:tc>
          <w:tcPr>
            <w:tcW w:w="8635" w:type="dxa"/>
            <w:tcBorders>
              <w:bottom w:val="single" w:sz="4" w:space="0" w:color="auto"/>
            </w:tcBorders>
            <w:shd w:val="clear" w:color="auto" w:fill="auto"/>
          </w:tcPr>
          <w:p w14:paraId="54AE8FCA" w14:textId="77777777" w:rsidR="00AB2FD0" w:rsidRPr="003B6A69" w:rsidRDefault="00AB2FD0" w:rsidP="003B6A69">
            <w:pPr>
              <w:tabs>
                <w:tab w:val="left" w:pos="585"/>
              </w:tabs>
              <w:spacing w:before="60"/>
              <w:ind w:left="567" w:hanging="567"/>
              <w:rPr>
                <w:rFonts w:eastAsia="Times New Roman"/>
                <w:sz w:val="18"/>
                <w:szCs w:val="18"/>
                <w:lang w:eastAsia="ja-JP"/>
              </w:rPr>
            </w:pPr>
            <w:r w:rsidRPr="003B6A69">
              <w:rPr>
                <w:rFonts w:eastAsia="Times New Roman"/>
                <w:sz w:val="18"/>
                <w:szCs w:val="18"/>
                <w:lang w:eastAsia="ja-JP"/>
              </w:rPr>
              <w:t>4.1</w:t>
            </w:r>
            <w:r w:rsidRPr="003B6A69">
              <w:rPr>
                <w:rFonts w:eastAsia="Times New Roman"/>
                <w:sz w:val="18"/>
                <w:szCs w:val="18"/>
                <w:lang w:eastAsia="ja-JP"/>
              </w:rPr>
              <w:tab/>
              <w:t>Will the proposed Project result in interventions that would potentially adversely impact sites, structures, or objects with historical, cultural, artistic, traditional or religious values or intangible forms of culture (</w:t>
            </w:r>
            <w:proofErr w:type="gramStart"/>
            <w:r w:rsidRPr="003B6A69">
              <w:rPr>
                <w:rFonts w:eastAsia="Times New Roman"/>
                <w:sz w:val="18"/>
                <w:szCs w:val="18"/>
                <w:lang w:eastAsia="ja-JP"/>
              </w:rPr>
              <w:t>e.g.</w:t>
            </w:r>
            <w:proofErr w:type="gramEnd"/>
            <w:r w:rsidRPr="003B6A69">
              <w:rPr>
                <w:rFonts w:eastAsia="Times New Roman"/>
                <w:sz w:val="18"/>
                <w:szCs w:val="18"/>
                <w:lang w:eastAsia="ja-JP"/>
              </w:rPr>
              <w:t xml:space="preserve"> knowledge, innovations, practices)? (Note: Projects intended to protect and conserve Cultural Heritage may also have inadvertent adverse impacts)</w:t>
            </w:r>
          </w:p>
        </w:tc>
        <w:tc>
          <w:tcPr>
            <w:tcW w:w="833" w:type="dxa"/>
            <w:tcBorders>
              <w:bottom w:val="single" w:sz="4" w:space="0" w:color="auto"/>
            </w:tcBorders>
            <w:shd w:val="clear" w:color="auto" w:fill="auto"/>
          </w:tcPr>
          <w:p w14:paraId="47CF0F99" w14:textId="77777777" w:rsidR="00AB2FD0" w:rsidRPr="003B6A69" w:rsidRDefault="00AB2FD0" w:rsidP="003B6A69">
            <w:pPr>
              <w:tabs>
                <w:tab w:val="left" w:pos="585"/>
              </w:tabs>
              <w:spacing w:before="60"/>
              <w:ind w:left="567" w:hanging="567"/>
              <w:rPr>
                <w:rFonts w:eastAsia="Times New Roman"/>
                <w:sz w:val="18"/>
                <w:szCs w:val="18"/>
                <w:lang w:eastAsia="ja-JP"/>
              </w:rPr>
            </w:pPr>
            <w:r w:rsidRPr="003B6A69">
              <w:rPr>
                <w:rFonts w:eastAsia="Times New Roman"/>
                <w:sz w:val="18"/>
                <w:szCs w:val="18"/>
                <w:lang w:eastAsia="ja-JP"/>
              </w:rPr>
              <w:t>Yes</w:t>
            </w:r>
          </w:p>
        </w:tc>
      </w:tr>
      <w:tr w:rsidR="00AB2FD0" w:rsidRPr="003B6A69" w14:paraId="645F6C0F" w14:textId="77777777" w:rsidTr="003B6A69">
        <w:tc>
          <w:tcPr>
            <w:tcW w:w="8635" w:type="dxa"/>
            <w:tcBorders>
              <w:bottom w:val="single" w:sz="4" w:space="0" w:color="auto"/>
            </w:tcBorders>
            <w:shd w:val="clear" w:color="auto" w:fill="auto"/>
          </w:tcPr>
          <w:p w14:paraId="39C47675" w14:textId="77777777" w:rsidR="00AB2FD0" w:rsidRPr="003B6A69" w:rsidRDefault="00AB2FD0" w:rsidP="003B6A69">
            <w:pPr>
              <w:tabs>
                <w:tab w:val="left" w:pos="585"/>
              </w:tabs>
              <w:spacing w:before="60"/>
              <w:ind w:left="567" w:hanging="567"/>
              <w:rPr>
                <w:rFonts w:eastAsia="Times New Roman"/>
                <w:b/>
                <w:sz w:val="18"/>
                <w:szCs w:val="18"/>
                <w:lang w:eastAsia="ja-JP"/>
              </w:rPr>
            </w:pPr>
            <w:r w:rsidRPr="003B6A69">
              <w:rPr>
                <w:rFonts w:eastAsia="Times New Roman"/>
                <w:sz w:val="18"/>
                <w:szCs w:val="18"/>
                <w:lang w:eastAsia="ja-JP"/>
              </w:rPr>
              <w:t>4.2</w:t>
            </w:r>
            <w:r w:rsidRPr="003B6A69">
              <w:rPr>
                <w:rFonts w:eastAsia="Times New Roman"/>
                <w:sz w:val="18"/>
                <w:szCs w:val="18"/>
                <w:lang w:eastAsia="ja-JP"/>
              </w:rPr>
              <w:tab/>
              <w:t>Does the Project propose utilizing tangible and/or intangible forms of cultural heritage for commercial or other purposes?</w:t>
            </w:r>
          </w:p>
        </w:tc>
        <w:tc>
          <w:tcPr>
            <w:tcW w:w="833" w:type="dxa"/>
            <w:tcBorders>
              <w:bottom w:val="single" w:sz="4" w:space="0" w:color="auto"/>
            </w:tcBorders>
            <w:shd w:val="clear" w:color="auto" w:fill="auto"/>
          </w:tcPr>
          <w:p w14:paraId="410127C4" w14:textId="77777777" w:rsidR="00AB2FD0" w:rsidRPr="003B6A69" w:rsidRDefault="00AB2FD0" w:rsidP="003B6A69">
            <w:pPr>
              <w:tabs>
                <w:tab w:val="left" w:pos="585"/>
              </w:tabs>
              <w:spacing w:before="60"/>
              <w:ind w:left="567" w:hanging="567"/>
              <w:rPr>
                <w:rFonts w:eastAsia="Times New Roman"/>
                <w:sz w:val="18"/>
                <w:szCs w:val="18"/>
                <w:lang w:eastAsia="ja-JP"/>
              </w:rPr>
            </w:pPr>
            <w:r w:rsidRPr="003B6A69">
              <w:rPr>
                <w:rFonts w:eastAsia="Times New Roman"/>
                <w:sz w:val="18"/>
                <w:szCs w:val="18"/>
                <w:lang w:eastAsia="ja-JP"/>
              </w:rPr>
              <w:t>No</w:t>
            </w:r>
          </w:p>
        </w:tc>
      </w:tr>
      <w:tr w:rsidR="00AB2FD0" w:rsidRPr="003B6A69" w14:paraId="2C294D83" w14:textId="77777777" w:rsidTr="003B6A69">
        <w:trPr>
          <w:trHeight w:val="566"/>
        </w:trPr>
        <w:tc>
          <w:tcPr>
            <w:tcW w:w="8635" w:type="dxa"/>
            <w:tcBorders>
              <w:bottom w:val="single" w:sz="4" w:space="0" w:color="auto"/>
            </w:tcBorders>
            <w:shd w:val="clear" w:color="auto" w:fill="DBE5F1"/>
            <w:vAlign w:val="center"/>
          </w:tcPr>
          <w:p w14:paraId="3BC15DD5" w14:textId="77777777" w:rsidR="00AB2FD0" w:rsidRPr="003B6A69" w:rsidRDefault="00AB2FD0" w:rsidP="003B6A69">
            <w:pPr>
              <w:tabs>
                <w:tab w:val="left" w:pos="0"/>
                <w:tab w:val="left" w:pos="555"/>
              </w:tabs>
              <w:spacing w:before="60"/>
              <w:rPr>
                <w:rFonts w:eastAsia="Times New Roman"/>
                <w:b/>
                <w:sz w:val="18"/>
                <w:szCs w:val="18"/>
                <w:lang w:eastAsia="ja-JP"/>
              </w:rPr>
            </w:pPr>
            <w:r w:rsidRPr="003B6A69">
              <w:rPr>
                <w:rFonts w:eastAsia="Times New Roman"/>
                <w:b/>
                <w:sz w:val="18"/>
                <w:szCs w:val="18"/>
                <w:lang w:eastAsia="ja-JP"/>
              </w:rPr>
              <w:t>Standard 5: Displacement and Resettlement</w:t>
            </w:r>
          </w:p>
        </w:tc>
        <w:tc>
          <w:tcPr>
            <w:tcW w:w="833" w:type="dxa"/>
            <w:tcBorders>
              <w:bottom w:val="single" w:sz="4" w:space="0" w:color="auto"/>
            </w:tcBorders>
            <w:shd w:val="clear" w:color="auto" w:fill="DBE5F1"/>
            <w:vAlign w:val="center"/>
          </w:tcPr>
          <w:p w14:paraId="04397AD1" w14:textId="77777777" w:rsidR="00AB2FD0" w:rsidRPr="003B6A69" w:rsidRDefault="00AB2FD0" w:rsidP="003B6A69">
            <w:pPr>
              <w:tabs>
                <w:tab w:val="left" w:pos="585"/>
              </w:tabs>
              <w:spacing w:before="60"/>
              <w:ind w:left="567" w:hanging="567"/>
              <w:rPr>
                <w:rFonts w:eastAsia="Times New Roman"/>
                <w:sz w:val="18"/>
                <w:szCs w:val="18"/>
                <w:lang w:eastAsia="ja-JP"/>
              </w:rPr>
            </w:pPr>
          </w:p>
        </w:tc>
      </w:tr>
      <w:tr w:rsidR="00AB2FD0" w:rsidRPr="003B6A69" w14:paraId="29D00DD9" w14:textId="77777777" w:rsidTr="003B6A69">
        <w:tc>
          <w:tcPr>
            <w:tcW w:w="8635" w:type="dxa"/>
            <w:tcBorders>
              <w:bottom w:val="single" w:sz="4" w:space="0" w:color="auto"/>
            </w:tcBorders>
            <w:shd w:val="clear" w:color="auto" w:fill="auto"/>
          </w:tcPr>
          <w:p w14:paraId="478F6D29" w14:textId="77777777" w:rsidR="00AB2FD0" w:rsidRPr="003B6A69" w:rsidRDefault="00AB2FD0" w:rsidP="003B6A69">
            <w:pPr>
              <w:tabs>
                <w:tab w:val="left" w:pos="585"/>
              </w:tabs>
              <w:spacing w:before="60"/>
              <w:ind w:left="567" w:hanging="567"/>
              <w:rPr>
                <w:rFonts w:eastAsia="Times New Roman"/>
                <w:b/>
                <w:sz w:val="18"/>
                <w:szCs w:val="18"/>
                <w:lang w:eastAsia="ja-JP"/>
              </w:rPr>
            </w:pPr>
            <w:r w:rsidRPr="003B6A69">
              <w:rPr>
                <w:rFonts w:eastAsia="MS Mincho"/>
                <w:sz w:val="18"/>
                <w:szCs w:val="18"/>
              </w:rPr>
              <w:t>5.1</w:t>
            </w:r>
            <w:r w:rsidRPr="003B6A69">
              <w:rPr>
                <w:rFonts w:eastAsia="MS Mincho"/>
                <w:sz w:val="18"/>
                <w:szCs w:val="18"/>
              </w:rPr>
              <w:tab/>
            </w:r>
            <w:r w:rsidRPr="003B6A69">
              <w:rPr>
                <w:rFonts w:eastAsia="Times New Roman"/>
                <w:sz w:val="18"/>
                <w:szCs w:val="18"/>
                <w:lang w:eastAsia="ja-JP"/>
              </w:rPr>
              <w:t>Would</w:t>
            </w:r>
            <w:r w:rsidRPr="003B6A69">
              <w:rPr>
                <w:rFonts w:eastAsia="MS Mincho"/>
                <w:sz w:val="18"/>
                <w:szCs w:val="18"/>
              </w:rPr>
              <w:t xml:space="preserve"> the Project potentially involve temporary or permanent and full or partial physical displacement?</w:t>
            </w:r>
          </w:p>
        </w:tc>
        <w:tc>
          <w:tcPr>
            <w:tcW w:w="833" w:type="dxa"/>
            <w:tcBorders>
              <w:bottom w:val="single" w:sz="4" w:space="0" w:color="auto"/>
            </w:tcBorders>
            <w:shd w:val="clear" w:color="auto" w:fill="auto"/>
          </w:tcPr>
          <w:p w14:paraId="645B9E2D" w14:textId="77777777" w:rsidR="00AB2FD0" w:rsidRPr="003B6A69" w:rsidRDefault="00AB2FD0" w:rsidP="003B6A69">
            <w:pPr>
              <w:tabs>
                <w:tab w:val="left" w:pos="585"/>
              </w:tabs>
              <w:spacing w:before="60"/>
              <w:ind w:left="567" w:hanging="567"/>
              <w:rPr>
                <w:rFonts w:eastAsia="Times New Roman"/>
                <w:sz w:val="18"/>
                <w:szCs w:val="18"/>
                <w:lang w:eastAsia="ja-JP"/>
              </w:rPr>
            </w:pPr>
            <w:r w:rsidRPr="003B6A69">
              <w:rPr>
                <w:rFonts w:eastAsia="Times New Roman"/>
                <w:sz w:val="18"/>
                <w:szCs w:val="18"/>
                <w:lang w:eastAsia="ja-JP"/>
              </w:rPr>
              <w:t>No</w:t>
            </w:r>
          </w:p>
        </w:tc>
      </w:tr>
      <w:tr w:rsidR="00AB2FD0" w:rsidRPr="003B6A69" w14:paraId="18B02CEB" w14:textId="77777777" w:rsidTr="003B6A69">
        <w:tc>
          <w:tcPr>
            <w:tcW w:w="8635" w:type="dxa"/>
            <w:tcBorders>
              <w:bottom w:val="single" w:sz="4" w:space="0" w:color="auto"/>
            </w:tcBorders>
            <w:shd w:val="clear" w:color="auto" w:fill="auto"/>
          </w:tcPr>
          <w:p w14:paraId="2DB00E15" w14:textId="77777777" w:rsidR="00AB2FD0" w:rsidRPr="003B6A69" w:rsidRDefault="00AB2FD0" w:rsidP="003B6A69">
            <w:pPr>
              <w:tabs>
                <w:tab w:val="left" w:pos="585"/>
              </w:tabs>
              <w:spacing w:before="60"/>
              <w:ind w:left="567" w:hanging="567"/>
              <w:rPr>
                <w:rFonts w:eastAsia="Times New Roman"/>
                <w:b/>
                <w:sz w:val="18"/>
                <w:szCs w:val="18"/>
                <w:lang w:eastAsia="ja-JP"/>
              </w:rPr>
            </w:pPr>
            <w:r w:rsidRPr="003B6A69">
              <w:rPr>
                <w:rFonts w:eastAsia="MS Mincho"/>
                <w:sz w:val="18"/>
                <w:szCs w:val="18"/>
              </w:rPr>
              <w:t>5.2</w:t>
            </w:r>
            <w:r w:rsidRPr="003B6A69">
              <w:rPr>
                <w:rFonts w:eastAsia="MS Mincho"/>
                <w:sz w:val="18"/>
                <w:szCs w:val="18"/>
              </w:rPr>
              <w:tab/>
            </w:r>
            <w:r w:rsidRPr="003B6A69">
              <w:rPr>
                <w:rFonts w:eastAsia="Times New Roman"/>
                <w:sz w:val="18"/>
                <w:szCs w:val="18"/>
                <w:lang w:eastAsia="ja-JP"/>
              </w:rPr>
              <w:t>Would</w:t>
            </w:r>
            <w:r w:rsidRPr="003B6A69">
              <w:rPr>
                <w:rFonts w:eastAsia="MS Mincho"/>
                <w:sz w:val="18"/>
                <w:szCs w:val="18"/>
              </w:rPr>
              <w:t xml:space="preserve"> the Project possibly result in economic displacement (</w:t>
            </w:r>
            <w:proofErr w:type="gramStart"/>
            <w:r w:rsidRPr="003B6A69">
              <w:rPr>
                <w:rFonts w:eastAsia="MS Mincho"/>
                <w:sz w:val="18"/>
                <w:szCs w:val="18"/>
              </w:rPr>
              <w:t>e.g.</w:t>
            </w:r>
            <w:proofErr w:type="gramEnd"/>
            <w:r w:rsidRPr="003B6A69">
              <w:rPr>
                <w:rFonts w:eastAsia="MS Mincho"/>
                <w:sz w:val="18"/>
                <w:szCs w:val="18"/>
              </w:rPr>
              <w:t xml:space="preserve"> loss of assets or access to resources due to land acquisition or access restrictions – even in the absence of physical relocation)? </w:t>
            </w:r>
          </w:p>
        </w:tc>
        <w:tc>
          <w:tcPr>
            <w:tcW w:w="833" w:type="dxa"/>
            <w:tcBorders>
              <w:bottom w:val="single" w:sz="4" w:space="0" w:color="auto"/>
            </w:tcBorders>
            <w:shd w:val="clear" w:color="auto" w:fill="auto"/>
          </w:tcPr>
          <w:p w14:paraId="561903B5" w14:textId="77777777" w:rsidR="00AB2FD0" w:rsidRPr="003B6A69" w:rsidRDefault="00AB2FD0" w:rsidP="003B6A69">
            <w:pPr>
              <w:tabs>
                <w:tab w:val="left" w:pos="585"/>
              </w:tabs>
              <w:spacing w:before="60"/>
              <w:ind w:left="567" w:hanging="567"/>
              <w:rPr>
                <w:rFonts w:eastAsia="Times New Roman"/>
                <w:sz w:val="18"/>
                <w:szCs w:val="18"/>
                <w:lang w:eastAsia="ja-JP"/>
              </w:rPr>
            </w:pPr>
            <w:r w:rsidRPr="003B6A69">
              <w:rPr>
                <w:rFonts w:eastAsia="Times New Roman"/>
                <w:sz w:val="18"/>
                <w:szCs w:val="18"/>
                <w:lang w:eastAsia="ja-JP"/>
              </w:rPr>
              <w:t>Yes</w:t>
            </w:r>
          </w:p>
        </w:tc>
      </w:tr>
      <w:tr w:rsidR="00AB2FD0" w:rsidRPr="003B6A69" w14:paraId="0A8ABB38" w14:textId="77777777" w:rsidTr="003B6A69">
        <w:tc>
          <w:tcPr>
            <w:tcW w:w="8635" w:type="dxa"/>
            <w:tcBorders>
              <w:bottom w:val="single" w:sz="4" w:space="0" w:color="auto"/>
            </w:tcBorders>
            <w:shd w:val="clear" w:color="auto" w:fill="auto"/>
          </w:tcPr>
          <w:p w14:paraId="39B7F802" w14:textId="77777777" w:rsidR="00AB2FD0" w:rsidRPr="003B6A69" w:rsidRDefault="00AB2FD0" w:rsidP="003B6A69">
            <w:pPr>
              <w:tabs>
                <w:tab w:val="left" w:pos="585"/>
              </w:tabs>
              <w:spacing w:before="60"/>
              <w:ind w:left="567" w:hanging="567"/>
              <w:rPr>
                <w:rFonts w:eastAsia="MS Mincho"/>
                <w:sz w:val="18"/>
                <w:szCs w:val="18"/>
              </w:rPr>
            </w:pPr>
            <w:r w:rsidRPr="003B6A69">
              <w:rPr>
                <w:rFonts w:eastAsia="Times New Roman"/>
                <w:sz w:val="18"/>
                <w:szCs w:val="18"/>
                <w:lang w:eastAsia="ja-JP"/>
              </w:rPr>
              <w:t>5.3</w:t>
            </w:r>
            <w:r w:rsidRPr="003B6A69">
              <w:rPr>
                <w:rFonts w:eastAsia="Times New Roman"/>
                <w:sz w:val="18"/>
                <w:szCs w:val="18"/>
                <w:lang w:eastAsia="ja-JP"/>
              </w:rPr>
              <w:tab/>
              <w:t>Is there a risk that the Project would lead to forced evictions?</w:t>
            </w:r>
            <w:r w:rsidRPr="003B6A69">
              <w:rPr>
                <w:rFonts w:eastAsia="Times New Roman"/>
                <w:sz w:val="18"/>
                <w:szCs w:val="18"/>
                <w:vertAlign w:val="superscript"/>
                <w:lang w:eastAsia="ja-JP"/>
              </w:rPr>
              <w:footnoteReference w:id="19"/>
            </w:r>
          </w:p>
        </w:tc>
        <w:tc>
          <w:tcPr>
            <w:tcW w:w="833" w:type="dxa"/>
            <w:tcBorders>
              <w:bottom w:val="single" w:sz="4" w:space="0" w:color="auto"/>
            </w:tcBorders>
            <w:shd w:val="clear" w:color="auto" w:fill="auto"/>
          </w:tcPr>
          <w:p w14:paraId="61B226E3" w14:textId="77777777" w:rsidR="00AB2FD0" w:rsidRPr="003B6A69" w:rsidRDefault="00AB2FD0" w:rsidP="003B6A69">
            <w:pPr>
              <w:tabs>
                <w:tab w:val="left" w:pos="585"/>
              </w:tabs>
              <w:spacing w:before="60"/>
              <w:ind w:left="567" w:hanging="567"/>
              <w:rPr>
                <w:rFonts w:eastAsia="Times New Roman"/>
                <w:sz w:val="18"/>
                <w:szCs w:val="18"/>
                <w:lang w:eastAsia="ja-JP"/>
              </w:rPr>
            </w:pPr>
            <w:r w:rsidRPr="003B6A69">
              <w:rPr>
                <w:rFonts w:eastAsia="Times New Roman"/>
                <w:sz w:val="18"/>
                <w:szCs w:val="18"/>
                <w:lang w:eastAsia="ja-JP"/>
              </w:rPr>
              <w:t>No</w:t>
            </w:r>
          </w:p>
        </w:tc>
      </w:tr>
      <w:tr w:rsidR="00AB2FD0" w:rsidRPr="003B6A69" w14:paraId="1E1BE17A" w14:textId="77777777" w:rsidTr="003B6A69">
        <w:tc>
          <w:tcPr>
            <w:tcW w:w="8635" w:type="dxa"/>
            <w:tcBorders>
              <w:bottom w:val="single" w:sz="4" w:space="0" w:color="auto"/>
            </w:tcBorders>
            <w:shd w:val="clear" w:color="auto" w:fill="auto"/>
          </w:tcPr>
          <w:p w14:paraId="073D0447" w14:textId="77777777" w:rsidR="00AB2FD0" w:rsidRPr="003B6A69" w:rsidRDefault="00AB2FD0" w:rsidP="003B6A69">
            <w:pPr>
              <w:tabs>
                <w:tab w:val="left" w:pos="585"/>
              </w:tabs>
              <w:spacing w:before="60"/>
              <w:ind w:left="567" w:hanging="567"/>
              <w:rPr>
                <w:rFonts w:eastAsia="Times New Roman"/>
                <w:sz w:val="18"/>
                <w:szCs w:val="18"/>
                <w:lang w:eastAsia="ja-JP"/>
              </w:rPr>
            </w:pPr>
            <w:r w:rsidRPr="003B6A69">
              <w:rPr>
                <w:rFonts w:eastAsia="Times New Roman"/>
                <w:sz w:val="18"/>
                <w:szCs w:val="18"/>
                <w:lang w:eastAsia="ja-JP"/>
              </w:rPr>
              <w:t>5.4</w:t>
            </w:r>
            <w:r w:rsidRPr="003B6A69">
              <w:rPr>
                <w:rFonts w:eastAsia="Times New Roman"/>
                <w:sz w:val="18"/>
                <w:szCs w:val="18"/>
                <w:lang w:eastAsia="ja-JP"/>
              </w:rPr>
              <w:tab/>
              <w:t xml:space="preserve">Would the proposed Project possibly affect land tenure arrangements and/or </w:t>
            </w:r>
            <w:proofErr w:type="gramStart"/>
            <w:r w:rsidRPr="003B6A69">
              <w:rPr>
                <w:rFonts w:eastAsia="Times New Roman"/>
                <w:sz w:val="18"/>
                <w:szCs w:val="18"/>
                <w:lang w:eastAsia="ja-JP"/>
              </w:rPr>
              <w:t>community based</w:t>
            </w:r>
            <w:proofErr w:type="gramEnd"/>
            <w:r w:rsidRPr="003B6A69">
              <w:rPr>
                <w:rFonts w:eastAsia="Times New Roman"/>
                <w:sz w:val="18"/>
                <w:szCs w:val="18"/>
                <w:lang w:eastAsia="ja-JP"/>
              </w:rPr>
              <w:t xml:space="preserve"> property rights/customary rights to land, territories and/or resources? </w:t>
            </w:r>
          </w:p>
        </w:tc>
        <w:tc>
          <w:tcPr>
            <w:tcW w:w="833" w:type="dxa"/>
            <w:tcBorders>
              <w:bottom w:val="single" w:sz="4" w:space="0" w:color="auto"/>
            </w:tcBorders>
            <w:shd w:val="clear" w:color="auto" w:fill="auto"/>
          </w:tcPr>
          <w:p w14:paraId="4AD9BC5C" w14:textId="77777777" w:rsidR="00AB2FD0" w:rsidRPr="003B6A69" w:rsidRDefault="00AB2FD0" w:rsidP="003B6A69">
            <w:pPr>
              <w:tabs>
                <w:tab w:val="left" w:pos="585"/>
              </w:tabs>
              <w:spacing w:before="60"/>
              <w:ind w:left="567" w:hanging="567"/>
              <w:rPr>
                <w:rFonts w:eastAsia="Times New Roman"/>
                <w:sz w:val="18"/>
                <w:szCs w:val="18"/>
                <w:lang w:eastAsia="ja-JP"/>
              </w:rPr>
            </w:pPr>
            <w:r w:rsidRPr="003B6A69">
              <w:rPr>
                <w:rFonts w:eastAsia="Times New Roman"/>
                <w:sz w:val="18"/>
                <w:szCs w:val="18"/>
                <w:lang w:eastAsia="ja-JP"/>
              </w:rPr>
              <w:t>No</w:t>
            </w:r>
          </w:p>
        </w:tc>
      </w:tr>
      <w:tr w:rsidR="00AB2FD0" w:rsidRPr="003B6A69" w14:paraId="39049A9A" w14:textId="77777777" w:rsidTr="003B6A69">
        <w:trPr>
          <w:trHeight w:val="584"/>
        </w:trPr>
        <w:tc>
          <w:tcPr>
            <w:tcW w:w="8635" w:type="dxa"/>
            <w:tcBorders>
              <w:bottom w:val="single" w:sz="4" w:space="0" w:color="auto"/>
            </w:tcBorders>
            <w:shd w:val="clear" w:color="auto" w:fill="DBE5F1"/>
            <w:vAlign w:val="center"/>
          </w:tcPr>
          <w:p w14:paraId="2EA5C6CF" w14:textId="77777777" w:rsidR="00AB2FD0" w:rsidRPr="003B6A69" w:rsidRDefault="00AB2FD0" w:rsidP="003B6A69">
            <w:pPr>
              <w:tabs>
                <w:tab w:val="left" w:pos="0"/>
                <w:tab w:val="left" w:pos="555"/>
              </w:tabs>
              <w:spacing w:before="60"/>
              <w:rPr>
                <w:rFonts w:eastAsia="Times New Roman"/>
                <w:b/>
                <w:sz w:val="18"/>
                <w:szCs w:val="18"/>
                <w:lang w:eastAsia="ja-JP"/>
              </w:rPr>
            </w:pPr>
            <w:r w:rsidRPr="003B6A69">
              <w:rPr>
                <w:rFonts w:eastAsia="Times New Roman"/>
                <w:b/>
                <w:sz w:val="18"/>
                <w:szCs w:val="18"/>
                <w:lang w:eastAsia="ja-JP"/>
              </w:rPr>
              <w:t>Standard 6: Indigenous Peoples</w:t>
            </w:r>
          </w:p>
        </w:tc>
        <w:tc>
          <w:tcPr>
            <w:tcW w:w="833" w:type="dxa"/>
            <w:tcBorders>
              <w:bottom w:val="single" w:sz="4" w:space="0" w:color="auto"/>
            </w:tcBorders>
            <w:shd w:val="clear" w:color="auto" w:fill="DBE5F1"/>
            <w:vAlign w:val="center"/>
          </w:tcPr>
          <w:p w14:paraId="28C8C399" w14:textId="77777777" w:rsidR="00AB2FD0" w:rsidRPr="003B6A69" w:rsidRDefault="00AB2FD0" w:rsidP="003B6A69">
            <w:pPr>
              <w:tabs>
                <w:tab w:val="left" w:pos="585"/>
              </w:tabs>
              <w:spacing w:before="60"/>
              <w:ind w:left="567" w:hanging="567"/>
              <w:rPr>
                <w:rFonts w:eastAsia="Times New Roman"/>
                <w:sz w:val="18"/>
                <w:szCs w:val="18"/>
                <w:lang w:eastAsia="ja-JP"/>
              </w:rPr>
            </w:pPr>
          </w:p>
        </w:tc>
      </w:tr>
      <w:tr w:rsidR="00AB2FD0" w:rsidRPr="003B6A69" w14:paraId="09D8B960" w14:textId="77777777" w:rsidTr="003B6A69">
        <w:tc>
          <w:tcPr>
            <w:tcW w:w="8635" w:type="dxa"/>
            <w:tcBorders>
              <w:bottom w:val="single" w:sz="4" w:space="0" w:color="auto"/>
            </w:tcBorders>
            <w:shd w:val="clear" w:color="auto" w:fill="auto"/>
          </w:tcPr>
          <w:p w14:paraId="00ABCD82" w14:textId="77777777" w:rsidR="00AB2FD0" w:rsidRPr="003B6A69" w:rsidRDefault="00AB2FD0" w:rsidP="003B6A69">
            <w:pPr>
              <w:tabs>
                <w:tab w:val="left" w:pos="585"/>
              </w:tabs>
              <w:spacing w:before="60"/>
              <w:ind w:left="567" w:hanging="567"/>
              <w:rPr>
                <w:rFonts w:eastAsia="MS Mincho"/>
                <w:sz w:val="18"/>
                <w:szCs w:val="18"/>
              </w:rPr>
            </w:pPr>
            <w:r w:rsidRPr="003B6A69">
              <w:rPr>
                <w:rFonts w:eastAsia="MS Mincho"/>
                <w:sz w:val="18"/>
                <w:szCs w:val="18"/>
              </w:rPr>
              <w:t>6.1</w:t>
            </w:r>
            <w:r w:rsidRPr="003B6A69">
              <w:rPr>
                <w:rFonts w:eastAsia="MS Mincho"/>
                <w:sz w:val="18"/>
                <w:szCs w:val="18"/>
              </w:rPr>
              <w:tab/>
              <w:t>Are indigenous peoples present in the Project area (including Project area of influence)?</w:t>
            </w:r>
          </w:p>
        </w:tc>
        <w:tc>
          <w:tcPr>
            <w:tcW w:w="833" w:type="dxa"/>
            <w:tcBorders>
              <w:bottom w:val="single" w:sz="4" w:space="0" w:color="auto"/>
            </w:tcBorders>
            <w:shd w:val="clear" w:color="auto" w:fill="auto"/>
          </w:tcPr>
          <w:p w14:paraId="59F7933F" w14:textId="77777777" w:rsidR="00AB2FD0" w:rsidRPr="003B6A69" w:rsidRDefault="00AB2FD0" w:rsidP="003B6A69">
            <w:pPr>
              <w:tabs>
                <w:tab w:val="left" w:pos="585"/>
              </w:tabs>
              <w:spacing w:before="60"/>
              <w:ind w:left="567" w:hanging="567"/>
              <w:rPr>
                <w:rFonts w:eastAsia="Times New Roman"/>
                <w:sz w:val="18"/>
                <w:szCs w:val="18"/>
                <w:lang w:eastAsia="ja-JP"/>
              </w:rPr>
            </w:pPr>
            <w:r w:rsidRPr="003B6A69">
              <w:rPr>
                <w:rFonts w:eastAsia="Times New Roman"/>
                <w:sz w:val="18"/>
                <w:szCs w:val="18"/>
                <w:lang w:eastAsia="ja-JP"/>
              </w:rPr>
              <w:t>No</w:t>
            </w:r>
          </w:p>
        </w:tc>
      </w:tr>
      <w:tr w:rsidR="00AB2FD0" w:rsidRPr="003B6A69" w14:paraId="3F0D4230" w14:textId="77777777" w:rsidTr="003B6A69">
        <w:tc>
          <w:tcPr>
            <w:tcW w:w="8635" w:type="dxa"/>
            <w:tcBorders>
              <w:bottom w:val="single" w:sz="4" w:space="0" w:color="auto"/>
            </w:tcBorders>
            <w:shd w:val="clear" w:color="auto" w:fill="auto"/>
          </w:tcPr>
          <w:p w14:paraId="5A4C3C83" w14:textId="77777777" w:rsidR="00AB2FD0" w:rsidRPr="003B6A69" w:rsidRDefault="00AB2FD0" w:rsidP="003B6A69">
            <w:pPr>
              <w:tabs>
                <w:tab w:val="left" w:pos="585"/>
              </w:tabs>
              <w:spacing w:before="60"/>
              <w:ind w:left="567" w:hanging="567"/>
              <w:rPr>
                <w:rFonts w:eastAsia="MS Mincho"/>
                <w:sz w:val="18"/>
                <w:szCs w:val="18"/>
              </w:rPr>
            </w:pPr>
            <w:r w:rsidRPr="003B6A69">
              <w:rPr>
                <w:rFonts w:eastAsia="MS Mincho"/>
                <w:sz w:val="18"/>
                <w:szCs w:val="18"/>
              </w:rPr>
              <w:t>6.2</w:t>
            </w:r>
            <w:r w:rsidRPr="003B6A69">
              <w:rPr>
                <w:rFonts w:eastAsia="MS Mincho"/>
                <w:sz w:val="18"/>
                <w:szCs w:val="18"/>
              </w:rPr>
              <w:tab/>
              <w:t>Is it likely that the Project or portions of the Project will be located on lands and territories claimed by indigenous peoples?</w:t>
            </w:r>
          </w:p>
        </w:tc>
        <w:tc>
          <w:tcPr>
            <w:tcW w:w="833" w:type="dxa"/>
            <w:tcBorders>
              <w:bottom w:val="single" w:sz="4" w:space="0" w:color="auto"/>
            </w:tcBorders>
            <w:shd w:val="clear" w:color="auto" w:fill="auto"/>
          </w:tcPr>
          <w:p w14:paraId="39BA66F9" w14:textId="77777777" w:rsidR="00AB2FD0" w:rsidRPr="003B6A69" w:rsidRDefault="00AB2FD0" w:rsidP="003B6A69">
            <w:pPr>
              <w:tabs>
                <w:tab w:val="left" w:pos="585"/>
              </w:tabs>
              <w:spacing w:before="60"/>
              <w:ind w:left="567" w:hanging="567"/>
              <w:rPr>
                <w:rFonts w:eastAsia="Times New Roman"/>
                <w:sz w:val="18"/>
                <w:szCs w:val="18"/>
                <w:lang w:eastAsia="ja-JP"/>
              </w:rPr>
            </w:pPr>
            <w:r w:rsidRPr="003B6A69">
              <w:rPr>
                <w:rFonts w:eastAsia="Times New Roman"/>
                <w:sz w:val="18"/>
                <w:szCs w:val="18"/>
                <w:lang w:eastAsia="ja-JP"/>
              </w:rPr>
              <w:t>No</w:t>
            </w:r>
          </w:p>
        </w:tc>
      </w:tr>
      <w:tr w:rsidR="00AB2FD0" w:rsidRPr="003B6A69" w14:paraId="2637C566" w14:textId="77777777" w:rsidTr="003B6A69">
        <w:tc>
          <w:tcPr>
            <w:tcW w:w="8635" w:type="dxa"/>
            <w:tcBorders>
              <w:bottom w:val="single" w:sz="4" w:space="0" w:color="auto"/>
            </w:tcBorders>
            <w:shd w:val="clear" w:color="auto" w:fill="auto"/>
          </w:tcPr>
          <w:p w14:paraId="7AB0FC35" w14:textId="77777777" w:rsidR="00AB2FD0" w:rsidRPr="003B6A69" w:rsidRDefault="00AB2FD0" w:rsidP="003B6A69">
            <w:pPr>
              <w:tabs>
                <w:tab w:val="left" w:pos="585"/>
              </w:tabs>
              <w:spacing w:before="60"/>
              <w:ind w:left="567" w:hanging="567"/>
              <w:rPr>
                <w:rFonts w:eastAsia="MS Mincho"/>
                <w:sz w:val="18"/>
                <w:szCs w:val="18"/>
              </w:rPr>
            </w:pPr>
            <w:r w:rsidRPr="003B6A69">
              <w:rPr>
                <w:rFonts w:eastAsia="MS Mincho"/>
                <w:sz w:val="18"/>
                <w:szCs w:val="18"/>
              </w:rPr>
              <w:t>6.3</w:t>
            </w:r>
            <w:r w:rsidRPr="003B6A69">
              <w:rPr>
                <w:rFonts w:eastAsia="MS Mincho"/>
                <w:sz w:val="18"/>
                <w:szCs w:val="18"/>
              </w:rPr>
              <w:tab/>
              <w:t xml:space="preserve">Would the proposed Project potentially affect the human rights, lands, natural resources, territories, and traditional livelihoods of indigenous peoples (regardless of whether indigenous peoples possess the legal titles to such areas, whether the Project is located within or outside of the lands and territories inhabited by the affected peoples, or whether the indigenous peoples are recognized as indigenous peoples by the country in question)? </w:t>
            </w:r>
          </w:p>
          <w:p w14:paraId="72C8761C" w14:textId="77777777" w:rsidR="00AB2FD0" w:rsidRPr="003B6A69" w:rsidRDefault="00AB2FD0" w:rsidP="003B6A69">
            <w:pPr>
              <w:tabs>
                <w:tab w:val="left" w:pos="585"/>
              </w:tabs>
              <w:spacing w:before="60"/>
              <w:ind w:left="567" w:firstLine="40"/>
              <w:rPr>
                <w:rFonts w:eastAsia="MS Mincho"/>
                <w:i/>
                <w:sz w:val="18"/>
                <w:szCs w:val="18"/>
              </w:rPr>
            </w:pPr>
            <w:r w:rsidRPr="003B6A69">
              <w:rPr>
                <w:rFonts w:eastAsia="MS Mincho"/>
                <w:i/>
                <w:sz w:val="18"/>
                <w:szCs w:val="18"/>
              </w:rPr>
              <w:t>If the answer to the screening question 6.3 is “yes” the potential risk impacts are considered potentially severe and/or critical and the Project would be categorized as either Moderate or High Risk.</w:t>
            </w:r>
          </w:p>
        </w:tc>
        <w:tc>
          <w:tcPr>
            <w:tcW w:w="833" w:type="dxa"/>
            <w:tcBorders>
              <w:bottom w:val="single" w:sz="4" w:space="0" w:color="auto"/>
            </w:tcBorders>
            <w:shd w:val="clear" w:color="auto" w:fill="auto"/>
          </w:tcPr>
          <w:p w14:paraId="0F680FEE" w14:textId="77777777" w:rsidR="00AB2FD0" w:rsidRPr="003B6A69" w:rsidRDefault="00AB2FD0" w:rsidP="003B6A69">
            <w:pPr>
              <w:tabs>
                <w:tab w:val="left" w:pos="585"/>
              </w:tabs>
              <w:spacing w:before="60"/>
              <w:ind w:left="567" w:hanging="567"/>
              <w:rPr>
                <w:rFonts w:eastAsia="Times New Roman"/>
                <w:sz w:val="18"/>
                <w:szCs w:val="18"/>
                <w:lang w:eastAsia="ja-JP"/>
              </w:rPr>
            </w:pPr>
            <w:r w:rsidRPr="003B6A69">
              <w:rPr>
                <w:rFonts w:eastAsia="Times New Roman"/>
                <w:sz w:val="18"/>
                <w:szCs w:val="18"/>
                <w:lang w:eastAsia="ja-JP"/>
              </w:rPr>
              <w:t>No</w:t>
            </w:r>
          </w:p>
        </w:tc>
      </w:tr>
      <w:tr w:rsidR="00AB2FD0" w:rsidRPr="003B6A69" w14:paraId="2A679110" w14:textId="77777777" w:rsidTr="003B6A69">
        <w:tc>
          <w:tcPr>
            <w:tcW w:w="8635" w:type="dxa"/>
            <w:tcBorders>
              <w:bottom w:val="single" w:sz="4" w:space="0" w:color="auto"/>
            </w:tcBorders>
            <w:shd w:val="clear" w:color="auto" w:fill="auto"/>
          </w:tcPr>
          <w:p w14:paraId="449CACC7" w14:textId="77777777" w:rsidR="00AB2FD0" w:rsidRPr="003B6A69" w:rsidRDefault="00AB2FD0" w:rsidP="003B6A69">
            <w:pPr>
              <w:tabs>
                <w:tab w:val="left" w:pos="585"/>
              </w:tabs>
              <w:spacing w:before="60"/>
              <w:ind w:left="567" w:hanging="567"/>
              <w:rPr>
                <w:rFonts w:eastAsia="MS Mincho"/>
                <w:sz w:val="18"/>
                <w:szCs w:val="18"/>
              </w:rPr>
            </w:pPr>
            <w:r w:rsidRPr="003B6A69">
              <w:rPr>
                <w:rFonts w:eastAsia="MS Mincho"/>
                <w:sz w:val="18"/>
                <w:szCs w:val="18"/>
              </w:rPr>
              <w:t>6.4</w:t>
            </w:r>
            <w:r w:rsidRPr="003B6A69">
              <w:rPr>
                <w:rFonts w:eastAsia="MS Mincho"/>
                <w:sz w:val="18"/>
                <w:szCs w:val="18"/>
              </w:rPr>
              <w:tab/>
              <w:t xml:space="preserve">Has there been an absence of culturally appropriate consultations carried out with the objective of achieving FPIC on matters that may affect the rights and interests, lands, resources, </w:t>
            </w:r>
            <w:proofErr w:type="gramStart"/>
            <w:r w:rsidRPr="003B6A69">
              <w:rPr>
                <w:rFonts w:eastAsia="MS Mincho"/>
                <w:sz w:val="18"/>
                <w:szCs w:val="18"/>
              </w:rPr>
              <w:t>territories</w:t>
            </w:r>
            <w:proofErr w:type="gramEnd"/>
            <w:r w:rsidRPr="003B6A69">
              <w:rPr>
                <w:rFonts w:eastAsia="MS Mincho"/>
                <w:sz w:val="18"/>
                <w:szCs w:val="18"/>
              </w:rPr>
              <w:t xml:space="preserve"> and traditional livelihoods of the indigenous peoples concerned?</w:t>
            </w:r>
          </w:p>
        </w:tc>
        <w:tc>
          <w:tcPr>
            <w:tcW w:w="833" w:type="dxa"/>
            <w:tcBorders>
              <w:bottom w:val="single" w:sz="4" w:space="0" w:color="auto"/>
            </w:tcBorders>
            <w:shd w:val="clear" w:color="auto" w:fill="auto"/>
          </w:tcPr>
          <w:p w14:paraId="499D1626" w14:textId="77777777" w:rsidR="00AB2FD0" w:rsidRPr="003B6A69" w:rsidRDefault="00AB2FD0" w:rsidP="003B6A69">
            <w:pPr>
              <w:tabs>
                <w:tab w:val="left" w:pos="585"/>
              </w:tabs>
              <w:spacing w:before="60"/>
              <w:ind w:left="567" w:hanging="567"/>
              <w:rPr>
                <w:rFonts w:eastAsia="Times New Roman"/>
                <w:sz w:val="18"/>
                <w:szCs w:val="18"/>
                <w:lang w:eastAsia="ja-JP"/>
              </w:rPr>
            </w:pPr>
            <w:r w:rsidRPr="003B6A69">
              <w:rPr>
                <w:rFonts w:eastAsia="Times New Roman"/>
                <w:sz w:val="18"/>
                <w:szCs w:val="18"/>
                <w:lang w:eastAsia="ja-JP"/>
              </w:rPr>
              <w:t>No</w:t>
            </w:r>
          </w:p>
        </w:tc>
      </w:tr>
      <w:tr w:rsidR="00AB2FD0" w:rsidRPr="003B6A69" w14:paraId="033DD7E7" w14:textId="77777777" w:rsidTr="003B6A69">
        <w:tc>
          <w:tcPr>
            <w:tcW w:w="8635" w:type="dxa"/>
            <w:tcBorders>
              <w:bottom w:val="single" w:sz="4" w:space="0" w:color="auto"/>
            </w:tcBorders>
            <w:shd w:val="clear" w:color="auto" w:fill="auto"/>
          </w:tcPr>
          <w:p w14:paraId="6234E3CF" w14:textId="77777777" w:rsidR="00AB2FD0" w:rsidRPr="003B6A69" w:rsidRDefault="00AB2FD0" w:rsidP="003B6A69">
            <w:pPr>
              <w:tabs>
                <w:tab w:val="left" w:pos="585"/>
              </w:tabs>
              <w:spacing w:before="60"/>
              <w:ind w:left="567" w:hanging="567"/>
              <w:rPr>
                <w:rFonts w:eastAsia="MS Mincho"/>
                <w:sz w:val="18"/>
                <w:szCs w:val="18"/>
              </w:rPr>
            </w:pPr>
            <w:r w:rsidRPr="003B6A69">
              <w:rPr>
                <w:rFonts w:eastAsia="MS Mincho"/>
                <w:sz w:val="18"/>
                <w:szCs w:val="18"/>
              </w:rPr>
              <w:t>6.5</w:t>
            </w:r>
            <w:r w:rsidRPr="003B6A69">
              <w:rPr>
                <w:rFonts w:eastAsia="MS Mincho"/>
                <w:sz w:val="18"/>
                <w:szCs w:val="18"/>
              </w:rPr>
              <w:tab/>
              <w:t>Does the proposed Project involve the utilization and/or commercial development of natural resources on lands and territories claimed by indigenous peoples?</w:t>
            </w:r>
          </w:p>
        </w:tc>
        <w:tc>
          <w:tcPr>
            <w:tcW w:w="833" w:type="dxa"/>
            <w:tcBorders>
              <w:bottom w:val="single" w:sz="4" w:space="0" w:color="auto"/>
            </w:tcBorders>
            <w:shd w:val="clear" w:color="auto" w:fill="auto"/>
          </w:tcPr>
          <w:p w14:paraId="2214639A" w14:textId="77777777" w:rsidR="00AB2FD0" w:rsidRPr="003B6A69" w:rsidRDefault="00AB2FD0" w:rsidP="003B6A69">
            <w:pPr>
              <w:tabs>
                <w:tab w:val="left" w:pos="585"/>
              </w:tabs>
              <w:spacing w:before="60"/>
              <w:ind w:left="567" w:hanging="567"/>
              <w:rPr>
                <w:rFonts w:eastAsia="Times New Roman"/>
                <w:sz w:val="18"/>
                <w:szCs w:val="18"/>
                <w:lang w:eastAsia="ja-JP"/>
              </w:rPr>
            </w:pPr>
            <w:r w:rsidRPr="003B6A69">
              <w:rPr>
                <w:rFonts w:eastAsia="Times New Roman"/>
                <w:sz w:val="18"/>
                <w:szCs w:val="18"/>
                <w:lang w:eastAsia="ja-JP"/>
              </w:rPr>
              <w:t>No</w:t>
            </w:r>
          </w:p>
        </w:tc>
      </w:tr>
      <w:tr w:rsidR="00AB2FD0" w:rsidRPr="003B6A69" w14:paraId="0784EFA8" w14:textId="77777777" w:rsidTr="003B6A69">
        <w:tc>
          <w:tcPr>
            <w:tcW w:w="8635" w:type="dxa"/>
            <w:tcBorders>
              <w:bottom w:val="single" w:sz="4" w:space="0" w:color="auto"/>
            </w:tcBorders>
            <w:shd w:val="clear" w:color="auto" w:fill="auto"/>
          </w:tcPr>
          <w:p w14:paraId="76905AEF" w14:textId="77777777" w:rsidR="00AB2FD0" w:rsidRPr="003B6A69" w:rsidRDefault="00AB2FD0" w:rsidP="003B6A69">
            <w:pPr>
              <w:tabs>
                <w:tab w:val="left" w:pos="585"/>
              </w:tabs>
              <w:spacing w:before="60"/>
              <w:ind w:left="567" w:hanging="567"/>
              <w:rPr>
                <w:rFonts w:eastAsia="MS Mincho"/>
                <w:sz w:val="18"/>
                <w:szCs w:val="18"/>
              </w:rPr>
            </w:pPr>
            <w:r w:rsidRPr="003B6A69">
              <w:rPr>
                <w:rFonts w:eastAsia="MS Mincho"/>
                <w:sz w:val="18"/>
                <w:szCs w:val="18"/>
              </w:rPr>
              <w:t>6.6</w:t>
            </w:r>
            <w:r w:rsidRPr="003B6A69">
              <w:rPr>
                <w:rFonts w:eastAsia="MS Mincho"/>
                <w:sz w:val="18"/>
                <w:szCs w:val="18"/>
              </w:rPr>
              <w:tab/>
              <w:t>Is there a potential for forced eviction or the whole or partial physical or economic displacement of indigenous peoples, including through access restrictions to lands, territories, and resources?</w:t>
            </w:r>
          </w:p>
        </w:tc>
        <w:tc>
          <w:tcPr>
            <w:tcW w:w="833" w:type="dxa"/>
            <w:tcBorders>
              <w:bottom w:val="single" w:sz="4" w:space="0" w:color="auto"/>
            </w:tcBorders>
            <w:shd w:val="clear" w:color="auto" w:fill="auto"/>
          </w:tcPr>
          <w:p w14:paraId="1AFD6E80" w14:textId="77777777" w:rsidR="00AB2FD0" w:rsidRPr="003B6A69" w:rsidRDefault="00AB2FD0" w:rsidP="003B6A69">
            <w:pPr>
              <w:tabs>
                <w:tab w:val="left" w:pos="585"/>
              </w:tabs>
              <w:spacing w:before="60"/>
              <w:ind w:left="567" w:hanging="567"/>
              <w:rPr>
                <w:rFonts w:eastAsia="Times New Roman"/>
                <w:sz w:val="18"/>
                <w:szCs w:val="18"/>
                <w:lang w:eastAsia="ja-JP"/>
              </w:rPr>
            </w:pPr>
            <w:r w:rsidRPr="003B6A69">
              <w:rPr>
                <w:rFonts w:eastAsia="Times New Roman"/>
                <w:sz w:val="18"/>
                <w:szCs w:val="18"/>
                <w:lang w:eastAsia="ja-JP"/>
              </w:rPr>
              <w:t>No</w:t>
            </w:r>
          </w:p>
        </w:tc>
      </w:tr>
      <w:tr w:rsidR="00AB2FD0" w:rsidRPr="003B6A69" w14:paraId="11C1C38F" w14:textId="77777777" w:rsidTr="003B6A69">
        <w:tc>
          <w:tcPr>
            <w:tcW w:w="8635" w:type="dxa"/>
            <w:tcBorders>
              <w:bottom w:val="single" w:sz="4" w:space="0" w:color="auto"/>
            </w:tcBorders>
            <w:shd w:val="clear" w:color="auto" w:fill="auto"/>
          </w:tcPr>
          <w:p w14:paraId="11EABAA1" w14:textId="77777777" w:rsidR="00AB2FD0" w:rsidRPr="003B6A69" w:rsidRDefault="00AB2FD0" w:rsidP="003B6A69">
            <w:pPr>
              <w:tabs>
                <w:tab w:val="left" w:pos="585"/>
              </w:tabs>
              <w:spacing w:before="60"/>
              <w:ind w:left="567" w:hanging="567"/>
              <w:rPr>
                <w:rFonts w:eastAsia="MS Mincho"/>
                <w:sz w:val="18"/>
                <w:szCs w:val="18"/>
              </w:rPr>
            </w:pPr>
            <w:r w:rsidRPr="003B6A69">
              <w:rPr>
                <w:rFonts w:eastAsia="MS Mincho"/>
                <w:sz w:val="18"/>
                <w:szCs w:val="18"/>
              </w:rPr>
              <w:lastRenderedPageBreak/>
              <w:t>6.7</w:t>
            </w:r>
            <w:r w:rsidRPr="003B6A69">
              <w:rPr>
                <w:rFonts w:eastAsia="MS Mincho"/>
                <w:sz w:val="18"/>
                <w:szCs w:val="18"/>
              </w:rPr>
              <w:tab/>
              <w:t>Would the Project adversely affect the development priorities of indigenous peoples as defined by them?</w:t>
            </w:r>
          </w:p>
        </w:tc>
        <w:tc>
          <w:tcPr>
            <w:tcW w:w="833" w:type="dxa"/>
            <w:tcBorders>
              <w:bottom w:val="single" w:sz="4" w:space="0" w:color="auto"/>
            </w:tcBorders>
            <w:shd w:val="clear" w:color="auto" w:fill="auto"/>
          </w:tcPr>
          <w:p w14:paraId="7506679C" w14:textId="77777777" w:rsidR="00AB2FD0" w:rsidRPr="003B6A69" w:rsidRDefault="00AB2FD0" w:rsidP="003B6A69">
            <w:pPr>
              <w:tabs>
                <w:tab w:val="left" w:pos="585"/>
              </w:tabs>
              <w:spacing w:before="60"/>
              <w:ind w:left="567" w:hanging="567"/>
              <w:rPr>
                <w:rFonts w:eastAsia="Times New Roman"/>
                <w:sz w:val="18"/>
                <w:szCs w:val="18"/>
                <w:lang w:eastAsia="ja-JP"/>
              </w:rPr>
            </w:pPr>
            <w:r w:rsidRPr="003B6A69">
              <w:rPr>
                <w:rFonts w:eastAsia="Times New Roman"/>
                <w:sz w:val="18"/>
                <w:szCs w:val="18"/>
                <w:lang w:eastAsia="ja-JP"/>
              </w:rPr>
              <w:t>No</w:t>
            </w:r>
          </w:p>
        </w:tc>
      </w:tr>
      <w:tr w:rsidR="00AB2FD0" w:rsidRPr="003B6A69" w14:paraId="31C67078" w14:textId="77777777" w:rsidTr="003B6A69">
        <w:tc>
          <w:tcPr>
            <w:tcW w:w="8635" w:type="dxa"/>
            <w:tcBorders>
              <w:bottom w:val="single" w:sz="4" w:space="0" w:color="auto"/>
            </w:tcBorders>
            <w:shd w:val="clear" w:color="auto" w:fill="auto"/>
          </w:tcPr>
          <w:p w14:paraId="51781067" w14:textId="77777777" w:rsidR="00AB2FD0" w:rsidRPr="003B6A69" w:rsidRDefault="00AB2FD0" w:rsidP="003B6A69">
            <w:pPr>
              <w:tabs>
                <w:tab w:val="left" w:pos="585"/>
              </w:tabs>
              <w:spacing w:before="60"/>
              <w:ind w:left="567" w:hanging="567"/>
              <w:rPr>
                <w:rFonts w:eastAsia="MS Mincho"/>
                <w:sz w:val="18"/>
                <w:szCs w:val="18"/>
              </w:rPr>
            </w:pPr>
            <w:r w:rsidRPr="003B6A69">
              <w:rPr>
                <w:rFonts w:eastAsia="MS Mincho"/>
                <w:sz w:val="18"/>
                <w:szCs w:val="18"/>
              </w:rPr>
              <w:t>6.8</w:t>
            </w:r>
            <w:r w:rsidRPr="003B6A69">
              <w:rPr>
                <w:rFonts w:eastAsia="MS Mincho"/>
                <w:sz w:val="18"/>
                <w:szCs w:val="18"/>
              </w:rPr>
              <w:tab/>
              <w:t>Would the Project potentially affect the physical and cultural survival of indigenous peoples?</w:t>
            </w:r>
          </w:p>
        </w:tc>
        <w:tc>
          <w:tcPr>
            <w:tcW w:w="833" w:type="dxa"/>
            <w:tcBorders>
              <w:bottom w:val="single" w:sz="4" w:space="0" w:color="auto"/>
            </w:tcBorders>
            <w:shd w:val="clear" w:color="auto" w:fill="auto"/>
          </w:tcPr>
          <w:p w14:paraId="061A15E4" w14:textId="77777777" w:rsidR="00AB2FD0" w:rsidRPr="003B6A69" w:rsidRDefault="00AB2FD0" w:rsidP="003B6A69">
            <w:pPr>
              <w:tabs>
                <w:tab w:val="left" w:pos="585"/>
              </w:tabs>
              <w:spacing w:before="60"/>
              <w:ind w:left="567" w:hanging="567"/>
              <w:rPr>
                <w:rFonts w:eastAsia="Times New Roman"/>
                <w:sz w:val="18"/>
                <w:szCs w:val="18"/>
                <w:lang w:eastAsia="ja-JP"/>
              </w:rPr>
            </w:pPr>
            <w:r w:rsidRPr="003B6A69">
              <w:rPr>
                <w:rFonts w:eastAsia="Times New Roman"/>
                <w:sz w:val="18"/>
                <w:szCs w:val="18"/>
                <w:lang w:eastAsia="ja-JP"/>
              </w:rPr>
              <w:t>No</w:t>
            </w:r>
          </w:p>
        </w:tc>
      </w:tr>
      <w:tr w:rsidR="00AB2FD0" w:rsidRPr="003B6A69" w14:paraId="6AC69FF9" w14:textId="77777777" w:rsidTr="003B6A69">
        <w:tc>
          <w:tcPr>
            <w:tcW w:w="8635" w:type="dxa"/>
            <w:tcBorders>
              <w:bottom w:val="single" w:sz="4" w:space="0" w:color="auto"/>
            </w:tcBorders>
            <w:shd w:val="clear" w:color="auto" w:fill="auto"/>
          </w:tcPr>
          <w:p w14:paraId="24D57E9E" w14:textId="77777777" w:rsidR="00AB2FD0" w:rsidRPr="003B6A69" w:rsidRDefault="00AB2FD0" w:rsidP="003B6A69">
            <w:pPr>
              <w:tabs>
                <w:tab w:val="left" w:pos="585"/>
              </w:tabs>
              <w:spacing w:before="60"/>
              <w:ind w:left="567" w:hanging="567"/>
              <w:rPr>
                <w:rFonts w:eastAsia="MS Mincho"/>
                <w:sz w:val="18"/>
                <w:szCs w:val="18"/>
              </w:rPr>
            </w:pPr>
            <w:r w:rsidRPr="003B6A69">
              <w:rPr>
                <w:rFonts w:eastAsia="MS Mincho"/>
                <w:sz w:val="18"/>
                <w:szCs w:val="18"/>
              </w:rPr>
              <w:t>6.9</w:t>
            </w:r>
            <w:r w:rsidRPr="003B6A69">
              <w:rPr>
                <w:rFonts w:eastAsia="MS Mincho"/>
                <w:sz w:val="18"/>
                <w:szCs w:val="18"/>
              </w:rPr>
              <w:tab/>
              <w:t>Would the Project potentially affect the Cultural Heritage of indigenous peoples, including through the commercialization or use of their traditional knowledge and practices?</w:t>
            </w:r>
          </w:p>
        </w:tc>
        <w:tc>
          <w:tcPr>
            <w:tcW w:w="833" w:type="dxa"/>
            <w:tcBorders>
              <w:bottom w:val="single" w:sz="4" w:space="0" w:color="auto"/>
            </w:tcBorders>
            <w:shd w:val="clear" w:color="auto" w:fill="auto"/>
          </w:tcPr>
          <w:p w14:paraId="2D6730C4" w14:textId="77777777" w:rsidR="00AB2FD0" w:rsidRPr="003B6A69" w:rsidRDefault="00AB2FD0" w:rsidP="003B6A69">
            <w:pPr>
              <w:tabs>
                <w:tab w:val="left" w:pos="585"/>
              </w:tabs>
              <w:spacing w:before="60"/>
              <w:ind w:left="567" w:hanging="567"/>
              <w:rPr>
                <w:rFonts w:eastAsia="Times New Roman"/>
                <w:sz w:val="18"/>
                <w:szCs w:val="18"/>
                <w:lang w:eastAsia="ja-JP"/>
              </w:rPr>
            </w:pPr>
            <w:r w:rsidRPr="003B6A69">
              <w:rPr>
                <w:rFonts w:eastAsia="Times New Roman"/>
                <w:sz w:val="18"/>
                <w:szCs w:val="18"/>
                <w:lang w:eastAsia="ja-JP"/>
              </w:rPr>
              <w:t>No</w:t>
            </w:r>
          </w:p>
        </w:tc>
      </w:tr>
      <w:tr w:rsidR="00AB2FD0" w:rsidRPr="003B6A69" w14:paraId="69211826" w14:textId="77777777" w:rsidTr="003B6A69">
        <w:trPr>
          <w:trHeight w:val="602"/>
        </w:trPr>
        <w:tc>
          <w:tcPr>
            <w:tcW w:w="8635" w:type="dxa"/>
            <w:tcBorders>
              <w:bottom w:val="single" w:sz="4" w:space="0" w:color="auto"/>
            </w:tcBorders>
            <w:shd w:val="clear" w:color="auto" w:fill="DBE5F1"/>
            <w:vAlign w:val="center"/>
          </w:tcPr>
          <w:p w14:paraId="60F40C51" w14:textId="77777777" w:rsidR="00AB2FD0" w:rsidRPr="003B6A69" w:rsidRDefault="00AB2FD0" w:rsidP="003B6A69">
            <w:pPr>
              <w:tabs>
                <w:tab w:val="left" w:pos="570"/>
              </w:tabs>
              <w:spacing w:before="120"/>
              <w:rPr>
                <w:rFonts w:eastAsia="Times New Roman"/>
                <w:b/>
                <w:sz w:val="18"/>
                <w:szCs w:val="18"/>
                <w:lang w:eastAsia="ja-JP"/>
              </w:rPr>
            </w:pPr>
            <w:r w:rsidRPr="003B6A69">
              <w:rPr>
                <w:rFonts w:eastAsia="Times New Roman"/>
                <w:b/>
                <w:sz w:val="18"/>
                <w:szCs w:val="18"/>
                <w:lang w:eastAsia="ja-JP"/>
              </w:rPr>
              <w:t>Standard 7: Pollution Prevention and Resource Efficiency</w:t>
            </w:r>
          </w:p>
        </w:tc>
        <w:tc>
          <w:tcPr>
            <w:tcW w:w="833" w:type="dxa"/>
            <w:tcBorders>
              <w:bottom w:val="single" w:sz="4" w:space="0" w:color="auto"/>
            </w:tcBorders>
            <w:shd w:val="clear" w:color="auto" w:fill="DBE5F1"/>
            <w:vAlign w:val="center"/>
          </w:tcPr>
          <w:p w14:paraId="0D8958D2" w14:textId="77777777" w:rsidR="00AB2FD0" w:rsidRPr="003B6A69" w:rsidRDefault="00AB2FD0" w:rsidP="003B6A69">
            <w:pPr>
              <w:rPr>
                <w:rFonts w:eastAsia="Times New Roman"/>
                <w:b/>
                <w:i/>
                <w:sz w:val="18"/>
                <w:szCs w:val="18"/>
                <w:lang w:eastAsia="ja-JP"/>
              </w:rPr>
            </w:pPr>
          </w:p>
        </w:tc>
      </w:tr>
      <w:tr w:rsidR="00AB2FD0" w:rsidRPr="003B6A69" w14:paraId="731B7EFF" w14:textId="77777777" w:rsidTr="003B6A69">
        <w:tc>
          <w:tcPr>
            <w:tcW w:w="8635" w:type="dxa"/>
            <w:shd w:val="clear" w:color="auto" w:fill="auto"/>
          </w:tcPr>
          <w:p w14:paraId="35A85BEC" w14:textId="77777777" w:rsidR="00AB2FD0" w:rsidRPr="003B6A69" w:rsidRDefault="00AB2FD0" w:rsidP="003B6A69">
            <w:pPr>
              <w:tabs>
                <w:tab w:val="left" w:pos="585"/>
              </w:tabs>
              <w:spacing w:before="60"/>
              <w:ind w:left="567" w:hanging="567"/>
              <w:rPr>
                <w:rFonts w:eastAsia="Times New Roman"/>
                <w:sz w:val="18"/>
                <w:szCs w:val="18"/>
                <w:lang w:eastAsia="ja-JP"/>
              </w:rPr>
            </w:pPr>
            <w:r w:rsidRPr="003B6A69">
              <w:rPr>
                <w:rFonts w:eastAsia="Times New Roman"/>
                <w:sz w:val="18"/>
                <w:szCs w:val="18"/>
                <w:lang w:eastAsia="ja-JP"/>
              </w:rPr>
              <w:t>7.1</w:t>
            </w:r>
            <w:r w:rsidRPr="003B6A69">
              <w:rPr>
                <w:rFonts w:eastAsia="Times New Roman"/>
                <w:sz w:val="18"/>
                <w:szCs w:val="18"/>
                <w:lang w:eastAsia="ja-JP"/>
              </w:rPr>
              <w:tab/>
              <w:t xml:space="preserve">Would the Project potentially result in the release of pollutants to the environment due to routine or non-routine circumstances with the potential for adverse local, regional, and/or </w:t>
            </w:r>
            <w:hyperlink w:anchor="TransboundaryImpactsGlossary" w:history="1">
              <w:r w:rsidRPr="003B6A69">
                <w:rPr>
                  <w:rFonts w:eastAsia="Times New Roman"/>
                  <w:sz w:val="18"/>
                  <w:szCs w:val="18"/>
                  <w:lang w:eastAsia="ja-JP"/>
                </w:rPr>
                <w:t>transboundary impacts</w:t>
              </w:r>
            </w:hyperlink>
            <w:r w:rsidRPr="003B6A69">
              <w:rPr>
                <w:rFonts w:eastAsia="Times New Roman"/>
                <w:sz w:val="18"/>
                <w:szCs w:val="18"/>
                <w:lang w:eastAsia="ja-JP"/>
              </w:rPr>
              <w:t xml:space="preserve">? </w:t>
            </w:r>
          </w:p>
        </w:tc>
        <w:tc>
          <w:tcPr>
            <w:tcW w:w="833" w:type="dxa"/>
            <w:shd w:val="clear" w:color="auto" w:fill="auto"/>
          </w:tcPr>
          <w:p w14:paraId="16DB38B7" w14:textId="77777777" w:rsidR="00AB2FD0" w:rsidRPr="003B6A69" w:rsidRDefault="00AB2FD0" w:rsidP="003B6A69">
            <w:pPr>
              <w:rPr>
                <w:rFonts w:eastAsia="Times New Roman"/>
                <w:sz w:val="18"/>
                <w:szCs w:val="18"/>
                <w:lang w:eastAsia="ja-JP"/>
              </w:rPr>
            </w:pPr>
            <w:r w:rsidRPr="003B6A69">
              <w:rPr>
                <w:rFonts w:eastAsia="Times New Roman"/>
                <w:sz w:val="18"/>
                <w:szCs w:val="18"/>
                <w:lang w:eastAsia="ja-JP"/>
              </w:rPr>
              <w:t>No</w:t>
            </w:r>
          </w:p>
        </w:tc>
      </w:tr>
      <w:tr w:rsidR="00AB2FD0" w:rsidRPr="003B6A69" w14:paraId="1C626E73" w14:textId="77777777" w:rsidTr="003B6A69">
        <w:tc>
          <w:tcPr>
            <w:tcW w:w="8635" w:type="dxa"/>
            <w:tcBorders>
              <w:bottom w:val="single" w:sz="4" w:space="0" w:color="auto"/>
            </w:tcBorders>
            <w:shd w:val="clear" w:color="auto" w:fill="auto"/>
          </w:tcPr>
          <w:p w14:paraId="00E3F786" w14:textId="77777777" w:rsidR="00AB2FD0" w:rsidRPr="003B6A69" w:rsidRDefault="00AB2FD0" w:rsidP="003B6A69">
            <w:pPr>
              <w:tabs>
                <w:tab w:val="left" w:pos="585"/>
              </w:tabs>
              <w:spacing w:before="60"/>
              <w:ind w:left="567" w:hanging="567"/>
              <w:rPr>
                <w:rFonts w:eastAsia="Times New Roman"/>
                <w:sz w:val="18"/>
                <w:szCs w:val="18"/>
                <w:lang w:eastAsia="ja-JP"/>
              </w:rPr>
            </w:pPr>
            <w:r w:rsidRPr="003B6A69">
              <w:rPr>
                <w:rFonts w:eastAsia="Times New Roman"/>
                <w:sz w:val="18"/>
                <w:szCs w:val="18"/>
                <w:lang w:eastAsia="ja-JP"/>
              </w:rPr>
              <w:t>7.2</w:t>
            </w:r>
            <w:r w:rsidRPr="003B6A69">
              <w:rPr>
                <w:rFonts w:eastAsia="Times New Roman"/>
                <w:sz w:val="18"/>
                <w:szCs w:val="18"/>
                <w:lang w:eastAsia="ja-JP"/>
              </w:rPr>
              <w:tab/>
              <w:t>Would the proposed Project potentially result in the generation of waste (both hazardous and non-hazardous)?</w:t>
            </w:r>
          </w:p>
        </w:tc>
        <w:tc>
          <w:tcPr>
            <w:tcW w:w="833" w:type="dxa"/>
            <w:tcBorders>
              <w:bottom w:val="single" w:sz="4" w:space="0" w:color="auto"/>
            </w:tcBorders>
            <w:shd w:val="clear" w:color="auto" w:fill="auto"/>
          </w:tcPr>
          <w:p w14:paraId="449B7EF6" w14:textId="77777777" w:rsidR="00AB2FD0" w:rsidRPr="003B6A69" w:rsidRDefault="00AB2FD0" w:rsidP="003B6A69">
            <w:pPr>
              <w:rPr>
                <w:rFonts w:eastAsia="Times New Roman"/>
                <w:sz w:val="18"/>
                <w:szCs w:val="18"/>
                <w:lang w:eastAsia="ja-JP"/>
              </w:rPr>
            </w:pPr>
            <w:r w:rsidRPr="003B6A69">
              <w:rPr>
                <w:rFonts w:eastAsia="Times New Roman"/>
                <w:sz w:val="18"/>
                <w:szCs w:val="18"/>
                <w:lang w:eastAsia="ja-JP"/>
              </w:rPr>
              <w:t>Yes</w:t>
            </w:r>
          </w:p>
        </w:tc>
      </w:tr>
      <w:tr w:rsidR="00AB2FD0" w:rsidRPr="003B6A69" w14:paraId="05130D4D" w14:textId="77777777" w:rsidTr="003B6A69">
        <w:trPr>
          <w:trHeight w:val="402"/>
        </w:trPr>
        <w:tc>
          <w:tcPr>
            <w:tcW w:w="8635" w:type="dxa"/>
            <w:tcBorders>
              <w:bottom w:val="single" w:sz="4" w:space="0" w:color="auto"/>
            </w:tcBorders>
            <w:shd w:val="clear" w:color="auto" w:fill="auto"/>
          </w:tcPr>
          <w:p w14:paraId="0733F0DF" w14:textId="77777777" w:rsidR="00AB2FD0" w:rsidRPr="003B6A69" w:rsidRDefault="00AB2FD0" w:rsidP="003B6A69">
            <w:pPr>
              <w:tabs>
                <w:tab w:val="left" w:pos="585"/>
              </w:tabs>
              <w:spacing w:before="60"/>
              <w:ind w:left="567" w:hanging="567"/>
              <w:rPr>
                <w:rFonts w:eastAsia="Times New Roman"/>
                <w:sz w:val="18"/>
                <w:szCs w:val="18"/>
                <w:lang w:eastAsia="ja-JP"/>
              </w:rPr>
            </w:pPr>
            <w:r w:rsidRPr="003B6A69">
              <w:rPr>
                <w:rFonts w:eastAsia="Times New Roman"/>
                <w:sz w:val="18"/>
                <w:szCs w:val="18"/>
                <w:lang w:eastAsia="ja-JP"/>
              </w:rPr>
              <w:t>7.3</w:t>
            </w:r>
            <w:r w:rsidRPr="003B6A69">
              <w:rPr>
                <w:rFonts w:eastAsia="Times New Roman"/>
                <w:sz w:val="18"/>
                <w:szCs w:val="18"/>
                <w:lang w:eastAsia="ja-JP"/>
              </w:rPr>
              <w:tab/>
              <w:t>Will the proposed Project potentially involve the manufacture, trade, release, and/or use of hazardous chemicals and/or materials? Does the Project propose use of chemicals or materials subject to international bans or phase-outs?</w:t>
            </w:r>
          </w:p>
          <w:p w14:paraId="6EAC4C3D" w14:textId="77777777" w:rsidR="00AB2FD0" w:rsidRPr="003B6A69" w:rsidRDefault="00AB2FD0" w:rsidP="003B6A69">
            <w:pPr>
              <w:tabs>
                <w:tab w:val="left" w:pos="630"/>
              </w:tabs>
              <w:spacing w:before="60"/>
              <w:ind w:left="630"/>
              <w:rPr>
                <w:rFonts w:eastAsia="Times New Roman"/>
                <w:sz w:val="18"/>
                <w:szCs w:val="18"/>
                <w:lang w:eastAsia="ja-JP"/>
              </w:rPr>
            </w:pPr>
            <w:r w:rsidRPr="003B6A69">
              <w:rPr>
                <w:rFonts w:eastAsia="Times New Roman"/>
                <w:i/>
                <w:sz w:val="18"/>
                <w:szCs w:val="18"/>
                <w:lang w:eastAsia="ja-JP"/>
              </w:rPr>
              <w:t xml:space="preserve">For example, DDT, </w:t>
            </w:r>
            <w:proofErr w:type="gramStart"/>
            <w:r w:rsidRPr="003B6A69">
              <w:rPr>
                <w:rFonts w:eastAsia="Times New Roman"/>
                <w:i/>
                <w:sz w:val="18"/>
                <w:szCs w:val="18"/>
                <w:lang w:eastAsia="ja-JP"/>
              </w:rPr>
              <w:t>PCBs</w:t>
            </w:r>
            <w:proofErr w:type="gramEnd"/>
            <w:r w:rsidRPr="003B6A69">
              <w:rPr>
                <w:rFonts w:eastAsia="Times New Roman"/>
                <w:i/>
                <w:sz w:val="18"/>
                <w:szCs w:val="18"/>
                <w:lang w:eastAsia="ja-JP"/>
              </w:rPr>
              <w:t xml:space="preserve"> and other chemicals listed in international conventions such as the Stockholm Conventions on Persistent Organic Pollutants or the Montreal Protocol</w:t>
            </w:r>
            <w:r w:rsidRPr="003B6A69">
              <w:rPr>
                <w:rFonts w:eastAsia="Times New Roman"/>
                <w:sz w:val="18"/>
                <w:szCs w:val="18"/>
                <w:lang w:eastAsia="ja-JP"/>
              </w:rPr>
              <w:t xml:space="preserve"> </w:t>
            </w:r>
          </w:p>
        </w:tc>
        <w:tc>
          <w:tcPr>
            <w:tcW w:w="833" w:type="dxa"/>
            <w:tcBorders>
              <w:bottom w:val="single" w:sz="4" w:space="0" w:color="auto"/>
            </w:tcBorders>
            <w:shd w:val="clear" w:color="auto" w:fill="auto"/>
          </w:tcPr>
          <w:p w14:paraId="62F5A6F6" w14:textId="77777777" w:rsidR="00AB2FD0" w:rsidRPr="003B6A69" w:rsidRDefault="00AB2FD0" w:rsidP="003B6A69">
            <w:pPr>
              <w:rPr>
                <w:rFonts w:eastAsia="Times New Roman"/>
                <w:sz w:val="18"/>
                <w:szCs w:val="18"/>
                <w:lang w:eastAsia="ja-JP"/>
              </w:rPr>
            </w:pPr>
            <w:r w:rsidRPr="003B6A69">
              <w:rPr>
                <w:rFonts w:eastAsia="Times New Roman"/>
                <w:sz w:val="18"/>
                <w:szCs w:val="18"/>
                <w:lang w:eastAsia="ja-JP"/>
              </w:rPr>
              <w:t>No</w:t>
            </w:r>
          </w:p>
        </w:tc>
      </w:tr>
      <w:tr w:rsidR="00AB2FD0" w:rsidRPr="003B6A69" w14:paraId="767E9388" w14:textId="77777777" w:rsidTr="003B6A69">
        <w:tc>
          <w:tcPr>
            <w:tcW w:w="8635" w:type="dxa"/>
            <w:tcBorders>
              <w:bottom w:val="single" w:sz="4" w:space="0" w:color="auto"/>
            </w:tcBorders>
            <w:shd w:val="clear" w:color="auto" w:fill="auto"/>
          </w:tcPr>
          <w:p w14:paraId="46F205F5" w14:textId="77777777" w:rsidR="00AB2FD0" w:rsidRPr="003B6A69" w:rsidRDefault="00AB2FD0" w:rsidP="003B6A69">
            <w:pPr>
              <w:tabs>
                <w:tab w:val="left" w:pos="585"/>
              </w:tabs>
              <w:spacing w:before="60"/>
              <w:ind w:left="567" w:hanging="567"/>
              <w:rPr>
                <w:rFonts w:eastAsia="Times New Roman"/>
                <w:sz w:val="18"/>
                <w:szCs w:val="18"/>
                <w:lang w:eastAsia="ja-JP"/>
              </w:rPr>
            </w:pPr>
            <w:r w:rsidRPr="003B6A69">
              <w:rPr>
                <w:rFonts w:eastAsia="Times New Roman"/>
                <w:sz w:val="18"/>
                <w:szCs w:val="18"/>
                <w:lang w:eastAsia="ja-JP"/>
              </w:rPr>
              <w:t xml:space="preserve">7.4 </w:t>
            </w:r>
            <w:r w:rsidRPr="003B6A69">
              <w:rPr>
                <w:rFonts w:eastAsia="Times New Roman"/>
                <w:sz w:val="18"/>
                <w:szCs w:val="18"/>
                <w:lang w:eastAsia="ja-JP"/>
              </w:rPr>
              <w:tab/>
              <w:t>Will the proposed Project involve the application of pesticides that may have a negative effect on the environment or human health?</w:t>
            </w:r>
          </w:p>
        </w:tc>
        <w:tc>
          <w:tcPr>
            <w:tcW w:w="833" w:type="dxa"/>
            <w:tcBorders>
              <w:bottom w:val="single" w:sz="4" w:space="0" w:color="auto"/>
            </w:tcBorders>
            <w:shd w:val="clear" w:color="auto" w:fill="auto"/>
          </w:tcPr>
          <w:p w14:paraId="4DDB70AE" w14:textId="77777777" w:rsidR="00AB2FD0" w:rsidRPr="003B6A69" w:rsidRDefault="00AB2FD0" w:rsidP="003B6A69">
            <w:pPr>
              <w:tabs>
                <w:tab w:val="left" w:pos="585"/>
              </w:tabs>
              <w:spacing w:before="60"/>
              <w:ind w:left="567" w:hanging="567"/>
              <w:rPr>
                <w:rFonts w:eastAsia="Times New Roman"/>
                <w:sz w:val="18"/>
                <w:szCs w:val="18"/>
                <w:lang w:eastAsia="ja-JP"/>
              </w:rPr>
            </w:pPr>
            <w:r w:rsidRPr="003B6A69">
              <w:rPr>
                <w:rFonts w:eastAsia="Times New Roman"/>
                <w:sz w:val="18"/>
                <w:szCs w:val="18"/>
                <w:lang w:eastAsia="ja-JP"/>
              </w:rPr>
              <w:t>Yes</w:t>
            </w:r>
          </w:p>
        </w:tc>
      </w:tr>
      <w:tr w:rsidR="00AB2FD0" w:rsidRPr="003B6A69" w14:paraId="7C368B0C" w14:textId="77777777" w:rsidTr="003B6A69">
        <w:tc>
          <w:tcPr>
            <w:tcW w:w="8635" w:type="dxa"/>
            <w:tcBorders>
              <w:bottom w:val="single" w:sz="4" w:space="0" w:color="auto"/>
            </w:tcBorders>
            <w:shd w:val="clear" w:color="auto" w:fill="auto"/>
          </w:tcPr>
          <w:p w14:paraId="70EEBDD1" w14:textId="77777777" w:rsidR="00AB2FD0" w:rsidRPr="003B6A69" w:rsidRDefault="00AB2FD0" w:rsidP="003B6A69">
            <w:pPr>
              <w:tabs>
                <w:tab w:val="left" w:pos="585"/>
              </w:tabs>
              <w:spacing w:before="60"/>
              <w:ind w:left="567" w:hanging="567"/>
              <w:rPr>
                <w:rFonts w:eastAsia="Times New Roman"/>
                <w:sz w:val="18"/>
                <w:szCs w:val="18"/>
                <w:lang w:eastAsia="ja-JP"/>
              </w:rPr>
            </w:pPr>
            <w:r w:rsidRPr="003B6A69">
              <w:rPr>
                <w:rFonts w:eastAsia="Times New Roman"/>
                <w:sz w:val="18"/>
                <w:szCs w:val="18"/>
                <w:lang w:eastAsia="ja-JP"/>
              </w:rPr>
              <w:t>7.5</w:t>
            </w:r>
            <w:r w:rsidRPr="003B6A69">
              <w:rPr>
                <w:rFonts w:eastAsia="Times New Roman"/>
                <w:sz w:val="18"/>
                <w:szCs w:val="18"/>
                <w:lang w:eastAsia="ja-JP"/>
              </w:rPr>
              <w:tab/>
              <w:t xml:space="preserve">Does the Project include activities that require significant consumption of raw materials, energy, and/or water? </w:t>
            </w:r>
          </w:p>
        </w:tc>
        <w:tc>
          <w:tcPr>
            <w:tcW w:w="833" w:type="dxa"/>
            <w:tcBorders>
              <w:bottom w:val="single" w:sz="4" w:space="0" w:color="auto"/>
            </w:tcBorders>
            <w:shd w:val="clear" w:color="auto" w:fill="auto"/>
          </w:tcPr>
          <w:p w14:paraId="11F4ED0B" w14:textId="77777777" w:rsidR="00AB2FD0" w:rsidRPr="003B6A69" w:rsidRDefault="00AB2FD0" w:rsidP="003B6A69">
            <w:pPr>
              <w:tabs>
                <w:tab w:val="left" w:pos="585"/>
              </w:tabs>
              <w:spacing w:before="60"/>
              <w:ind w:left="567" w:hanging="567"/>
              <w:rPr>
                <w:rFonts w:eastAsia="Times New Roman"/>
                <w:sz w:val="18"/>
                <w:szCs w:val="18"/>
                <w:lang w:eastAsia="ja-JP"/>
              </w:rPr>
            </w:pPr>
            <w:r w:rsidRPr="003B6A69">
              <w:rPr>
                <w:rFonts w:eastAsia="Times New Roman"/>
                <w:sz w:val="18"/>
                <w:szCs w:val="18"/>
                <w:lang w:eastAsia="ja-JP"/>
              </w:rPr>
              <w:t>No</w:t>
            </w:r>
          </w:p>
        </w:tc>
      </w:tr>
    </w:tbl>
    <w:p w14:paraId="53813336" w14:textId="77777777" w:rsidR="00AB2FD0" w:rsidRPr="003B6A69" w:rsidRDefault="00AB2FD0" w:rsidP="00AB2FD0"/>
    <w:p w14:paraId="477838C7" w14:textId="77777777" w:rsidR="00D1090B" w:rsidRPr="003B6A69" w:rsidRDefault="00D1090B" w:rsidP="00D1090B"/>
    <w:p w14:paraId="6D56C022" w14:textId="3415D0B0" w:rsidR="003A2FD4" w:rsidRPr="003B6A69" w:rsidRDefault="003A2FD4">
      <w:pPr>
        <w:spacing w:after="0"/>
        <w:jc w:val="left"/>
        <w:rPr>
          <w:lang w:val="en-GB"/>
        </w:rPr>
      </w:pPr>
      <w:r w:rsidRPr="003B6A69">
        <w:rPr>
          <w:lang w:val="en-GB"/>
        </w:rPr>
        <w:br w:type="page"/>
      </w:r>
    </w:p>
    <w:p w14:paraId="5ED2B59B" w14:textId="2B12A86A" w:rsidR="00D135BA" w:rsidRPr="003B6A69" w:rsidRDefault="00D135BA" w:rsidP="00B24DF3">
      <w:pPr>
        <w:pStyle w:val="Heading2"/>
        <w:rPr>
          <w:lang w:val="en-GB"/>
        </w:rPr>
      </w:pPr>
      <w:bookmarkStart w:id="76" w:name="_Annex_6:_UNDP"/>
      <w:bookmarkStart w:id="77" w:name="_Toc10449650"/>
      <w:bookmarkStart w:id="78" w:name="_Toc82018279"/>
      <w:bookmarkEnd w:id="76"/>
      <w:r w:rsidRPr="003B6A69">
        <w:rPr>
          <w:lang w:val="en-GB"/>
        </w:rPr>
        <w:lastRenderedPageBreak/>
        <w:t xml:space="preserve">Annex </w:t>
      </w:r>
      <w:r w:rsidR="006C1C66" w:rsidRPr="003B6A69">
        <w:rPr>
          <w:lang w:val="en-GB"/>
        </w:rPr>
        <w:t>6</w:t>
      </w:r>
      <w:r w:rsidRPr="003B6A69">
        <w:rPr>
          <w:lang w:val="en-GB"/>
        </w:rPr>
        <w:t>: UNDP</w:t>
      </w:r>
      <w:r w:rsidR="00013260" w:rsidRPr="003B6A69">
        <w:rPr>
          <w:lang w:val="en-GB"/>
        </w:rPr>
        <w:t xml:space="preserve"> Atlas</w:t>
      </w:r>
      <w:r w:rsidRPr="003B6A69">
        <w:rPr>
          <w:lang w:val="en-GB"/>
        </w:rPr>
        <w:t xml:space="preserve"> Risk </w:t>
      </w:r>
      <w:bookmarkEnd w:id="77"/>
      <w:r w:rsidR="00224331" w:rsidRPr="003B6A69">
        <w:rPr>
          <w:lang w:val="en-GB"/>
        </w:rPr>
        <w:t>Register</w:t>
      </w:r>
      <w:bookmarkEnd w:id="78"/>
    </w:p>
    <w:tbl>
      <w:tblPr>
        <w:tblW w:w="0" w:type="auto"/>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3"/>
        <w:gridCol w:w="2667"/>
        <w:gridCol w:w="1170"/>
        <w:gridCol w:w="1405"/>
        <w:gridCol w:w="2619"/>
        <w:gridCol w:w="2260"/>
      </w:tblGrid>
      <w:tr w:rsidR="00E43D36" w:rsidRPr="003B6A69" w14:paraId="0492CBDB" w14:textId="77777777" w:rsidTr="007E29B1">
        <w:tc>
          <w:tcPr>
            <w:tcW w:w="0" w:type="auto"/>
            <w:shd w:val="clear" w:color="auto" w:fill="FFCC00"/>
          </w:tcPr>
          <w:p w14:paraId="43B07ED8" w14:textId="77777777" w:rsidR="00E43D36" w:rsidRPr="003B6A69" w:rsidRDefault="00E43D36" w:rsidP="00E43D36">
            <w:pPr>
              <w:spacing w:after="0"/>
              <w:rPr>
                <w:rFonts w:cs="Calibri"/>
                <w:b/>
                <w:sz w:val="16"/>
                <w:szCs w:val="16"/>
              </w:rPr>
            </w:pPr>
            <w:r w:rsidRPr="003B6A69">
              <w:rPr>
                <w:rFonts w:cs="Calibri"/>
                <w:b/>
                <w:sz w:val="16"/>
                <w:szCs w:val="16"/>
              </w:rPr>
              <w:t>#</w:t>
            </w:r>
          </w:p>
        </w:tc>
        <w:tc>
          <w:tcPr>
            <w:tcW w:w="2667" w:type="dxa"/>
            <w:shd w:val="clear" w:color="auto" w:fill="FFCC00"/>
          </w:tcPr>
          <w:p w14:paraId="64FEEDD2" w14:textId="77777777" w:rsidR="00E43D36" w:rsidRPr="003B6A69" w:rsidRDefault="00E43D36" w:rsidP="00E43D36">
            <w:pPr>
              <w:spacing w:after="0"/>
              <w:rPr>
                <w:rFonts w:cs="Calibri"/>
                <w:b/>
                <w:sz w:val="16"/>
                <w:szCs w:val="16"/>
              </w:rPr>
            </w:pPr>
            <w:r w:rsidRPr="003B6A69">
              <w:rPr>
                <w:rFonts w:cs="Calibri"/>
                <w:b/>
                <w:sz w:val="16"/>
                <w:szCs w:val="16"/>
              </w:rPr>
              <w:t>Description</w:t>
            </w:r>
          </w:p>
        </w:tc>
        <w:tc>
          <w:tcPr>
            <w:tcW w:w="1170" w:type="dxa"/>
            <w:shd w:val="clear" w:color="auto" w:fill="FFCC00"/>
          </w:tcPr>
          <w:p w14:paraId="22F68AD3" w14:textId="77777777" w:rsidR="00E43D36" w:rsidRPr="003B6A69" w:rsidRDefault="00E43D36" w:rsidP="00E43D36">
            <w:pPr>
              <w:spacing w:after="0"/>
              <w:rPr>
                <w:rFonts w:cs="Calibri"/>
                <w:b/>
                <w:sz w:val="16"/>
                <w:szCs w:val="16"/>
              </w:rPr>
            </w:pPr>
            <w:r w:rsidRPr="003B6A69">
              <w:rPr>
                <w:rFonts w:cs="Calibri"/>
                <w:b/>
                <w:sz w:val="16"/>
                <w:szCs w:val="16"/>
              </w:rPr>
              <w:t>Risk Category</w:t>
            </w:r>
          </w:p>
        </w:tc>
        <w:tc>
          <w:tcPr>
            <w:tcW w:w="1405" w:type="dxa"/>
            <w:shd w:val="clear" w:color="auto" w:fill="FFCC00"/>
          </w:tcPr>
          <w:p w14:paraId="67388BF4" w14:textId="77777777" w:rsidR="00E43D36" w:rsidRPr="003B6A69" w:rsidRDefault="00E43D36" w:rsidP="00E43D36">
            <w:pPr>
              <w:spacing w:after="0"/>
              <w:rPr>
                <w:rFonts w:cs="Calibri"/>
                <w:b/>
                <w:sz w:val="16"/>
                <w:szCs w:val="16"/>
              </w:rPr>
            </w:pPr>
            <w:r w:rsidRPr="003B6A69">
              <w:rPr>
                <w:rFonts w:cs="Calibri"/>
                <w:b/>
                <w:sz w:val="16"/>
                <w:szCs w:val="16"/>
              </w:rPr>
              <w:t>Impact &amp;</w:t>
            </w:r>
          </w:p>
          <w:p w14:paraId="7F5DFE88" w14:textId="77777777" w:rsidR="00E43D36" w:rsidRPr="003B6A69" w:rsidRDefault="00E43D36" w:rsidP="00E43D36">
            <w:pPr>
              <w:spacing w:after="0"/>
              <w:rPr>
                <w:rFonts w:cs="Calibri"/>
                <w:b/>
                <w:sz w:val="16"/>
                <w:szCs w:val="16"/>
              </w:rPr>
            </w:pPr>
            <w:r w:rsidRPr="003B6A69">
              <w:rPr>
                <w:rFonts w:cs="Calibri"/>
                <w:b/>
                <w:sz w:val="16"/>
                <w:szCs w:val="16"/>
              </w:rPr>
              <w:t>Probability</w:t>
            </w:r>
          </w:p>
        </w:tc>
        <w:tc>
          <w:tcPr>
            <w:tcW w:w="2619" w:type="dxa"/>
            <w:shd w:val="clear" w:color="auto" w:fill="FFCC00"/>
          </w:tcPr>
          <w:p w14:paraId="53FAA104" w14:textId="77777777" w:rsidR="00E43D36" w:rsidRPr="003B6A69" w:rsidRDefault="00E43D36" w:rsidP="00E43D36">
            <w:pPr>
              <w:spacing w:after="0"/>
              <w:rPr>
                <w:rFonts w:cs="Calibri"/>
                <w:b/>
                <w:sz w:val="16"/>
                <w:szCs w:val="16"/>
              </w:rPr>
            </w:pPr>
            <w:r w:rsidRPr="003B6A69">
              <w:rPr>
                <w:rFonts w:cs="Calibri"/>
                <w:b/>
                <w:sz w:val="16"/>
                <w:szCs w:val="16"/>
              </w:rPr>
              <w:t>Risk Treatment / Management Measures</w:t>
            </w:r>
          </w:p>
        </w:tc>
        <w:tc>
          <w:tcPr>
            <w:tcW w:w="2260" w:type="dxa"/>
            <w:shd w:val="clear" w:color="auto" w:fill="FFCC00"/>
          </w:tcPr>
          <w:p w14:paraId="50FFE8CC" w14:textId="77777777" w:rsidR="00E43D36" w:rsidRPr="003B6A69" w:rsidRDefault="00E43D36" w:rsidP="00E43D36">
            <w:pPr>
              <w:spacing w:after="0"/>
              <w:rPr>
                <w:rFonts w:cs="Calibri"/>
                <w:b/>
                <w:sz w:val="16"/>
                <w:szCs w:val="16"/>
              </w:rPr>
            </w:pPr>
            <w:r w:rsidRPr="003B6A69">
              <w:rPr>
                <w:rFonts w:cs="Calibri"/>
                <w:b/>
                <w:sz w:val="16"/>
                <w:szCs w:val="16"/>
              </w:rPr>
              <w:t>Risk Owner</w:t>
            </w:r>
          </w:p>
        </w:tc>
      </w:tr>
      <w:tr w:rsidR="00E43D36" w:rsidRPr="003B6A69" w14:paraId="5386A9BC" w14:textId="77777777" w:rsidTr="007E29B1">
        <w:tc>
          <w:tcPr>
            <w:tcW w:w="0" w:type="auto"/>
          </w:tcPr>
          <w:p w14:paraId="0EA339B3" w14:textId="77777777" w:rsidR="00E43D36" w:rsidRPr="003B6A69" w:rsidRDefault="00E43D36" w:rsidP="00E43D36">
            <w:pPr>
              <w:spacing w:after="0"/>
              <w:rPr>
                <w:rFonts w:cs="Calibri"/>
                <w:sz w:val="16"/>
                <w:szCs w:val="16"/>
              </w:rPr>
            </w:pPr>
            <w:r w:rsidRPr="003B6A69">
              <w:rPr>
                <w:rFonts w:cs="Calibri"/>
                <w:sz w:val="16"/>
                <w:szCs w:val="16"/>
              </w:rPr>
              <w:t>1</w:t>
            </w:r>
          </w:p>
        </w:tc>
        <w:tc>
          <w:tcPr>
            <w:tcW w:w="2667" w:type="dxa"/>
          </w:tcPr>
          <w:p w14:paraId="26E930CA" w14:textId="77777777" w:rsidR="00E43D36" w:rsidRPr="003B6A69" w:rsidRDefault="00E43D36" w:rsidP="00E43D36">
            <w:pPr>
              <w:spacing w:after="0"/>
              <w:rPr>
                <w:rFonts w:cs="Calibri"/>
                <w:i/>
                <w:sz w:val="16"/>
                <w:szCs w:val="16"/>
              </w:rPr>
            </w:pPr>
            <w:r w:rsidRPr="003B6A69">
              <w:rPr>
                <w:rFonts w:cs="Calibri"/>
                <w:sz w:val="16"/>
                <w:szCs w:val="16"/>
              </w:rPr>
              <w:t>Despite the overall high political and institutional commitment of the Government agencies to the project and its individual components, the project coordination and the synergy between the individual components may be negatively affected by the highly sectoral nature and the procedural peculiarities of the governmental authorities and agencies in the country. Being in full ownership and implementation by the Government, the project may be affected by the internal governmental trends and flows and lose its integral nature and planned cross-sectoral and multi-level impact</w:t>
            </w:r>
          </w:p>
        </w:tc>
        <w:tc>
          <w:tcPr>
            <w:tcW w:w="1170" w:type="dxa"/>
          </w:tcPr>
          <w:p w14:paraId="5B018807" w14:textId="77777777" w:rsidR="00E43D36" w:rsidRPr="003B6A69" w:rsidRDefault="00E43D36" w:rsidP="00E43D36">
            <w:pPr>
              <w:spacing w:after="0"/>
              <w:rPr>
                <w:rFonts w:cs="Calibri"/>
                <w:sz w:val="16"/>
                <w:szCs w:val="16"/>
              </w:rPr>
            </w:pPr>
            <w:r w:rsidRPr="003B6A69">
              <w:rPr>
                <w:rFonts w:cs="Calibri"/>
                <w:sz w:val="16"/>
                <w:szCs w:val="16"/>
              </w:rPr>
              <w:t>Organizational</w:t>
            </w:r>
          </w:p>
          <w:p w14:paraId="64CC5BCB" w14:textId="77777777" w:rsidR="00E43D36" w:rsidRPr="003B6A69" w:rsidRDefault="00E43D36" w:rsidP="00E43D36">
            <w:pPr>
              <w:spacing w:after="0"/>
              <w:rPr>
                <w:rFonts w:cs="Calibri"/>
                <w:sz w:val="16"/>
                <w:szCs w:val="16"/>
              </w:rPr>
            </w:pPr>
            <w:r w:rsidRPr="003B6A69">
              <w:rPr>
                <w:rFonts w:cs="Calibri"/>
                <w:sz w:val="16"/>
                <w:szCs w:val="16"/>
              </w:rPr>
              <w:t>Political</w:t>
            </w:r>
          </w:p>
          <w:p w14:paraId="0EEA6021" w14:textId="77777777" w:rsidR="00E43D36" w:rsidRPr="003B6A69" w:rsidRDefault="00E43D36" w:rsidP="00E43D36">
            <w:pPr>
              <w:spacing w:after="0"/>
              <w:rPr>
                <w:rFonts w:cs="Calibri"/>
                <w:i/>
                <w:sz w:val="16"/>
                <w:szCs w:val="16"/>
              </w:rPr>
            </w:pPr>
          </w:p>
        </w:tc>
        <w:tc>
          <w:tcPr>
            <w:tcW w:w="1405" w:type="dxa"/>
          </w:tcPr>
          <w:p w14:paraId="50767C3F" w14:textId="77777777" w:rsidR="00E43D36" w:rsidRPr="003B6A69" w:rsidRDefault="00E43D36" w:rsidP="00E43D36">
            <w:pPr>
              <w:spacing w:after="0"/>
              <w:rPr>
                <w:rFonts w:eastAsia="Batang"/>
                <w:sz w:val="16"/>
                <w:szCs w:val="16"/>
              </w:rPr>
            </w:pPr>
            <w:r w:rsidRPr="003B6A69">
              <w:rPr>
                <w:rFonts w:eastAsia="Batang"/>
                <w:sz w:val="16"/>
                <w:szCs w:val="16"/>
              </w:rPr>
              <w:t>I = 3; L = 3</w:t>
            </w:r>
          </w:p>
          <w:p w14:paraId="6C8967CF" w14:textId="77777777" w:rsidR="00E43D36" w:rsidRPr="003B6A69" w:rsidRDefault="00E43D36" w:rsidP="00E43D36">
            <w:pPr>
              <w:spacing w:after="0"/>
              <w:rPr>
                <w:rFonts w:eastAsia="Batang"/>
                <w:sz w:val="16"/>
                <w:szCs w:val="16"/>
              </w:rPr>
            </w:pPr>
            <w:r w:rsidRPr="003B6A69">
              <w:rPr>
                <w:rFonts w:eastAsia="Batang"/>
                <w:sz w:val="16"/>
                <w:szCs w:val="16"/>
              </w:rPr>
              <w:t xml:space="preserve">Moderate </w:t>
            </w:r>
          </w:p>
          <w:p w14:paraId="6E6051C1" w14:textId="77777777" w:rsidR="00E43D36" w:rsidRPr="003B6A69" w:rsidRDefault="00E43D36" w:rsidP="00E43D36">
            <w:pPr>
              <w:spacing w:after="0"/>
              <w:rPr>
                <w:rFonts w:eastAsia="Batang"/>
                <w:sz w:val="16"/>
                <w:szCs w:val="16"/>
              </w:rPr>
            </w:pPr>
          </w:p>
          <w:p w14:paraId="002D4623" w14:textId="77777777" w:rsidR="00E43D36" w:rsidRPr="003B6A69" w:rsidRDefault="00E43D36" w:rsidP="00E43D36">
            <w:pPr>
              <w:spacing w:after="0"/>
              <w:rPr>
                <w:rFonts w:cs="Calibri"/>
                <w:i/>
                <w:sz w:val="16"/>
                <w:szCs w:val="16"/>
              </w:rPr>
            </w:pPr>
            <w:r w:rsidRPr="003B6A69">
              <w:rPr>
                <w:rFonts w:eastAsia="Batang"/>
                <w:sz w:val="16"/>
                <w:szCs w:val="16"/>
              </w:rPr>
              <w:t xml:space="preserve">Lack of cooperation between different government departments would slow down the implementation process and demotivate stakeholders' active and productive participation. </w:t>
            </w:r>
          </w:p>
        </w:tc>
        <w:tc>
          <w:tcPr>
            <w:tcW w:w="2619" w:type="dxa"/>
          </w:tcPr>
          <w:p w14:paraId="63E86B47" w14:textId="77777777" w:rsidR="00E43D36" w:rsidRPr="003B6A69" w:rsidRDefault="00E43D36" w:rsidP="00E43D36">
            <w:pPr>
              <w:spacing w:after="0"/>
              <w:rPr>
                <w:rFonts w:cs="Calibri"/>
                <w:sz w:val="16"/>
                <w:szCs w:val="16"/>
              </w:rPr>
            </w:pPr>
            <w:r w:rsidRPr="003B6A69">
              <w:rPr>
                <w:rFonts w:cs="Calibri"/>
                <w:sz w:val="16"/>
                <w:szCs w:val="16"/>
              </w:rPr>
              <w:t xml:space="preserve">The risk has, in part, materialized during the PPG stage when the most interest and involvement of the project development partners were focused </w:t>
            </w:r>
            <w:proofErr w:type="gramStart"/>
            <w:r w:rsidRPr="003B6A69">
              <w:rPr>
                <w:rFonts w:cs="Calibri"/>
                <w:sz w:val="16"/>
                <w:szCs w:val="16"/>
              </w:rPr>
              <w:t>around</w:t>
            </w:r>
            <w:proofErr w:type="gramEnd"/>
            <w:r w:rsidRPr="003B6A69">
              <w:rPr>
                <w:rFonts w:cs="Calibri"/>
                <w:sz w:val="16"/>
                <w:szCs w:val="16"/>
              </w:rPr>
              <w:t xml:space="preserve"> project Outcomes 1 and 2. This is partly associated with the governmental reform and COVID-19 negative effects on stakeholder communication lines in 2020.</w:t>
            </w:r>
          </w:p>
          <w:p w14:paraId="66687655" w14:textId="77777777" w:rsidR="00E43D36" w:rsidRPr="003B6A69" w:rsidRDefault="00E43D36" w:rsidP="00E43D36">
            <w:pPr>
              <w:spacing w:after="0"/>
              <w:rPr>
                <w:rFonts w:cs="Calibri"/>
                <w:i/>
                <w:sz w:val="16"/>
                <w:szCs w:val="16"/>
              </w:rPr>
            </w:pPr>
            <w:r w:rsidRPr="003B6A69">
              <w:rPr>
                <w:rFonts w:cs="Calibri"/>
                <w:sz w:val="16"/>
                <w:szCs w:val="16"/>
              </w:rPr>
              <w:t xml:space="preserve">The project will be nationally implemented by the </w:t>
            </w:r>
            <w:r w:rsidRPr="003B6A69">
              <w:rPr>
                <w:rFonts w:cs="Calibri"/>
                <w:bCs/>
                <w:sz w:val="16"/>
                <w:szCs w:val="16"/>
                <w:lang w:val="en-GB"/>
              </w:rPr>
              <w:t xml:space="preserve">Ministry of Ecology, Spatial Planning and Urbanism. UNDP will continue consultations with the Implementing Partner to ensure that the integrated, multi-sectoral nature of the project is reflected in the institutional arrangements and project management practice. A need for further engagement of multi-sectoral governmental stakeholders, as well as municipal-level beneficiaries and partners, private sectors, CSOs, academia, and communities, will be reinforced. </w:t>
            </w:r>
            <w:r w:rsidRPr="003B6A69">
              <w:rPr>
                <w:rFonts w:cs="Calibri"/>
                <w:sz w:val="16"/>
                <w:szCs w:val="16"/>
              </w:rPr>
              <w:t>The “regular” institutional arrangements for the project implementation will be strengthened by the introduction of a Project Partnership Committee to make sure that the project is implemented in an integrated manner and the sectoral components work in synergy towards the achievement of an overarching project objective and targets</w:t>
            </w:r>
          </w:p>
        </w:tc>
        <w:tc>
          <w:tcPr>
            <w:tcW w:w="2260" w:type="dxa"/>
          </w:tcPr>
          <w:p w14:paraId="5090868D" w14:textId="77777777" w:rsidR="00E43D36" w:rsidRPr="003B6A69" w:rsidRDefault="00E43D36" w:rsidP="00E43D36">
            <w:pPr>
              <w:spacing w:after="0"/>
              <w:rPr>
                <w:rFonts w:cs="Calibri"/>
                <w:i/>
                <w:sz w:val="16"/>
                <w:szCs w:val="16"/>
              </w:rPr>
            </w:pPr>
            <w:r w:rsidRPr="003B6A69">
              <w:rPr>
                <w:rFonts w:cs="Calibri"/>
                <w:sz w:val="16"/>
                <w:szCs w:val="16"/>
              </w:rPr>
              <w:t>Project team, IP</w:t>
            </w:r>
          </w:p>
        </w:tc>
      </w:tr>
      <w:tr w:rsidR="00E43D36" w:rsidRPr="003B6A69" w14:paraId="07905A1E" w14:textId="77777777" w:rsidTr="007E29B1">
        <w:tc>
          <w:tcPr>
            <w:tcW w:w="0" w:type="auto"/>
            <w:tcBorders>
              <w:top w:val="single" w:sz="4" w:space="0" w:color="auto"/>
              <w:left w:val="single" w:sz="4" w:space="0" w:color="auto"/>
              <w:bottom w:val="single" w:sz="4" w:space="0" w:color="auto"/>
              <w:right w:val="single" w:sz="4" w:space="0" w:color="auto"/>
            </w:tcBorders>
          </w:tcPr>
          <w:p w14:paraId="702A7B51" w14:textId="77777777" w:rsidR="00E43D36" w:rsidRPr="003B6A69" w:rsidRDefault="00E43D36" w:rsidP="00E43D36">
            <w:pPr>
              <w:spacing w:after="0"/>
              <w:rPr>
                <w:rFonts w:cs="Calibri"/>
                <w:sz w:val="16"/>
                <w:szCs w:val="16"/>
              </w:rPr>
            </w:pPr>
            <w:r w:rsidRPr="003B6A69">
              <w:rPr>
                <w:rFonts w:cs="Calibri"/>
                <w:sz w:val="16"/>
                <w:szCs w:val="16"/>
              </w:rPr>
              <w:t>2.</w:t>
            </w:r>
          </w:p>
        </w:tc>
        <w:tc>
          <w:tcPr>
            <w:tcW w:w="2667" w:type="dxa"/>
            <w:tcBorders>
              <w:top w:val="single" w:sz="4" w:space="0" w:color="auto"/>
              <w:left w:val="single" w:sz="4" w:space="0" w:color="auto"/>
              <w:bottom w:val="single" w:sz="4" w:space="0" w:color="auto"/>
              <w:right w:val="single" w:sz="4" w:space="0" w:color="auto"/>
            </w:tcBorders>
          </w:tcPr>
          <w:p w14:paraId="28C9D374" w14:textId="77777777" w:rsidR="00E43D36" w:rsidRPr="003B6A69" w:rsidRDefault="00E43D36" w:rsidP="00E43D36">
            <w:pPr>
              <w:spacing w:after="0"/>
              <w:rPr>
                <w:rFonts w:cs="Calibri"/>
                <w:sz w:val="16"/>
                <w:szCs w:val="16"/>
              </w:rPr>
            </w:pPr>
            <w:r w:rsidRPr="003B6A69">
              <w:rPr>
                <w:sz w:val="16"/>
                <w:szCs w:val="16"/>
              </w:rPr>
              <w:t>Being one of the first two projects in the country with the NIM management arrangements, the project is very likely to face operational difficulties and delays associated with a rapid switch to a testing of a new execution modality. The PPG phase complicated with the governmental reform did not allow for a comprehensive assessment of the institutional and procedural gaps and bottlenecks that are likely to hamper a swift transition towards a different implementation modality. A rapid switch in the execution modalities and key responsibilities for project operations pose poses a significant operational risk for the project</w:t>
            </w:r>
          </w:p>
        </w:tc>
        <w:tc>
          <w:tcPr>
            <w:tcW w:w="1170" w:type="dxa"/>
            <w:tcBorders>
              <w:top w:val="single" w:sz="4" w:space="0" w:color="auto"/>
              <w:left w:val="single" w:sz="4" w:space="0" w:color="auto"/>
              <w:bottom w:val="single" w:sz="4" w:space="0" w:color="auto"/>
              <w:right w:val="single" w:sz="4" w:space="0" w:color="auto"/>
            </w:tcBorders>
          </w:tcPr>
          <w:p w14:paraId="61C1DAE3" w14:textId="77777777" w:rsidR="00E43D36" w:rsidRPr="003B6A69" w:rsidRDefault="00E43D36" w:rsidP="00E43D36">
            <w:pPr>
              <w:spacing w:after="0"/>
              <w:rPr>
                <w:rFonts w:cs="Calibri"/>
                <w:sz w:val="16"/>
                <w:szCs w:val="16"/>
              </w:rPr>
            </w:pPr>
            <w:r w:rsidRPr="003B6A69">
              <w:rPr>
                <w:rFonts w:cs="Calibri"/>
                <w:sz w:val="16"/>
                <w:szCs w:val="16"/>
              </w:rPr>
              <w:t>Operational</w:t>
            </w:r>
          </w:p>
          <w:p w14:paraId="64F716D2" w14:textId="77777777" w:rsidR="00E43D36" w:rsidRPr="003B6A69" w:rsidRDefault="00E43D36" w:rsidP="00E43D36">
            <w:pPr>
              <w:spacing w:after="0"/>
              <w:rPr>
                <w:rFonts w:cs="Calibri"/>
                <w:sz w:val="16"/>
                <w:szCs w:val="16"/>
              </w:rPr>
            </w:pPr>
          </w:p>
        </w:tc>
        <w:tc>
          <w:tcPr>
            <w:tcW w:w="1405" w:type="dxa"/>
            <w:tcBorders>
              <w:top w:val="single" w:sz="4" w:space="0" w:color="auto"/>
              <w:left w:val="single" w:sz="4" w:space="0" w:color="auto"/>
              <w:bottom w:val="single" w:sz="4" w:space="0" w:color="auto"/>
              <w:right w:val="single" w:sz="4" w:space="0" w:color="auto"/>
            </w:tcBorders>
          </w:tcPr>
          <w:p w14:paraId="763366C1" w14:textId="77777777" w:rsidR="00E43D36" w:rsidRPr="003B6A69" w:rsidRDefault="00E43D36" w:rsidP="00E43D36">
            <w:pPr>
              <w:spacing w:after="0"/>
              <w:rPr>
                <w:rFonts w:eastAsia="Batang"/>
                <w:sz w:val="16"/>
                <w:szCs w:val="16"/>
              </w:rPr>
            </w:pPr>
            <w:r w:rsidRPr="003B6A69">
              <w:rPr>
                <w:rFonts w:eastAsia="Batang"/>
                <w:sz w:val="16"/>
                <w:szCs w:val="16"/>
              </w:rPr>
              <w:t>I = 3; L = 2</w:t>
            </w:r>
          </w:p>
          <w:p w14:paraId="2CF9EC9B" w14:textId="77777777" w:rsidR="00E43D36" w:rsidRPr="003B6A69" w:rsidRDefault="00E43D36" w:rsidP="00E43D36">
            <w:pPr>
              <w:spacing w:after="0"/>
              <w:rPr>
                <w:rFonts w:eastAsia="Batang"/>
                <w:sz w:val="16"/>
                <w:szCs w:val="16"/>
              </w:rPr>
            </w:pPr>
            <w:r w:rsidRPr="003B6A69">
              <w:rPr>
                <w:rFonts w:eastAsia="Batang"/>
                <w:sz w:val="16"/>
                <w:szCs w:val="16"/>
              </w:rPr>
              <w:t>Moderate</w:t>
            </w:r>
          </w:p>
          <w:p w14:paraId="0AF6BEC5" w14:textId="77777777" w:rsidR="00E43D36" w:rsidRPr="003B6A69" w:rsidRDefault="00E43D36" w:rsidP="00E43D36">
            <w:pPr>
              <w:spacing w:after="0"/>
              <w:rPr>
                <w:rFonts w:eastAsia="Batang"/>
                <w:sz w:val="16"/>
                <w:szCs w:val="16"/>
              </w:rPr>
            </w:pPr>
          </w:p>
          <w:p w14:paraId="3701317B" w14:textId="77777777" w:rsidR="00E43D36" w:rsidRPr="003B6A69" w:rsidRDefault="00E43D36" w:rsidP="00E43D36">
            <w:pPr>
              <w:spacing w:after="0"/>
              <w:rPr>
                <w:rFonts w:eastAsia="Batang"/>
                <w:sz w:val="16"/>
                <w:szCs w:val="16"/>
              </w:rPr>
            </w:pPr>
            <w:r w:rsidRPr="003B6A69">
              <w:rPr>
                <w:rFonts w:eastAsia="Batang"/>
                <w:sz w:val="16"/>
                <w:szCs w:val="16"/>
              </w:rPr>
              <w:t xml:space="preserve">Project implementation doesn’t meet the GEF standards and project risks cancelation </w:t>
            </w:r>
          </w:p>
        </w:tc>
        <w:tc>
          <w:tcPr>
            <w:tcW w:w="2619" w:type="dxa"/>
            <w:tcBorders>
              <w:top w:val="single" w:sz="4" w:space="0" w:color="auto"/>
              <w:left w:val="single" w:sz="4" w:space="0" w:color="auto"/>
              <w:bottom w:val="single" w:sz="4" w:space="0" w:color="auto"/>
              <w:right w:val="single" w:sz="4" w:space="0" w:color="auto"/>
            </w:tcBorders>
          </w:tcPr>
          <w:p w14:paraId="43D41213" w14:textId="77777777" w:rsidR="00E43D36" w:rsidRPr="003B6A69" w:rsidRDefault="00E43D36" w:rsidP="00E43D36">
            <w:pPr>
              <w:spacing w:after="0"/>
              <w:rPr>
                <w:rFonts w:cs="Calibri"/>
                <w:sz w:val="16"/>
                <w:szCs w:val="16"/>
              </w:rPr>
            </w:pPr>
            <w:r w:rsidRPr="003B6A69">
              <w:rPr>
                <w:rFonts w:cs="Calibri"/>
                <w:sz w:val="16"/>
                <w:szCs w:val="16"/>
              </w:rPr>
              <w:t>Although the core capacities of Implementing Partner are sound, the human resources are limited (enabling environment and technical capacity). Capacity limitations along with the lack of direct experience in direct implementation of large-scale projects call for targeted capacity building (particularly hands-on experience and learning by doing) is considered as the major risk mitigation measure.</w:t>
            </w:r>
          </w:p>
        </w:tc>
        <w:tc>
          <w:tcPr>
            <w:tcW w:w="2260" w:type="dxa"/>
            <w:tcBorders>
              <w:top w:val="single" w:sz="4" w:space="0" w:color="auto"/>
              <w:left w:val="single" w:sz="4" w:space="0" w:color="auto"/>
              <w:bottom w:val="single" w:sz="4" w:space="0" w:color="auto"/>
              <w:right w:val="single" w:sz="4" w:space="0" w:color="auto"/>
            </w:tcBorders>
          </w:tcPr>
          <w:p w14:paraId="39C64D4D" w14:textId="77777777" w:rsidR="00E43D36" w:rsidRPr="003B6A69" w:rsidRDefault="00E43D36" w:rsidP="00E43D36">
            <w:pPr>
              <w:spacing w:after="0"/>
              <w:rPr>
                <w:rFonts w:cs="Calibri"/>
                <w:sz w:val="16"/>
                <w:szCs w:val="16"/>
              </w:rPr>
            </w:pPr>
            <w:r w:rsidRPr="003B6A69">
              <w:rPr>
                <w:rFonts w:cs="Calibri"/>
                <w:sz w:val="16"/>
                <w:szCs w:val="16"/>
              </w:rPr>
              <w:t>Project team, IP, UNDP</w:t>
            </w:r>
          </w:p>
        </w:tc>
      </w:tr>
      <w:tr w:rsidR="00E43D36" w:rsidRPr="003B6A69" w14:paraId="32B2C3E1" w14:textId="77777777" w:rsidTr="007E29B1">
        <w:tc>
          <w:tcPr>
            <w:tcW w:w="0" w:type="auto"/>
          </w:tcPr>
          <w:p w14:paraId="47DDEDE4" w14:textId="77777777" w:rsidR="00E43D36" w:rsidRPr="003B6A69" w:rsidRDefault="00E43D36" w:rsidP="00E43D36">
            <w:pPr>
              <w:spacing w:after="0"/>
              <w:rPr>
                <w:rFonts w:cs="Calibri"/>
                <w:sz w:val="16"/>
                <w:szCs w:val="16"/>
              </w:rPr>
            </w:pPr>
            <w:r w:rsidRPr="003B6A69">
              <w:rPr>
                <w:rFonts w:cs="Calibri"/>
                <w:sz w:val="16"/>
                <w:szCs w:val="16"/>
              </w:rPr>
              <w:t xml:space="preserve">3. </w:t>
            </w:r>
          </w:p>
        </w:tc>
        <w:tc>
          <w:tcPr>
            <w:tcW w:w="2667" w:type="dxa"/>
          </w:tcPr>
          <w:p w14:paraId="27FC1820" w14:textId="77777777" w:rsidR="00E43D36" w:rsidRPr="003B6A69" w:rsidRDefault="00E43D36" w:rsidP="00E43D36">
            <w:pPr>
              <w:spacing w:after="0"/>
              <w:rPr>
                <w:rFonts w:cs="Calibri"/>
                <w:sz w:val="16"/>
                <w:szCs w:val="16"/>
              </w:rPr>
            </w:pPr>
            <w:r w:rsidRPr="003B6A69">
              <w:rPr>
                <w:rFonts w:cs="Calibri"/>
                <w:sz w:val="16"/>
                <w:szCs w:val="16"/>
              </w:rPr>
              <w:t>Conservation planning and particularly proclamation of protection regimes for areas with multiple land use and stakeholder interests involve iterative processes that take a long time, which is not always possible to factor into a 5-year project. There’s a risk of underdeliver of declared spatial indicators under project Outcomes 1 and 2 without an extended project timeframe</w:t>
            </w:r>
          </w:p>
        </w:tc>
        <w:tc>
          <w:tcPr>
            <w:tcW w:w="1170" w:type="dxa"/>
          </w:tcPr>
          <w:p w14:paraId="0D36445E" w14:textId="77777777" w:rsidR="00E43D36" w:rsidRPr="003B6A69" w:rsidRDefault="00E43D36" w:rsidP="00E43D36">
            <w:pPr>
              <w:spacing w:after="0"/>
              <w:rPr>
                <w:rFonts w:cs="Calibri"/>
                <w:sz w:val="16"/>
                <w:szCs w:val="16"/>
              </w:rPr>
            </w:pPr>
            <w:r w:rsidRPr="003B6A69">
              <w:rPr>
                <w:rFonts w:cs="Calibri"/>
                <w:sz w:val="16"/>
                <w:szCs w:val="16"/>
              </w:rPr>
              <w:t>Strategic</w:t>
            </w:r>
          </w:p>
          <w:p w14:paraId="75E97B39" w14:textId="77777777" w:rsidR="00E43D36" w:rsidRPr="003B6A69" w:rsidRDefault="00E43D36" w:rsidP="00E43D36">
            <w:pPr>
              <w:spacing w:after="0"/>
              <w:rPr>
                <w:rFonts w:cs="Calibri"/>
                <w:sz w:val="16"/>
                <w:szCs w:val="16"/>
              </w:rPr>
            </w:pPr>
          </w:p>
        </w:tc>
        <w:tc>
          <w:tcPr>
            <w:tcW w:w="1405" w:type="dxa"/>
          </w:tcPr>
          <w:p w14:paraId="192938F0" w14:textId="77777777" w:rsidR="00E43D36" w:rsidRPr="003B6A69" w:rsidRDefault="00E43D36" w:rsidP="00E43D36">
            <w:pPr>
              <w:spacing w:after="0"/>
              <w:rPr>
                <w:rFonts w:cs="Calibri"/>
                <w:sz w:val="16"/>
                <w:szCs w:val="16"/>
              </w:rPr>
            </w:pPr>
            <w:r w:rsidRPr="003B6A69">
              <w:rPr>
                <w:rFonts w:cs="Calibri"/>
                <w:sz w:val="16"/>
                <w:szCs w:val="16"/>
              </w:rPr>
              <w:t>I = 3; L = 2</w:t>
            </w:r>
          </w:p>
          <w:p w14:paraId="5D7A1325" w14:textId="77777777" w:rsidR="00E43D36" w:rsidRPr="003B6A69" w:rsidRDefault="00E43D36" w:rsidP="00E43D36">
            <w:pPr>
              <w:spacing w:after="0"/>
              <w:rPr>
                <w:rFonts w:cs="Calibri"/>
                <w:sz w:val="16"/>
                <w:szCs w:val="16"/>
              </w:rPr>
            </w:pPr>
            <w:r w:rsidRPr="003B6A69">
              <w:rPr>
                <w:rFonts w:cs="Calibri"/>
                <w:sz w:val="16"/>
                <w:szCs w:val="16"/>
              </w:rPr>
              <w:t>Moderate</w:t>
            </w:r>
          </w:p>
          <w:p w14:paraId="2F3D68FB" w14:textId="77777777" w:rsidR="00E43D36" w:rsidRPr="003B6A69" w:rsidRDefault="00E43D36" w:rsidP="00E43D36">
            <w:pPr>
              <w:spacing w:after="0"/>
              <w:rPr>
                <w:rFonts w:cs="Calibri"/>
                <w:sz w:val="16"/>
                <w:szCs w:val="16"/>
              </w:rPr>
            </w:pPr>
          </w:p>
          <w:p w14:paraId="61F1264B" w14:textId="77777777" w:rsidR="00E43D36" w:rsidRPr="003B6A69" w:rsidRDefault="00E43D36" w:rsidP="00E43D36">
            <w:pPr>
              <w:spacing w:after="0"/>
              <w:rPr>
                <w:rFonts w:cs="Calibri"/>
                <w:sz w:val="16"/>
                <w:szCs w:val="16"/>
              </w:rPr>
            </w:pPr>
            <w:r w:rsidRPr="003B6A69">
              <w:rPr>
                <w:rFonts w:cs="Calibri"/>
                <w:sz w:val="16"/>
                <w:szCs w:val="16"/>
              </w:rPr>
              <w:t xml:space="preserve">Institutions mandated with biodiversity conservation might not </w:t>
            </w:r>
            <w:proofErr w:type="spellStart"/>
            <w:r w:rsidRPr="003B6A69">
              <w:rPr>
                <w:rFonts w:cs="Calibri"/>
                <w:sz w:val="16"/>
                <w:szCs w:val="16"/>
              </w:rPr>
              <w:t>prioritise</w:t>
            </w:r>
            <w:proofErr w:type="spellEnd"/>
            <w:r w:rsidRPr="003B6A69">
              <w:rPr>
                <w:rFonts w:cs="Calibri"/>
                <w:sz w:val="16"/>
                <w:szCs w:val="16"/>
              </w:rPr>
              <w:t xml:space="preserve"> the project activities and this would </w:t>
            </w:r>
            <w:r w:rsidRPr="003B6A69">
              <w:rPr>
                <w:rFonts w:cs="Calibri"/>
                <w:sz w:val="16"/>
                <w:szCs w:val="16"/>
              </w:rPr>
              <w:lastRenderedPageBreak/>
              <w:t xml:space="preserve">delay adoption and </w:t>
            </w:r>
            <w:proofErr w:type="spellStart"/>
            <w:r w:rsidRPr="003B6A69">
              <w:rPr>
                <w:rFonts w:cs="Calibri"/>
                <w:sz w:val="16"/>
                <w:szCs w:val="16"/>
              </w:rPr>
              <w:t>formalisation</w:t>
            </w:r>
            <w:proofErr w:type="spellEnd"/>
            <w:r w:rsidRPr="003B6A69">
              <w:rPr>
                <w:rFonts w:cs="Calibri"/>
                <w:sz w:val="16"/>
                <w:szCs w:val="16"/>
              </w:rPr>
              <w:t xml:space="preserve"> of needed decisions delaying project implementation </w:t>
            </w:r>
          </w:p>
        </w:tc>
        <w:tc>
          <w:tcPr>
            <w:tcW w:w="2619" w:type="dxa"/>
          </w:tcPr>
          <w:p w14:paraId="7B570587" w14:textId="77777777" w:rsidR="00E43D36" w:rsidRPr="003B6A69" w:rsidRDefault="00E43D36" w:rsidP="00E43D36">
            <w:pPr>
              <w:spacing w:after="0"/>
              <w:rPr>
                <w:rFonts w:cs="Calibri"/>
                <w:sz w:val="16"/>
                <w:szCs w:val="16"/>
              </w:rPr>
            </w:pPr>
            <w:r w:rsidRPr="003B6A69">
              <w:rPr>
                <w:rFonts w:cs="Calibri"/>
                <w:sz w:val="16"/>
                <w:szCs w:val="16"/>
              </w:rPr>
              <w:lastRenderedPageBreak/>
              <w:t xml:space="preserve">The project strategy makes sure that all the </w:t>
            </w:r>
            <w:proofErr w:type="gramStart"/>
            <w:r w:rsidRPr="003B6A69">
              <w:rPr>
                <w:rFonts w:cs="Calibri"/>
                <w:sz w:val="16"/>
                <w:szCs w:val="16"/>
              </w:rPr>
              <w:t>projects</w:t>
            </w:r>
            <w:proofErr w:type="gramEnd"/>
            <w:r w:rsidRPr="003B6A69">
              <w:rPr>
                <w:rFonts w:cs="Calibri"/>
                <w:sz w:val="16"/>
                <w:szCs w:val="16"/>
              </w:rPr>
              <w:t xml:space="preserve"> </w:t>
            </w:r>
            <w:proofErr w:type="spellStart"/>
            <w:r w:rsidRPr="003B6A69">
              <w:rPr>
                <w:rFonts w:cs="Calibri"/>
                <w:sz w:val="16"/>
                <w:szCs w:val="16"/>
              </w:rPr>
              <w:t>endeavours</w:t>
            </w:r>
            <w:proofErr w:type="spellEnd"/>
            <w:r w:rsidRPr="003B6A69">
              <w:rPr>
                <w:rFonts w:cs="Calibri"/>
                <w:sz w:val="16"/>
                <w:szCs w:val="16"/>
              </w:rPr>
              <w:t xml:space="preserve"> at enhanced protection status for valuable biodiversity hotspots are supported by the spatial development framework of the country (the Spatial Plan and the General Regulation Plan of Montenegro). Since the state government level spatial planning and sectoral development reforms, </w:t>
            </w:r>
            <w:r w:rsidRPr="003B6A69">
              <w:rPr>
                <w:rFonts w:cs="Calibri"/>
                <w:sz w:val="16"/>
                <w:szCs w:val="16"/>
              </w:rPr>
              <w:lastRenderedPageBreak/>
              <w:t xml:space="preserve">as well as the management actions for the international Ramsar and UNESCO protected areas, will be undoubtably driven by the EU integration process with strict milestones, timelines and monitoring system, the project will </w:t>
            </w:r>
            <w:proofErr w:type="gramStart"/>
            <w:r w:rsidRPr="003B6A69">
              <w:rPr>
                <w:rFonts w:cs="Calibri"/>
                <w:sz w:val="16"/>
                <w:szCs w:val="16"/>
              </w:rPr>
              <w:t>be  planned</w:t>
            </w:r>
            <w:proofErr w:type="gramEnd"/>
            <w:r w:rsidRPr="003B6A69">
              <w:rPr>
                <w:rFonts w:cs="Calibri"/>
                <w:sz w:val="16"/>
                <w:szCs w:val="16"/>
              </w:rPr>
              <w:t xml:space="preserve"> in integration and synergy with these mainstream processes thus ensuring the delivery of planned outcomes and their sustainability and scaling-up upon project completion.</w:t>
            </w:r>
          </w:p>
        </w:tc>
        <w:tc>
          <w:tcPr>
            <w:tcW w:w="2260" w:type="dxa"/>
          </w:tcPr>
          <w:p w14:paraId="547BF6AA" w14:textId="77777777" w:rsidR="00E43D36" w:rsidRPr="003B6A69" w:rsidRDefault="00E43D36" w:rsidP="00E43D36">
            <w:pPr>
              <w:spacing w:after="0"/>
              <w:rPr>
                <w:rFonts w:cs="Calibri"/>
                <w:sz w:val="16"/>
                <w:szCs w:val="16"/>
              </w:rPr>
            </w:pPr>
            <w:r w:rsidRPr="003B6A69">
              <w:rPr>
                <w:rFonts w:cs="Calibri"/>
                <w:sz w:val="16"/>
                <w:szCs w:val="16"/>
              </w:rPr>
              <w:lastRenderedPageBreak/>
              <w:t xml:space="preserve">Project team, IP, Nature Protection Agency </w:t>
            </w:r>
          </w:p>
        </w:tc>
      </w:tr>
      <w:tr w:rsidR="00E43D36" w:rsidRPr="003B6A69" w14:paraId="3A9B1682" w14:textId="77777777" w:rsidTr="007E29B1">
        <w:tc>
          <w:tcPr>
            <w:tcW w:w="0" w:type="auto"/>
          </w:tcPr>
          <w:p w14:paraId="0F116CB4" w14:textId="77777777" w:rsidR="00E43D36" w:rsidRPr="003B6A69" w:rsidRDefault="00E43D36" w:rsidP="00E43D36">
            <w:pPr>
              <w:spacing w:after="0"/>
              <w:rPr>
                <w:rFonts w:cs="Calibri"/>
                <w:sz w:val="16"/>
                <w:szCs w:val="16"/>
              </w:rPr>
            </w:pPr>
            <w:r w:rsidRPr="003B6A69">
              <w:rPr>
                <w:rFonts w:cs="Calibri"/>
                <w:sz w:val="16"/>
                <w:szCs w:val="16"/>
              </w:rPr>
              <w:t>3</w:t>
            </w:r>
          </w:p>
        </w:tc>
        <w:tc>
          <w:tcPr>
            <w:tcW w:w="2667" w:type="dxa"/>
          </w:tcPr>
          <w:p w14:paraId="2A83E054" w14:textId="77777777" w:rsidR="00E43D36" w:rsidRPr="003B6A69" w:rsidRDefault="00E43D36" w:rsidP="00E43D36">
            <w:pPr>
              <w:spacing w:after="0"/>
              <w:rPr>
                <w:rFonts w:cs="Calibri"/>
                <w:sz w:val="16"/>
                <w:szCs w:val="16"/>
              </w:rPr>
            </w:pPr>
            <w:r w:rsidRPr="003B6A69">
              <w:rPr>
                <w:rFonts w:cs="Calibri"/>
                <w:sz w:val="16"/>
                <w:szCs w:val="16"/>
              </w:rPr>
              <w:t>Montenegro’s planning and regulatory framework is very well developed and responsive to the most recent international (</w:t>
            </w:r>
            <w:proofErr w:type="gramStart"/>
            <w:r w:rsidRPr="003B6A69">
              <w:rPr>
                <w:rFonts w:cs="Calibri"/>
                <w:sz w:val="16"/>
                <w:szCs w:val="16"/>
              </w:rPr>
              <w:t>first of all</w:t>
            </w:r>
            <w:proofErr w:type="gramEnd"/>
            <w:r w:rsidRPr="003B6A69">
              <w:rPr>
                <w:rFonts w:cs="Calibri"/>
                <w:sz w:val="16"/>
                <w:szCs w:val="16"/>
              </w:rPr>
              <w:t xml:space="preserve"> EU) standards and best practices. However, the current capacities may be insufficient to implement them all in a timely and effective manner. There is a risk that the new strategic, regulatory, and planning reforms to which this project will provide a biodiversity mainstreaming dimension will remain only as high-quality written products upon project completion but will not experience full implementation.</w:t>
            </w:r>
          </w:p>
        </w:tc>
        <w:tc>
          <w:tcPr>
            <w:tcW w:w="1170" w:type="dxa"/>
          </w:tcPr>
          <w:p w14:paraId="2041AD11" w14:textId="77777777" w:rsidR="00E43D36" w:rsidRPr="003B6A69" w:rsidRDefault="00E43D36" w:rsidP="00E43D36">
            <w:pPr>
              <w:spacing w:after="0"/>
              <w:rPr>
                <w:rFonts w:cs="Calibri"/>
                <w:sz w:val="16"/>
                <w:szCs w:val="16"/>
              </w:rPr>
            </w:pPr>
            <w:r w:rsidRPr="003B6A69">
              <w:rPr>
                <w:rFonts w:cs="Calibri"/>
                <w:sz w:val="16"/>
                <w:szCs w:val="16"/>
              </w:rPr>
              <w:t>Strategic</w:t>
            </w:r>
          </w:p>
          <w:p w14:paraId="129921A5" w14:textId="77777777" w:rsidR="00E43D36" w:rsidRPr="003B6A69" w:rsidRDefault="00E43D36" w:rsidP="00E43D36">
            <w:pPr>
              <w:spacing w:after="0"/>
              <w:rPr>
                <w:rFonts w:cs="Calibri"/>
                <w:sz w:val="16"/>
                <w:szCs w:val="16"/>
              </w:rPr>
            </w:pPr>
            <w:r w:rsidRPr="003B6A69">
              <w:rPr>
                <w:rFonts w:cs="Calibri"/>
                <w:sz w:val="16"/>
                <w:szCs w:val="16"/>
              </w:rPr>
              <w:t>Political</w:t>
            </w:r>
          </w:p>
          <w:p w14:paraId="17AC80D3" w14:textId="77777777" w:rsidR="00E43D36" w:rsidRPr="003B6A69" w:rsidRDefault="00E43D36" w:rsidP="00E43D36">
            <w:pPr>
              <w:spacing w:after="0"/>
              <w:rPr>
                <w:rFonts w:cs="Calibri"/>
                <w:sz w:val="16"/>
                <w:szCs w:val="16"/>
              </w:rPr>
            </w:pPr>
            <w:r w:rsidRPr="003B6A69">
              <w:rPr>
                <w:rFonts w:cs="Calibri"/>
                <w:sz w:val="16"/>
                <w:szCs w:val="16"/>
              </w:rPr>
              <w:t>Regulatory</w:t>
            </w:r>
          </w:p>
          <w:p w14:paraId="4FD6D5E0" w14:textId="77777777" w:rsidR="00E43D36" w:rsidRPr="003B6A69" w:rsidRDefault="00E43D36" w:rsidP="00E43D36">
            <w:pPr>
              <w:spacing w:after="0"/>
              <w:rPr>
                <w:rFonts w:cs="Calibri"/>
                <w:sz w:val="16"/>
                <w:szCs w:val="16"/>
              </w:rPr>
            </w:pPr>
          </w:p>
        </w:tc>
        <w:tc>
          <w:tcPr>
            <w:tcW w:w="1405" w:type="dxa"/>
          </w:tcPr>
          <w:p w14:paraId="7FD7C731" w14:textId="77777777" w:rsidR="00E43D36" w:rsidRPr="003B6A69" w:rsidRDefault="00E43D36" w:rsidP="00E43D36">
            <w:pPr>
              <w:spacing w:after="0"/>
              <w:rPr>
                <w:rFonts w:cs="Calibri"/>
                <w:sz w:val="16"/>
                <w:szCs w:val="16"/>
              </w:rPr>
            </w:pPr>
            <w:r w:rsidRPr="003B6A69">
              <w:rPr>
                <w:rFonts w:cs="Calibri"/>
                <w:sz w:val="16"/>
                <w:szCs w:val="16"/>
              </w:rPr>
              <w:t>I = 3; L = 2</w:t>
            </w:r>
          </w:p>
          <w:p w14:paraId="14019452" w14:textId="77777777" w:rsidR="00E43D36" w:rsidRPr="003B6A69" w:rsidRDefault="00E43D36" w:rsidP="00E43D36">
            <w:pPr>
              <w:spacing w:after="0"/>
              <w:rPr>
                <w:rFonts w:cs="Calibri"/>
                <w:sz w:val="16"/>
                <w:szCs w:val="16"/>
              </w:rPr>
            </w:pPr>
            <w:r w:rsidRPr="003B6A69">
              <w:rPr>
                <w:rFonts w:cs="Calibri"/>
                <w:sz w:val="16"/>
                <w:szCs w:val="16"/>
              </w:rPr>
              <w:t>Moderate</w:t>
            </w:r>
          </w:p>
          <w:p w14:paraId="1BA3C876" w14:textId="77777777" w:rsidR="00E43D36" w:rsidRPr="003B6A69" w:rsidRDefault="00E43D36" w:rsidP="00E43D36">
            <w:pPr>
              <w:spacing w:after="0"/>
              <w:rPr>
                <w:rFonts w:cs="Calibri"/>
                <w:sz w:val="16"/>
                <w:szCs w:val="16"/>
              </w:rPr>
            </w:pPr>
          </w:p>
          <w:p w14:paraId="754E12F5" w14:textId="77777777" w:rsidR="00E43D36" w:rsidRPr="003B6A69" w:rsidRDefault="00E43D36" w:rsidP="00E43D36">
            <w:pPr>
              <w:spacing w:after="0"/>
              <w:rPr>
                <w:rFonts w:cs="Calibri"/>
                <w:sz w:val="16"/>
                <w:szCs w:val="16"/>
              </w:rPr>
            </w:pPr>
            <w:r w:rsidRPr="003B6A69">
              <w:rPr>
                <w:rFonts w:cs="Calibri"/>
                <w:sz w:val="16"/>
                <w:szCs w:val="16"/>
              </w:rPr>
              <w:t>Delayed implementation resulting in paper parks or paper regulations.</w:t>
            </w:r>
          </w:p>
        </w:tc>
        <w:tc>
          <w:tcPr>
            <w:tcW w:w="2619" w:type="dxa"/>
          </w:tcPr>
          <w:p w14:paraId="4F3A34C4" w14:textId="77777777" w:rsidR="00E43D36" w:rsidRPr="003B6A69" w:rsidRDefault="00E43D36" w:rsidP="00E43D36">
            <w:pPr>
              <w:spacing w:after="0"/>
              <w:rPr>
                <w:rFonts w:cs="Calibri"/>
                <w:sz w:val="16"/>
                <w:szCs w:val="16"/>
              </w:rPr>
            </w:pPr>
            <w:r w:rsidRPr="003B6A69">
              <w:rPr>
                <w:rFonts w:cs="Calibri"/>
                <w:sz w:val="16"/>
                <w:szCs w:val="16"/>
              </w:rPr>
              <w:t>Apart from an incremental input that the project will provide for elevating BD conservation considerations to spatial planning and production sectors and landscapes; it will also develop and test very practical solutions and models to address the biodiversity threats and mainstream biodiversity-friendly sectoral practices. With the knowledge sharing and awareness-raising activities associated with these practical BD mainstreaming interventions, the project will make sure that the key strategic and regulatory reforms find their way to the actual implementation phase.</w:t>
            </w:r>
          </w:p>
        </w:tc>
        <w:tc>
          <w:tcPr>
            <w:tcW w:w="2260" w:type="dxa"/>
          </w:tcPr>
          <w:p w14:paraId="07073579" w14:textId="77777777" w:rsidR="00E43D36" w:rsidRPr="003B6A69" w:rsidRDefault="00E43D36" w:rsidP="00E43D36">
            <w:pPr>
              <w:spacing w:after="0"/>
              <w:rPr>
                <w:rFonts w:cs="Calibri"/>
                <w:sz w:val="16"/>
                <w:szCs w:val="16"/>
              </w:rPr>
            </w:pPr>
            <w:r w:rsidRPr="003B6A69">
              <w:rPr>
                <w:rFonts w:cs="Calibri"/>
                <w:sz w:val="16"/>
                <w:szCs w:val="16"/>
              </w:rPr>
              <w:t xml:space="preserve">IP, line ministries </w:t>
            </w:r>
          </w:p>
        </w:tc>
      </w:tr>
      <w:tr w:rsidR="00E43D36" w:rsidRPr="003B6A69" w14:paraId="7C803FE9" w14:textId="77777777" w:rsidTr="007E29B1">
        <w:tc>
          <w:tcPr>
            <w:tcW w:w="0" w:type="auto"/>
          </w:tcPr>
          <w:p w14:paraId="6ABB51DD" w14:textId="77777777" w:rsidR="00E43D36" w:rsidRPr="003B6A69" w:rsidRDefault="00E43D36" w:rsidP="00E43D36">
            <w:pPr>
              <w:spacing w:after="0"/>
              <w:rPr>
                <w:rFonts w:cs="Calibri"/>
                <w:sz w:val="16"/>
                <w:szCs w:val="16"/>
              </w:rPr>
            </w:pPr>
            <w:r w:rsidRPr="003B6A69">
              <w:rPr>
                <w:rFonts w:cs="Calibri"/>
                <w:sz w:val="16"/>
                <w:szCs w:val="16"/>
              </w:rPr>
              <w:t>4.</w:t>
            </w:r>
          </w:p>
        </w:tc>
        <w:tc>
          <w:tcPr>
            <w:tcW w:w="2667" w:type="dxa"/>
          </w:tcPr>
          <w:p w14:paraId="2F4086EB" w14:textId="77777777" w:rsidR="00E43D36" w:rsidRPr="003B6A69" w:rsidRDefault="00E43D36" w:rsidP="00E43D36">
            <w:pPr>
              <w:spacing w:after="0"/>
              <w:rPr>
                <w:rFonts w:cs="Calibri"/>
                <w:sz w:val="16"/>
                <w:szCs w:val="16"/>
              </w:rPr>
            </w:pPr>
            <w:r w:rsidRPr="003B6A69">
              <w:rPr>
                <w:rFonts w:cs="Calibri"/>
                <w:sz w:val="16"/>
                <w:szCs w:val="16"/>
              </w:rPr>
              <w:t>The different management arrangements for PAs according to their category, international status and mandate might provide complications for implementation of targeted project activities within Outcome 1</w:t>
            </w:r>
          </w:p>
        </w:tc>
        <w:tc>
          <w:tcPr>
            <w:tcW w:w="1170" w:type="dxa"/>
          </w:tcPr>
          <w:p w14:paraId="5984B3F8" w14:textId="77777777" w:rsidR="00E43D36" w:rsidRPr="003B6A69" w:rsidRDefault="00E43D36" w:rsidP="00E43D36">
            <w:pPr>
              <w:spacing w:after="0"/>
              <w:rPr>
                <w:rFonts w:cs="Calibri"/>
                <w:sz w:val="16"/>
                <w:szCs w:val="16"/>
              </w:rPr>
            </w:pPr>
            <w:r w:rsidRPr="003B6A69">
              <w:rPr>
                <w:rFonts w:cs="Calibri"/>
                <w:sz w:val="16"/>
                <w:szCs w:val="16"/>
              </w:rPr>
              <w:t>Regulatory</w:t>
            </w:r>
          </w:p>
          <w:p w14:paraId="52F91FB0" w14:textId="77777777" w:rsidR="00E43D36" w:rsidRPr="003B6A69" w:rsidRDefault="00E43D36" w:rsidP="00E43D36">
            <w:pPr>
              <w:spacing w:after="0"/>
              <w:rPr>
                <w:rFonts w:cs="Calibri"/>
                <w:sz w:val="16"/>
                <w:szCs w:val="16"/>
              </w:rPr>
            </w:pPr>
          </w:p>
        </w:tc>
        <w:tc>
          <w:tcPr>
            <w:tcW w:w="1405" w:type="dxa"/>
          </w:tcPr>
          <w:p w14:paraId="3A4180AC" w14:textId="77777777" w:rsidR="00E43D36" w:rsidRPr="003B6A69" w:rsidRDefault="00E43D36" w:rsidP="00E43D36">
            <w:pPr>
              <w:spacing w:after="0"/>
              <w:rPr>
                <w:rFonts w:cs="Calibri"/>
                <w:sz w:val="16"/>
                <w:szCs w:val="16"/>
              </w:rPr>
            </w:pPr>
            <w:r w:rsidRPr="003B6A69">
              <w:rPr>
                <w:rFonts w:cs="Calibri"/>
                <w:sz w:val="16"/>
                <w:szCs w:val="16"/>
              </w:rPr>
              <w:t>L=1, I=3</w:t>
            </w:r>
          </w:p>
          <w:p w14:paraId="7DF2293D" w14:textId="77777777" w:rsidR="00E43D36" w:rsidRPr="003B6A69" w:rsidRDefault="00E43D36" w:rsidP="00E43D36">
            <w:pPr>
              <w:spacing w:after="0"/>
              <w:rPr>
                <w:rFonts w:cs="Calibri"/>
                <w:sz w:val="16"/>
                <w:szCs w:val="16"/>
              </w:rPr>
            </w:pPr>
            <w:r w:rsidRPr="003B6A69">
              <w:rPr>
                <w:rFonts w:cs="Calibri"/>
                <w:sz w:val="16"/>
                <w:szCs w:val="16"/>
              </w:rPr>
              <w:t>Low</w:t>
            </w:r>
          </w:p>
          <w:p w14:paraId="4E24F26F" w14:textId="77777777" w:rsidR="00E43D36" w:rsidRPr="003B6A69" w:rsidRDefault="00E43D36" w:rsidP="00E43D36">
            <w:pPr>
              <w:spacing w:after="0"/>
              <w:rPr>
                <w:rFonts w:cs="Calibri"/>
                <w:sz w:val="16"/>
                <w:szCs w:val="16"/>
              </w:rPr>
            </w:pPr>
          </w:p>
          <w:p w14:paraId="7A756E1A" w14:textId="77777777" w:rsidR="00E43D36" w:rsidRPr="003B6A69" w:rsidRDefault="00E43D36" w:rsidP="00E43D36">
            <w:pPr>
              <w:spacing w:after="0"/>
              <w:rPr>
                <w:rFonts w:cs="Calibri"/>
                <w:sz w:val="16"/>
                <w:szCs w:val="16"/>
              </w:rPr>
            </w:pPr>
            <w:r w:rsidRPr="003B6A69">
              <w:rPr>
                <w:rFonts w:cs="Calibri"/>
                <w:sz w:val="16"/>
                <w:szCs w:val="16"/>
              </w:rPr>
              <w:t xml:space="preserve">Complex implementation of management arrangements and conflicting mandates limiting effects of project recommendations and results. </w:t>
            </w:r>
          </w:p>
        </w:tc>
        <w:tc>
          <w:tcPr>
            <w:tcW w:w="2619" w:type="dxa"/>
          </w:tcPr>
          <w:p w14:paraId="060DDD3A" w14:textId="77777777" w:rsidR="00E43D36" w:rsidRPr="003B6A69" w:rsidRDefault="00E43D36" w:rsidP="00E43D36">
            <w:pPr>
              <w:spacing w:after="0"/>
              <w:rPr>
                <w:rFonts w:cs="Calibri"/>
                <w:sz w:val="16"/>
                <w:szCs w:val="16"/>
              </w:rPr>
            </w:pPr>
            <w:r w:rsidRPr="003B6A69">
              <w:rPr>
                <w:rFonts w:cs="Calibri"/>
                <w:sz w:val="16"/>
                <w:szCs w:val="16"/>
              </w:rPr>
              <w:t>This risk will be mitigated through close collaboration with relevant stakeholders from the outset and by determining collaborative strategies and focal points in each of the key institutions for the Project Steering Committee.</w:t>
            </w:r>
          </w:p>
        </w:tc>
        <w:tc>
          <w:tcPr>
            <w:tcW w:w="2260" w:type="dxa"/>
          </w:tcPr>
          <w:p w14:paraId="5CEC9E42" w14:textId="77777777" w:rsidR="00E43D36" w:rsidRPr="003B6A69" w:rsidRDefault="00E43D36" w:rsidP="00E43D36">
            <w:pPr>
              <w:spacing w:after="0"/>
              <w:rPr>
                <w:rFonts w:cs="Calibri"/>
                <w:sz w:val="16"/>
                <w:szCs w:val="16"/>
              </w:rPr>
            </w:pPr>
            <w:r w:rsidRPr="003B6A69">
              <w:rPr>
                <w:rFonts w:cs="Calibri"/>
                <w:sz w:val="16"/>
                <w:szCs w:val="16"/>
              </w:rPr>
              <w:t xml:space="preserve">IP, line ministries, PA management, project team </w:t>
            </w:r>
          </w:p>
        </w:tc>
      </w:tr>
      <w:tr w:rsidR="00E43D36" w:rsidRPr="003B6A69" w14:paraId="3FDC44E7" w14:textId="77777777" w:rsidTr="007E29B1">
        <w:tc>
          <w:tcPr>
            <w:tcW w:w="0" w:type="auto"/>
          </w:tcPr>
          <w:p w14:paraId="5F20CA19" w14:textId="77777777" w:rsidR="00E43D36" w:rsidRPr="003B6A69" w:rsidRDefault="00E43D36" w:rsidP="00E43D36">
            <w:pPr>
              <w:spacing w:after="0"/>
              <w:rPr>
                <w:rFonts w:cs="Calibri"/>
                <w:sz w:val="16"/>
                <w:szCs w:val="16"/>
              </w:rPr>
            </w:pPr>
            <w:r w:rsidRPr="003B6A69">
              <w:rPr>
                <w:rFonts w:cs="Calibri"/>
                <w:sz w:val="16"/>
                <w:szCs w:val="16"/>
              </w:rPr>
              <w:t>5.</w:t>
            </w:r>
          </w:p>
        </w:tc>
        <w:tc>
          <w:tcPr>
            <w:tcW w:w="2667" w:type="dxa"/>
          </w:tcPr>
          <w:p w14:paraId="07F6160D" w14:textId="77777777" w:rsidR="00E43D36" w:rsidRPr="003B6A69" w:rsidRDefault="00E43D36" w:rsidP="00E43D36">
            <w:pPr>
              <w:spacing w:after="0"/>
              <w:rPr>
                <w:rFonts w:cs="Calibri"/>
                <w:sz w:val="16"/>
                <w:szCs w:val="16"/>
              </w:rPr>
            </w:pPr>
            <w:r w:rsidRPr="003B6A69">
              <w:rPr>
                <w:rFonts w:cs="Calibri"/>
                <w:sz w:val="16"/>
                <w:szCs w:val="16"/>
              </w:rPr>
              <w:t>The project impact on the status of biodiversity and KBAs might be limited by climate change as a direct driver of habitat conversion and biodiversity loss in the country.</w:t>
            </w:r>
          </w:p>
        </w:tc>
        <w:tc>
          <w:tcPr>
            <w:tcW w:w="1170" w:type="dxa"/>
          </w:tcPr>
          <w:p w14:paraId="06B89298" w14:textId="77777777" w:rsidR="00E43D36" w:rsidRPr="003B6A69" w:rsidRDefault="00E43D36" w:rsidP="00E43D36">
            <w:pPr>
              <w:spacing w:after="0"/>
              <w:rPr>
                <w:rFonts w:cs="Calibri"/>
                <w:sz w:val="16"/>
                <w:szCs w:val="16"/>
              </w:rPr>
            </w:pPr>
            <w:r w:rsidRPr="003B6A69">
              <w:rPr>
                <w:rFonts w:cs="Calibri"/>
                <w:sz w:val="16"/>
                <w:szCs w:val="16"/>
              </w:rPr>
              <w:t>Environmental</w:t>
            </w:r>
          </w:p>
          <w:p w14:paraId="71DC8897" w14:textId="77777777" w:rsidR="00E43D36" w:rsidRPr="003B6A69" w:rsidRDefault="00E43D36" w:rsidP="00E43D36">
            <w:pPr>
              <w:spacing w:after="0"/>
              <w:rPr>
                <w:rFonts w:cs="Calibri"/>
                <w:sz w:val="16"/>
                <w:szCs w:val="16"/>
              </w:rPr>
            </w:pPr>
          </w:p>
        </w:tc>
        <w:tc>
          <w:tcPr>
            <w:tcW w:w="1405" w:type="dxa"/>
          </w:tcPr>
          <w:p w14:paraId="3470EB9D" w14:textId="77777777" w:rsidR="00E43D36" w:rsidRPr="003B6A69" w:rsidRDefault="00E43D36" w:rsidP="00E43D36">
            <w:pPr>
              <w:spacing w:after="0"/>
              <w:rPr>
                <w:rFonts w:cs="Calibri"/>
                <w:sz w:val="16"/>
                <w:szCs w:val="16"/>
              </w:rPr>
            </w:pPr>
            <w:r w:rsidRPr="003B6A69">
              <w:rPr>
                <w:rFonts w:cs="Calibri"/>
                <w:sz w:val="16"/>
                <w:szCs w:val="16"/>
              </w:rPr>
              <w:t>L=1, I=3</w:t>
            </w:r>
          </w:p>
          <w:p w14:paraId="6B0BA918" w14:textId="77777777" w:rsidR="00E43D36" w:rsidRPr="003B6A69" w:rsidRDefault="00E43D36" w:rsidP="00E43D36">
            <w:pPr>
              <w:spacing w:after="0"/>
              <w:rPr>
                <w:rFonts w:cs="Calibri"/>
                <w:sz w:val="16"/>
                <w:szCs w:val="16"/>
              </w:rPr>
            </w:pPr>
            <w:r w:rsidRPr="003B6A69">
              <w:rPr>
                <w:rFonts w:cs="Calibri"/>
                <w:sz w:val="16"/>
                <w:szCs w:val="16"/>
              </w:rPr>
              <w:t>Low</w:t>
            </w:r>
          </w:p>
          <w:p w14:paraId="3962ED5D" w14:textId="77777777" w:rsidR="00E43D36" w:rsidRPr="003B6A69" w:rsidRDefault="00E43D36" w:rsidP="00E43D36">
            <w:pPr>
              <w:spacing w:after="0"/>
              <w:rPr>
                <w:rFonts w:cs="Calibri"/>
                <w:sz w:val="16"/>
                <w:szCs w:val="16"/>
              </w:rPr>
            </w:pPr>
          </w:p>
          <w:p w14:paraId="2338D524" w14:textId="77777777" w:rsidR="00E43D36" w:rsidRPr="003B6A69" w:rsidRDefault="00E43D36" w:rsidP="00E43D36">
            <w:pPr>
              <w:spacing w:after="0"/>
              <w:rPr>
                <w:rFonts w:cs="Calibri"/>
                <w:sz w:val="16"/>
                <w:szCs w:val="16"/>
              </w:rPr>
            </w:pPr>
            <w:r w:rsidRPr="003B6A69">
              <w:rPr>
                <w:rFonts w:cs="Calibri"/>
                <w:sz w:val="16"/>
                <w:szCs w:val="16"/>
              </w:rPr>
              <w:t xml:space="preserve">Loss of valuable biodiversity eliminating project results relevance. </w:t>
            </w:r>
          </w:p>
          <w:p w14:paraId="56557D13" w14:textId="77777777" w:rsidR="00E43D36" w:rsidRPr="003B6A69" w:rsidRDefault="00E43D36" w:rsidP="00E43D36">
            <w:pPr>
              <w:spacing w:after="0"/>
              <w:rPr>
                <w:rFonts w:cs="Calibri"/>
                <w:sz w:val="16"/>
                <w:szCs w:val="16"/>
              </w:rPr>
            </w:pPr>
          </w:p>
        </w:tc>
        <w:tc>
          <w:tcPr>
            <w:tcW w:w="2619" w:type="dxa"/>
          </w:tcPr>
          <w:p w14:paraId="28AC282E" w14:textId="77777777" w:rsidR="00E43D36" w:rsidRPr="003B6A69" w:rsidRDefault="00E43D36" w:rsidP="00E43D36">
            <w:pPr>
              <w:spacing w:after="0"/>
              <w:rPr>
                <w:rFonts w:cs="Calibri"/>
                <w:sz w:val="16"/>
                <w:szCs w:val="16"/>
              </w:rPr>
            </w:pPr>
            <w:r w:rsidRPr="003B6A69">
              <w:rPr>
                <w:rFonts w:cs="Calibri"/>
                <w:sz w:val="16"/>
                <w:szCs w:val="16"/>
              </w:rPr>
              <w:t xml:space="preserve">Assessments of climate change effects within the targeted PAs and ecosystems will be included in the revised protection studies and advanced management planning instruments to be developed with the project support for the targeted PAs: </w:t>
            </w:r>
            <w:proofErr w:type="spellStart"/>
            <w:r w:rsidRPr="003B6A69">
              <w:rPr>
                <w:rFonts w:cs="Calibri"/>
                <w:sz w:val="16"/>
                <w:szCs w:val="16"/>
              </w:rPr>
              <w:t>Durmitor</w:t>
            </w:r>
            <w:proofErr w:type="spellEnd"/>
            <w:r w:rsidRPr="003B6A69">
              <w:rPr>
                <w:rFonts w:cs="Calibri"/>
                <w:sz w:val="16"/>
                <w:szCs w:val="16"/>
              </w:rPr>
              <w:t xml:space="preserve"> NP, </w:t>
            </w:r>
            <w:proofErr w:type="spellStart"/>
            <w:r w:rsidRPr="003B6A69">
              <w:rPr>
                <w:rFonts w:cs="Calibri"/>
                <w:sz w:val="16"/>
                <w:szCs w:val="16"/>
              </w:rPr>
              <w:t>Dragisnica-Komarnica</w:t>
            </w:r>
            <w:proofErr w:type="spellEnd"/>
            <w:r w:rsidRPr="003B6A69">
              <w:rPr>
                <w:rFonts w:cs="Calibri"/>
                <w:sz w:val="16"/>
                <w:szCs w:val="16"/>
              </w:rPr>
              <w:t xml:space="preserve"> PN, </w:t>
            </w:r>
            <w:proofErr w:type="spellStart"/>
            <w:r w:rsidRPr="003B6A69">
              <w:rPr>
                <w:rFonts w:cs="Calibri"/>
                <w:sz w:val="16"/>
                <w:szCs w:val="16"/>
              </w:rPr>
              <w:t>Skadar</w:t>
            </w:r>
            <w:proofErr w:type="spellEnd"/>
            <w:r w:rsidRPr="003B6A69">
              <w:rPr>
                <w:rFonts w:cs="Calibri"/>
                <w:sz w:val="16"/>
                <w:szCs w:val="16"/>
              </w:rPr>
              <w:t xml:space="preserve"> Lake NP (Outcome 1). Targeted BD assessments and the baseline studies for the unprotected KBAs under Outcome 2 will include climate change threats and effects. Project Output 4.2 is aimed at strengthened resilience of High-Conservation Value forests to fires and other climate-induced threats. Finally, under Output 5 the project will develop and test </w:t>
            </w:r>
            <w:proofErr w:type="spellStart"/>
            <w:r w:rsidRPr="003B6A69">
              <w:rPr>
                <w:rFonts w:cs="Calibri"/>
                <w:sz w:val="16"/>
                <w:szCs w:val="16"/>
              </w:rPr>
              <w:t>agro</w:t>
            </w:r>
            <w:proofErr w:type="spellEnd"/>
            <w:r w:rsidRPr="003B6A69">
              <w:rPr>
                <w:rFonts w:cs="Calibri"/>
                <w:sz w:val="16"/>
                <w:szCs w:val="16"/>
              </w:rPr>
              <w:t xml:space="preserve">-environmental measures that will respond to the climate threats to the vulnerable agricultural lands within the biodiversity buffer zones and KBAs. Embedding CC issues and risk mediation measures at the design stage for the key project </w:t>
            </w:r>
            <w:proofErr w:type="spellStart"/>
            <w:r w:rsidRPr="003B6A69">
              <w:rPr>
                <w:rFonts w:cs="Calibri"/>
                <w:sz w:val="16"/>
                <w:szCs w:val="16"/>
              </w:rPr>
              <w:t>endeavours</w:t>
            </w:r>
            <w:proofErr w:type="spellEnd"/>
            <w:r w:rsidRPr="003B6A69">
              <w:rPr>
                <w:rFonts w:cs="Calibri"/>
                <w:sz w:val="16"/>
                <w:szCs w:val="16"/>
              </w:rPr>
              <w:t xml:space="preserve"> </w:t>
            </w:r>
            <w:r w:rsidRPr="003B6A69">
              <w:rPr>
                <w:rFonts w:cs="Calibri"/>
                <w:sz w:val="16"/>
                <w:szCs w:val="16"/>
              </w:rPr>
              <w:lastRenderedPageBreak/>
              <w:t>mentioned above is seen as a principal risk mitigation measure.</w:t>
            </w:r>
          </w:p>
        </w:tc>
        <w:tc>
          <w:tcPr>
            <w:tcW w:w="2260" w:type="dxa"/>
          </w:tcPr>
          <w:p w14:paraId="6F8E4439" w14:textId="77777777" w:rsidR="00E43D36" w:rsidRPr="003B6A69" w:rsidRDefault="00E43D36" w:rsidP="00E43D36">
            <w:pPr>
              <w:spacing w:after="0"/>
              <w:rPr>
                <w:rFonts w:cs="Calibri"/>
                <w:sz w:val="16"/>
                <w:szCs w:val="16"/>
              </w:rPr>
            </w:pPr>
            <w:r w:rsidRPr="003B6A69">
              <w:rPr>
                <w:rFonts w:cs="Calibri"/>
                <w:sz w:val="16"/>
                <w:szCs w:val="16"/>
              </w:rPr>
              <w:lastRenderedPageBreak/>
              <w:t>IP, line ministries, PA management, project team</w:t>
            </w:r>
          </w:p>
        </w:tc>
      </w:tr>
      <w:tr w:rsidR="00E43D36" w:rsidRPr="003B6A69" w14:paraId="5C50601C" w14:textId="77777777" w:rsidTr="007E29B1">
        <w:tc>
          <w:tcPr>
            <w:tcW w:w="0" w:type="auto"/>
          </w:tcPr>
          <w:p w14:paraId="004C380D" w14:textId="77777777" w:rsidR="00E43D36" w:rsidRPr="003B6A69" w:rsidRDefault="00E43D36" w:rsidP="00E43D36">
            <w:pPr>
              <w:spacing w:after="0"/>
              <w:rPr>
                <w:rFonts w:cs="Calibri"/>
                <w:sz w:val="16"/>
                <w:szCs w:val="16"/>
              </w:rPr>
            </w:pPr>
            <w:r w:rsidRPr="003B6A69">
              <w:rPr>
                <w:rFonts w:cs="Calibri"/>
                <w:sz w:val="16"/>
                <w:szCs w:val="16"/>
              </w:rPr>
              <w:t>6.</w:t>
            </w:r>
          </w:p>
        </w:tc>
        <w:tc>
          <w:tcPr>
            <w:tcW w:w="2667" w:type="dxa"/>
          </w:tcPr>
          <w:p w14:paraId="070EEDF1" w14:textId="77777777" w:rsidR="00E43D36" w:rsidRPr="003B6A69" w:rsidRDefault="00E43D36" w:rsidP="00E43D36">
            <w:pPr>
              <w:spacing w:after="0"/>
              <w:rPr>
                <w:rFonts w:cs="Calibri"/>
                <w:sz w:val="16"/>
                <w:szCs w:val="16"/>
              </w:rPr>
            </w:pPr>
            <w:r w:rsidRPr="003B6A69">
              <w:rPr>
                <w:rFonts w:cs="Calibri"/>
                <w:sz w:val="16"/>
                <w:szCs w:val="16"/>
              </w:rPr>
              <w:t>There is a risk that the sustainable biodiversity finance mechanisms and incentives aimed at mainstream biodiversity-friendly sectoral practices will not prove their desired financial effect, and the financial viability may not be sufficient to upscale those instruments in the long term.</w:t>
            </w:r>
          </w:p>
        </w:tc>
        <w:tc>
          <w:tcPr>
            <w:tcW w:w="1170" w:type="dxa"/>
          </w:tcPr>
          <w:p w14:paraId="62CAF843" w14:textId="77777777" w:rsidR="00E43D36" w:rsidRPr="003B6A69" w:rsidRDefault="00E43D36" w:rsidP="00E43D36">
            <w:pPr>
              <w:spacing w:after="0"/>
              <w:rPr>
                <w:rFonts w:cs="Calibri"/>
                <w:sz w:val="16"/>
                <w:szCs w:val="16"/>
              </w:rPr>
            </w:pPr>
            <w:r w:rsidRPr="003B6A69">
              <w:rPr>
                <w:rFonts w:cs="Calibri"/>
                <w:sz w:val="16"/>
                <w:szCs w:val="16"/>
              </w:rPr>
              <w:t>Strategic</w:t>
            </w:r>
          </w:p>
          <w:p w14:paraId="1FA31606" w14:textId="77777777" w:rsidR="00E43D36" w:rsidRPr="003B6A69" w:rsidRDefault="00E43D36" w:rsidP="00E43D36">
            <w:pPr>
              <w:spacing w:after="0"/>
              <w:rPr>
                <w:rFonts w:cs="Calibri"/>
                <w:sz w:val="16"/>
                <w:szCs w:val="16"/>
              </w:rPr>
            </w:pPr>
            <w:r w:rsidRPr="003B6A69">
              <w:rPr>
                <w:rFonts w:cs="Calibri"/>
                <w:sz w:val="16"/>
                <w:szCs w:val="16"/>
              </w:rPr>
              <w:t>Financial</w:t>
            </w:r>
          </w:p>
          <w:p w14:paraId="4E9099C1" w14:textId="77777777" w:rsidR="00E43D36" w:rsidRPr="003B6A69" w:rsidRDefault="00E43D36" w:rsidP="00E43D36">
            <w:pPr>
              <w:spacing w:after="0"/>
              <w:rPr>
                <w:rFonts w:cs="Calibri"/>
                <w:sz w:val="16"/>
                <w:szCs w:val="16"/>
              </w:rPr>
            </w:pPr>
          </w:p>
        </w:tc>
        <w:tc>
          <w:tcPr>
            <w:tcW w:w="1405" w:type="dxa"/>
          </w:tcPr>
          <w:p w14:paraId="1C675616" w14:textId="77777777" w:rsidR="00E43D36" w:rsidRPr="003B6A69" w:rsidRDefault="00E43D36" w:rsidP="00E43D36">
            <w:pPr>
              <w:spacing w:after="0"/>
              <w:rPr>
                <w:rFonts w:cs="Calibri"/>
                <w:sz w:val="16"/>
                <w:szCs w:val="16"/>
              </w:rPr>
            </w:pPr>
            <w:r w:rsidRPr="003B6A69">
              <w:rPr>
                <w:rFonts w:cs="Calibri"/>
                <w:sz w:val="16"/>
                <w:szCs w:val="16"/>
              </w:rPr>
              <w:t>L=1, I=3</w:t>
            </w:r>
          </w:p>
          <w:p w14:paraId="435E3CB8" w14:textId="77777777" w:rsidR="00E43D36" w:rsidRPr="003B6A69" w:rsidRDefault="00E43D36" w:rsidP="00E43D36">
            <w:pPr>
              <w:spacing w:after="0"/>
              <w:rPr>
                <w:rFonts w:cs="Calibri"/>
                <w:sz w:val="16"/>
                <w:szCs w:val="16"/>
              </w:rPr>
            </w:pPr>
            <w:r w:rsidRPr="003B6A69">
              <w:rPr>
                <w:rFonts w:cs="Calibri"/>
                <w:sz w:val="16"/>
                <w:szCs w:val="16"/>
              </w:rPr>
              <w:t>Low</w:t>
            </w:r>
          </w:p>
          <w:p w14:paraId="114C3790" w14:textId="77777777" w:rsidR="00E43D36" w:rsidRPr="003B6A69" w:rsidRDefault="00E43D36" w:rsidP="00E43D36">
            <w:pPr>
              <w:spacing w:after="0"/>
              <w:rPr>
                <w:rFonts w:cs="Calibri"/>
                <w:sz w:val="16"/>
                <w:szCs w:val="16"/>
              </w:rPr>
            </w:pPr>
          </w:p>
          <w:p w14:paraId="33FC4530" w14:textId="77777777" w:rsidR="00E43D36" w:rsidRPr="003B6A69" w:rsidRDefault="00E43D36" w:rsidP="00E43D36">
            <w:pPr>
              <w:spacing w:after="0"/>
              <w:rPr>
                <w:rFonts w:cs="Calibri"/>
                <w:sz w:val="16"/>
                <w:szCs w:val="16"/>
              </w:rPr>
            </w:pPr>
            <w:r w:rsidRPr="003B6A69">
              <w:rPr>
                <w:rFonts w:cs="Calibri"/>
                <w:sz w:val="16"/>
                <w:szCs w:val="16"/>
              </w:rPr>
              <w:t xml:space="preserve">Invested project funds fail to deliver intended results in the context of biodiversity conservation, </w:t>
            </w:r>
            <w:proofErr w:type="spellStart"/>
            <w:r w:rsidRPr="003B6A69">
              <w:rPr>
                <w:rFonts w:cs="Calibri"/>
                <w:sz w:val="16"/>
                <w:szCs w:val="16"/>
              </w:rPr>
              <w:t>mobilisation</w:t>
            </w:r>
            <w:proofErr w:type="spellEnd"/>
            <w:r w:rsidRPr="003B6A69">
              <w:rPr>
                <w:rFonts w:cs="Calibri"/>
                <w:sz w:val="16"/>
                <w:szCs w:val="16"/>
              </w:rPr>
              <w:t xml:space="preserve"> of private sector resources. </w:t>
            </w:r>
          </w:p>
        </w:tc>
        <w:tc>
          <w:tcPr>
            <w:tcW w:w="2619" w:type="dxa"/>
          </w:tcPr>
          <w:p w14:paraId="6FF70CEA" w14:textId="77777777" w:rsidR="00E43D36" w:rsidRPr="003B6A69" w:rsidRDefault="00E43D36" w:rsidP="00E43D36">
            <w:pPr>
              <w:spacing w:after="0"/>
              <w:rPr>
                <w:rFonts w:cs="Calibri"/>
                <w:sz w:val="16"/>
                <w:szCs w:val="16"/>
              </w:rPr>
            </w:pPr>
            <w:r w:rsidRPr="003B6A69">
              <w:rPr>
                <w:rFonts w:cs="Calibri"/>
                <w:sz w:val="16"/>
                <w:szCs w:val="16"/>
              </w:rPr>
              <w:t>In response to this risk, the project will perform a comprehensive cost-benefit analysis of the proposed finance opportunities.</w:t>
            </w:r>
          </w:p>
        </w:tc>
        <w:tc>
          <w:tcPr>
            <w:tcW w:w="2260" w:type="dxa"/>
          </w:tcPr>
          <w:p w14:paraId="73B75BF9" w14:textId="77777777" w:rsidR="00E43D36" w:rsidRPr="003B6A69" w:rsidRDefault="00E43D36" w:rsidP="00E43D36">
            <w:pPr>
              <w:spacing w:after="0"/>
              <w:rPr>
                <w:rFonts w:cs="Calibri"/>
                <w:sz w:val="16"/>
                <w:szCs w:val="16"/>
              </w:rPr>
            </w:pPr>
            <w:r w:rsidRPr="003B6A69">
              <w:rPr>
                <w:rFonts w:cs="Calibri"/>
                <w:sz w:val="16"/>
                <w:szCs w:val="16"/>
              </w:rPr>
              <w:t>IP, line ministries, PA management, project team</w:t>
            </w:r>
          </w:p>
        </w:tc>
      </w:tr>
      <w:tr w:rsidR="00E43D36" w:rsidRPr="003B6A69" w14:paraId="3E87C227" w14:textId="77777777" w:rsidTr="007E29B1">
        <w:tc>
          <w:tcPr>
            <w:tcW w:w="0" w:type="auto"/>
          </w:tcPr>
          <w:p w14:paraId="1283E75E" w14:textId="77777777" w:rsidR="00E43D36" w:rsidRPr="003B6A69" w:rsidRDefault="00E43D36" w:rsidP="00E43D36">
            <w:pPr>
              <w:spacing w:after="0"/>
              <w:rPr>
                <w:rFonts w:cs="Calibri"/>
                <w:sz w:val="16"/>
                <w:szCs w:val="16"/>
              </w:rPr>
            </w:pPr>
            <w:r w:rsidRPr="003B6A69">
              <w:rPr>
                <w:rFonts w:cs="Calibri"/>
                <w:sz w:val="16"/>
                <w:szCs w:val="16"/>
              </w:rPr>
              <w:t>7.</w:t>
            </w:r>
          </w:p>
        </w:tc>
        <w:tc>
          <w:tcPr>
            <w:tcW w:w="2667" w:type="dxa"/>
          </w:tcPr>
          <w:p w14:paraId="694FC8C7" w14:textId="77777777" w:rsidR="00E43D36" w:rsidRPr="003B6A69" w:rsidRDefault="00E43D36" w:rsidP="00E43D36">
            <w:pPr>
              <w:spacing w:after="0"/>
              <w:rPr>
                <w:rFonts w:cs="Calibri"/>
                <w:sz w:val="16"/>
                <w:szCs w:val="16"/>
              </w:rPr>
            </w:pPr>
            <w:r w:rsidRPr="003B6A69">
              <w:rPr>
                <w:rFonts w:cs="Calibri"/>
                <w:sz w:val="16"/>
                <w:szCs w:val="16"/>
              </w:rPr>
              <w:t>There is a risk that the planned partnerships with the private sector partners will fail to yield the expected benefits. The negative effects of the post-COVID 19 recession may hamper project plans towards private sector engagement, especially for the tourism sector most severely affected by COVID-19 pandemic.</w:t>
            </w:r>
          </w:p>
        </w:tc>
        <w:tc>
          <w:tcPr>
            <w:tcW w:w="1170" w:type="dxa"/>
          </w:tcPr>
          <w:p w14:paraId="34D66D02" w14:textId="77777777" w:rsidR="00E43D36" w:rsidRPr="003B6A69" w:rsidRDefault="00E43D36" w:rsidP="00E43D36">
            <w:pPr>
              <w:spacing w:after="0"/>
              <w:rPr>
                <w:rFonts w:cs="Calibri"/>
                <w:sz w:val="16"/>
                <w:szCs w:val="16"/>
              </w:rPr>
            </w:pPr>
            <w:r w:rsidRPr="003B6A69">
              <w:rPr>
                <w:rFonts w:cs="Calibri"/>
                <w:sz w:val="16"/>
                <w:szCs w:val="16"/>
              </w:rPr>
              <w:t>Strategic</w:t>
            </w:r>
          </w:p>
          <w:p w14:paraId="2120C317" w14:textId="77777777" w:rsidR="00E43D36" w:rsidRPr="003B6A69" w:rsidRDefault="00E43D36" w:rsidP="00E43D36">
            <w:pPr>
              <w:spacing w:after="0"/>
              <w:rPr>
                <w:rFonts w:cs="Calibri"/>
                <w:sz w:val="16"/>
                <w:szCs w:val="16"/>
              </w:rPr>
            </w:pPr>
            <w:r w:rsidRPr="003B6A69">
              <w:rPr>
                <w:rFonts w:cs="Calibri"/>
                <w:sz w:val="16"/>
                <w:szCs w:val="16"/>
              </w:rPr>
              <w:t>Financial</w:t>
            </w:r>
          </w:p>
          <w:p w14:paraId="00E90946" w14:textId="77777777" w:rsidR="00E43D36" w:rsidRPr="003B6A69" w:rsidRDefault="00E43D36" w:rsidP="00E43D36">
            <w:pPr>
              <w:spacing w:after="0"/>
              <w:rPr>
                <w:rFonts w:cs="Calibri"/>
                <w:sz w:val="16"/>
                <w:szCs w:val="16"/>
              </w:rPr>
            </w:pPr>
          </w:p>
        </w:tc>
        <w:tc>
          <w:tcPr>
            <w:tcW w:w="1405" w:type="dxa"/>
          </w:tcPr>
          <w:p w14:paraId="07157396" w14:textId="77777777" w:rsidR="00E43D36" w:rsidRPr="003B6A69" w:rsidRDefault="00E43D36" w:rsidP="00E43D36">
            <w:pPr>
              <w:spacing w:after="0"/>
              <w:rPr>
                <w:rFonts w:cs="Calibri"/>
                <w:sz w:val="16"/>
                <w:szCs w:val="16"/>
              </w:rPr>
            </w:pPr>
            <w:r w:rsidRPr="003B6A69">
              <w:rPr>
                <w:rFonts w:cs="Calibri"/>
                <w:sz w:val="16"/>
                <w:szCs w:val="16"/>
              </w:rPr>
              <w:t>I = 3; L = 2</w:t>
            </w:r>
          </w:p>
          <w:p w14:paraId="5CFFFAF6" w14:textId="77777777" w:rsidR="00E43D36" w:rsidRPr="003B6A69" w:rsidRDefault="00E43D36" w:rsidP="00E43D36">
            <w:pPr>
              <w:spacing w:after="0"/>
              <w:rPr>
                <w:rFonts w:cs="Calibri"/>
                <w:sz w:val="16"/>
                <w:szCs w:val="16"/>
              </w:rPr>
            </w:pPr>
            <w:r w:rsidRPr="003B6A69">
              <w:rPr>
                <w:rFonts w:cs="Calibri"/>
                <w:sz w:val="16"/>
                <w:szCs w:val="16"/>
              </w:rPr>
              <w:t>Moderate</w:t>
            </w:r>
          </w:p>
          <w:p w14:paraId="634BA0EB" w14:textId="77777777" w:rsidR="00E43D36" w:rsidRPr="003B6A69" w:rsidRDefault="00E43D36" w:rsidP="00E43D36">
            <w:pPr>
              <w:spacing w:after="0"/>
              <w:rPr>
                <w:rFonts w:cs="Calibri"/>
                <w:sz w:val="16"/>
                <w:szCs w:val="16"/>
              </w:rPr>
            </w:pPr>
          </w:p>
          <w:p w14:paraId="67694EF4" w14:textId="77777777" w:rsidR="00E43D36" w:rsidRPr="003B6A69" w:rsidRDefault="00E43D36" w:rsidP="00E43D36">
            <w:pPr>
              <w:spacing w:after="0"/>
              <w:rPr>
                <w:rFonts w:cs="Calibri"/>
                <w:sz w:val="16"/>
                <w:szCs w:val="16"/>
              </w:rPr>
            </w:pPr>
            <w:r w:rsidRPr="003B6A69">
              <w:rPr>
                <w:rFonts w:cs="Calibri"/>
                <w:sz w:val="16"/>
                <w:szCs w:val="16"/>
              </w:rPr>
              <w:t xml:space="preserve">Invested project funds fail to deliver intended results in the context of biodiversity conservation, </w:t>
            </w:r>
            <w:proofErr w:type="spellStart"/>
            <w:r w:rsidRPr="003B6A69">
              <w:rPr>
                <w:rFonts w:cs="Calibri"/>
                <w:sz w:val="16"/>
                <w:szCs w:val="16"/>
              </w:rPr>
              <w:t>mobilisation</w:t>
            </w:r>
            <w:proofErr w:type="spellEnd"/>
            <w:r w:rsidRPr="003B6A69">
              <w:rPr>
                <w:rFonts w:cs="Calibri"/>
                <w:sz w:val="16"/>
                <w:szCs w:val="16"/>
              </w:rPr>
              <w:t xml:space="preserve"> of private sector resources.</w:t>
            </w:r>
          </w:p>
        </w:tc>
        <w:tc>
          <w:tcPr>
            <w:tcW w:w="2619" w:type="dxa"/>
          </w:tcPr>
          <w:p w14:paraId="4E06E2F2" w14:textId="77777777" w:rsidR="00E43D36" w:rsidRPr="003B6A69" w:rsidRDefault="00E43D36" w:rsidP="00E43D36">
            <w:pPr>
              <w:spacing w:after="0"/>
              <w:rPr>
                <w:rFonts w:cs="Calibri"/>
                <w:sz w:val="16"/>
                <w:szCs w:val="16"/>
              </w:rPr>
            </w:pPr>
            <w:r w:rsidRPr="003B6A69">
              <w:rPr>
                <w:rFonts w:cs="Calibri"/>
                <w:sz w:val="16"/>
                <w:szCs w:val="16"/>
              </w:rPr>
              <w:t xml:space="preserve">The project will apply an extra capacity building effort to make sure that the tourism sector players are able to apply for economic recovery funds in a sustainable manner. </w:t>
            </w:r>
            <w:proofErr w:type="gramStart"/>
            <w:r w:rsidRPr="003B6A69">
              <w:rPr>
                <w:rFonts w:cs="Calibri"/>
                <w:sz w:val="16"/>
                <w:szCs w:val="16"/>
              </w:rPr>
              <w:t>Last but not least</w:t>
            </w:r>
            <w:proofErr w:type="gramEnd"/>
            <w:r w:rsidRPr="003B6A69">
              <w:rPr>
                <w:rFonts w:cs="Calibri"/>
                <w:sz w:val="16"/>
                <w:szCs w:val="16"/>
              </w:rPr>
              <w:t xml:space="preserve">, the GEF increment for promotional activities will hopefully become one of the principal risk management measures and will help mitigating the obstacles towards tourism sector business engagement.  </w:t>
            </w:r>
          </w:p>
        </w:tc>
        <w:tc>
          <w:tcPr>
            <w:tcW w:w="2260" w:type="dxa"/>
          </w:tcPr>
          <w:p w14:paraId="793D44DD" w14:textId="77777777" w:rsidR="00E43D36" w:rsidRPr="003B6A69" w:rsidRDefault="00E43D36" w:rsidP="00E43D36">
            <w:pPr>
              <w:spacing w:after="0"/>
              <w:rPr>
                <w:rFonts w:cs="Calibri"/>
                <w:sz w:val="16"/>
                <w:szCs w:val="16"/>
              </w:rPr>
            </w:pPr>
            <w:r w:rsidRPr="003B6A69">
              <w:rPr>
                <w:rFonts w:cs="Calibri"/>
                <w:sz w:val="16"/>
                <w:szCs w:val="16"/>
              </w:rPr>
              <w:t xml:space="preserve">IP, line ministries, IDF, Eco </w:t>
            </w:r>
            <w:proofErr w:type="gramStart"/>
            <w:r w:rsidRPr="003B6A69">
              <w:rPr>
                <w:rFonts w:cs="Calibri"/>
                <w:sz w:val="16"/>
                <w:szCs w:val="16"/>
              </w:rPr>
              <w:t>Fund,  project</w:t>
            </w:r>
            <w:proofErr w:type="gramEnd"/>
            <w:r w:rsidRPr="003B6A69">
              <w:rPr>
                <w:rFonts w:cs="Calibri"/>
                <w:sz w:val="16"/>
                <w:szCs w:val="16"/>
              </w:rPr>
              <w:t xml:space="preserve"> team</w:t>
            </w:r>
          </w:p>
        </w:tc>
      </w:tr>
      <w:tr w:rsidR="008E7117" w:rsidRPr="003B6A69" w14:paraId="5A26800A" w14:textId="77777777" w:rsidTr="007E29B1">
        <w:tc>
          <w:tcPr>
            <w:tcW w:w="0" w:type="auto"/>
          </w:tcPr>
          <w:p w14:paraId="542FE10C" w14:textId="77777777" w:rsidR="008E7117" w:rsidRPr="003B6A69" w:rsidRDefault="008E7117" w:rsidP="00E43D36">
            <w:pPr>
              <w:spacing w:after="0"/>
              <w:rPr>
                <w:rFonts w:cs="Calibri"/>
                <w:sz w:val="16"/>
                <w:szCs w:val="16"/>
              </w:rPr>
            </w:pPr>
            <w:r w:rsidRPr="003B6A69">
              <w:rPr>
                <w:rFonts w:cs="Calibri"/>
                <w:sz w:val="16"/>
                <w:szCs w:val="16"/>
              </w:rPr>
              <w:t>8</w:t>
            </w:r>
          </w:p>
          <w:p w14:paraId="135FD344" w14:textId="77777777" w:rsidR="008E7117" w:rsidRPr="003B6A69" w:rsidRDefault="008E7117" w:rsidP="00E43D36">
            <w:pPr>
              <w:spacing w:after="0"/>
              <w:rPr>
                <w:rFonts w:cs="Calibri"/>
                <w:sz w:val="16"/>
                <w:szCs w:val="16"/>
              </w:rPr>
            </w:pPr>
            <w:r w:rsidRPr="003B6A69">
              <w:rPr>
                <w:rFonts w:cs="Calibri"/>
                <w:sz w:val="16"/>
                <w:szCs w:val="16"/>
              </w:rPr>
              <w:t xml:space="preserve"> (SESP</w:t>
            </w:r>
          </w:p>
          <w:p w14:paraId="40F1D812" w14:textId="5E389E36" w:rsidR="008E7117" w:rsidRPr="003B6A69" w:rsidRDefault="008E7117" w:rsidP="00E43D36">
            <w:pPr>
              <w:spacing w:after="0"/>
              <w:rPr>
                <w:rFonts w:cs="Calibri"/>
                <w:sz w:val="16"/>
                <w:szCs w:val="16"/>
              </w:rPr>
            </w:pPr>
            <w:r w:rsidRPr="003B6A69">
              <w:rPr>
                <w:rFonts w:cs="Calibri"/>
                <w:sz w:val="16"/>
                <w:szCs w:val="16"/>
              </w:rPr>
              <w:t xml:space="preserve"> risk 1)</w:t>
            </w:r>
          </w:p>
        </w:tc>
        <w:tc>
          <w:tcPr>
            <w:tcW w:w="2667" w:type="dxa"/>
          </w:tcPr>
          <w:p w14:paraId="18FB06A1" w14:textId="591A642B" w:rsidR="008E7117" w:rsidRPr="003B6A69" w:rsidRDefault="008E7117" w:rsidP="00E43D36">
            <w:pPr>
              <w:spacing w:after="0"/>
              <w:rPr>
                <w:rFonts w:cs="Calibri"/>
                <w:sz w:val="16"/>
                <w:szCs w:val="16"/>
              </w:rPr>
            </w:pPr>
            <w:r w:rsidRPr="003B6A69">
              <w:rPr>
                <w:rFonts w:cs="Calibri"/>
                <w:sz w:val="16"/>
                <w:szCs w:val="16"/>
              </w:rPr>
              <w:t>Vulnerable and marginalized groups could be excluded from project decision-making and benefit sharing that may affect them.</w:t>
            </w:r>
          </w:p>
        </w:tc>
        <w:tc>
          <w:tcPr>
            <w:tcW w:w="1170" w:type="dxa"/>
          </w:tcPr>
          <w:p w14:paraId="713A0B07" w14:textId="5E20DF5D" w:rsidR="008E7117" w:rsidRPr="003B6A69" w:rsidRDefault="008E7117" w:rsidP="00E43D36">
            <w:pPr>
              <w:spacing w:after="0"/>
              <w:rPr>
                <w:rFonts w:cs="Calibri"/>
                <w:sz w:val="16"/>
                <w:szCs w:val="16"/>
              </w:rPr>
            </w:pPr>
            <w:r w:rsidRPr="003B6A69">
              <w:rPr>
                <w:rFonts w:cs="Calibri"/>
                <w:sz w:val="16"/>
                <w:szCs w:val="16"/>
              </w:rPr>
              <w:t>SE</w:t>
            </w:r>
          </w:p>
        </w:tc>
        <w:tc>
          <w:tcPr>
            <w:tcW w:w="1405" w:type="dxa"/>
          </w:tcPr>
          <w:p w14:paraId="6848ACE8" w14:textId="77777777" w:rsidR="008E7117" w:rsidRPr="003B6A69" w:rsidRDefault="008E7117" w:rsidP="008E7117">
            <w:pPr>
              <w:spacing w:after="0"/>
              <w:rPr>
                <w:rFonts w:cs="Calibri"/>
                <w:sz w:val="16"/>
                <w:szCs w:val="16"/>
              </w:rPr>
            </w:pPr>
            <w:r w:rsidRPr="003B6A69">
              <w:rPr>
                <w:rFonts w:cs="Calibri"/>
                <w:sz w:val="16"/>
                <w:szCs w:val="16"/>
              </w:rPr>
              <w:t>I = 2, P =3</w:t>
            </w:r>
          </w:p>
          <w:p w14:paraId="5AC602C1" w14:textId="471E2489" w:rsidR="008E7117" w:rsidRPr="003B6A69" w:rsidRDefault="008E7117" w:rsidP="008E7117">
            <w:pPr>
              <w:spacing w:after="0"/>
              <w:rPr>
                <w:rFonts w:cs="Calibri"/>
                <w:sz w:val="16"/>
                <w:szCs w:val="16"/>
              </w:rPr>
            </w:pPr>
            <w:r w:rsidRPr="003B6A69">
              <w:rPr>
                <w:rFonts w:cs="Calibri"/>
                <w:sz w:val="16"/>
                <w:szCs w:val="16"/>
              </w:rPr>
              <w:t>Moderate</w:t>
            </w:r>
          </w:p>
        </w:tc>
        <w:tc>
          <w:tcPr>
            <w:tcW w:w="2619" w:type="dxa"/>
          </w:tcPr>
          <w:p w14:paraId="79647FA6" w14:textId="77777777" w:rsidR="008E7117" w:rsidRPr="003B6A69" w:rsidRDefault="008E7117" w:rsidP="00E43D36">
            <w:pPr>
              <w:spacing w:after="0"/>
              <w:rPr>
                <w:rFonts w:cs="Calibri"/>
                <w:sz w:val="16"/>
                <w:szCs w:val="16"/>
              </w:rPr>
            </w:pPr>
          </w:p>
        </w:tc>
        <w:tc>
          <w:tcPr>
            <w:tcW w:w="2260" w:type="dxa"/>
          </w:tcPr>
          <w:p w14:paraId="4A149FE4" w14:textId="77777777" w:rsidR="007E29B1" w:rsidRPr="003B6A69" w:rsidRDefault="007E29B1" w:rsidP="007E29B1">
            <w:pPr>
              <w:spacing w:after="0"/>
              <w:rPr>
                <w:rFonts w:cs="Calibri"/>
                <w:sz w:val="16"/>
                <w:szCs w:val="16"/>
              </w:rPr>
            </w:pPr>
            <w:r w:rsidRPr="003B6A69">
              <w:rPr>
                <w:rFonts w:cs="Calibri"/>
                <w:sz w:val="16"/>
                <w:szCs w:val="16"/>
              </w:rPr>
              <w:t xml:space="preserve">As the project will be working in the areas where the poverty rate is high and vulnerable and marginalized groups rely mainly on opportunities for small-scale business development, the project design, stakeholder engagement and assessment of benefits should be sensitive to human rights, </w:t>
            </w:r>
            <w:proofErr w:type="gramStart"/>
            <w:r w:rsidRPr="003B6A69">
              <w:rPr>
                <w:rFonts w:cs="Calibri"/>
                <w:sz w:val="16"/>
                <w:szCs w:val="16"/>
              </w:rPr>
              <w:t>inclusion</w:t>
            </w:r>
            <w:proofErr w:type="gramEnd"/>
            <w:r w:rsidRPr="003B6A69">
              <w:rPr>
                <w:rFonts w:cs="Calibri"/>
                <w:sz w:val="16"/>
                <w:szCs w:val="16"/>
              </w:rPr>
              <w:t xml:space="preserve"> and equality principles. </w:t>
            </w:r>
          </w:p>
          <w:p w14:paraId="1446C0A0" w14:textId="77777777" w:rsidR="007E29B1" w:rsidRPr="003B6A69" w:rsidRDefault="007E29B1" w:rsidP="007E29B1">
            <w:pPr>
              <w:spacing w:after="0"/>
              <w:rPr>
                <w:rFonts w:cs="Calibri"/>
                <w:sz w:val="16"/>
                <w:szCs w:val="16"/>
              </w:rPr>
            </w:pPr>
            <w:r w:rsidRPr="003B6A69">
              <w:rPr>
                <w:rFonts w:cs="Calibri"/>
                <w:sz w:val="16"/>
                <w:szCs w:val="16"/>
              </w:rPr>
              <w:t>The project activities aimed directly to benefit local communities (</w:t>
            </w:r>
            <w:proofErr w:type="gramStart"/>
            <w:r w:rsidRPr="003B6A69">
              <w:rPr>
                <w:rFonts w:cs="Calibri"/>
                <w:sz w:val="16"/>
                <w:szCs w:val="16"/>
              </w:rPr>
              <w:t>e.g.</w:t>
            </w:r>
            <w:proofErr w:type="gramEnd"/>
            <w:r w:rsidRPr="003B6A69">
              <w:rPr>
                <w:rFonts w:cs="Calibri"/>
                <w:sz w:val="16"/>
                <w:szCs w:val="16"/>
              </w:rPr>
              <w:t xml:space="preserve"> “green” farming incentives), as well as all the capacity-building activities within the project, have been designed with due account of human rights and equality principles.</w:t>
            </w:r>
          </w:p>
          <w:p w14:paraId="795888F2" w14:textId="77777777" w:rsidR="007E29B1" w:rsidRPr="003B6A69" w:rsidRDefault="007E29B1" w:rsidP="007E29B1">
            <w:pPr>
              <w:spacing w:after="0"/>
              <w:rPr>
                <w:rFonts w:cs="Calibri"/>
                <w:sz w:val="16"/>
                <w:szCs w:val="16"/>
              </w:rPr>
            </w:pPr>
            <w:r w:rsidRPr="003B6A69">
              <w:rPr>
                <w:rFonts w:cs="Calibri"/>
                <w:sz w:val="16"/>
                <w:szCs w:val="16"/>
              </w:rPr>
              <w:t xml:space="preserve">The Comprehensive Stakeholder Engagement Plan for the project was prepared to ensure appropriate engagement and representation of all relevant stakeholder interests.  </w:t>
            </w:r>
          </w:p>
          <w:p w14:paraId="548AAF6A" w14:textId="77777777" w:rsidR="007E29B1" w:rsidRPr="003B6A69" w:rsidRDefault="007E29B1" w:rsidP="007E29B1">
            <w:pPr>
              <w:spacing w:after="0"/>
              <w:rPr>
                <w:rFonts w:cs="Calibri"/>
                <w:sz w:val="16"/>
                <w:szCs w:val="16"/>
              </w:rPr>
            </w:pPr>
            <w:r w:rsidRPr="003B6A69">
              <w:rPr>
                <w:rFonts w:cs="Calibri"/>
                <w:sz w:val="16"/>
                <w:szCs w:val="16"/>
              </w:rPr>
              <w:t xml:space="preserve">The project team will maintain close communication with line ministries and local governments as holders of relevant registers (unemployment, social welfare, disability, migration, elderly support </w:t>
            </w:r>
            <w:proofErr w:type="spellStart"/>
            <w:r w:rsidRPr="003B6A69">
              <w:rPr>
                <w:rFonts w:cs="Calibri"/>
                <w:sz w:val="16"/>
                <w:szCs w:val="16"/>
              </w:rPr>
              <w:t>etc</w:t>
            </w:r>
            <w:proofErr w:type="spellEnd"/>
            <w:r w:rsidRPr="003B6A69">
              <w:rPr>
                <w:rFonts w:cs="Calibri"/>
                <w:sz w:val="16"/>
                <w:szCs w:val="16"/>
              </w:rPr>
              <w:t xml:space="preserve">) </w:t>
            </w:r>
            <w:proofErr w:type="gramStart"/>
            <w:r w:rsidRPr="003B6A69">
              <w:rPr>
                <w:rFonts w:cs="Calibri"/>
                <w:sz w:val="16"/>
                <w:szCs w:val="16"/>
              </w:rPr>
              <w:t>in order to</w:t>
            </w:r>
            <w:proofErr w:type="gramEnd"/>
            <w:r w:rsidRPr="003B6A69">
              <w:rPr>
                <w:rFonts w:cs="Calibri"/>
                <w:sz w:val="16"/>
                <w:szCs w:val="16"/>
              </w:rPr>
              <w:t xml:space="preserve"> extract localized data and information on the distribution and profile of target groups. </w:t>
            </w:r>
          </w:p>
          <w:p w14:paraId="677846F4" w14:textId="77777777" w:rsidR="007E29B1" w:rsidRPr="003B6A69" w:rsidRDefault="007E29B1" w:rsidP="007E29B1">
            <w:pPr>
              <w:spacing w:after="0"/>
              <w:rPr>
                <w:rFonts w:cs="Calibri"/>
                <w:sz w:val="16"/>
                <w:szCs w:val="16"/>
              </w:rPr>
            </w:pPr>
            <w:r w:rsidRPr="003B6A69">
              <w:rPr>
                <w:rFonts w:cs="Calibri"/>
                <w:sz w:val="16"/>
                <w:szCs w:val="16"/>
              </w:rPr>
              <w:t xml:space="preserve">The data will inform decision-making process and secure the inclusion and participation of </w:t>
            </w:r>
            <w:r w:rsidRPr="003B6A69">
              <w:rPr>
                <w:rFonts w:cs="Calibri"/>
                <w:sz w:val="16"/>
                <w:szCs w:val="16"/>
              </w:rPr>
              <w:lastRenderedPageBreak/>
              <w:t xml:space="preserve">group representatives in decision-making process, primarily through the Partnership Committee.   </w:t>
            </w:r>
          </w:p>
          <w:p w14:paraId="0C46E97E" w14:textId="77777777" w:rsidR="007E29B1" w:rsidRPr="003B6A69" w:rsidRDefault="007E29B1" w:rsidP="007E29B1">
            <w:pPr>
              <w:spacing w:after="0"/>
              <w:rPr>
                <w:rFonts w:cs="Calibri"/>
                <w:sz w:val="16"/>
                <w:szCs w:val="16"/>
              </w:rPr>
            </w:pPr>
            <w:r w:rsidRPr="003B6A69">
              <w:rPr>
                <w:rFonts w:cs="Calibri"/>
                <w:sz w:val="16"/>
                <w:szCs w:val="16"/>
              </w:rPr>
              <w:t xml:space="preserve">The project develops integrated strategies and activities geared to raise awareness on these issues, engage said stakeholders in the project process and implementation, and develop income-generating activities aimed at securing and, when appropriate, enhancing the economic, </w:t>
            </w:r>
            <w:proofErr w:type="gramStart"/>
            <w:r w:rsidRPr="003B6A69">
              <w:rPr>
                <w:rFonts w:cs="Calibri"/>
                <w:sz w:val="16"/>
                <w:szCs w:val="16"/>
              </w:rPr>
              <w:t>social</w:t>
            </w:r>
            <w:proofErr w:type="gramEnd"/>
            <w:r w:rsidRPr="003B6A69">
              <w:rPr>
                <w:rFonts w:cs="Calibri"/>
                <w:sz w:val="16"/>
                <w:szCs w:val="16"/>
              </w:rPr>
              <w:t xml:space="preserve"> and environmental benefits to the marginalized groups.</w:t>
            </w:r>
          </w:p>
          <w:p w14:paraId="17783B00" w14:textId="77777777" w:rsidR="007E29B1" w:rsidRPr="003B6A69" w:rsidRDefault="007E29B1" w:rsidP="007E29B1">
            <w:pPr>
              <w:spacing w:after="0"/>
              <w:rPr>
                <w:rFonts w:cs="Calibri"/>
                <w:sz w:val="16"/>
                <w:szCs w:val="16"/>
              </w:rPr>
            </w:pPr>
            <w:r w:rsidRPr="003B6A69">
              <w:rPr>
                <w:rFonts w:cs="Calibri"/>
                <w:sz w:val="16"/>
                <w:szCs w:val="16"/>
              </w:rPr>
              <w:t>Through the PPG phase the team focused on the identification of vulnerable groups within the PAs relying on the identification of such vulnerable groups and communities from existing administrative data and policies. It became evident that the approaches applied may not provide the right level of information or fully encompass the identification of vulnerable groups and communities for the country. Additional considerations are therefore required during the project implementation to ensure the identification of key vulnerable groups and communities, and hence prioritize them in planning and implementation.</w:t>
            </w:r>
          </w:p>
          <w:p w14:paraId="7A7C39A0" w14:textId="77777777" w:rsidR="007E29B1" w:rsidRPr="003B6A69" w:rsidRDefault="007E29B1" w:rsidP="007E29B1">
            <w:pPr>
              <w:spacing w:after="0"/>
              <w:rPr>
                <w:rFonts w:cs="Calibri"/>
                <w:sz w:val="16"/>
                <w:szCs w:val="16"/>
              </w:rPr>
            </w:pPr>
            <w:r w:rsidRPr="003B6A69">
              <w:rPr>
                <w:rFonts w:cs="Calibri"/>
                <w:sz w:val="16"/>
                <w:szCs w:val="16"/>
              </w:rPr>
              <w:t>Two general approaches will be applied to identify the vulnerable groups and communities: one applying existing definitions (as in PPG phase); and one involving new/additional assessments to identify the vulnerable groups and communities. The latter will be done through new assessments with a focus on targeting based on project impacts, geographical targeting, using locally derived assessment tools such as community-based targeting or community participatory etc. Community-based targeting may also apply participatory approaches, where the representative members of the authority or society are involved in deciding on the vulnerable groups and communities.</w:t>
            </w:r>
          </w:p>
          <w:p w14:paraId="0ABBAC09" w14:textId="77777777" w:rsidR="007E29B1" w:rsidRPr="003B6A69" w:rsidRDefault="007E29B1" w:rsidP="007E29B1">
            <w:pPr>
              <w:spacing w:after="0"/>
              <w:rPr>
                <w:rFonts w:cs="Calibri"/>
                <w:sz w:val="16"/>
                <w:szCs w:val="16"/>
              </w:rPr>
            </w:pPr>
            <w:r w:rsidRPr="003B6A69">
              <w:rPr>
                <w:rFonts w:cs="Calibri"/>
                <w:sz w:val="16"/>
                <w:szCs w:val="16"/>
              </w:rPr>
              <w:t xml:space="preserve">Within its Output 2.1 the project will co-finance baseline assessments and valuation studies for the unprotected KBAs that, according to the Law </w:t>
            </w:r>
            <w:r w:rsidRPr="003B6A69">
              <w:rPr>
                <w:rFonts w:cs="Calibri"/>
                <w:sz w:val="16"/>
                <w:szCs w:val="16"/>
              </w:rPr>
              <w:lastRenderedPageBreak/>
              <w:t>on Nature Protection, should include the social-economic impact of protection measures and effects of possible restrictions on resource use. This will include the engagement of potentially affected people.</w:t>
            </w:r>
          </w:p>
          <w:p w14:paraId="1F8205D5" w14:textId="6D21F082" w:rsidR="008E7117" w:rsidRPr="003B6A69" w:rsidRDefault="008E7117" w:rsidP="008E7117">
            <w:pPr>
              <w:spacing w:after="0"/>
              <w:rPr>
                <w:rFonts w:cs="Calibri"/>
                <w:sz w:val="16"/>
                <w:szCs w:val="16"/>
              </w:rPr>
            </w:pPr>
          </w:p>
        </w:tc>
      </w:tr>
      <w:tr w:rsidR="008E7117" w:rsidRPr="003B6A69" w14:paraId="6ECBE0C5" w14:textId="77777777" w:rsidTr="007E29B1">
        <w:tc>
          <w:tcPr>
            <w:tcW w:w="0" w:type="auto"/>
          </w:tcPr>
          <w:p w14:paraId="0DD28AB2" w14:textId="77777777" w:rsidR="008E7117" w:rsidRPr="003B6A69" w:rsidRDefault="008E7117" w:rsidP="00E43D36">
            <w:pPr>
              <w:spacing w:after="0"/>
              <w:rPr>
                <w:rFonts w:cs="Calibri"/>
                <w:sz w:val="16"/>
                <w:szCs w:val="16"/>
              </w:rPr>
            </w:pPr>
            <w:r w:rsidRPr="003B6A69">
              <w:rPr>
                <w:rFonts w:cs="Calibri"/>
                <w:sz w:val="16"/>
                <w:szCs w:val="16"/>
              </w:rPr>
              <w:lastRenderedPageBreak/>
              <w:t xml:space="preserve">9 </w:t>
            </w:r>
          </w:p>
          <w:p w14:paraId="3D1A5489" w14:textId="77777777" w:rsidR="008E7117" w:rsidRPr="003B6A69" w:rsidRDefault="008E7117" w:rsidP="00E43D36">
            <w:pPr>
              <w:spacing w:after="0"/>
              <w:rPr>
                <w:rFonts w:cs="Calibri"/>
                <w:sz w:val="16"/>
                <w:szCs w:val="16"/>
              </w:rPr>
            </w:pPr>
            <w:r w:rsidRPr="003B6A69">
              <w:rPr>
                <w:rFonts w:cs="Calibri"/>
                <w:sz w:val="16"/>
                <w:szCs w:val="16"/>
              </w:rPr>
              <w:t>(SESP</w:t>
            </w:r>
          </w:p>
          <w:p w14:paraId="2935F171" w14:textId="3629DA38" w:rsidR="008E7117" w:rsidRPr="003B6A69" w:rsidRDefault="008E7117" w:rsidP="00E43D36">
            <w:pPr>
              <w:spacing w:after="0"/>
              <w:rPr>
                <w:rFonts w:cs="Calibri"/>
                <w:sz w:val="16"/>
                <w:szCs w:val="16"/>
              </w:rPr>
            </w:pPr>
            <w:r w:rsidRPr="003B6A69">
              <w:rPr>
                <w:rFonts w:cs="Calibri"/>
                <w:sz w:val="16"/>
                <w:szCs w:val="16"/>
              </w:rPr>
              <w:t xml:space="preserve"> Risk 2)</w:t>
            </w:r>
          </w:p>
        </w:tc>
        <w:tc>
          <w:tcPr>
            <w:tcW w:w="2667" w:type="dxa"/>
          </w:tcPr>
          <w:p w14:paraId="157C4A21" w14:textId="3AA4F8E7" w:rsidR="008E7117" w:rsidRPr="003B6A69" w:rsidRDefault="008E7117" w:rsidP="00E43D36">
            <w:pPr>
              <w:spacing w:after="0"/>
              <w:rPr>
                <w:rFonts w:cs="Calibri"/>
                <w:sz w:val="16"/>
                <w:szCs w:val="16"/>
              </w:rPr>
            </w:pPr>
            <w:r w:rsidRPr="003B6A69">
              <w:rPr>
                <w:rFonts w:cs="Calibri"/>
                <w:sz w:val="16"/>
                <w:szCs w:val="16"/>
              </w:rPr>
              <w:t>The project might aggravate the already existing gender issues and trigger the unequal sharing of benefits for the local communities in the rural areas</w:t>
            </w:r>
          </w:p>
        </w:tc>
        <w:tc>
          <w:tcPr>
            <w:tcW w:w="1170" w:type="dxa"/>
          </w:tcPr>
          <w:p w14:paraId="5C3491CD" w14:textId="7E7B1C6C" w:rsidR="008E7117" w:rsidRPr="003B6A69" w:rsidRDefault="008E7117" w:rsidP="00E43D36">
            <w:pPr>
              <w:spacing w:after="0"/>
              <w:rPr>
                <w:rFonts w:cs="Calibri"/>
                <w:sz w:val="16"/>
                <w:szCs w:val="16"/>
              </w:rPr>
            </w:pPr>
            <w:r w:rsidRPr="003B6A69">
              <w:rPr>
                <w:rFonts w:cs="Calibri"/>
                <w:sz w:val="16"/>
                <w:szCs w:val="16"/>
              </w:rPr>
              <w:t>SE</w:t>
            </w:r>
          </w:p>
        </w:tc>
        <w:tc>
          <w:tcPr>
            <w:tcW w:w="1405" w:type="dxa"/>
          </w:tcPr>
          <w:p w14:paraId="002F69BE" w14:textId="2FA972AF" w:rsidR="008E7117" w:rsidRPr="003B6A69" w:rsidRDefault="008E7117" w:rsidP="008E7117">
            <w:pPr>
              <w:spacing w:after="0"/>
              <w:rPr>
                <w:rFonts w:cs="Calibri"/>
                <w:sz w:val="16"/>
                <w:szCs w:val="16"/>
              </w:rPr>
            </w:pPr>
            <w:r w:rsidRPr="003B6A69">
              <w:rPr>
                <w:rFonts w:cs="Calibri"/>
                <w:sz w:val="16"/>
                <w:szCs w:val="16"/>
              </w:rPr>
              <w:t>I = 3, P =2</w:t>
            </w:r>
          </w:p>
          <w:p w14:paraId="67CA600E" w14:textId="35F85FD0" w:rsidR="008E7117" w:rsidRPr="003B6A69" w:rsidRDefault="008E7117" w:rsidP="008E7117">
            <w:pPr>
              <w:spacing w:after="0"/>
              <w:rPr>
                <w:rFonts w:cs="Calibri"/>
                <w:sz w:val="16"/>
                <w:szCs w:val="16"/>
              </w:rPr>
            </w:pPr>
            <w:r w:rsidRPr="003B6A69">
              <w:rPr>
                <w:rFonts w:cs="Calibri"/>
                <w:sz w:val="16"/>
                <w:szCs w:val="16"/>
              </w:rPr>
              <w:t>Moderate</w:t>
            </w:r>
          </w:p>
        </w:tc>
        <w:tc>
          <w:tcPr>
            <w:tcW w:w="2619" w:type="dxa"/>
          </w:tcPr>
          <w:p w14:paraId="59D3D938" w14:textId="77777777" w:rsidR="008E7117" w:rsidRPr="003B6A69" w:rsidRDefault="008E7117" w:rsidP="00E43D36">
            <w:pPr>
              <w:spacing w:after="0"/>
              <w:rPr>
                <w:rFonts w:cs="Calibri"/>
                <w:sz w:val="16"/>
                <w:szCs w:val="16"/>
              </w:rPr>
            </w:pPr>
          </w:p>
        </w:tc>
        <w:tc>
          <w:tcPr>
            <w:tcW w:w="2260" w:type="dxa"/>
          </w:tcPr>
          <w:p w14:paraId="7064CC86" w14:textId="77777777" w:rsidR="007E29B1" w:rsidRPr="003B6A69" w:rsidRDefault="007E29B1" w:rsidP="007E29B1">
            <w:pPr>
              <w:spacing w:after="0"/>
              <w:rPr>
                <w:rFonts w:cs="Calibri"/>
                <w:sz w:val="16"/>
                <w:szCs w:val="16"/>
                <w:lang w:val="en-GB"/>
              </w:rPr>
            </w:pPr>
            <w:r w:rsidRPr="003B6A69">
              <w:rPr>
                <w:rFonts w:cs="Calibri"/>
                <w:sz w:val="16"/>
                <w:szCs w:val="16"/>
                <w:lang w:val="en-GB"/>
              </w:rPr>
              <w:t xml:space="preserve">A detailed gender analysis was carried out during the PPG phase to fully consider the different needs, roles, benefits, impacts, risks, differential access to and control over resources of women and men given a project’s context, and to identify appropriate measures to address these and promote gender equality and women’s empowerment. A Gender Action Plan and Budget were developed to guide gender mainstreaming during project implementation. In accordance with identified gaps and inequalities, the project will implement the following gender-responsive strategic approaches: </w:t>
            </w:r>
          </w:p>
          <w:p w14:paraId="660713BC" w14:textId="77777777" w:rsidR="007E29B1" w:rsidRPr="003B6A69" w:rsidRDefault="007E29B1" w:rsidP="007E29B1">
            <w:pPr>
              <w:spacing w:after="0"/>
              <w:rPr>
                <w:rFonts w:cs="Calibri"/>
                <w:sz w:val="16"/>
                <w:szCs w:val="16"/>
                <w:lang w:val="en-GB"/>
              </w:rPr>
            </w:pPr>
            <w:r w:rsidRPr="003B6A69">
              <w:rPr>
                <w:rFonts w:cs="Calibri"/>
                <w:sz w:val="16"/>
                <w:szCs w:val="16"/>
                <w:lang w:val="en-GB"/>
              </w:rPr>
              <w:t>•</w:t>
            </w:r>
            <w:r w:rsidRPr="003B6A69">
              <w:rPr>
                <w:rFonts w:cs="Calibri"/>
                <w:sz w:val="16"/>
                <w:szCs w:val="16"/>
                <w:lang w:val="en-GB"/>
              </w:rPr>
              <w:tab/>
              <w:t xml:space="preserve">Develop a solid evidence base to ensure that both women and men are equally represented and covered by the </w:t>
            </w:r>
            <w:proofErr w:type="gramStart"/>
            <w:r w:rsidRPr="003B6A69">
              <w:rPr>
                <w:rFonts w:cs="Calibri"/>
                <w:sz w:val="16"/>
                <w:szCs w:val="16"/>
                <w:lang w:val="en-GB"/>
              </w:rPr>
              <w:t>Project;</w:t>
            </w:r>
            <w:proofErr w:type="gramEnd"/>
            <w:r w:rsidRPr="003B6A69">
              <w:rPr>
                <w:rFonts w:cs="Calibri"/>
                <w:sz w:val="16"/>
                <w:szCs w:val="16"/>
                <w:lang w:val="en-GB"/>
              </w:rPr>
              <w:t xml:space="preserve"> </w:t>
            </w:r>
          </w:p>
          <w:p w14:paraId="388CFD9F" w14:textId="77777777" w:rsidR="007E29B1" w:rsidRPr="003B6A69" w:rsidRDefault="007E29B1" w:rsidP="007E29B1">
            <w:pPr>
              <w:spacing w:after="0"/>
              <w:rPr>
                <w:rFonts w:cs="Calibri"/>
                <w:sz w:val="16"/>
                <w:szCs w:val="16"/>
                <w:lang w:val="en-GB"/>
              </w:rPr>
            </w:pPr>
            <w:r w:rsidRPr="003B6A69">
              <w:rPr>
                <w:rFonts w:cs="Calibri"/>
                <w:sz w:val="16"/>
                <w:szCs w:val="16"/>
                <w:lang w:val="en-GB"/>
              </w:rPr>
              <w:t>•</w:t>
            </w:r>
            <w:r w:rsidRPr="003B6A69">
              <w:rPr>
                <w:rFonts w:cs="Calibri"/>
                <w:sz w:val="16"/>
                <w:szCs w:val="16"/>
                <w:lang w:val="en-GB"/>
              </w:rPr>
              <w:tab/>
              <w:t xml:space="preserve">Strengthen women' participation in decision-making in all Project </w:t>
            </w:r>
            <w:proofErr w:type="gramStart"/>
            <w:r w:rsidRPr="003B6A69">
              <w:rPr>
                <w:rFonts w:cs="Calibri"/>
                <w:sz w:val="16"/>
                <w:szCs w:val="16"/>
                <w:lang w:val="en-GB"/>
              </w:rPr>
              <w:t>components;</w:t>
            </w:r>
            <w:proofErr w:type="gramEnd"/>
            <w:r w:rsidRPr="003B6A69">
              <w:rPr>
                <w:rFonts w:cs="Calibri"/>
                <w:sz w:val="16"/>
                <w:szCs w:val="16"/>
                <w:lang w:val="en-GB"/>
              </w:rPr>
              <w:t xml:space="preserve"> </w:t>
            </w:r>
          </w:p>
          <w:p w14:paraId="13EA8CF0" w14:textId="77777777" w:rsidR="007E29B1" w:rsidRPr="003B6A69" w:rsidRDefault="007E29B1" w:rsidP="007E29B1">
            <w:pPr>
              <w:spacing w:after="0"/>
              <w:rPr>
                <w:rFonts w:cs="Calibri"/>
                <w:sz w:val="16"/>
                <w:szCs w:val="16"/>
                <w:lang w:val="en-GB"/>
              </w:rPr>
            </w:pPr>
            <w:r w:rsidRPr="003B6A69">
              <w:rPr>
                <w:rFonts w:cs="Calibri"/>
                <w:sz w:val="16"/>
                <w:szCs w:val="16"/>
                <w:lang w:val="en-GB"/>
              </w:rPr>
              <w:t>•</w:t>
            </w:r>
            <w:r w:rsidRPr="003B6A69">
              <w:rPr>
                <w:rFonts w:cs="Calibri"/>
                <w:sz w:val="16"/>
                <w:szCs w:val="16"/>
                <w:lang w:val="en-GB"/>
              </w:rPr>
              <w:tab/>
              <w:t>Raise the possibilities for women to benefit from the Project.</w:t>
            </w:r>
          </w:p>
          <w:p w14:paraId="282D944D" w14:textId="77777777" w:rsidR="007E29B1" w:rsidRPr="003B6A69" w:rsidRDefault="007E29B1" w:rsidP="007E29B1">
            <w:pPr>
              <w:spacing w:after="0"/>
              <w:rPr>
                <w:rFonts w:cs="Calibri"/>
                <w:sz w:val="16"/>
                <w:szCs w:val="16"/>
                <w:lang w:val="en-GB"/>
              </w:rPr>
            </w:pPr>
            <w:r w:rsidRPr="003B6A69">
              <w:rPr>
                <w:rFonts w:cs="Calibri"/>
                <w:sz w:val="16"/>
                <w:szCs w:val="16"/>
                <w:lang w:val="en-GB"/>
              </w:rPr>
              <w:t>The key gender mainstreaming elements in the project strategy can be summarised as follows:</w:t>
            </w:r>
          </w:p>
          <w:p w14:paraId="779F21E4" w14:textId="77777777" w:rsidR="007E29B1" w:rsidRPr="003B6A69" w:rsidRDefault="007E29B1" w:rsidP="007E29B1">
            <w:pPr>
              <w:spacing w:after="0"/>
              <w:rPr>
                <w:rFonts w:cs="Calibri"/>
                <w:sz w:val="16"/>
                <w:szCs w:val="16"/>
                <w:lang w:val="en-GB"/>
              </w:rPr>
            </w:pPr>
            <w:r w:rsidRPr="003B6A69">
              <w:rPr>
                <w:rFonts w:cs="Calibri"/>
                <w:sz w:val="16"/>
                <w:szCs w:val="16"/>
                <w:lang w:val="en-GB"/>
              </w:rPr>
              <w:t>-</w:t>
            </w:r>
            <w:r w:rsidRPr="003B6A69">
              <w:rPr>
                <w:rFonts w:cs="Calibri"/>
                <w:sz w:val="16"/>
                <w:szCs w:val="16"/>
                <w:lang w:val="en-GB"/>
              </w:rPr>
              <w:tab/>
              <w:t xml:space="preserve">Balanced representation and meaningful participation of women and men in key project activities, including those related to capacity building and management planning for protected areas, BD research and </w:t>
            </w:r>
            <w:proofErr w:type="spellStart"/>
            <w:r w:rsidRPr="003B6A69">
              <w:rPr>
                <w:rFonts w:cs="Calibri"/>
                <w:sz w:val="16"/>
                <w:szCs w:val="16"/>
                <w:lang w:val="en-GB"/>
              </w:rPr>
              <w:t>valorization</w:t>
            </w:r>
            <w:proofErr w:type="spellEnd"/>
            <w:r w:rsidRPr="003B6A69">
              <w:rPr>
                <w:rFonts w:cs="Calibri"/>
                <w:sz w:val="16"/>
                <w:szCs w:val="16"/>
                <w:lang w:val="en-GB"/>
              </w:rPr>
              <w:t xml:space="preserve"> studies, BD threat and risk assessments, spatial planning, development of responsible BD-sensitive sectoral practices and </w:t>
            </w:r>
            <w:proofErr w:type="gramStart"/>
            <w:r w:rsidRPr="003B6A69">
              <w:rPr>
                <w:rFonts w:cs="Calibri"/>
                <w:sz w:val="16"/>
                <w:szCs w:val="16"/>
                <w:lang w:val="en-GB"/>
              </w:rPr>
              <w:t>standards;</w:t>
            </w:r>
            <w:proofErr w:type="gramEnd"/>
          </w:p>
          <w:p w14:paraId="2EE41274" w14:textId="77777777" w:rsidR="007E29B1" w:rsidRPr="003B6A69" w:rsidRDefault="007E29B1" w:rsidP="007E29B1">
            <w:pPr>
              <w:spacing w:after="0"/>
              <w:rPr>
                <w:rFonts w:cs="Calibri"/>
                <w:sz w:val="16"/>
                <w:szCs w:val="16"/>
                <w:lang w:val="en-GB"/>
              </w:rPr>
            </w:pPr>
            <w:r w:rsidRPr="003B6A69">
              <w:rPr>
                <w:rFonts w:cs="Calibri"/>
                <w:sz w:val="16"/>
                <w:szCs w:val="16"/>
                <w:lang w:val="en-GB"/>
              </w:rPr>
              <w:t>-</w:t>
            </w:r>
            <w:r w:rsidRPr="003B6A69">
              <w:rPr>
                <w:rFonts w:cs="Calibri"/>
                <w:sz w:val="16"/>
                <w:szCs w:val="16"/>
                <w:lang w:val="en-GB"/>
              </w:rPr>
              <w:tab/>
              <w:t xml:space="preserve">Engagement and mobilization of individuals, local women groups, women NGOs, etc. to participate in its implementation of the Project and to benefit from business opportunities that are created under the particular Project </w:t>
            </w:r>
            <w:proofErr w:type="gramStart"/>
            <w:r w:rsidRPr="003B6A69">
              <w:rPr>
                <w:rFonts w:cs="Calibri"/>
                <w:sz w:val="16"/>
                <w:szCs w:val="16"/>
                <w:lang w:val="en-GB"/>
              </w:rPr>
              <w:t>components;</w:t>
            </w:r>
            <w:proofErr w:type="gramEnd"/>
          </w:p>
          <w:p w14:paraId="2F4114E8" w14:textId="7EA4B1E5" w:rsidR="008E7117" w:rsidRPr="003B6A69" w:rsidRDefault="007E29B1" w:rsidP="007E29B1">
            <w:pPr>
              <w:spacing w:after="0"/>
              <w:rPr>
                <w:rFonts w:cs="Calibri"/>
                <w:sz w:val="16"/>
                <w:szCs w:val="16"/>
              </w:rPr>
            </w:pPr>
            <w:r w:rsidRPr="003B6A69">
              <w:rPr>
                <w:rFonts w:cs="Calibri"/>
                <w:sz w:val="16"/>
                <w:szCs w:val="16"/>
                <w:lang w:val="en-GB"/>
              </w:rPr>
              <w:lastRenderedPageBreak/>
              <w:t>-</w:t>
            </w:r>
            <w:r w:rsidRPr="003B6A69">
              <w:rPr>
                <w:rFonts w:cs="Calibri"/>
                <w:sz w:val="16"/>
                <w:szCs w:val="16"/>
                <w:lang w:val="en-GB"/>
              </w:rPr>
              <w:tab/>
              <w:t xml:space="preserve">Encouragement of and better access for women entrepreneurs and women's businesses – sustainable tourism, private forest management, and “green” farming – through enhanced opportunities for women to receive financial support (credits, grants, loans, etc.) and non-material support (mentoring, coaching, targeted </w:t>
            </w:r>
            <w:proofErr w:type="spellStart"/>
            <w:r w:rsidRPr="003B6A69">
              <w:rPr>
                <w:rFonts w:cs="Calibri"/>
                <w:sz w:val="16"/>
                <w:szCs w:val="16"/>
                <w:lang w:val="en-GB"/>
              </w:rPr>
              <w:t>counseling</w:t>
            </w:r>
            <w:proofErr w:type="spellEnd"/>
            <w:r w:rsidRPr="003B6A69">
              <w:rPr>
                <w:rFonts w:cs="Calibri"/>
                <w:sz w:val="16"/>
                <w:szCs w:val="16"/>
                <w:lang w:val="en-GB"/>
              </w:rPr>
              <w:t>).</w:t>
            </w:r>
          </w:p>
        </w:tc>
      </w:tr>
      <w:tr w:rsidR="008E7117" w:rsidRPr="003B6A69" w14:paraId="5B968620" w14:textId="77777777" w:rsidTr="007E29B1">
        <w:tc>
          <w:tcPr>
            <w:tcW w:w="0" w:type="auto"/>
          </w:tcPr>
          <w:p w14:paraId="6B08B582" w14:textId="77777777" w:rsidR="008E7117" w:rsidRPr="003B6A69" w:rsidRDefault="008E7117" w:rsidP="00E43D36">
            <w:pPr>
              <w:spacing w:after="0"/>
              <w:rPr>
                <w:rFonts w:cs="Calibri"/>
                <w:sz w:val="16"/>
                <w:szCs w:val="16"/>
              </w:rPr>
            </w:pPr>
            <w:r w:rsidRPr="003B6A69">
              <w:rPr>
                <w:rFonts w:cs="Calibri"/>
                <w:sz w:val="16"/>
                <w:szCs w:val="16"/>
              </w:rPr>
              <w:lastRenderedPageBreak/>
              <w:t xml:space="preserve">10 </w:t>
            </w:r>
          </w:p>
          <w:p w14:paraId="2C65A364" w14:textId="77777777" w:rsidR="008E7117" w:rsidRPr="003B6A69" w:rsidRDefault="008E7117" w:rsidP="00E43D36">
            <w:pPr>
              <w:spacing w:after="0"/>
              <w:rPr>
                <w:rFonts w:cs="Calibri"/>
                <w:sz w:val="16"/>
                <w:szCs w:val="16"/>
              </w:rPr>
            </w:pPr>
            <w:r w:rsidRPr="003B6A69">
              <w:rPr>
                <w:rFonts w:cs="Calibri"/>
                <w:sz w:val="16"/>
                <w:szCs w:val="16"/>
              </w:rPr>
              <w:t xml:space="preserve">(SESP </w:t>
            </w:r>
          </w:p>
          <w:p w14:paraId="1AD72256" w14:textId="5239F989" w:rsidR="008E7117" w:rsidRPr="003B6A69" w:rsidRDefault="008E7117" w:rsidP="00E43D36">
            <w:pPr>
              <w:spacing w:after="0"/>
              <w:rPr>
                <w:rFonts w:cs="Calibri"/>
                <w:sz w:val="16"/>
                <w:szCs w:val="16"/>
              </w:rPr>
            </w:pPr>
            <w:r w:rsidRPr="003B6A69">
              <w:rPr>
                <w:rFonts w:cs="Calibri"/>
                <w:sz w:val="16"/>
                <w:szCs w:val="16"/>
              </w:rPr>
              <w:t>Risk 3)</w:t>
            </w:r>
          </w:p>
        </w:tc>
        <w:tc>
          <w:tcPr>
            <w:tcW w:w="2667" w:type="dxa"/>
          </w:tcPr>
          <w:p w14:paraId="49F00051" w14:textId="77777777" w:rsidR="008E7117" w:rsidRPr="003B6A69" w:rsidRDefault="008E7117" w:rsidP="008E7117">
            <w:pPr>
              <w:spacing w:after="0"/>
              <w:rPr>
                <w:rFonts w:cs="Calibri"/>
                <w:sz w:val="16"/>
                <w:szCs w:val="16"/>
              </w:rPr>
            </w:pPr>
            <w:r w:rsidRPr="003B6A69">
              <w:rPr>
                <w:rFonts w:cs="Calibri"/>
                <w:sz w:val="16"/>
                <w:szCs w:val="16"/>
              </w:rPr>
              <w:t xml:space="preserve">Indirect or consequential project impact from sectoral interventions, </w:t>
            </w:r>
            <w:proofErr w:type="gramStart"/>
            <w:r w:rsidRPr="003B6A69">
              <w:rPr>
                <w:rFonts w:cs="Calibri"/>
                <w:sz w:val="16"/>
                <w:szCs w:val="16"/>
              </w:rPr>
              <w:t>first of all</w:t>
            </w:r>
            <w:proofErr w:type="gramEnd"/>
            <w:r w:rsidRPr="003B6A69">
              <w:rPr>
                <w:rFonts w:cs="Calibri"/>
                <w:sz w:val="16"/>
                <w:szCs w:val="16"/>
              </w:rPr>
              <w:t xml:space="preserve"> tourism development, could lead to adverse environmental effects if the project activities are designed and/or implemented poorly.</w:t>
            </w:r>
          </w:p>
          <w:p w14:paraId="0813FAE8" w14:textId="77777777" w:rsidR="007E29B1" w:rsidRPr="003B6A69" w:rsidRDefault="007E29B1" w:rsidP="007E29B1">
            <w:pPr>
              <w:spacing w:after="0"/>
              <w:rPr>
                <w:rFonts w:cs="Calibri"/>
                <w:sz w:val="16"/>
                <w:szCs w:val="16"/>
              </w:rPr>
            </w:pPr>
            <w:r w:rsidRPr="003B6A69">
              <w:rPr>
                <w:rFonts w:cs="Calibri"/>
                <w:sz w:val="16"/>
                <w:szCs w:val="16"/>
              </w:rPr>
              <w:t xml:space="preserve">The project will work with the development sectors and plans to provide an input to the spatial development planning and sectoral development priority setting where conflicting interests meet, </w:t>
            </w:r>
            <w:proofErr w:type="gramStart"/>
            <w:r w:rsidRPr="003B6A69">
              <w:rPr>
                <w:rFonts w:cs="Calibri"/>
                <w:sz w:val="16"/>
                <w:szCs w:val="16"/>
              </w:rPr>
              <w:t>e.g.</w:t>
            </w:r>
            <w:proofErr w:type="gramEnd"/>
            <w:r w:rsidRPr="003B6A69">
              <w:rPr>
                <w:rFonts w:cs="Calibri"/>
                <w:sz w:val="16"/>
                <w:szCs w:val="16"/>
              </w:rPr>
              <w:t xml:space="preserve"> those between low-impact tourism development and plans for ski resort expansion, or excessive development of the coastal zone in the vicinity of MCPAs. While the project input is not likely to cause any conflicts, the indirect effect associated with aggravating stakeholder interests’ conflicts in particular areas is possible. </w:t>
            </w:r>
          </w:p>
          <w:p w14:paraId="16EC7367" w14:textId="77777777" w:rsidR="007E29B1" w:rsidRPr="003B6A69" w:rsidRDefault="007E29B1" w:rsidP="008E7117">
            <w:pPr>
              <w:spacing w:after="0"/>
              <w:rPr>
                <w:rFonts w:cs="Calibri"/>
                <w:sz w:val="16"/>
                <w:szCs w:val="16"/>
              </w:rPr>
            </w:pPr>
          </w:p>
          <w:p w14:paraId="4A4CF98F" w14:textId="77777777" w:rsidR="008E7117" w:rsidRPr="003B6A69" w:rsidRDefault="008E7117" w:rsidP="00E43D36">
            <w:pPr>
              <w:spacing w:after="0"/>
              <w:rPr>
                <w:rFonts w:cs="Calibri"/>
                <w:sz w:val="16"/>
                <w:szCs w:val="16"/>
              </w:rPr>
            </w:pPr>
          </w:p>
        </w:tc>
        <w:tc>
          <w:tcPr>
            <w:tcW w:w="1170" w:type="dxa"/>
          </w:tcPr>
          <w:p w14:paraId="060EC542" w14:textId="79C6283E" w:rsidR="008E7117" w:rsidRPr="003B6A69" w:rsidRDefault="008E7117" w:rsidP="00E43D36">
            <w:pPr>
              <w:spacing w:after="0"/>
              <w:rPr>
                <w:rFonts w:cs="Calibri"/>
                <w:sz w:val="16"/>
                <w:szCs w:val="16"/>
              </w:rPr>
            </w:pPr>
            <w:r w:rsidRPr="003B6A69">
              <w:rPr>
                <w:rFonts w:cs="Calibri"/>
                <w:sz w:val="16"/>
                <w:szCs w:val="16"/>
              </w:rPr>
              <w:t>SE</w:t>
            </w:r>
          </w:p>
        </w:tc>
        <w:tc>
          <w:tcPr>
            <w:tcW w:w="1405" w:type="dxa"/>
          </w:tcPr>
          <w:p w14:paraId="7989256F" w14:textId="77777777" w:rsidR="008E7117" w:rsidRPr="003B6A69" w:rsidRDefault="008E7117" w:rsidP="008E7117">
            <w:pPr>
              <w:spacing w:after="0"/>
              <w:rPr>
                <w:rFonts w:cs="Calibri"/>
                <w:sz w:val="16"/>
                <w:szCs w:val="16"/>
              </w:rPr>
            </w:pPr>
            <w:r w:rsidRPr="003B6A69">
              <w:rPr>
                <w:rFonts w:cs="Calibri"/>
                <w:sz w:val="16"/>
                <w:szCs w:val="16"/>
              </w:rPr>
              <w:t>I = 3, P =2</w:t>
            </w:r>
          </w:p>
          <w:p w14:paraId="7FB23470" w14:textId="1D6E1D1F" w:rsidR="008E7117" w:rsidRPr="003B6A69" w:rsidRDefault="008E7117" w:rsidP="008E7117">
            <w:pPr>
              <w:spacing w:after="0"/>
              <w:rPr>
                <w:rFonts w:cs="Calibri"/>
                <w:sz w:val="16"/>
                <w:szCs w:val="16"/>
              </w:rPr>
            </w:pPr>
            <w:r w:rsidRPr="003B6A69">
              <w:rPr>
                <w:rFonts w:cs="Calibri"/>
                <w:sz w:val="16"/>
                <w:szCs w:val="16"/>
              </w:rPr>
              <w:t>Moderate</w:t>
            </w:r>
          </w:p>
        </w:tc>
        <w:tc>
          <w:tcPr>
            <w:tcW w:w="2619" w:type="dxa"/>
          </w:tcPr>
          <w:p w14:paraId="7292A71E" w14:textId="77777777" w:rsidR="008E7117" w:rsidRPr="003B6A69" w:rsidRDefault="008E7117" w:rsidP="00E43D36">
            <w:pPr>
              <w:spacing w:after="0"/>
              <w:rPr>
                <w:rFonts w:cs="Calibri"/>
                <w:sz w:val="16"/>
                <w:szCs w:val="16"/>
              </w:rPr>
            </w:pPr>
          </w:p>
        </w:tc>
        <w:tc>
          <w:tcPr>
            <w:tcW w:w="2260" w:type="dxa"/>
          </w:tcPr>
          <w:p w14:paraId="366700B7" w14:textId="77777777" w:rsidR="007E29B1" w:rsidRPr="003B6A69" w:rsidRDefault="007E29B1" w:rsidP="007E29B1">
            <w:pPr>
              <w:spacing w:after="0"/>
              <w:rPr>
                <w:rFonts w:cs="Calibri"/>
                <w:sz w:val="16"/>
                <w:szCs w:val="16"/>
              </w:rPr>
            </w:pPr>
            <w:r w:rsidRPr="003B6A69">
              <w:rPr>
                <w:rFonts w:cs="Calibri"/>
                <w:sz w:val="16"/>
                <w:szCs w:val="16"/>
              </w:rPr>
              <w:t>Project activities have been designed to avoid adverse indirect/consequential impacts to critical and/or sensitive habitats and/or ecosystems and ecosystem services. The project design so far does not foresee any project-driven sectoral interventions that can produce direct negative environmental impact. However, to ensure environmental and social safeguards are implemented throughout the project, consistent with national regulation and UNDP’s Social and Environmental Standards, subject to the agreement between UNDP and the National Implementing Partner, an Environmental and Social Management Framework (ESMF) will be developed for the project during the Inception Phase.</w:t>
            </w:r>
          </w:p>
          <w:p w14:paraId="28933430" w14:textId="77777777" w:rsidR="007E29B1" w:rsidRPr="003B6A69" w:rsidRDefault="007E29B1" w:rsidP="007E29B1">
            <w:pPr>
              <w:spacing w:after="0"/>
              <w:rPr>
                <w:rFonts w:cs="Calibri"/>
                <w:sz w:val="16"/>
                <w:szCs w:val="16"/>
              </w:rPr>
            </w:pPr>
            <w:r w:rsidRPr="003B6A69">
              <w:rPr>
                <w:rFonts w:cs="Calibri"/>
                <w:sz w:val="16"/>
                <w:szCs w:val="16"/>
              </w:rPr>
              <w:t xml:space="preserve">The very project concept streamlines the necessity to prioritize biodiversity considerations and mainstream biodiversity-friendly sectoral policies and practices. The design and sequence of the project activities have been made in a manner to create efficiencies and be effective. By acquisition of relevant information regarding the status of species and habitats through assessments and establishment of detailed monitoring programs, data sets will be provided for planning purposes (both entity-level and municipal level land use and management plans and nationally through higher planning documents) identifying areas of potential future conflicts and unsustainable resources use and create preconditions for timely prevention of these negative scenarios. </w:t>
            </w:r>
          </w:p>
          <w:p w14:paraId="3245E8C2" w14:textId="77777777" w:rsidR="007E29B1" w:rsidRPr="003B6A69" w:rsidRDefault="007E29B1" w:rsidP="007E29B1">
            <w:pPr>
              <w:spacing w:after="0"/>
              <w:rPr>
                <w:rFonts w:cs="Calibri"/>
                <w:sz w:val="16"/>
                <w:szCs w:val="16"/>
              </w:rPr>
            </w:pPr>
            <w:r w:rsidRPr="003B6A69">
              <w:rPr>
                <w:rFonts w:cs="Calibri"/>
                <w:sz w:val="16"/>
                <w:szCs w:val="16"/>
              </w:rPr>
              <w:t xml:space="preserve">For all three sectors in the project focus (tourism, </w:t>
            </w:r>
            <w:proofErr w:type="gramStart"/>
            <w:r w:rsidRPr="003B6A69">
              <w:rPr>
                <w:rFonts w:cs="Calibri"/>
                <w:sz w:val="16"/>
                <w:szCs w:val="16"/>
              </w:rPr>
              <w:t>forestry</w:t>
            </w:r>
            <w:proofErr w:type="gramEnd"/>
            <w:r w:rsidRPr="003B6A69">
              <w:rPr>
                <w:rFonts w:cs="Calibri"/>
                <w:sz w:val="16"/>
                <w:szCs w:val="16"/>
              </w:rPr>
              <w:t xml:space="preserve"> </w:t>
            </w:r>
            <w:r w:rsidRPr="003B6A69">
              <w:rPr>
                <w:rFonts w:cs="Calibri"/>
                <w:sz w:val="16"/>
                <w:szCs w:val="16"/>
              </w:rPr>
              <w:lastRenderedPageBreak/>
              <w:t xml:space="preserve">and agriculture), the project will support only the “green” practices and endeavors: nature-based tourism, BD-sensitive forest management, and green farming. </w:t>
            </w:r>
          </w:p>
          <w:p w14:paraId="3EFF33B7" w14:textId="77777777" w:rsidR="007E29B1" w:rsidRPr="003B6A69" w:rsidRDefault="007E29B1" w:rsidP="007E29B1">
            <w:pPr>
              <w:spacing w:after="0"/>
              <w:rPr>
                <w:rFonts w:cs="Calibri"/>
                <w:sz w:val="16"/>
                <w:szCs w:val="16"/>
              </w:rPr>
            </w:pPr>
            <w:r w:rsidRPr="003B6A69">
              <w:rPr>
                <w:rFonts w:cs="Calibri"/>
                <w:sz w:val="16"/>
                <w:szCs w:val="16"/>
              </w:rPr>
              <w:t xml:space="preserve">The project plans direct input for the new spatial planning framework of the country, offering a BD conservation dimension to the new Spatial Plan of Montenegro. The new Spatial Plan will undergo a Strategic Environmental Assessment (SEA). While SEA is a strictly regulated governmental procedure that provides little space for accommodating any standards apart from those prescribed by law (in line with the EU standards and requirements), it will be possible for the UNDP project experts to assess the Spatial Plan for consistency with UNDP’s requirements for Strategic Environmental and Social Assessment and make recommendations during public hearings.  </w:t>
            </w:r>
          </w:p>
          <w:p w14:paraId="5F6FDA21" w14:textId="77777777" w:rsidR="007E29B1" w:rsidRPr="003B6A69" w:rsidRDefault="007E29B1" w:rsidP="007E29B1">
            <w:pPr>
              <w:spacing w:after="0"/>
              <w:rPr>
                <w:rFonts w:cs="Calibri"/>
                <w:sz w:val="16"/>
                <w:szCs w:val="16"/>
              </w:rPr>
            </w:pPr>
            <w:r w:rsidRPr="003B6A69">
              <w:rPr>
                <w:rFonts w:cs="Calibri"/>
                <w:sz w:val="16"/>
                <w:szCs w:val="16"/>
              </w:rPr>
              <w:t xml:space="preserve">The project will introduce BD conservation considerations for policy instruments within the three sectors. Specifically, the project will offer a BD dimension (criteria, verification mechanisms etc.) to the existing certification schemes that have already been tested and applied in the country. Besides this, the project can support the introduction of one more certification scheme that is more BD-sensitive than those currently applied as well as support the small-scale tourism business development towards the more offerings of biodiversity-sensitive nature-based tourism products. Particularly, for </w:t>
            </w:r>
            <w:proofErr w:type="spellStart"/>
            <w:r w:rsidRPr="003B6A69">
              <w:rPr>
                <w:rFonts w:cs="Calibri"/>
                <w:sz w:val="16"/>
                <w:szCs w:val="16"/>
              </w:rPr>
              <w:t>Durmitor</w:t>
            </w:r>
            <w:proofErr w:type="spellEnd"/>
            <w:r w:rsidRPr="003B6A69">
              <w:rPr>
                <w:rFonts w:cs="Calibri"/>
                <w:sz w:val="16"/>
                <w:szCs w:val="16"/>
              </w:rPr>
              <w:t xml:space="preserve"> National Park, the effort will be focused on the low-impact tourism development as specifically recommended by UNESCO/IUCN </w:t>
            </w:r>
            <w:proofErr w:type="spellStart"/>
            <w:proofErr w:type="gramStart"/>
            <w:r w:rsidRPr="003B6A69">
              <w:rPr>
                <w:rFonts w:cs="Calibri"/>
                <w:sz w:val="16"/>
                <w:szCs w:val="16"/>
              </w:rPr>
              <w:t>mission.Within</w:t>
            </w:r>
            <w:proofErr w:type="spellEnd"/>
            <w:proofErr w:type="gramEnd"/>
            <w:r w:rsidRPr="003B6A69">
              <w:rPr>
                <w:rFonts w:cs="Calibri"/>
                <w:sz w:val="16"/>
                <w:szCs w:val="16"/>
              </w:rPr>
              <w:t xml:space="preserve"> the forestry component, the project will offer best-practice standards for mainstreaming biodiversity-friendly forestry practices. The project will help promote biodiversity-positive entrepreneurship in forestry.</w:t>
            </w:r>
          </w:p>
          <w:p w14:paraId="61101E58" w14:textId="77777777" w:rsidR="007E29B1" w:rsidRPr="003B6A69" w:rsidRDefault="007E29B1" w:rsidP="007E29B1">
            <w:pPr>
              <w:spacing w:after="0"/>
              <w:rPr>
                <w:rFonts w:cs="Calibri"/>
                <w:sz w:val="16"/>
                <w:szCs w:val="16"/>
              </w:rPr>
            </w:pPr>
            <w:r w:rsidRPr="003B6A69">
              <w:rPr>
                <w:rFonts w:cs="Calibri"/>
                <w:sz w:val="16"/>
                <w:szCs w:val="16"/>
              </w:rPr>
              <w:t>Within the agricultural component, the project will support the introduction of incentives (</w:t>
            </w:r>
            <w:proofErr w:type="gramStart"/>
            <w:r w:rsidRPr="003B6A69">
              <w:rPr>
                <w:rFonts w:cs="Calibri"/>
                <w:sz w:val="16"/>
                <w:szCs w:val="16"/>
              </w:rPr>
              <w:t>e.g.</w:t>
            </w:r>
            <w:proofErr w:type="gramEnd"/>
            <w:r w:rsidRPr="003B6A69">
              <w:rPr>
                <w:rFonts w:cs="Calibri"/>
                <w:sz w:val="16"/>
                <w:szCs w:val="16"/>
              </w:rPr>
              <w:t xml:space="preserve"> green payments in accordance with the principles of the EU Common </w:t>
            </w:r>
            <w:r w:rsidRPr="003B6A69">
              <w:rPr>
                <w:rFonts w:cs="Calibri"/>
                <w:sz w:val="16"/>
                <w:szCs w:val="16"/>
              </w:rPr>
              <w:lastRenderedPageBreak/>
              <w:t xml:space="preserve">Agricultural Policy) to support agricultural practices with the aim of restoring, preserving and promoting sustainable use of valuable agricultural land. </w:t>
            </w:r>
          </w:p>
          <w:p w14:paraId="4269078F" w14:textId="77777777" w:rsidR="007E29B1" w:rsidRPr="003B6A69" w:rsidRDefault="007E29B1" w:rsidP="007E29B1">
            <w:pPr>
              <w:spacing w:after="0"/>
              <w:rPr>
                <w:rFonts w:cs="Calibri"/>
                <w:sz w:val="16"/>
                <w:szCs w:val="16"/>
              </w:rPr>
            </w:pPr>
            <w:r w:rsidRPr="003B6A69">
              <w:rPr>
                <w:rFonts w:cs="Calibri"/>
                <w:sz w:val="16"/>
                <w:szCs w:val="16"/>
              </w:rPr>
              <w:t xml:space="preserve">There is a risk that the new strategic, </w:t>
            </w:r>
            <w:proofErr w:type="gramStart"/>
            <w:r w:rsidRPr="003B6A69">
              <w:rPr>
                <w:rFonts w:cs="Calibri"/>
                <w:sz w:val="16"/>
                <w:szCs w:val="16"/>
              </w:rPr>
              <w:t>regulatory</w:t>
            </w:r>
            <w:proofErr w:type="gramEnd"/>
            <w:r w:rsidRPr="003B6A69">
              <w:rPr>
                <w:rFonts w:cs="Calibri"/>
                <w:sz w:val="16"/>
                <w:szCs w:val="16"/>
              </w:rPr>
              <w:t xml:space="preserve"> and planning reforms to which this project will provide a biodiversity mainstreaming dimension will remain only as high-quality written products upon project completion but will not experience full implementation. That would mean that the business-as-usual approach will prevail, leading to the deterioration of the biodiversity values and loss of vitally important ecosystem services. However, the project will not only provide for elevating BD conservation considerations to spatial planning and production sectors and landscapes, but it will also develop and test very practical and viable solutions and models to address the biodiversity threats and mainstream biodiversity-friendly sectoral practices. </w:t>
            </w:r>
          </w:p>
          <w:p w14:paraId="5253E0E0" w14:textId="77777777" w:rsidR="007E29B1" w:rsidRPr="003B6A69" w:rsidRDefault="007E29B1" w:rsidP="007E29B1">
            <w:pPr>
              <w:spacing w:after="0"/>
              <w:rPr>
                <w:rFonts w:cs="Calibri"/>
                <w:sz w:val="16"/>
                <w:szCs w:val="16"/>
              </w:rPr>
            </w:pPr>
            <w:r w:rsidRPr="003B6A69">
              <w:rPr>
                <w:rFonts w:cs="Calibri"/>
                <w:sz w:val="16"/>
                <w:szCs w:val="16"/>
              </w:rPr>
              <w:t>With the knowledge sharing and awareness-raising activities associated with these practical BD mainstreaming interventions, the project will make sure that the key strategic and regulatory reforms find their way to the actual implementation phase.</w:t>
            </w:r>
          </w:p>
          <w:p w14:paraId="76E6C8BD" w14:textId="77777777" w:rsidR="007E29B1" w:rsidRPr="003B6A69" w:rsidRDefault="007E29B1" w:rsidP="007E29B1">
            <w:pPr>
              <w:spacing w:after="0"/>
              <w:rPr>
                <w:rFonts w:cs="Calibri"/>
                <w:sz w:val="16"/>
                <w:szCs w:val="16"/>
              </w:rPr>
            </w:pPr>
            <w:r w:rsidRPr="003B6A69">
              <w:rPr>
                <w:rFonts w:cs="Calibri"/>
                <w:sz w:val="16"/>
                <w:szCs w:val="16"/>
              </w:rPr>
              <w:t xml:space="preserve">Within its three sectoral components (tourism, forestry, agriculture, the project strategy so far does not envisage any direct support of infrastructure development. The developments inside the PA estate will be planned with strict adherence to the PA regulations and limitations. If, </w:t>
            </w:r>
            <w:proofErr w:type="gramStart"/>
            <w:r w:rsidRPr="003B6A69">
              <w:rPr>
                <w:rFonts w:cs="Calibri"/>
                <w:sz w:val="16"/>
                <w:szCs w:val="16"/>
              </w:rPr>
              <w:t>in the course of</w:t>
            </w:r>
            <w:proofErr w:type="gramEnd"/>
            <w:r w:rsidRPr="003B6A69">
              <w:rPr>
                <w:rFonts w:cs="Calibri"/>
                <w:sz w:val="16"/>
                <w:szCs w:val="16"/>
              </w:rPr>
              <w:t xml:space="preserve"> adaptive management, any physical interventions/infrastructure will be planned and agreed, the project implementation partners will ensure a site-specific assessment is done to identify potential environmental impacts and environmental mitigation measures identified and included in bidding documents for contractors, as per procedures to be defined in the project ESMF.</w:t>
            </w:r>
          </w:p>
          <w:p w14:paraId="0EAFF2EC" w14:textId="77777777" w:rsidR="007E29B1" w:rsidRPr="003B6A69" w:rsidRDefault="007E29B1" w:rsidP="007E29B1">
            <w:pPr>
              <w:spacing w:after="0"/>
              <w:rPr>
                <w:rFonts w:cs="Calibri"/>
                <w:sz w:val="16"/>
                <w:szCs w:val="16"/>
              </w:rPr>
            </w:pPr>
          </w:p>
          <w:p w14:paraId="7F22229B" w14:textId="0F070FBE" w:rsidR="008E7117" w:rsidRPr="003B6A69" w:rsidRDefault="007E29B1" w:rsidP="007E29B1">
            <w:pPr>
              <w:spacing w:after="0"/>
              <w:rPr>
                <w:rFonts w:cs="Calibri"/>
                <w:sz w:val="16"/>
                <w:szCs w:val="16"/>
              </w:rPr>
            </w:pPr>
            <w:r w:rsidRPr="003B6A69">
              <w:rPr>
                <w:rFonts w:cs="Calibri"/>
                <w:sz w:val="16"/>
                <w:szCs w:val="16"/>
              </w:rPr>
              <w:t xml:space="preserve">Conflicting interests between nature protection and </w:t>
            </w:r>
            <w:r w:rsidRPr="003B6A69">
              <w:rPr>
                <w:rFonts w:cs="Calibri"/>
                <w:sz w:val="16"/>
                <w:szCs w:val="16"/>
              </w:rPr>
              <w:lastRenderedPageBreak/>
              <w:t>spatial/sectoral development: Within the project impact area (KBAs and BD corridors), the project team and experts, together with the key development partners, will make sure that the spatial developments or the sectoral development projects (e.g. tourism development) that conflict with the UNDP-GEF project objectives are identified, communicated, discussed, and if needed, are escalated to the grievance redress mechanisms established for the project.</w:t>
            </w:r>
          </w:p>
        </w:tc>
      </w:tr>
      <w:tr w:rsidR="008E7117" w:rsidRPr="003B6A69" w14:paraId="56127DA2" w14:textId="77777777" w:rsidTr="007E29B1">
        <w:tc>
          <w:tcPr>
            <w:tcW w:w="0" w:type="auto"/>
          </w:tcPr>
          <w:p w14:paraId="1E6A92D6" w14:textId="396BB658" w:rsidR="008E7117" w:rsidRPr="003B6A69" w:rsidRDefault="008E7117" w:rsidP="00E43D36">
            <w:pPr>
              <w:spacing w:after="0"/>
              <w:rPr>
                <w:rFonts w:cs="Calibri"/>
                <w:sz w:val="16"/>
                <w:szCs w:val="16"/>
              </w:rPr>
            </w:pPr>
            <w:r w:rsidRPr="003B6A69">
              <w:rPr>
                <w:rFonts w:cs="Calibri"/>
                <w:sz w:val="16"/>
                <w:szCs w:val="16"/>
              </w:rPr>
              <w:lastRenderedPageBreak/>
              <w:t>11</w:t>
            </w:r>
          </w:p>
          <w:p w14:paraId="21FE7218" w14:textId="77777777" w:rsidR="008E7117" w:rsidRPr="003B6A69" w:rsidRDefault="008E7117" w:rsidP="00E43D36">
            <w:pPr>
              <w:spacing w:after="0"/>
              <w:rPr>
                <w:rFonts w:cs="Calibri"/>
                <w:sz w:val="16"/>
                <w:szCs w:val="16"/>
              </w:rPr>
            </w:pPr>
            <w:r w:rsidRPr="003B6A69">
              <w:rPr>
                <w:rFonts w:cs="Calibri"/>
                <w:sz w:val="16"/>
                <w:szCs w:val="16"/>
              </w:rPr>
              <w:t>(SESP</w:t>
            </w:r>
          </w:p>
          <w:p w14:paraId="293CD608" w14:textId="79299239" w:rsidR="008E7117" w:rsidRPr="003B6A69" w:rsidRDefault="008E7117" w:rsidP="008E7117">
            <w:pPr>
              <w:spacing w:after="0"/>
              <w:rPr>
                <w:rFonts w:cs="Calibri"/>
                <w:sz w:val="16"/>
                <w:szCs w:val="16"/>
              </w:rPr>
            </w:pPr>
            <w:r w:rsidRPr="003B6A69">
              <w:rPr>
                <w:rFonts w:cs="Calibri"/>
                <w:sz w:val="16"/>
                <w:szCs w:val="16"/>
              </w:rPr>
              <w:t>Risk 5)</w:t>
            </w:r>
          </w:p>
        </w:tc>
        <w:tc>
          <w:tcPr>
            <w:tcW w:w="2667" w:type="dxa"/>
          </w:tcPr>
          <w:p w14:paraId="1DEBBD30" w14:textId="4EC65B22" w:rsidR="008E7117" w:rsidRPr="003B6A69" w:rsidRDefault="008E7117" w:rsidP="00E43D36">
            <w:pPr>
              <w:spacing w:after="0"/>
              <w:rPr>
                <w:rFonts w:cs="Calibri"/>
                <w:sz w:val="16"/>
                <w:szCs w:val="16"/>
              </w:rPr>
            </w:pPr>
            <w:r w:rsidRPr="003B6A69">
              <w:rPr>
                <w:rFonts w:cs="Calibri"/>
                <w:sz w:val="16"/>
                <w:szCs w:val="16"/>
              </w:rPr>
              <w:t>New zonation of protected areas and enforcement of existing regulations could impinge on the livelihoods of nearby communities, potentially restricting access to certain ecosystem services.</w:t>
            </w:r>
          </w:p>
        </w:tc>
        <w:tc>
          <w:tcPr>
            <w:tcW w:w="1170" w:type="dxa"/>
          </w:tcPr>
          <w:p w14:paraId="77C58A77" w14:textId="0AE2C28F" w:rsidR="008E7117" w:rsidRPr="003B6A69" w:rsidRDefault="008E7117" w:rsidP="00E43D36">
            <w:pPr>
              <w:spacing w:after="0"/>
              <w:rPr>
                <w:rFonts w:cs="Calibri"/>
                <w:sz w:val="16"/>
                <w:szCs w:val="16"/>
              </w:rPr>
            </w:pPr>
            <w:r w:rsidRPr="003B6A69">
              <w:rPr>
                <w:rFonts w:cs="Calibri"/>
                <w:sz w:val="16"/>
                <w:szCs w:val="16"/>
              </w:rPr>
              <w:t>SE</w:t>
            </w:r>
          </w:p>
        </w:tc>
        <w:tc>
          <w:tcPr>
            <w:tcW w:w="1405" w:type="dxa"/>
          </w:tcPr>
          <w:p w14:paraId="44D043B7" w14:textId="67507AFE" w:rsidR="008E7117" w:rsidRPr="003B6A69" w:rsidRDefault="008E7117" w:rsidP="008E7117">
            <w:pPr>
              <w:spacing w:after="0"/>
              <w:rPr>
                <w:rFonts w:cs="Calibri"/>
                <w:sz w:val="16"/>
                <w:szCs w:val="16"/>
              </w:rPr>
            </w:pPr>
            <w:r w:rsidRPr="003B6A69">
              <w:rPr>
                <w:rFonts w:cs="Calibri"/>
                <w:sz w:val="16"/>
                <w:szCs w:val="16"/>
              </w:rPr>
              <w:t>I = 3, P =3</w:t>
            </w:r>
          </w:p>
          <w:p w14:paraId="705DE1A0" w14:textId="04C29E99" w:rsidR="008E7117" w:rsidRPr="003B6A69" w:rsidRDefault="008E7117" w:rsidP="008E7117">
            <w:pPr>
              <w:spacing w:after="0"/>
              <w:rPr>
                <w:rFonts w:cs="Calibri"/>
                <w:sz w:val="16"/>
                <w:szCs w:val="16"/>
              </w:rPr>
            </w:pPr>
            <w:r w:rsidRPr="003B6A69">
              <w:rPr>
                <w:rFonts w:cs="Calibri"/>
                <w:sz w:val="16"/>
                <w:szCs w:val="16"/>
              </w:rPr>
              <w:t>Moderate</w:t>
            </w:r>
          </w:p>
        </w:tc>
        <w:tc>
          <w:tcPr>
            <w:tcW w:w="2619" w:type="dxa"/>
          </w:tcPr>
          <w:p w14:paraId="5CA5B4A1" w14:textId="77777777" w:rsidR="008E7117" w:rsidRPr="003B6A69" w:rsidRDefault="008E7117" w:rsidP="00E43D36">
            <w:pPr>
              <w:spacing w:after="0"/>
              <w:rPr>
                <w:rFonts w:cs="Calibri"/>
                <w:sz w:val="16"/>
                <w:szCs w:val="16"/>
              </w:rPr>
            </w:pPr>
          </w:p>
        </w:tc>
        <w:tc>
          <w:tcPr>
            <w:tcW w:w="2260" w:type="dxa"/>
          </w:tcPr>
          <w:p w14:paraId="57945A64" w14:textId="77777777" w:rsidR="008E7117" w:rsidRPr="003B6A69" w:rsidRDefault="008E7117" w:rsidP="008E7117">
            <w:pPr>
              <w:spacing w:after="0"/>
              <w:rPr>
                <w:rFonts w:cs="Calibri"/>
                <w:sz w:val="16"/>
                <w:szCs w:val="16"/>
              </w:rPr>
            </w:pPr>
            <w:r w:rsidRPr="003B6A69">
              <w:rPr>
                <w:rFonts w:cs="Calibri"/>
                <w:sz w:val="16"/>
                <w:szCs w:val="16"/>
              </w:rPr>
              <w:t xml:space="preserve">Before any significant changes are included into the revised PA management plans, they will be subject to an assessment of various impacts including that on community livelihoods. All the changes to be introduced for the Tara River UNESCO Biosphere reserve and the </w:t>
            </w:r>
            <w:proofErr w:type="spellStart"/>
            <w:r w:rsidRPr="003B6A69">
              <w:rPr>
                <w:rFonts w:cs="Calibri"/>
                <w:sz w:val="16"/>
                <w:szCs w:val="16"/>
              </w:rPr>
              <w:t>Durmitor</w:t>
            </w:r>
            <w:proofErr w:type="spellEnd"/>
            <w:r w:rsidRPr="003B6A69">
              <w:rPr>
                <w:rFonts w:cs="Calibri"/>
                <w:sz w:val="16"/>
                <w:szCs w:val="16"/>
              </w:rPr>
              <w:t xml:space="preserve"> WH site will go through the consultative process through the recently established multi-stakeholder management board.  Through its activities, the project will contribute to the substantial increase of scientific knowledge of the sites, the contribution of non-governmental organizations and local populations, the adequate network design in terms of area and representativeness, and the adequacy of the EU and national legal frame.</w:t>
            </w:r>
          </w:p>
          <w:p w14:paraId="715C9248" w14:textId="77777777" w:rsidR="008E7117" w:rsidRPr="003B6A69" w:rsidRDefault="008E7117" w:rsidP="008E7117">
            <w:pPr>
              <w:spacing w:after="0"/>
              <w:rPr>
                <w:rFonts w:cs="Calibri"/>
                <w:sz w:val="16"/>
                <w:szCs w:val="16"/>
              </w:rPr>
            </w:pPr>
          </w:p>
          <w:p w14:paraId="0764B9D6" w14:textId="77777777" w:rsidR="008E7117" w:rsidRPr="003B6A69" w:rsidRDefault="008E7117" w:rsidP="008E7117">
            <w:pPr>
              <w:spacing w:after="0"/>
              <w:rPr>
                <w:rFonts w:cs="Calibri"/>
                <w:sz w:val="16"/>
                <w:szCs w:val="16"/>
              </w:rPr>
            </w:pPr>
            <w:r w:rsidRPr="003B6A69">
              <w:rPr>
                <w:rFonts w:cs="Calibri"/>
                <w:sz w:val="16"/>
                <w:szCs w:val="16"/>
              </w:rPr>
              <w:t xml:space="preserve">With the implementation of legal framework prescribing and defining consultation process and with the additional effort of the team, relying on and replicating good practices implemented in the context of </w:t>
            </w:r>
            <w:proofErr w:type="spellStart"/>
            <w:r w:rsidRPr="003B6A69">
              <w:rPr>
                <w:rFonts w:cs="Calibri"/>
                <w:sz w:val="16"/>
                <w:szCs w:val="16"/>
              </w:rPr>
              <w:t>Piva</w:t>
            </w:r>
            <w:proofErr w:type="spellEnd"/>
            <w:r w:rsidRPr="003B6A69">
              <w:rPr>
                <w:rFonts w:cs="Calibri"/>
                <w:sz w:val="16"/>
                <w:szCs w:val="16"/>
              </w:rPr>
              <w:t xml:space="preserve">, </w:t>
            </w:r>
            <w:proofErr w:type="spellStart"/>
            <w:r w:rsidRPr="003B6A69">
              <w:rPr>
                <w:rFonts w:cs="Calibri"/>
                <w:sz w:val="16"/>
                <w:szCs w:val="16"/>
              </w:rPr>
              <w:t>Komovi</w:t>
            </w:r>
            <w:proofErr w:type="spellEnd"/>
            <w:r w:rsidRPr="003B6A69">
              <w:rPr>
                <w:rFonts w:cs="Calibri"/>
                <w:sz w:val="16"/>
                <w:szCs w:val="16"/>
              </w:rPr>
              <w:t xml:space="preserve"> and </w:t>
            </w:r>
            <w:proofErr w:type="gramStart"/>
            <w:r w:rsidRPr="003B6A69">
              <w:rPr>
                <w:rFonts w:cs="Calibri"/>
                <w:sz w:val="16"/>
                <w:szCs w:val="16"/>
              </w:rPr>
              <w:t>later on</w:t>
            </w:r>
            <w:proofErr w:type="gramEnd"/>
            <w:r w:rsidRPr="003B6A69">
              <w:rPr>
                <w:rFonts w:cs="Calibri"/>
                <w:sz w:val="16"/>
                <w:szCs w:val="16"/>
              </w:rPr>
              <w:t xml:space="preserve"> Zeta, </w:t>
            </w:r>
            <w:proofErr w:type="spellStart"/>
            <w:r w:rsidRPr="003B6A69">
              <w:rPr>
                <w:rFonts w:cs="Calibri"/>
                <w:sz w:val="16"/>
                <w:szCs w:val="16"/>
              </w:rPr>
              <w:t>Orjen</w:t>
            </w:r>
            <w:proofErr w:type="spellEnd"/>
            <w:r w:rsidRPr="003B6A69">
              <w:rPr>
                <w:rFonts w:cs="Calibri"/>
                <w:sz w:val="16"/>
                <w:szCs w:val="16"/>
              </w:rPr>
              <w:t xml:space="preserve">, </w:t>
            </w:r>
            <w:proofErr w:type="spellStart"/>
            <w:r w:rsidRPr="003B6A69">
              <w:rPr>
                <w:rFonts w:cs="Calibri"/>
                <w:sz w:val="16"/>
                <w:szCs w:val="16"/>
              </w:rPr>
              <w:t>Dragišnjica</w:t>
            </w:r>
            <w:proofErr w:type="spellEnd"/>
            <w:r w:rsidRPr="003B6A69">
              <w:rPr>
                <w:rFonts w:cs="Calibri"/>
                <w:sz w:val="16"/>
                <w:szCs w:val="16"/>
              </w:rPr>
              <w:t xml:space="preserve"> – </w:t>
            </w:r>
            <w:proofErr w:type="spellStart"/>
            <w:r w:rsidRPr="003B6A69">
              <w:rPr>
                <w:rFonts w:cs="Calibri"/>
                <w:sz w:val="16"/>
                <w:szCs w:val="16"/>
              </w:rPr>
              <w:t>Komarnica</w:t>
            </w:r>
            <w:proofErr w:type="spellEnd"/>
            <w:r w:rsidRPr="003B6A69">
              <w:rPr>
                <w:rFonts w:cs="Calibri"/>
                <w:sz w:val="16"/>
                <w:szCs w:val="16"/>
              </w:rPr>
              <w:t xml:space="preserve"> etc. the risks of limiting livelihood of the local population will be decreased to a minimum.</w:t>
            </w:r>
          </w:p>
          <w:p w14:paraId="3E3A0CF3" w14:textId="77777777" w:rsidR="008E7117" w:rsidRPr="003B6A69" w:rsidRDefault="008E7117" w:rsidP="008E7117">
            <w:pPr>
              <w:spacing w:after="0"/>
              <w:rPr>
                <w:rFonts w:cs="Calibri"/>
                <w:sz w:val="16"/>
                <w:szCs w:val="16"/>
              </w:rPr>
            </w:pPr>
            <w:r w:rsidRPr="003B6A69">
              <w:rPr>
                <w:rFonts w:cs="Calibri"/>
                <w:sz w:val="16"/>
                <w:szCs w:val="16"/>
              </w:rPr>
              <w:t xml:space="preserve">During the project development phase and before these official processes the project will ensure community engagement and assessment of possible impacts and alternative solutions for local livelihoods that depend on the PA resources. </w:t>
            </w:r>
          </w:p>
          <w:p w14:paraId="540FA7AF" w14:textId="77777777" w:rsidR="008E7117" w:rsidRPr="003B6A69" w:rsidRDefault="008E7117" w:rsidP="008E7117">
            <w:pPr>
              <w:spacing w:after="0"/>
              <w:rPr>
                <w:rFonts w:cs="Calibri"/>
                <w:sz w:val="16"/>
                <w:szCs w:val="16"/>
              </w:rPr>
            </w:pPr>
            <w:r w:rsidRPr="003B6A69">
              <w:rPr>
                <w:rFonts w:cs="Calibri"/>
                <w:sz w:val="16"/>
                <w:szCs w:val="16"/>
              </w:rPr>
              <w:t xml:space="preserve">The project activities under Outcome </w:t>
            </w:r>
            <w:proofErr w:type="gramStart"/>
            <w:r w:rsidRPr="003B6A69">
              <w:rPr>
                <w:rFonts w:cs="Calibri"/>
                <w:sz w:val="16"/>
                <w:szCs w:val="16"/>
              </w:rPr>
              <w:t>2  will</w:t>
            </w:r>
            <w:proofErr w:type="gramEnd"/>
            <w:r w:rsidRPr="003B6A69">
              <w:rPr>
                <w:rFonts w:cs="Calibri"/>
                <w:sz w:val="16"/>
                <w:szCs w:val="16"/>
              </w:rPr>
              <w:t xml:space="preserve"> contribute to the baseline feasibility assessments/justifications that </w:t>
            </w:r>
            <w:r w:rsidRPr="003B6A69">
              <w:rPr>
                <w:rFonts w:cs="Calibri"/>
                <w:sz w:val="16"/>
                <w:szCs w:val="16"/>
              </w:rPr>
              <w:lastRenderedPageBreak/>
              <w:t xml:space="preserve">may potentially lead to expansion of PA system through the PAs at the category of parks of nature or N2000 sites. By definition and prescribed consultation process, designation of t these PAs categories </w:t>
            </w:r>
            <w:proofErr w:type="gramStart"/>
            <w:r w:rsidRPr="003B6A69">
              <w:rPr>
                <w:rFonts w:cs="Calibri"/>
                <w:sz w:val="16"/>
                <w:szCs w:val="16"/>
              </w:rPr>
              <w:t>has</w:t>
            </w:r>
            <w:proofErr w:type="gramEnd"/>
            <w:r w:rsidRPr="003B6A69">
              <w:rPr>
                <w:rFonts w:cs="Calibri"/>
                <w:sz w:val="16"/>
                <w:szCs w:val="16"/>
              </w:rPr>
              <w:t xml:space="preserve"> an important aspect of creating preconditions for local economic development. While PAs management involves capital investment and requires resources for on-going management and monitoring activities the countries PAs network already demonstrated opportunities to deliver a variety of socio-economic benefits, resulting from a range of provisioning, regulating and cultural services, each of which supports human </w:t>
            </w:r>
            <w:proofErr w:type="spellStart"/>
            <w:r w:rsidRPr="003B6A69">
              <w:rPr>
                <w:rFonts w:cs="Calibri"/>
                <w:sz w:val="16"/>
                <w:szCs w:val="16"/>
              </w:rPr>
              <w:t>well being</w:t>
            </w:r>
            <w:proofErr w:type="spellEnd"/>
            <w:r w:rsidRPr="003B6A69">
              <w:rPr>
                <w:rFonts w:cs="Calibri"/>
                <w:sz w:val="16"/>
                <w:szCs w:val="16"/>
              </w:rPr>
              <w:t>. Quantitative and monetary data for the socio-economic benefits associated with countries PAs already provided evidence that the benefits to society are larger than the costs of managing and investing in the network.</w:t>
            </w:r>
          </w:p>
          <w:p w14:paraId="5C0F67EB" w14:textId="77A0C381" w:rsidR="008E7117" w:rsidRPr="003B6A69" w:rsidRDefault="008E7117" w:rsidP="008E7117">
            <w:pPr>
              <w:spacing w:after="0"/>
              <w:rPr>
                <w:rFonts w:cs="Calibri"/>
                <w:sz w:val="16"/>
                <w:szCs w:val="16"/>
              </w:rPr>
            </w:pPr>
            <w:r w:rsidRPr="003B6A69">
              <w:rPr>
                <w:rFonts w:cs="Calibri"/>
                <w:sz w:val="16"/>
                <w:szCs w:val="16"/>
              </w:rPr>
              <w:t xml:space="preserve">One specific example in the context is the area of </w:t>
            </w:r>
            <w:proofErr w:type="spellStart"/>
            <w:r w:rsidRPr="003B6A69">
              <w:rPr>
                <w:rFonts w:cs="Calibri"/>
                <w:sz w:val="16"/>
                <w:szCs w:val="16"/>
              </w:rPr>
              <w:t>Sinjajeina</w:t>
            </w:r>
            <w:proofErr w:type="spellEnd"/>
            <w:r w:rsidRPr="003B6A69">
              <w:rPr>
                <w:rFonts w:cs="Calibri"/>
                <w:sz w:val="16"/>
                <w:szCs w:val="16"/>
              </w:rPr>
              <w:t xml:space="preserve"> where the project has committed significant resources for BD assessment and revision of the draft Protection Study for </w:t>
            </w:r>
            <w:proofErr w:type="gramStart"/>
            <w:r w:rsidRPr="003B6A69">
              <w:rPr>
                <w:rFonts w:cs="Calibri"/>
                <w:sz w:val="16"/>
                <w:szCs w:val="16"/>
              </w:rPr>
              <w:t>the  potential</w:t>
            </w:r>
            <w:proofErr w:type="gramEnd"/>
            <w:r w:rsidRPr="003B6A69">
              <w:rPr>
                <w:rFonts w:cs="Calibri"/>
                <w:sz w:val="16"/>
                <w:szCs w:val="16"/>
              </w:rPr>
              <w:t xml:space="preserve"> PA proclamation. The project-born inputs into this process will make sure that the proposed zonation and management arrangements for the area should include support to traditional livelihoods, revitalization of traditional agriculture (grazing) and nomadic settlements (katuns) as key elements representing the unique cultural value of the </w:t>
            </w:r>
            <w:proofErr w:type="gramStart"/>
            <w:r w:rsidRPr="003B6A69">
              <w:rPr>
                <w:rFonts w:cs="Calibri"/>
                <w:sz w:val="16"/>
                <w:szCs w:val="16"/>
              </w:rPr>
              <w:t>area, and</w:t>
            </w:r>
            <w:proofErr w:type="gramEnd"/>
            <w:r w:rsidRPr="003B6A69">
              <w:rPr>
                <w:rFonts w:cs="Calibri"/>
                <w:sz w:val="16"/>
                <w:szCs w:val="16"/>
              </w:rPr>
              <w:t xml:space="preserve"> ensure community engagement for increased local benefits from traditional agriculture and sustainable tourism development.</w:t>
            </w:r>
          </w:p>
        </w:tc>
      </w:tr>
      <w:tr w:rsidR="008E7117" w:rsidRPr="003B6A69" w14:paraId="2CD10782" w14:textId="77777777" w:rsidTr="007E29B1">
        <w:tc>
          <w:tcPr>
            <w:tcW w:w="0" w:type="auto"/>
          </w:tcPr>
          <w:p w14:paraId="3E417C1B" w14:textId="561D648C" w:rsidR="008E7117" w:rsidRPr="003B6A69" w:rsidRDefault="008E7117" w:rsidP="008E7117">
            <w:pPr>
              <w:spacing w:after="0"/>
              <w:rPr>
                <w:rFonts w:cs="Calibri"/>
                <w:sz w:val="16"/>
                <w:szCs w:val="16"/>
              </w:rPr>
            </w:pPr>
            <w:r w:rsidRPr="003B6A69">
              <w:rPr>
                <w:rFonts w:cs="Calibri"/>
                <w:sz w:val="16"/>
                <w:szCs w:val="16"/>
              </w:rPr>
              <w:lastRenderedPageBreak/>
              <w:t>12</w:t>
            </w:r>
          </w:p>
          <w:p w14:paraId="7142F012" w14:textId="77777777" w:rsidR="008E7117" w:rsidRPr="003B6A69" w:rsidRDefault="008E7117" w:rsidP="008E7117">
            <w:pPr>
              <w:spacing w:after="0"/>
              <w:rPr>
                <w:rFonts w:cs="Calibri"/>
                <w:sz w:val="16"/>
                <w:szCs w:val="16"/>
              </w:rPr>
            </w:pPr>
            <w:r w:rsidRPr="003B6A69">
              <w:rPr>
                <w:rFonts w:cs="Calibri"/>
                <w:sz w:val="16"/>
                <w:szCs w:val="16"/>
              </w:rPr>
              <w:t>(SESP</w:t>
            </w:r>
          </w:p>
          <w:p w14:paraId="137DDED4" w14:textId="6863C61A" w:rsidR="008E7117" w:rsidRPr="003B6A69" w:rsidRDefault="008E7117" w:rsidP="008E7117">
            <w:pPr>
              <w:spacing w:after="0"/>
              <w:rPr>
                <w:rFonts w:cs="Calibri"/>
                <w:sz w:val="16"/>
                <w:szCs w:val="16"/>
              </w:rPr>
            </w:pPr>
            <w:r w:rsidRPr="003B6A69">
              <w:rPr>
                <w:rFonts w:cs="Calibri"/>
                <w:sz w:val="16"/>
                <w:szCs w:val="16"/>
              </w:rPr>
              <w:t>Risk 6)</w:t>
            </w:r>
          </w:p>
        </w:tc>
        <w:tc>
          <w:tcPr>
            <w:tcW w:w="2667" w:type="dxa"/>
          </w:tcPr>
          <w:p w14:paraId="5EDA278F" w14:textId="26E65512" w:rsidR="008E7117" w:rsidRPr="003B6A69" w:rsidRDefault="008E7117" w:rsidP="00E43D36">
            <w:pPr>
              <w:spacing w:after="0"/>
              <w:rPr>
                <w:rFonts w:cs="Calibri"/>
                <w:sz w:val="16"/>
                <w:szCs w:val="16"/>
              </w:rPr>
            </w:pPr>
            <w:r w:rsidRPr="003B6A69">
              <w:rPr>
                <w:rFonts w:cs="Calibri"/>
                <w:sz w:val="16"/>
                <w:szCs w:val="16"/>
              </w:rPr>
              <w:t>Project interventions associated with tourism development in the vicinity of historical sites might cause unintentional adverse impacts on historical sites and objects with cultural value</w:t>
            </w:r>
          </w:p>
        </w:tc>
        <w:tc>
          <w:tcPr>
            <w:tcW w:w="1170" w:type="dxa"/>
          </w:tcPr>
          <w:p w14:paraId="722C80CC" w14:textId="5DA5E06E" w:rsidR="008E7117" w:rsidRPr="003B6A69" w:rsidRDefault="008E7117" w:rsidP="00E43D36">
            <w:pPr>
              <w:spacing w:after="0"/>
              <w:rPr>
                <w:rFonts w:cs="Calibri"/>
                <w:sz w:val="16"/>
                <w:szCs w:val="16"/>
              </w:rPr>
            </w:pPr>
            <w:r w:rsidRPr="003B6A69">
              <w:rPr>
                <w:rFonts w:cs="Calibri"/>
                <w:sz w:val="16"/>
                <w:szCs w:val="16"/>
              </w:rPr>
              <w:t>SE</w:t>
            </w:r>
          </w:p>
        </w:tc>
        <w:tc>
          <w:tcPr>
            <w:tcW w:w="1405" w:type="dxa"/>
          </w:tcPr>
          <w:p w14:paraId="31E34B85" w14:textId="09408650" w:rsidR="008E7117" w:rsidRPr="003B6A69" w:rsidRDefault="008E7117" w:rsidP="008E7117">
            <w:pPr>
              <w:spacing w:after="0"/>
              <w:rPr>
                <w:rFonts w:cs="Calibri"/>
                <w:sz w:val="16"/>
                <w:szCs w:val="16"/>
              </w:rPr>
            </w:pPr>
            <w:r w:rsidRPr="003B6A69">
              <w:rPr>
                <w:rFonts w:cs="Calibri"/>
                <w:sz w:val="16"/>
                <w:szCs w:val="16"/>
              </w:rPr>
              <w:t>I = 3, P =1</w:t>
            </w:r>
          </w:p>
          <w:p w14:paraId="305608DF" w14:textId="626904BD" w:rsidR="008E7117" w:rsidRPr="003B6A69" w:rsidRDefault="008E7117" w:rsidP="008E7117">
            <w:pPr>
              <w:spacing w:after="0"/>
              <w:rPr>
                <w:rFonts w:cs="Calibri"/>
                <w:sz w:val="16"/>
                <w:szCs w:val="16"/>
              </w:rPr>
            </w:pPr>
            <w:r w:rsidRPr="003B6A69">
              <w:rPr>
                <w:rFonts w:cs="Calibri"/>
                <w:sz w:val="16"/>
                <w:szCs w:val="16"/>
              </w:rPr>
              <w:t>Low</w:t>
            </w:r>
          </w:p>
        </w:tc>
        <w:tc>
          <w:tcPr>
            <w:tcW w:w="2619" w:type="dxa"/>
          </w:tcPr>
          <w:p w14:paraId="6F9F291A" w14:textId="77777777" w:rsidR="008E7117" w:rsidRPr="003B6A69" w:rsidRDefault="008E7117" w:rsidP="00E43D36">
            <w:pPr>
              <w:spacing w:after="0"/>
              <w:rPr>
                <w:rFonts w:cs="Calibri"/>
                <w:sz w:val="16"/>
                <w:szCs w:val="16"/>
              </w:rPr>
            </w:pPr>
          </w:p>
        </w:tc>
        <w:tc>
          <w:tcPr>
            <w:tcW w:w="2260" w:type="dxa"/>
          </w:tcPr>
          <w:p w14:paraId="288CEA3F" w14:textId="77777777" w:rsidR="007E29B1" w:rsidRPr="003B6A69" w:rsidRDefault="007E29B1" w:rsidP="007E29B1">
            <w:pPr>
              <w:spacing w:after="0"/>
              <w:rPr>
                <w:rFonts w:cs="Calibri"/>
                <w:sz w:val="16"/>
                <w:szCs w:val="16"/>
              </w:rPr>
            </w:pPr>
            <w:r w:rsidRPr="003B6A69">
              <w:rPr>
                <w:rFonts w:cs="Calibri"/>
                <w:sz w:val="16"/>
                <w:szCs w:val="16"/>
              </w:rPr>
              <w:t xml:space="preserve">The project will rely on and conform to the national guidelines and framework set by the Protection and preservation program cultural goods, Cultural Tourism Development Program of Montenegro with Action </w:t>
            </w:r>
            <w:proofErr w:type="gramStart"/>
            <w:r w:rsidRPr="003B6A69">
              <w:rPr>
                <w:rFonts w:cs="Calibri"/>
                <w:sz w:val="16"/>
                <w:szCs w:val="16"/>
              </w:rPr>
              <w:t>Plan</w:t>
            </w:r>
            <w:proofErr w:type="gramEnd"/>
            <w:r w:rsidRPr="003B6A69">
              <w:rPr>
                <w:rFonts w:cs="Calibri"/>
                <w:sz w:val="16"/>
                <w:szCs w:val="16"/>
              </w:rPr>
              <w:t xml:space="preserve"> and the Law on Culture. Chance find procedures will be elaborated in the project ESMF.</w:t>
            </w:r>
          </w:p>
          <w:p w14:paraId="4103374C" w14:textId="77777777" w:rsidR="007E29B1" w:rsidRPr="003B6A69" w:rsidRDefault="007E29B1" w:rsidP="007E29B1">
            <w:pPr>
              <w:spacing w:after="0"/>
              <w:rPr>
                <w:rFonts w:cs="Calibri"/>
                <w:sz w:val="16"/>
                <w:szCs w:val="16"/>
              </w:rPr>
            </w:pPr>
            <w:r w:rsidRPr="003B6A69">
              <w:rPr>
                <w:rFonts w:cs="Calibri"/>
                <w:sz w:val="16"/>
                <w:szCs w:val="16"/>
              </w:rPr>
              <w:t xml:space="preserve">The World Heritage Convention and the Operational Guidelines for the Implementation of the </w:t>
            </w:r>
            <w:r w:rsidRPr="003B6A69">
              <w:rPr>
                <w:rFonts w:cs="Calibri"/>
                <w:sz w:val="16"/>
                <w:szCs w:val="16"/>
              </w:rPr>
              <w:lastRenderedPageBreak/>
              <w:t xml:space="preserve">World Heritage Convention will be at the core of any development affecting historical sites. </w:t>
            </w:r>
          </w:p>
          <w:p w14:paraId="336D323B" w14:textId="77777777" w:rsidR="007E29B1" w:rsidRPr="003B6A69" w:rsidRDefault="007E29B1" w:rsidP="007E29B1">
            <w:pPr>
              <w:spacing w:after="0"/>
              <w:rPr>
                <w:rFonts w:cs="Calibri"/>
                <w:sz w:val="16"/>
                <w:szCs w:val="16"/>
              </w:rPr>
            </w:pPr>
            <w:r w:rsidRPr="003B6A69">
              <w:rPr>
                <w:rFonts w:cs="Calibri"/>
                <w:sz w:val="16"/>
                <w:szCs w:val="16"/>
              </w:rPr>
              <w:t xml:space="preserve">The Spatial Plan of Montenegro (that also concerns World Heritage) will undergo a Strategic Environmental Assessment. the core team responsible for elaboration and synthesis of the project activities to support the new Spatial Plan, will specifically look at the section related to spatial planning for the protection of nature and cultural heritage (as noted in </w:t>
            </w:r>
            <w:proofErr w:type="spellStart"/>
            <w:r w:rsidRPr="003B6A69">
              <w:rPr>
                <w:rFonts w:cs="Calibri"/>
                <w:sz w:val="16"/>
                <w:szCs w:val="16"/>
              </w:rPr>
              <w:t>Prodoc</w:t>
            </w:r>
            <w:proofErr w:type="spellEnd"/>
            <w:r w:rsidRPr="003B6A69">
              <w:rPr>
                <w:rFonts w:cs="Calibri"/>
                <w:sz w:val="16"/>
                <w:szCs w:val="16"/>
              </w:rPr>
              <w:t>).</w:t>
            </w:r>
          </w:p>
          <w:p w14:paraId="47F8BF55" w14:textId="4D21E64D" w:rsidR="008E7117" w:rsidRPr="003B6A69" w:rsidRDefault="008E7117" w:rsidP="008E7117">
            <w:pPr>
              <w:spacing w:after="0"/>
              <w:rPr>
                <w:rFonts w:cs="Calibri"/>
                <w:sz w:val="16"/>
                <w:szCs w:val="16"/>
              </w:rPr>
            </w:pPr>
          </w:p>
        </w:tc>
      </w:tr>
      <w:tr w:rsidR="007E29B1" w:rsidRPr="003B6A69" w14:paraId="0B36E27E" w14:textId="77777777" w:rsidTr="007E29B1">
        <w:tc>
          <w:tcPr>
            <w:tcW w:w="0" w:type="auto"/>
          </w:tcPr>
          <w:p w14:paraId="29E01B94" w14:textId="77777777" w:rsidR="007E29B1" w:rsidRPr="003B6A69" w:rsidRDefault="007E29B1" w:rsidP="003B6A69">
            <w:pPr>
              <w:spacing w:after="0"/>
              <w:rPr>
                <w:rFonts w:cs="Calibri"/>
                <w:sz w:val="16"/>
                <w:szCs w:val="16"/>
              </w:rPr>
            </w:pPr>
            <w:r w:rsidRPr="003B6A69">
              <w:rPr>
                <w:rFonts w:cs="Calibri"/>
                <w:sz w:val="16"/>
                <w:szCs w:val="16"/>
              </w:rPr>
              <w:lastRenderedPageBreak/>
              <w:t>13</w:t>
            </w:r>
          </w:p>
          <w:p w14:paraId="158ED70F" w14:textId="77777777" w:rsidR="007E29B1" w:rsidRPr="003B6A69" w:rsidRDefault="007E29B1" w:rsidP="003B6A69">
            <w:pPr>
              <w:spacing w:after="0"/>
              <w:rPr>
                <w:rFonts w:cs="Calibri"/>
                <w:sz w:val="16"/>
                <w:szCs w:val="16"/>
              </w:rPr>
            </w:pPr>
            <w:r w:rsidRPr="003B6A69">
              <w:rPr>
                <w:rFonts w:cs="Calibri"/>
                <w:sz w:val="16"/>
                <w:szCs w:val="16"/>
              </w:rPr>
              <w:t>(SESP</w:t>
            </w:r>
          </w:p>
          <w:p w14:paraId="23DD0935" w14:textId="77777777" w:rsidR="007E29B1" w:rsidRPr="003B6A69" w:rsidRDefault="007E29B1" w:rsidP="003B6A69">
            <w:pPr>
              <w:spacing w:after="0"/>
              <w:rPr>
                <w:rFonts w:cs="Calibri"/>
                <w:sz w:val="16"/>
                <w:szCs w:val="16"/>
              </w:rPr>
            </w:pPr>
            <w:r w:rsidRPr="003B6A69">
              <w:rPr>
                <w:rFonts w:cs="Calibri"/>
                <w:sz w:val="16"/>
                <w:szCs w:val="16"/>
              </w:rPr>
              <w:t>Risk 7)</w:t>
            </w:r>
          </w:p>
        </w:tc>
        <w:tc>
          <w:tcPr>
            <w:tcW w:w="2667" w:type="dxa"/>
          </w:tcPr>
          <w:p w14:paraId="71B6F6EA" w14:textId="77777777" w:rsidR="007E29B1" w:rsidRPr="003B6A69" w:rsidRDefault="007E29B1" w:rsidP="003B6A69">
            <w:pPr>
              <w:spacing w:after="0"/>
              <w:rPr>
                <w:rFonts w:cs="Calibri"/>
                <w:sz w:val="16"/>
                <w:szCs w:val="16"/>
              </w:rPr>
            </w:pPr>
            <w:r w:rsidRPr="003B6A69">
              <w:rPr>
                <w:rFonts w:cs="Calibri"/>
                <w:sz w:val="16"/>
                <w:szCs w:val="16"/>
              </w:rPr>
              <w:t>Generation of non-hazardous waste and pollution as a result of tourism development, as well as practice interventions for forestry and agriculture (</w:t>
            </w:r>
            <w:proofErr w:type="gramStart"/>
            <w:r w:rsidRPr="003B6A69">
              <w:rPr>
                <w:rFonts w:cs="Calibri"/>
                <w:sz w:val="16"/>
                <w:szCs w:val="16"/>
              </w:rPr>
              <w:t>e.g.</w:t>
            </w:r>
            <w:proofErr w:type="gramEnd"/>
            <w:r w:rsidRPr="003B6A69">
              <w:rPr>
                <w:rFonts w:cs="Calibri"/>
                <w:sz w:val="16"/>
                <w:szCs w:val="16"/>
              </w:rPr>
              <w:t xml:space="preserve"> use of pesticides)</w:t>
            </w:r>
          </w:p>
        </w:tc>
        <w:tc>
          <w:tcPr>
            <w:tcW w:w="1170" w:type="dxa"/>
          </w:tcPr>
          <w:p w14:paraId="132B65D9" w14:textId="77777777" w:rsidR="007E29B1" w:rsidRPr="003B6A69" w:rsidRDefault="007E29B1" w:rsidP="003B6A69">
            <w:pPr>
              <w:spacing w:after="0"/>
              <w:rPr>
                <w:rFonts w:cs="Calibri"/>
                <w:sz w:val="16"/>
                <w:szCs w:val="16"/>
              </w:rPr>
            </w:pPr>
            <w:r w:rsidRPr="003B6A69">
              <w:rPr>
                <w:rFonts w:cs="Calibri"/>
                <w:sz w:val="16"/>
                <w:szCs w:val="16"/>
              </w:rPr>
              <w:t>SE</w:t>
            </w:r>
          </w:p>
        </w:tc>
        <w:tc>
          <w:tcPr>
            <w:tcW w:w="1405" w:type="dxa"/>
          </w:tcPr>
          <w:p w14:paraId="02EEEC9C" w14:textId="77777777" w:rsidR="007E29B1" w:rsidRPr="003B6A69" w:rsidRDefault="007E29B1" w:rsidP="003B6A69">
            <w:pPr>
              <w:spacing w:after="0"/>
              <w:rPr>
                <w:rFonts w:cs="Calibri"/>
                <w:sz w:val="16"/>
                <w:szCs w:val="16"/>
              </w:rPr>
            </w:pPr>
            <w:r w:rsidRPr="003B6A69">
              <w:rPr>
                <w:rFonts w:cs="Calibri"/>
                <w:sz w:val="16"/>
                <w:szCs w:val="16"/>
              </w:rPr>
              <w:t>I = 3, P =1</w:t>
            </w:r>
          </w:p>
          <w:p w14:paraId="22F7C7AF" w14:textId="77777777" w:rsidR="007E29B1" w:rsidRPr="003B6A69" w:rsidRDefault="007E29B1" w:rsidP="003B6A69">
            <w:pPr>
              <w:spacing w:after="0"/>
              <w:rPr>
                <w:rFonts w:cs="Calibri"/>
                <w:sz w:val="16"/>
                <w:szCs w:val="16"/>
              </w:rPr>
            </w:pPr>
            <w:r w:rsidRPr="003B6A69">
              <w:rPr>
                <w:rFonts w:cs="Calibri"/>
                <w:sz w:val="16"/>
                <w:szCs w:val="16"/>
              </w:rPr>
              <w:t>Low</w:t>
            </w:r>
          </w:p>
        </w:tc>
        <w:tc>
          <w:tcPr>
            <w:tcW w:w="2619" w:type="dxa"/>
          </w:tcPr>
          <w:p w14:paraId="16B44218" w14:textId="77777777" w:rsidR="007E29B1" w:rsidRPr="003B6A69" w:rsidRDefault="007E29B1" w:rsidP="003B6A69">
            <w:pPr>
              <w:spacing w:after="0"/>
              <w:rPr>
                <w:rFonts w:cs="Calibri"/>
                <w:sz w:val="16"/>
                <w:szCs w:val="16"/>
              </w:rPr>
            </w:pPr>
          </w:p>
        </w:tc>
        <w:tc>
          <w:tcPr>
            <w:tcW w:w="2260" w:type="dxa"/>
          </w:tcPr>
          <w:p w14:paraId="1C586212" w14:textId="77777777" w:rsidR="007E29B1" w:rsidRPr="003B6A69" w:rsidRDefault="007E29B1" w:rsidP="003B6A69">
            <w:pPr>
              <w:spacing w:after="0"/>
              <w:rPr>
                <w:rFonts w:cs="Calibri"/>
                <w:sz w:val="16"/>
                <w:szCs w:val="16"/>
              </w:rPr>
            </w:pPr>
            <w:r w:rsidRPr="003B6A69">
              <w:rPr>
                <w:rFonts w:cs="Calibri"/>
                <w:sz w:val="16"/>
                <w:szCs w:val="16"/>
              </w:rPr>
              <w:t>The ESMF to be developed will identify procedures for site-specific management plans that may be needed to address potential waste and pollution (including noise pollution) impacts, to ensure consistency with national requirements and UNDP’s SES.</w:t>
            </w:r>
          </w:p>
          <w:p w14:paraId="05B70DBB" w14:textId="77777777" w:rsidR="007E29B1" w:rsidRPr="003B6A69" w:rsidRDefault="007E29B1" w:rsidP="003B6A69">
            <w:pPr>
              <w:spacing w:after="0"/>
              <w:rPr>
                <w:rFonts w:cs="Calibri"/>
                <w:sz w:val="16"/>
                <w:szCs w:val="16"/>
              </w:rPr>
            </w:pPr>
            <w:r w:rsidRPr="003B6A69">
              <w:rPr>
                <w:rFonts w:cs="Calibri"/>
                <w:sz w:val="16"/>
                <w:szCs w:val="16"/>
              </w:rPr>
              <w:t xml:space="preserve">The project will rely and conform to the national guidelines and framework set bylaws on waste management, food safety and forestry. </w:t>
            </w:r>
          </w:p>
          <w:p w14:paraId="5A967375" w14:textId="77777777" w:rsidR="007E29B1" w:rsidRPr="003B6A69" w:rsidRDefault="007E29B1" w:rsidP="003B6A69">
            <w:pPr>
              <w:spacing w:after="0"/>
              <w:rPr>
                <w:rFonts w:cs="Calibri"/>
                <w:sz w:val="16"/>
                <w:szCs w:val="16"/>
              </w:rPr>
            </w:pPr>
            <w:r w:rsidRPr="003B6A69">
              <w:rPr>
                <w:rFonts w:cs="Calibri"/>
                <w:sz w:val="16"/>
                <w:szCs w:val="16"/>
              </w:rPr>
              <w:t>Pesticide use is regulated by agricultural policies and law. The direct payment scheme is run in accordance with the existing rules and regulations. Pesticide use will be tackled as one of the principal criteria for the “green” payments scheme to be supported by the project. In general, the eligibility criteria for the green payments scheme will be aligned with the SES principles.</w:t>
            </w:r>
          </w:p>
          <w:p w14:paraId="58D83601" w14:textId="77777777" w:rsidR="007E29B1" w:rsidRPr="003B6A69" w:rsidRDefault="007E29B1" w:rsidP="003B6A69">
            <w:pPr>
              <w:spacing w:after="0"/>
              <w:rPr>
                <w:rFonts w:cs="Calibri"/>
                <w:sz w:val="16"/>
                <w:szCs w:val="16"/>
              </w:rPr>
            </w:pPr>
            <w:r w:rsidRPr="003B6A69">
              <w:rPr>
                <w:rFonts w:cs="Calibri"/>
                <w:sz w:val="16"/>
                <w:szCs w:val="16"/>
              </w:rPr>
              <w:t xml:space="preserve">UNDP will ensure that the Project will not use products that fall in Classes </w:t>
            </w:r>
            <w:proofErr w:type="spellStart"/>
            <w:r w:rsidRPr="003B6A69">
              <w:rPr>
                <w:rFonts w:cs="Calibri"/>
                <w:sz w:val="16"/>
                <w:szCs w:val="16"/>
              </w:rPr>
              <w:t>Ia</w:t>
            </w:r>
            <w:proofErr w:type="spellEnd"/>
            <w:r w:rsidRPr="003B6A69">
              <w:rPr>
                <w:rFonts w:cs="Calibri"/>
                <w:sz w:val="16"/>
                <w:szCs w:val="16"/>
              </w:rPr>
              <w:t xml:space="preserve"> (extremely hazardous) and </w:t>
            </w:r>
            <w:proofErr w:type="spellStart"/>
            <w:r w:rsidRPr="003B6A69">
              <w:rPr>
                <w:rFonts w:cs="Calibri"/>
                <w:sz w:val="16"/>
                <w:szCs w:val="16"/>
              </w:rPr>
              <w:t>Ib</w:t>
            </w:r>
            <w:proofErr w:type="spellEnd"/>
            <w:r w:rsidRPr="003B6A69">
              <w:rPr>
                <w:rFonts w:cs="Calibri"/>
                <w:sz w:val="16"/>
                <w:szCs w:val="16"/>
              </w:rPr>
              <w:t xml:space="preserve"> (highly hazardous) of the World Health Organization Recommended Classification of Pesticides by Hazard. For the agricultural pilots supported through Outcome 5, pesticides (allowable in accordance </w:t>
            </w:r>
            <w:proofErr w:type="gramStart"/>
            <w:r w:rsidRPr="003B6A69">
              <w:rPr>
                <w:rFonts w:cs="Calibri"/>
                <w:sz w:val="16"/>
                <w:szCs w:val="16"/>
              </w:rPr>
              <w:t>to</w:t>
            </w:r>
            <w:proofErr w:type="gramEnd"/>
            <w:r w:rsidRPr="003B6A69">
              <w:rPr>
                <w:rFonts w:cs="Calibri"/>
                <w:sz w:val="16"/>
                <w:szCs w:val="16"/>
              </w:rPr>
              <w:t xml:space="preserve"> the eligibility criteria for green practices established for the project) will be handled, stored, applied and disposed of in accordance with international good practice such as the FAO International Code of Conduct on the Distribution and Use of Pesticides.</w:t>
            </w:r>
          </w:p>
          <w:p w14:paraId="799CB0C8" w14:textId="77777777" w:rsidR="007E29B1" w:rsidRPr="003B6A69" w:rsidRDefault="007E29B1" w:rsidP="003B6A69">
            <w:pPr>
              <w:spacing w:after="0"/>
              <w:rPr>
                <w:rFonts w:cs="Calibri"/>
                <w:sz w:val="16"/>
                <w:szCs w:val="16"/>
              </w:rPr>
            </w:pPr>
          </w:p>
        </w:tc>
      </w:tr>
      <w:tr w:rsidR="008E7117" w:rsidRPr="003B6A69" w14:paraId="30C9DE45" w14:textId="77777777" w:rsidTr="007E29B1">
        <w:tc>
          <w:tcPr>
            <w:tcW w:w="0" w:type="auto"/>
          </w:tcPr>
          <w:p w14:paraId="39C89D01" w14:textId="75B5DA71" w:rsidR="008E7117" w:rsidRPr="003B6A69" w:rsidRDefault="008E7117" w:rsidP="008E7117">
            <w:pPr>
              <w:spacing w:after="0"/>
              <w:rPr>
                <w:rFonts w:cs="Calibri"/>
                <w:sz w:val="16"/>
                <w:szCs w:val="16"/>
              </w:rPr>
            </w:pPr>
            <w:r w:rsidRPr="003B6A69">
              <w:rPr>
                <w:rFonts w:cs="Calibri"/>
                <w:sz w:val="16"/>
                <w:szCs w:val="16"/>
              </w:rPr>
              <w:t>1</w:t>
            </w:r>
            <w:r w:rsidR="007E29B1" w:rsidRPr="003B6A69">
              <w:rPr>
                <w:rFonts w:cs="Calibri"/>
                <w:sz w:val="16"/>
                <w:szCs w:val="16"/>
              </w:rPr>
              <w:t xml:space="preserve">4 </w:t>
            </w:r>
          </w:p>
          <w:p w14:paraId="603BEFA6" w14:textId="77777777" w:rsidR="008E7117" w:rsidRPr="003B6A69" w:rsidRDefault="008E7117" w:rsidP="008E7117">
            <w:pPr>
              <w:spacing w:after="0"/>
              <w:rPr>
                <w:rFonts w:cs="Calibri"/>
                <w:sz w:val="16"/>
                <w:szCs w:val="16"/>
              </w:rPr>
            </w:pPr>
            <w:r w:rsidRPr="003B6A69">
              <w:rPr>
                <w:rFonts w:cs="Calibri"/>
                <w:sz w:val="16"/>
                <w:szCs w:val="16"/>
              </w:rPr>
              <w:t>(SESP</w:t>
            </w:r>
          </w:p>
          <w:p w14:paraId="426C41E7" w14:textId="3708905E" w:rsidR="008E7117" w:rsidRPr="003B6A69" w:rsidRDefault="008E7117" w:rsidP="008E7117">
            <w:pPr>
              <w:spacing w:after="0"/>
              <w:rPr>
                <w:rFonts w:cs="Calibri"/>
                <w:sz w:val="16"/>
                <w:szCs w:val="16"/>
              </w:rPr>
            </w:pPr>
            <w:r w:rsidRPr="003B6A69">
              <w:rPr>
                <w:rFonts w:cs="Calibri"/>
                <w:sz w:val="16"/>
                <w:szCs w:val="16"/>
              </w:rPr>
              <w:lastRenderedPageBreak/>
              <w:t xml:space="preserve">Risk </w:t>
            </w:r>
            <w:r w:rsidR="007E29B1" w:rsidRPr="003B6A69">
              <w:rPr>
                <w:rFonts w:cs="Calibri"/>
                <w:sz w:val="16"/>
                <w:szCs w:val="16"/>
              </w:rPr>
              <w:t>8</w:t>
            </w:r>
            <w:r w:rsidRPr="003B6A69">
              <w:rPr>
                <w:rFonts w:cs="Calibri"/>
                <w:sz w:val="16"/>
                <w:szCs w:val="16"/>
              </w:rPr>
              <w:t>)</w:t>
            </w:r>
          </w:p>
        </w:tc>
        <w:tc>
          <w:tcPr>
            <w:tcW w:w="2667" w:type="dxa"/>
          </w:tcPr>
          <w:p w14:paraId="67CFE3D0" w14:textId="77777777" w:rsidR="007E29B1" w:rsidRPr="003B6A69" w:rsidRDefault="007E29B1" w:rsidP="007E29B1">
            <w:pPr>
              <w:spacing w:after="0"/>
              <w:rPr>
                <w:rFonts w:cs="Calibri"/>
                <w:sz w:val="16"/>
                <w:szCs w:val="16"/>
              </w:rPr>
            </w:pPr>
            <w:r w:rsidRPr="003B6A69">
              <w:rPr>
                <w:rFonts w:cs="Calibri"/>
                <w:sz w:val="16"/>
                <w:szCs w:val="16"/>
              </w:rPr>
              <w:lastRenderedPageBreak/>
              <w:t xml:space="preserve">The project involves capacity building of firefighters and the establishment </w:t>
            </w:r>
            <w:r w:rsidRPr="003B6A69">
              <w:rPr>
                <w:rFonts w:cs="Calibri"/>
                <w:sz w:val="16"/>
                <w:szCs w:val="16"/>
              </w:rPr>
              <w:lastRenderedPageBreak/>
              <w:t xml:space="preserve">of local firefighting crews.  The project will also support “patrolling” and “enforcement” within the pilot protected areas. These activities might be associated with safety risks.  </w:t>
            </w:r>
          </w:p>
          <w:p w14:paraId="4E292371" w14:textId="6B42414C" w:rsidR="008E7117" w:rsidRPr="003B6A69" w:rsidRDefault="008E7117" w:rsidP="00E43D36">
            <w:pPr>
              <w:spacing w:after="0"/>
              <w:rPr>
                <w:rFonts w:cs="Calibri"/>
                <w:sz w:val="16"/>
                <w:szCs w:val="16"/>
              </w:rPr>
            </w:pPr>
          </w:p>
        </w:tc>
        <w:tc>
          <w:tcPr>
            <w:tcW w:w="1170" w:type="dxa"/>
          </w:tcPr>
          <w:p w14:paraId="1B418ECE" w14:textId="3F9FC456" w:rsidR="008E7117" w:rsidRPr="003B6A69" w:rsidRDefault="008E7117" w:rsidP="00E43D36">
            <w:pPr>
              <w:spacing w:after="0"/>
              <w:rPr>
                <w:rFonts w:cs="Calibri"/>
                <w:sz w:val="16"/>
                <w:szCs w:val="16"/>
              </w:rPr>
            </w:pPr>
            <w:r w:rsidRPr="003B6A69">
              <w:rPr>
                <w:rFonts w:cs="Calibri"/>
                <w:sz w:val="16"/>
                <w:szCs w:val="16"/>
              </w:rPr>
              <w:lastRenderedPageBreak/>
              <w:t>SE</w:t>
            </w:r>
          </w:p>
        </w:tc>
        <w:tc>
          <w:tcPr>
            <w:tcW w:w="1405" w:type="dxa"/>
          </w:tcPr>
          <w:p w14:paraId="57A24D8C" w14:textId="77777777" w:rsidR="008E7117" w:rsidRPr="003B6A69" w:rsidRDefault="008E7117" w:rsidP="008E7117">
            <w:pPr>
              <w:spacing w:after="0"/>
              <w:rPr>
                <w:rFonts w:cs="Calibri"/>
                <w:sz w:val="16"/>
                <w:szCs w:val="16"/>
              </w:rPr>
            </w:pPr>
            <w:r w:rsidRPr="003B6A69">
              <w:rPr>
                <w:rFonts w:cs="Calibri"/>
                <w:sz w:val="16"/>
                <w:szCs w:val="16"/>
              </w:rPr>
              <w:t>I = 3, P =1</w:t>
            </w:r>
          </w:p>
          <w:p w14:paraId="3D1025C4" w14:textId="0885E441" w:rsidR="008E7117" w:rsidRPr="003B6A69" w:rsidRDefault="008E7117" w:rsidP="008E7117">
            <w:pPr>
              <w:spacing w:after="0"/>
              <w:rPr>
                <w:rFonts w:cs="Calibri"/>
                <w:sz w:val="16"/>
                <w:szCs w:val="16"/>
              </w:rPr>
            </w:pPr>
            <w:r w:rsidRPr="003B6A69">
              <w:rPr>
                <w:rFonts w:cs="Calibri"/>
                <w:sz w:val="16"/>
                <w:szCs w:val="16"/>
              </w:rPr>
              <w:t>Low</w:t>
            </w:r>
          </w:p>
        </w:tc>
        <w:tc>
          <w:tcPr>
            <w:tcW w:w="2619" w:type="dxa"/>
          </w:tcPr>
          <w:p w14:paraId="2F859B22" w14:textId="77777777" w:rsidR="008E7117" w:rsidRPr="003B6A69" w:rsidRDefault="008E7117" w:rsidP="00E43D36">
            <w:pPr>
              <w:spacing w:after="0"/>
              <w:rPr>
                <w:rFonts w:cs="Calibri"/>
                <w:sz w:val="16"/>
                <w:szCs w:val="16"/>
              </w:rPr>
            </w:pPr>
          </w:p>
        </w:tc>
        <w:tc>
          <w:tcPr>
            <w:tcW w:w="2260" w:type="dxa"/>
          </w:tcPr>
          <w:p w14:paraId="00FEBCE9" w14:textId="77777777" w:rsidR="007E29B1" w:rsidRPr="003B6A69" w:rsidRDefault="007E29B1" w:rsidP="007E29B1">
            <w:pPr>
              <w:spacing w:after="0"/>
              <w:rPr>
                <w:rFonts w:cs="Calibri"/>
                <w:sz w:val="16"/>
                <w:szCs w:val="16"/>
              </w:rPr>
            </w:pPr>
            <w:r w:rsidRPr="003B6A69">
              <w:rPr>
                <w:rFonts w:cs="Calibri"/>
                <w:sz w:val="16"/>
                <w:szCs w:val="16"/>
              </w:rPr>
              <w:t xml:space="preserve">Safety risk for firefighting is </w:t>
            </w:r>
            <w:proofErr w:type="gramStart"/>
            <w:r w:rsidRPr="003B6A69">
              <w:rPr>
                <w:rFonts w:cs="Calibri"/>
                <w:sz w:val="16"/>
                <w:szCs w:val="16"/>
              </w:rPr>
              <w:t>by definition included</w:t>
            </w:r>
            <w:proofErr w:type="gramEnd"/>
            <w:r w:rsidRPr="003B6A69">
              <w:rPr>
                <w:rFonts w:cs="Calibri"/>
                <w:sz w:val="16"/>
                <w:szCs w:val="16"/>
              </w:rPr>
              <w:t xml:space="preserve"> as a </w:t>
            </w:r>
            <w:r w:rsidRPr="003B6A69">
              <w:rPr>
                <w:rFonts w:cs="Calibri"/>
                <w:sz w:val="16"/>
                <w:szCs w:val="16"/>
              </w:rPr>
              <w:lastRenderedPageBreak/>
              <w:t xml:space="preserve">principal aspect in any training program on the subject. The country has accumulated vast experience on the subject and has benefited from the best available resources outside during major fire outbreaks in 2017 and earlier. The capacity-building effort of the project will be based on the existing experience and best practices available. It is not something that will be developed from scratch with a zero baseline; the best practice does </w:t>
            </w:r>
            <w:proofErr w:type="gramStart"/>
            <w:r w:rsidRPr="003B6A69">
              <w:rPr>
                <w:rFonts w:cs="Calibri"/>
                <w:sz w:val="16"/>
                <w:szCs w:val="16"/>
              </w:rPr>
              <w:t>exist</w:t>
            </w:r>
            <w:proofErr w:type="gramEnd"/>
            <w:r w:rsidRPr="003B6A69">
              <w:rPr>
                <w:rFonts w:cs="Calibri"/>
                <w:sz w:val="16"/>
                <w:szCs w:val="16"/>
              </w:rPr>
              <w:t xml:space="preserve"> and it includes safety issues as a primary priority.</w:t>
            </w:r>
          </w:p>
          <w:p w14:paraId="47A1E566" w14:textId="77777777" w:rsidR="007E29B1" w:rsidRPr="003B6A69" w:rsidRDefault="007E29B1" w:rsidP="007E29B1">
            <w:pPr>
              <w:spacing w:after="0"/>
              <w:rPr>
                <w:rFonts w:cs="Calibri"/>
                <w:sz w:val="16"/>
                <w:szCs w:val="16"/>
              </w:rPr>
            </w:pPr>
          </w:p>
          <w:p w14:paraId="339D3368" w14:textId="28EA6116" w:rsidR="008E7117" w:rsidRPr="003B6A69" w:rsidRDefault="007E29B1" w:rsidP="007E29B1">
            <w:pPr>
              <w:spacing w:after="0"/>
              <w:rPr>
                <w:rFonts w:cs="Calibri"/>
                <w:sz w:val="16"/>
                <w:szCs w:val="16"/>
              </w:rPr>
            </w:pPr>
            <w:r w:rsidRPr="003B6A69">
              <w:rPr>
                <w:rFonts w:cs="Calibri"/>
                <w:sz w:val="16"/>
                <w:szCs w:val="16"/>
              </w:rPr>
              <w:t xml:space="preserve">Patrolling and enforcement activities within the protected areas are performed in strict accordance with the regulations, by qualified personnel with appropriate licenses. Qualified trainers with the necessary certifications will be engaged. Training </w:t>
            </w:r>
            <w:proofErr w:type="spellStart"/>
            <w:r w:rsidRPr="003B6A69">
              <w:rPr>
                <w:rFonts w:cs="Calibri"/>
                <w:sz w:val="16"/>
                <w:szCs w:val="16"/>
              </w:rPr>
              <w:t>programmes</w:t>
            </w:r>
            <w:proofErr w:type="spellEnd"/>
            <w:r w:rsidRPr="003B6A69">
              <w:rPr>
                <w:rFonts w:cs="Calibri"/>
                <w:sz w:val="16"/>
                <w:szCs w:val="16"/>
              </w:rPr>
              <w:t xml:space="preserve"> are standardized and include safety issues. These processes are strictly regulated in accordance with the existing law; there is long-term practice that’s collected, analyzed, and used for trainings.</w:t>
            </w:r>
          </w:p>
        </w:tc>
      </w:tr>
    </w:tbl>
    <w:p w14:paraId="79303359" w14:textId="77777777" w:rsidR="00E43D36" w:rsidRPr="003B6A69" w:rsidRDefault="00E43D36" w:rsidP="00E43D36">
      <w:pPr>
        <w:rPr>
          <w:i/>
          <w:sz w:val="16"/>
          <w:szCs w:val="16"/>
        </w:rPr>
      </w:pPr>
    </w:p>
    <w:p w14:paraId="23971DBB" w14:textId="77777777" w:rsidR="00E43D36" w:rsidRPr="003B6A69" w:rsidRDefault="00E43D36" w:rsidP="00F97681">
      <w:pPr>
        <w:rPr>
          <w:i/>
          <w:szCs w:val="20"/>
        </w:rPr>
        <w:sectPr w:rsidR="00E43D36" w:rsidRPr="003B6A69" w:rsidSect="007E29B1">
          <w:pgSz w:w="12240" w:h="15840" w:code="1"/>
          <w:pgMar w:top="720" w:right="720" w:bottom="720" w:left="720" w:header="720" w:footer="720" w:gutter="0"/>
          <w:cols w:space="720"/>
          <w:docGrid w:linePitch="360"/>
        </w:sectPr>
      </w:pPr>
    </w:p>
    <w:p w14:paraId="583F7A43" w14:textId="492ECDB9" w:rsidR="00E43D36" w:rsidRPr="003B6A69" w:rsidRDefault="00E43D36" w:rsidP="00F97681">
      <w:pPr>
        <w:rPr>
          <w:i/>
          <w:szCs w:val="20"/>
        </w:rPr>
      </w:pPr>
    </w:p>
    <w:p w14:paraId="1535671C" w14:textId="25013FF5" w:rsidR="00D1090B" w:rsidRPr="003B6A69" w:rsidRDefault="00D1090B" w:rsidP="00D1090B">
      <w:pPr>
        <w:pStyle w:val="Heading2"/>
        <w:rPr>
          <w:lang w:val="en-GB"/>
        </w:rPr>
      </w:pPr>
      <w:bookmarkStart w:id="79" w:name="_Toc82018280"/>
      <w:r w:rsidRPr="003B6A69">
        <w:rPr>
          <w:lang w:val="en-GB"/>
        </w:rPr>
        <w:t xml:space="preserve">Annex </w:t>
      </w:r>
      <w:r w:rsidR="006C1C66" w:rsidRPr="003B6A69">
        <w:rPr>
          <w:lang w:val="en-GB"/>
        </w:rPr>
        <w:t>7</w:t>
      </w:r>
      <w:r w:rsidRPr="003B6A69">
        <w:rPr>
          <w:lang w:val="en-GB"/>
        </w:rPr>
        <w:t>:  Overview and responsibilities of project staff and contractors</w:t>
      </w:r>
      <w:bookmarkEnd w:id="79"/>
    </w:p>
    <w:p w14:paraId="450C067B" w14:textId="77777777" w:rsidR="00656B8D" w:rsidRPr="003B6A69" w:rsidRDefault="00656B8D" w:rsidP="00656B8D">
      <w:pPr>
        <w:spacing w:after="160" w:line="259" w:lineRule="auto"/>
        <w:jc w:val="left"/>
        <w:rPr>
          <w:rFonts w:eastAsia="Calibri"/>
          <w:b/>
          <w:bCs/>
          <w:sz w:val="22"/>
          <w:szCs w:val="22"/>
          <w:lang w:val="en-GB"/>
        </w:rPr>
      </w:pPr>
    </w:p>
    <w:p w14:paraId="5AB810D9" w14:textId="77777777" w:rsidR="00656B8D" w:rsidRPr="003B6A69" w:rsidRDefault="00656B8D" w:rsidP="00656B8D">
      <w:pPr>
        <w:spacing w:after="160" w:line="259" w:lineRule="auto"/>
        <w:jc w:val="left"/>
        <w:rPr>
          <w:rFonts w:eastAsia="Calibri"/>
          <w:b/>
          <w:bCs/>
          <w:sz w:val="22"/>
          <w:szCs w:val="22"/>
          <w:lang w:val="en-GB"/>
        </w:rPr>
      </w:pPr>
      <w:r w:rsidRPr="003B6A69">
        <w:rPr>
          <w:rFonts w:eastAsia="Calibri"/>
          <w:b/>
          <w:bCs/>
          <w:sz w:val="22"/>
          <w:szCs w:val="22"/>
          <w:lang w:val="en-GB"/>
        </w:rPr>
        <w:t>Project Steering Committee</w:t>
      </w:r>
    </w:p>
    <w:p w14:paraId="626B3FD4" w14:textId="3E69730A" w:rsidR="00656B8D" w:rsidRPr="003B6A69" w:rsidRDefault="00656B8D" w:rsidP="00656B8D">
      <w:pPr>
        <w:spacing w:after="160" w:line="259" w:lineRule="auto"/>
        <w:rPr>
          <w:rFonts w:eastAsia="Calibri"/>
          <w:szCs w:val="20"/>
          <w:lang w:val="en-GB"/>
        </w:rPr>
      </w:pPr>
      <w:r w:rsidRPr="003B6A69">
        <w:rPr>
          <w:rFonts w:eastAsia="Calibri"/>
          <w:szCs w:val="20"/>
          <w:lang w:val="en-GB"/>
        </w:rPr>
        <w:t>The Project Steering Committee</w:t>
      </w:r>
      <w:r w:rsidR="00370549" w:rsidRPr="003B6A69">
        <w:rPr>
          <w:rFonts w:eastAsia="Calibri"/>
          <w:szCs w:val="20"/>
          <w:lang w:val="en-GB"/>
        </w:rPr>
        <w:t xml:space="preserve"> or Project Board</w:t>
      </w:r>
      <w:r w:rsidRPr="003B6A69">
        <w:rPr>
          <w:rFonts w:eastAsia="Calibri"/>
          <w:szCs w:val="20"/>
          <w:lang w:val="en-GB"/>
        </w:rPr>
        <w:t xml:space="preserve"> will be constituted at the start of project implementation, at which time its membership will be confirmed.  The Chair of the Project </w:t>
      </w:r>
      <w:r w:rsidR="00370549" w:rsidRPr="003B6A69">
        <w:rPr>
          <w:rFonts w:eastAsia="Calibri"/>
          <w:szCs w:val="20"/>
          <w:lang w:val="en-GB"/>
        </w:rPr>
        <w:t>Steering Committee</w:t>
      </w:r>
      <w:r w:rsidRPr="003B6A69">
        <w:rPr>
          <w:rFonts w:eastAsia="Calibri"/>
          <w:szCs w:val="20"/>
          <w:lang w:val="en-GB"/>
        </w:rPr>
        <w:t xml:space="preserve"> will be the Ministry of Ecology, Spatial </w:t>
      </w:r>
      <w:proofErr w:type="gramStart"/>
      <w:r w:rsidRPr="003B6A69">
        <w:rPr>
          <w:rFonts w:eastAsia="Calibri"/>
          <w:szCs w:val="20"/>
          <w:lang w:val="en-GB"/>
        </w:rPr>
        <w:t>planning</w:t>
      </w:r>
      <w:proofErr w:type="gramEnd"/>
      <w:r w:rsidRPr="003B6A69">
        <w:rPr>
          <w:rFonts w:eastAsia="Calibri"/>
          <w:szCs w:val="20"/>
          <w:lang w:val="en-GB"/>
        </w:rPr>
        <w:t xml:space="preserve"> and Urbanism, with representation from other key government bodies. Project Steering Committee is responsible for taking corrective action as needed to ensure the project achieves the desired results Project Board decisions should be made in accordance with standards that shall ensure management for development results, best value money, fairness, integrity, transparency, and effective international competition.</w:t>
      </w:r>
    </w:p>
    <w:p w14:paraId="477C908A" w14:textId="5C5E3CAF" w:rsidR="00656B8D" w:rsidRPr="003B6A69" w:rsidRDefault="00656B8D" w:rsidP="00656B8D">
      <w:pPr>
        <w:spacing w:after="160" w:line="259" w:lineRule="auto"/>
        <w:rPr>
          <w:rFonts w:eastAsia="Calibri"/>
          <w:szCs w:val="20"/>
          <w:lang w:val="en-GB"/>
        </w:rPr>
      </w:pPr>
      <w:r w:rsidRPr="003B6A69">
        <w:rPr>
          <w:rFonts w:eastAsia="Calibri"/>
          <w:szCs w:val="20"/>
          <w:lang w:val="en-GB"/>
        </w:rPr>
        <w:t xml:space="preserve">In case consensus cannot be reached within the Project Board, the </w:t>
      </w:r>
      <w:r w:rsidR="00370549" w:rsidRPr="003B6A69">
        <w:rPr>
          <w:rFonts w:eastAsia="Calibri"/>
          <w:szCs w:val="20"/>
          <w:lang w:val="en-GB"/>
        </w:rPr>
        <w:t>Chair of the Project Board</w:t>
      </w:r>
      <w:r w:rsidRPr="003B6A69">
        <w:rPr>
          <w:rFonts w:eastAsia="Calibri"/>
          <w:szCs w:val="20"/>
          <w:lang w:val="en-GB"/>
        </w:rPr>
        <w:t xml:space="preserve"> (or their designate) will mediate to find consensus and, if this cannot be found, will take the final decision to ensure project implementation is not unduly delayed. </w:t>
      </w:r>
    </w:p>
    <w:p w14:paraId="10C1E6E3" w14:textId="77777777" w:rsidR="00656B8D" w:rsidRPr="003B6A69" w:rsidRDefault="00656B8D" w:rsidP="00656B8D">
      <w:pPr>
        <w:spacing w:after="160" w:line="259" w:lineRule="auto"/>
        <w:rPr>
          <w:rFonts w:eastAsia="Calibri"/>
          <w:szCs w:val="20"/>
          <w:lang w:val="en-GB"/>
        </w:rPr>
      </w:pPr>
      <w:r w:rsidRPr="003B6A69">
        <w:rPr>
          <w:rFonts w:eastAsia="Calibri"/>
          <w:szCs w:val="20"/>
          <w:lang w:val="en-GB"/>
        </w:rPr>
        <w:t>Specific responsibilities of the Project Board include:</w:t>
      </w:r>
    </w:p>
    <w:p w14:paraId="79C34364" w14:textId="77777777" w:rsidR="00656B8D" w:rsidRPr="003B6A69" w:rsidRDefault="00656B8D" w:rsidP="003C6B7B">
      <w:pPr>
        <w:numPr>
          <w:ilvl w:val="0"/>
          <w:numId w:val="45"/>
        </w:numPr>
        <w:spacing w:after="160" w:line="259" w:lineRule="auto"/>
        <w:contextualSpacing/>
        <w:jc w:val="left"/>
        <w:rPr>
          <w:rFonts w:eastAsia="Calibri"/>
          <w:szCs w:val="20"/>
          <w:lang w:val="en-GB"/>
        </w:rPr>
      </w:pPr>
      <w:r w:rsidRPr="003B6A69">
        <w:rPr>
          <w:rFonts w:eastAsia="Calibri"/>
          <w:szCs w:val="20"/>
          <w:lang w:val="en-GB"/>
        </w:rPr>
        <w:t xml:space="preserve">Provide overall guidance and direction to the project, ensuring it remains within any specified </w:t>
      </w:r>
      <w:proofErr w:type="gramStart"/>
      <w:r w:rsidRPr="003B6A69">
        <w:rPr>
          <w:rFonts w:eastAsia="Calibri"/>
          <w:szCs w:val="20"/>
          <w:lang w:val="en-GB"/>
        </w:rPr>
        <w:t>constraints;</w:t>
      </w:r>
      <w:proofErr w:type="gramEnd"/>
    </w:p>
    <w:p w14:paraId="52FD449E" w14:textId="74A35166" w:rsidR="00656B8D" w:rsidRPr="003B6A69" w:rsidRDefault="00656B8D" w:rsidP="003C6B7B">
      <w:pPr>
        <w:numPr>
          <w:ilvl w:val="0"/>
          <w:numId w:val="45"/>
        </w:numPr>
        <w:spacing w:after="160" w:line="259" w:lineRule="auto"/>
        <w:contextualSpacing/>
        <w:jc w:val="left"/>
        <w:rPr>
          <w:rFonts w:eastAsia="Calibri"/>
          <w:szCs w:val="20"/>
          <w:lang w:val="en-GB"/>
        </w:rPr>
      </w:pPr>
      <w:r w:rsidRPr="003B6A69">
        <w:rPr>
          <w:rFonts w:eastAsia="Calibri"/>
          <w:szCs w:val="20"/>
          <w:lang w:val="en-GB"/>
        </w:rPr>
        <w:t xml:space="preserve">Address project issues as raised by the </w:t>
      </w:r>
      <w:r w:rsidR="00127DDC" w:rsidRPr="00127DDC">
        <w:rPr>
          <w:highlight w:val="yellow"/>
          <w:lang w:val="en-GB" w:eastAsia="ja-JP"/>
        </w:rPr>
        <w:t xml:space="preserve">project </w:t>
      </w:r>
      <w:r w:rsidR="003E6B19">
        <w:rPr>
          <w:highlight w:val="yellow"/>
          <w:lang w:val="en-GB" w:eastAsia="ja-JP"/>
        </w:rPr>
        <w:t>c</w:t>
      </w:r>
      <w:r w:rsidR="00127DDC" w:rsidRPr="00127DDC">
        <w:rPr>
          <w:highlight w:val="yellow"/>
          <w:lang w:val="en-GB" w:eastAsia="ja-JP"/>
        </w:rPr>
        <w:t xml:space="preserve">oordinator / principle </w:t>
      </w:r>
      <w:proofErr w:type="gramStart"/>
      <w:r w:rsidR="00127DDC">
        <w:rPr>
          <w:highlight w:val="yellow"/>
          <w:lang w:val="en-GB" w:eastAsia="ja-JP"/>
        </w:rPr>
        <w:t>m</w:t>
      </w:r>
      <w:r w:rsidR="00127DDC" w:rsidRPr="00127DDC">
        <w:rPr>
          <w:highlight w:val="yellow"/>
          <w:lang w:val="en-GB" w:eastAsia="ja-JP"/>
        </w:rPr>
        <w:t>anager</w:t>
      </w:r>
      <w:r w:rsidRPr="003B6A69">
        <w:rPr>
          <w:rFonts w:eastAsia="Calibri"/>
          <w:szCs w:val="20"/>
          <w:lang w:val="en-GB"/>
        </w:rPr>
        <w:t>;</w:t>
      </w:r>
      <w:proofErr w:type="gramEnd"/>
    </w:p>
    <w:p w14:paraId="593E53D0" w14:textId="77777777" w:rsidR="00656B8D" w:rsidRPr="003B6A69" w:rsidRDefault="00656B8D" w:rsidP="003C6B7B">
      <w:pPr>
        <w:numPr>
          <w:ilvl w:val="0"/>
          <w:numId w:val="45"/>
        </w:numPr>
        <w:spacing w:after="160" w:line="259" w:lineRule="auto"/>
        <w:contextualSpacing/>
        <w:jc w:val="left"/>
        <w:rPr>
          <w:rFonts w:eastAsia="Calibri"/>
          <w:szCs w:val="20"/>
          <w:lang w:val="en-GB"/>
        </w:rPr>
      </w:pPr>
      <w:r w:rsidRPr="003B6A69">
        <w:rPr>
          <w:rFonts w:eastAsia="Calibri"/>
          <w:szCs w:val="20"/>
          <w:lang w:val="en-GB"/>
        </w:rPr>
        <w:t xml:space="preserve">Provide guidance on new project risks, and agree on possible mitigation and management actions to address specific </w:t>
      </w:r>
      <w:proofErr w:type="gramStart"/>
      <w:r w:rsidRPr="003B6A69">
        <w:rPr>
          <w:rFonts w:eastAsia="Calibri"/>
          <w:szCs w:val="20"/>
          <w:lang w:val="en-GB"/>
        </w:rPr>
        <w:t>risks;</w:t>
      </w:r>
      <w:proofErr w:type="gramEnd"/>
      <w:r w:rsidRPr="003B6A69">
        <w:rPr>
          <w:rFonts w:eastAsia="Calibri"/>
          <w:szCs w:val="20"/>
          <w:lang w:val="en-GB"/>
        </w:rPr>
        <w:t xml:space="preserve"> </w:t>
      </w:r>
    </w:p>
    <w:p w14:paraId="47223A6A" w14:textId="783F25F5" w:rsidR="00656B8D" w:rsidRPr="003B6A69" w:rsidRDefault="00656B8D" w:rsidP="003C6B7B">
      <w:pPr>
        <w:numPr>
          <w:ilvl w:val="0"/>
          <w:numId w:val="45"/>
        </w:numPr>
        <w:spacing w:after="160" w:line="259" w:lineRule="auto"/>
        <w:contextualSpacing/>
        <w:jc w:val="left"/>
        <w:rPr>
          <w:rFonts w:eastAsia="Calibri"/>
          <w:szCs w:val="20"/>
          <w:lang w:val="en-GB"/>
        </w:rPr>
      </w:pPr>
      <w:r w:rsidRPr="003B6A69">
        <w:rPr>
          <w:rFonts w:eastAsia="Calibri"/>
          <w:szCs w:val="20"/>
          <w:lang w:val="en-GB"/>
        </w:rPr>
        <w:t xml:space="preserve">Agree on </w:t>
      </w:r>
      <w:r w:rsidR="00127DDC" w:rsidRPr="00127DDC">
        <w:rPr>
          <w:highlight w:val="yellow"/>
          <w:lang w:val="en-GB" w:eastAsia="ja-JP"/>
        </w:rPr>
        <w:t xml:space="preserve">project </w:t>
      </w:r>
      <w:r w:rsidR="003E6B19">
        <w:rPr>
          <w:highlight w:val="yellow"/>
          <w:lang w:val="en-GB" w:eastAsia="ja-JP"/>
        </w:rPr>
        <w:t>c</w:t>
      </w:r>
      <w:r w:rsidR="00127DDC" w:rsidRPr="00127DDC">
        <w:rPr>
          <w:highlight w:val="yellow"/>
          <w:lang w:val="en-GB" w:eastAsia="ja-JP"/>
        </w:rPr>
        <w:t xml:space="preserve">oordinator / </w:t>
      </w:r>
      <w:proofErr w:type="gramStart"/>
      <w:r w:rsidR="00127DDC" w:rsidRPr="00127DDC">
        <w:rPr>
          <w:highlight w:val="yellow"/>
          <w:lang w:val="en-GB" w:eastAsia="ja-JP"/>
        </w:rPr>
        <w:t>principle</w:t>
      </w:r>
      <w:proofErr w:type="gramEnd"/>
      <w:r w:rsidR="00127DDC" w:rsidRPr="00127DDC">
        <w:rPr>
          <w:highlight w:val="yellow"/>
          <w:lang w:val="en-GB" w:eastAsia="ja-JP"/>
        </w:rPr>
        <w:t xml:space="preserve"> </w:t>
      </w:r>
      <w:r w:rsidR="00127DDC">
        <w:rPr>
          <w:highlight w:val="yellow"/>
          <w:lang w:val="en-GB" w:eastAsia="ja-JP"/>
        </w:rPr>
        <w:t>m</w:t>
      </w:r>
      <w:r w:rsidR="00127DDC" w:rsidRPr="00127DDC">
        <w:rPr>
          <w:highlight w:val="yellow"/>
          <w:lang w:val="en-GB" w:eastAsia="ja-JP"/>
        </w:rPr>
        <w:t>anager</w:t>
      </w:r>
      <w:r w:rsidRPr="003B6A69">
        <w:rPr>
          <w:rFonts w:eastAsia="Calibri"/>
          <w:szCs w:val="20"/>
          <w:lang w:val="en-GB"/>
        </w:rPr>
        <w:t xml:space="preserve">’s tolerances as required, within the parameters set by UNDP-GEF, and provide direction and advice for exceptional situations when the </w:t>
      </w:r>
      <w:r w:rsidR="00127DDC" w:rsidRPr="00127DDC">
        <w:rPr>
          <w:highlight w:val="yellow"/>
          <w:lang w:val="en-GB" w:eastAsia="ja-JP"/>
        </w:rPr>
        <w:t xml:space="preserve">project </w:t>
      </w:r>
      <w:r w:rsidR="003E6B19">
        <w:rPr>
          <w:highlight w:val="yellow"/>
          <w:lang w:val="en-GB" w:eastAsia="ja-JP"/>
        </w:rPr>
        <w:t>c</w:t>
      </w:r>
      <w:r w:rsidR="00127DDC" w:rsidRPr="00127DDC">
        <w:rPr>
          <w:highlight w:val="yellow"/>
          <w:lang w:val="en-GB" w:eastAsia="ja-JP"/>
        </w:rPr>
        <w:t xml:space="preserve">oordinator / principle </w:t>
      </w:r>
      <w:r w:rsidR="00127DDC">
        <w:rPr>
          <w:highlight w:val="yellow"/>
          <w:lang w:val="en-GB" w:eastAsia="ja-JP"/>
        </w:rPr>
        <w:t>m</w:t>
      </w:r>
      <w:r w:rsidR="00127DDC" w:rsidRPr="00127DDC">
        <w:rPr>
          <w:highlight w:val="yellow"/>
          <w:lang w:val="en-GB" w:eastAsia="ja-JP"/>
        </w:rPr>
        <w:t>anager</w:t>
      </w:r>
      <w:r w:rsidRPr="003B6A69">
        <w:rPr>
          <w:rFonts w:eastAsia="Calibri"/>
          <w:szCs w:val="20"/>
          <w:lang w:val="en-GB"/>
        </w:rPr>
        <w:t>’s tolerances are exceeded;</w:t>
      </w:r>
    </w:p>
    <w:p w14:paraId="0727C4E9" w14:textId="77777777" w:rsidR="00656B8D" w:rsidRPr="003B6A69" w:rsidRDefault="00656B8D" w:rsidP="003C6B7B">
      <w:pPr>
        <w:numPr>
          <w:ilvl w:val="0"/>
          <w:numId w:val="45"/>
        </w:numPr>
        <w:spacing w:after="160" w:line="259" w:lineRule="auto"/>
        <w:contextualSpacing/>
        <w:jc w:val="left"/>
        <w:rPr>
          <w:rFonts w:eastAsia="Calibri"/>
          <w:szCs w:val="20"/>
          <w:lang w:val="en-GB"/>
        </w:rPr>
      </w:pPr>
      <w:r w:rsidRPr="003B6A69">
        <w:rPr>
          <w:rFonts w:eastAsia="Calibri"/>
          <w:szCs w:val="20"/>
          <w:lang w:val="en-GB"/>
        </w:rPr>
        <w:t>Advise on major and minor amendments to the project within the parameters set by UNDP-</w:t>
      </w:r>
      <w:proofErr w:type="gramStart"/>
      <w:r w:rsidRPr="003B6A69">
        <w:rPr>
          <w:rFonts w:eastAsia="Calibri"/>
          <w:szCs w:val="20"/>
          <w:lang w:val="en-GB"/>
        </w:rPr>
        <w:t>GEF;</w:t>
      </w:r>
      <w:proofErr w:type="gramEnd"/>
    </w:p>
    <w:p w14:paraId="1BB9CE4D" w14:textId="77777777" w:rsidR="00656B8D" w:rsidRPr="003B6A69" w:rsidRDefault="00656B8D" w:rsidP="003C6B7B">
      <w:pPr>
        <w:numPr>
          <w:ilvl w:val="0"/>
          <w:numId w:val="45"/>
        </w:numPr>
        <w:spacing w:after="160" w:line="259" w:lineRule="auto"/>
        <w:contextualSpacing/>
        <w:jc w:val="left"/>
        <w:rPr>
          <w:rFonts w:eastAsia="Calibri"/>
          <w:szCs w:val="20"/>
          <w:lang w:val="en-GB"/>
        </w:rPr>
      </w:pPr>
      <w:r w:rsidRPr="003B6A69">
        <w:rPr>
          <w:rFonts w:eastAsia="Calibri"/>
          <w:szCs w:val="20"/>
          <w:lang w:val="en-GB"/>
        </w:rPr>
        <w:t xml:space="preserve">Ensure coordination between various donor and government-funded projects and </w:t>
      </w:r>
      <w:proofErr w:type="gramStart"/>
      <w:r w:rsidRPr="003B6A69">
        <w:rPr>
          <w:rFonts w:eastAsia="Calibri"/>
          <w:szCs w:val="20"/>
          <w:lang w:val="en-GB"/>
        </w:rPr>
        <w:t>programmes;</w:t>
      </w:r>
      <w:proofErr w:type="gramEnd"/>
      <w:r w:rsidRPr="003B6A69">
        <w:rPr>
          <w:rFonts w:eastAsia="Calibri"/>
          <w:szCs w:val="20"/>
          <w:lang w:val="en-GB"/>
        </w:rPr>
        <w:t xml:space="preserve"> </w:t>
      </w:r>
    </w:p>
    <w:p w14:paraId="422C2788" w14:textId="77777777" w:rsidR="00656B8D" w:rsidRPr="003B6A69" w:rsidRDefault="00656B8D" w:rsidP="003C6B7B">
      <w:pPr>
        <w:numPr>
          <w:ilvl w:val="0"/>
          <w:numId w:val="45"/>
        </w:numPr>
        <w:spacing w:after="160" w:line="259" w:lineRule="auto"/>
        <w:contextualSpacing/>
        <w:jc w:val="left"/>
        <w:rPr>
          <w:rFonts w:eastAsia="Calibri"/>
          <w:szCs w:val="20"/>
          <w:lang w:val="en-GB"/>
        </w:rPr>
      </w:pPr>
      <w:r w:rsidRPr="003B6A69">
        <w:rPr>
          <w:rFonts w:eastAsia="Calibri"/>
          <w:szCs w:val="20"/>
          <w:lang w:val="en-GB"/>
        </w:rPr>
        <w:t xml:space="preserve">Ensure coordination with various government agencies and their participation in project </w:t>
      </w:r>
      <w:proofErr w:type="gramStart"/>
      <w:r w:rsidRPr="003B6A69">
        <w:rPr>
          <w:rFonts w:eastAsia="Calibri"/>
          <w:szCs w:val="20"/>
          <w:lang w:val="en-GB"/>
        </w:rPr>
        <w:t>activities;</w:t>
      </w:r>
      <w:proofErr w:type="gramEnd"/>
      <w:r w:rsidRPr="003B6A69">
        <w:rPr>
          <w:rFonts w:eastAsia="Calibri"/>
          <w:szCs w:val="20"/>
          <w:lang w:val="en-GB"/>
        </w:rPr>
        <w:t xml:space="preserve"> </w:t>
      </w:r>
    </w:p>
    <w:p w14:paraId="32F551CA" w14:textId="77777777" w:rsidR="00656B8D" w:rsidRPr="003B6A69" w:rsidRDefault="00656B8D" w:rsidP="003C6B7B">
      <w:pPr>
        <w:numPr>
          <w:ilvl w:val="0"/>
          <w:numId w:val="45"/>
        </w:numPr>
        <w:spacing w:after="160" w:line="259" w:lineRule="auto"/>
        <w:contextualSpacing/>
        <w:jc w:val="left"/>
        <w:rPr>
          <w:rFonts w:eastAsia="Calibri"/>
          <w:szCs w:val="20"/>
          <w:lang w:val="en-GB"/>
        </w:rPr>
      </w:pPr>
      <w:r w:rsidRPr="003B6A69">
        <w:rPr>
          <w:rFonts w:eastAsia="Calibri"/>
          <w:szCs w:val="20"/>
          <w:lang w:val="en-GB"/>
        </w:rPr>
        <w:t xml:space="preserve">Track and monitor co-financing for this </w:t>
      </w:r>
      <w:proofErr w:type="gramStart"/>
      <w:r w:rsidRPr="003B6A69">
        <w:rPr>
          <w:rFonts w:eastAsia="Calibri"/>
          <w:szCs w:val="20"/>
          <w:lang w:val="en-GB"/>
        </w:rPr>
        <w:t>project;</w:t>
      </w:r>
      <w:proofErr w:type="gramEnd"/>
      <w:r w:rsidRPr="003B6A69">
        <w:rPr>
          <w:rFonts w:eastAsia="Calibri"/>
          <w:szCs w:val="20"/>
          <w:lang w:val="en-GB"/>
        </w:rPr>
        <w:t xml:space="preserve"> </w:t>
      </w:r>
    </w:p>
    <w:p w14:paraId="084F93DE" w14:textId="77777777" w:rsidR="00656B8D" w:rsidRPr="003B6A69" w:rsidRDefault="00656B8D" w:rsidP="003C6B7B">
      <w:pPr>
        <w:numPr>
          <w:ilvl w:val="0"/>
          <w:numId w:val="45"/>
        </w:numPr>
        <w:spacing w:after="160" w:line="259" w:lineRule="auto"/>
        <w:contextualSpacing/>
        <w:jc w:val="left"/>
        <w:rPr>
          <w:rFonts w:eastAsia="Calibri"/>
          <w:szCs w:val="20"/>
          <w:lang w:val="en-GB"/>
        </w:rPr>
      </w:pPr>
      <w:r w:rsidRPr="003B6A69">
        <w:rPr>
          <w:rFonts w:eastAsia="Calibri"/>
          <w:szCs w:val="20"/>
          <w:lang w:val="en-GB"/>
        </w:rPr>
        <w:t xml:space="preserve">Review the project progress, assess performance, and appraise the Annual Work Plan for the following </w:t>
      </w:r>
      <w:proofErr w:type="gramStart"/>
      <w:r w:rsidRPr="003B6A69">
        <w:rPr>
          <w:rFonts w:eastAsia="Calibri"/>
          <w:szCs w:val="20"/>
          <w:lang w:val="en-GB"/>
        </w:rPr>
        <w:t>year;</w:t>
      </w:r>
      <w:proofErr w:type="gramEnd"/>
      <w:r w:rsidRPr="003B6A69">
        <w:rPr>
          <w:rFonts w:eastAsia="Calibri"/>
          <w:szCs w:val="20"/>
          <w:lang w:val="en-GB"/>
        </w:rPr>
        <w:t xml:space="preserve"> </w:t>
      </w:r>
    </w:p>
    <w:p w14:paraId="6FE86B2F" w14:textId="77777777" w:rsidR="00656B8D" w:rsidRPr="003B6A69" w:rsidRDefault="00656B8D" w:rsidP="003C6B7B">
      <w:pPr>
        <w:numPr>
          <w:ilvl w:val="0"/>
          <w:numId w:val="45"/>
        </w:numPr>
        <w:spacing w:after="160" w:line="259" w:lineRule="auto"/>
        <w:contextualSpacing/>
        <w:jc w:val="left"/>
        <w:rPr>
          <w:rFonts w:eastAsia="Calibri"/>
          <w:szCs w:val="20"/>
          <w:lang w:val="en-GB"/>
        </w:rPr>
      </w:pPr>
      <w:r w:rsidRPr="003B6A69">
        <w:rPr>
          <w:rFonts w:eastAsia="Calibri"/>
          <w:szCs w:val="20"/>
          <w:lang w:val="en-GB"/>
        </w:rPr>
        <w:t xml:space="preserve">Appraise the annual project implementation report, including the quality assessment rating </w:t>
      </w:r>
      <w:proofErr w:type="gramStart"/>
      <w:r w:rsidRPr="003B6A69">
        <w:rPr>
          <w:rFonts w:eastAsia="Calibri"/>
          <w:szCs w:val="20"/>
          <w:lang w:val="en-GB"/>
        </w:rPr>
        <w:t>report;</w:t>
      </w:r>
      <w:proofErr w:type="gramEnd"/>
      <w:r w:rsidRPr="003B6A69">
        <w:rPr>
          <w:rFonts w:eastAsia="Calibri"/>
          <w:szCs w:val="20"/>
          <w:lang w:val="en-GB"/>
        </w:rPr>
        <w:t xml:space="preserve"> </w:t>
      </w:r>
    </w:p>
    <w:p w14:paraId="4264EB7A" w14:textId="77777777" w:rsidR="00656B8D" w:rsidRPr="003B6A69" w:rsidRDefault="00656B8D" w:rsidP="003C6B7B">
      <w:pPr>
        <w:numPr>
          <w:ilvl w:val="0"/>
          <w:numId w:val="45"/>
        </w:numPr>
        <w:spacing w:after="160" w:line="259" w:lineRule="auto"/>
        <w:contextualSpacing/>
        <w:jc w:val="left"/>
        <w:rPr>
          <w:rFonts w:eastAsia="Calibri"/>
          <w:szCs w:val="20"/>
          <w:lang w:val="en-GB"/>
        </w:rPr>
      </w:pPr>
      <w:r w:rsidRPr="003B6A69">
        <w:rPr>
          <w:rFonts w:eastAsia="Calibri"/>
          <w:szCs w:val="20"/>
          <w:lang w:val="en-GB"/>
        </w:rPr>
        <w:t xml:space="preserve">Ensure commitment of human resources to support project implementation, arbitrating any issues within the </w:t>
      </w:r>
      <w:proofErr w:type="gramStart"/>
      <w:r w:rsidRPr="003B6A69">
        <w:rPr>
          <w:rFonts w:eastAsia="Calibri"/>
          <w:szCs w:val="20"/>
          <w:lang w:val="en-GB"/>
        </w:rPr>
        <w:t>project;</w:t>
      </w:r>
      <w:proofErr w:type="gramEnd"/>
      <w:r w:rsidRPr="003B6A69">
        <w:rPr>
          <w:rFonts w:eastAsia="Calibri"/>
          <w:szCs w:val="20"/>
          <w:lang w:val="en-GB"/>
        </w:rPr>
        <w:t xml:space="preserve"> </w:t>
      </w:r>
    </w:p>
    <w:p w14:paraId="34AA7579" w14:textId="77777777" w:rsidR="00656B8D" w:rsidRPr="003B6A69" w:rsidRDefault="00656B8D" w:rsidP="003C6B7B">
      <w:pPr>
        <w:numPr>
          <w:ilvl w:val="0"/>
          <w:numId w:val="45"/>
        </w:numPr>
        <w:spacing w:after="160" w:line="259" w:lineRule="auto"/>
        <w:contextualSpacing/>
        <w:jc w:val="left"/>
        <w:rPr>
          <w:rFonts w:eastAsia="Calibri"/>
          <w:szCs w:val="20"/>
          <w:lang w:val="en-GB"/>
        </w:rPr>
      </w:pPr>
      <w:r w:rsidRPr="003B6A69">
        <w:rPr>
          <w:rFonts w:eastAsia="Calibri"/>
          <w:szCs w:val="20"/>
          <w:lang w:val="en-GB"/>
        </w:rPr>
        <w:t xml:space="preserve">Review combined delivery reports prior to certification by the implementing </w:t>
      </w:r>
      <w:proofErr w:type="gramStart"/>
      <w:r w:rsidRPr="003B6A69">
        <w:rPr>
          <w:rFonts w:eastAsia="Calibri"/>
          <w:szCs w:val="20"/>
          <w:lang w:val="en-GB"/>
        </w:rPr>
        <w:t>partner;</w:t>
      </w:r>
      <w:proofErr w:type="gramEnd"/>
    </w:p>
    <w:p w14:paraId="0A6967BF" w14:textId="77777777" w:rsidR="00656B8D" w:rsidRPr="003B6A69" w:rsidRDefault="00656B8D" w:rsidP="003C6B7B">
      <w:pPr>
        <w:numPr>
          <w:ilvl w:val="0"/>
          <w:numId w:val="45"/>
        </w:numPr>
        <w:spacing w:after="160" w:line="259" w:lineRule="auto"/>
        <w:contextualSpacing/>
        <w:jc w:val="left"/>
        <w:rPr>
          <w:rFonts w:eastAsia="Calibri"/>
          <w:szCs w:val="20"/>
          <w:lang w:val="en-GB"/>
        </w:rPr>
      </w:pPr>
      <w:r w:rsidRPr="003B6A69">
        <w:rPr>
          <w:rFonts w:eastAsia="Calibri"/>
          <w:szCs w:val="20"/>
          <w:lang w:val="en-GB"/>
        </w:rPr>
        <w:t xml:space="preserve">Provide direction and recommendations to ensure that the agreed deliverables are produced satisfactorily according to </w:t>
      </w:r>
      <w:proofErr w:type="gramStart"/>
      <w:r w:rsidRPr="003B6A69">
        <w:rPr>
          <w:rFonts w:eastAsia="Calibri"/>
          <w:szCs w:val="20"/>
          <w:lang w:val="en-GB"/>
        </w:rPr>
        <w:t>plans;</w:t>
      </w:r>
      <w:proofErr w:type="gramEnd"/>
    </w:p>
    <w:p w14:paraId="08BDB420" w14:textId="77777777" w:rsidR="00656B8D" w:rsidRPr="003B6A69" w:rsidRDefault="00656B8D" w:rsidP="003C6B7B">
      <w:pPr>
        <w:numPr>
          <w:ilvl w:val="0"/>
          <w:numId w:val="45"/>
        </w:numPr>
        <w:spacing w:after="160" w:line="259" w:lineRule="auto"/>
        <w:contextualSpacing/>
        <w:jc w:val="left"/>
        <w:rPr>
          <w:rFonts w:eastAsia="Calibri"/>
          <w:szCs w:val="20"/>
          <w:lang w:val="en-GB"/>
        </w:rPr>
      </w:pPr>
      <w:r w:rsidRPr="003B6A69">
        <w:rPr>
          <w:rFonts w:eastAsia="Calibri"/>
          <w:szCs w:val="20"/>
          <w:lang w:val="en-GB"/>
        </w:rPr>
        <w:t xml:space="preserve">Address project-level </w:t>
      </w:r>
      <w:proofErr w:type="gramStart"/>
      <w:r w:rsidRPr="003B6A69">
        <w:rPr>
          <w:rFonts w:eastAsia="Calibri"/>
          <w:szCs w:val="20"/>
          <w:lang w:val="en-GB"/>
        </w:rPr>
        <w:t>grievances;</w:t>
      </w:r>
      <w:proofErr w:type="gramEnd"/>
    </w:p>
    <w:p w14:paraId="70B3E9C4" w14:textId="77777777" w:rsidR="00656B8D" w:rsidRPr="003B6A69" w:rsidRDefault="00656B8D" w:rsidP="003C6B7B">
      <w:pPr>
        <w:numPr>
          <w:ilvl w:val="0"/>
          <w:numId w:val="45"/>
        </w:numPr>
        <w:spacing w:after="160" w:line="259" w:lineRule="auto"/>
        <w:contextualSpacing/>
        <w:jc w:val="left"/>
        <w:rPr>
          <w:rFonts w:eastAsia="Calibri"/>
          <w:szCs w:val="20"/>
          <w:lang w:val="en-GB"/>
        </w:rPr>
      </w:pPr>
      <w:r w:rsidRPr="003B6A69">
        <w:rPr>
          <w:rFonts w:eastAsia="Calibri"/>
          <w:szCs w:val="20"/>
          <w:lang w:val="en-GB"/>
        </w:rPr>
        <w:t xml:space="preserve">Approve the project Inception Report, MTR and TE reports and corresponding management </w:t>
      </w:r>
      <w:proofErr w:type="gramStart"/>
      <w:r w:rsidRPr="003B6A69">
        <w:rPr>
          <w:rFonts w:eastAsia="Calibri"/>
          <w:szCs w:val="20"/>
          <w:lang w:val="en-GB"/>
        </w:rPr>
        <w:t>responses;</w:t>
      </w:r>
      <w:proofErr w:type="gramEnd"/>
    </w:p>
    <w:p w14:paraId="411C029B" w14:textId="77777777" w:rsidR="00656B8D" w:rsidRPr="003B6A69" w:rsidRDefault="00656B8D" w:rsidP="003C6B7B">
      <w:pPr>
        <w:numPr>
          <w:ilvl w:val="0"/>
          <w:numId w:val="45"/>
        </w:numPr>
        <w:spacing w:after="160" w:line="259" w:lineRule="auto"/>
        <w:contextualSpacing/>
        <w:jc w:val="left"/>
        <w:rPr>
          <w:rFonts w:eastAsia="Calibri"/>
          <w:szCs w:val="20"/>
          <w:lang w:val="en-GB"/>
        </w:rPr>
      </w:pPr>
      <w:r w:rsidRPr="003B6A69">
        <w:rPr>
          <w:rFonts w:eastAsia="Calibri"/>
          <w:szCs w:val="20"/>
          <w:lang w:val="en-GB"/>
        </w:rPr>
        <w:t xml:space="preserve">Review the final project report package during an end-of-project review meeting to discuss lesson learned and opportunities for scaling </w:t>
      </w:r>
      <w:proofErr w:type="gramStart"/>
      <w:r w:rsidRPr="003B6A69">
        <w:rPr>
          <w:rFonts w:eastAsia="Calibri"/>
          <w:szCs w:val="20"/>
          <w:lang w:val="en-GB"/>
        </w:rPr>
        <w:t>up;</w:t>
      </w:r>
      <w:proofErr w:type="gramEnd"/>
    </w:p>
    <w:p w14:paraId="6A9CDEA1" w14:textId="77777777" w:rsidR="00656B8D" w:rsidRPr="003B6A69" w:rsidRDefault="00656B8D" w:rsidP="003C6B7B">
      <w:pPr>
        <w:numPr>
          <w:ilvl w:val="0"/>
          <w:numId w:val="45"/>
        </w:numPr>
        <w:spacing w:after="160" w:line="259" w:lineRule="auto"/>
        <w:contextualSpacing/>
        <w:jc w:val="left"/>
        <w:rPr>
          <w:rFonts w:eastAsia="Calibri"/>
          <w:szCs w:val="20"/>
          <w:lang w:val="en-GB"/>
        </w:rPr>
      </w:pPr>
      <w:r w:rsidRPr="003B6A69">
        <w:rPr>
          <w:rFonts w:eastAsia="Calibri"/>
          <w:szCs w:val="20"/>
          <w:lang w:val="en-GB"/>
        </w:rPr>
        <w:t xml:space="preserve">Ensure highest levels of transparency and take all measures to avoid any real or perceived conflicts of interest.    </w:t>
      </w:r>
    </w:p>
    <w:p w14:paraId="395CE866" w14:textId="77777777" w:rsidR="00656B8D" w:rsidRPr="003B6A69" w:rsidRDefault="00656B8D" w:rsidP="00656B8D">
      <w:pPr>
        <w:spacing w:after="160" w:line="259" w:lineRule="auto"/>
        <w:rPr>
          <w:rFonts w:eastAsia="Calibri"/>
          <w:szCs w:val="20"/>
          <w:lang w:val="en-GB"/>
        </w:rPr>
      </w:pPr>
    </w:p>
    <w:p w14:paraId="1F15BD07" w14:textId="77777777" w:rsidR="00656B8D" w:rsidRPr="003B6A69" w:rsidRDefault="00656B8D" w:rsidP="00656B8D">
      <w:pPr>
        <w:spacing w:after="160" w:line="259" w:lineRule="auto"/>
        <w:rPr>
          <w:rFonts w:eastAsia="Calibri"/>
          <w:szCs w:val="20"/>
          <w:lang w:val="en-GB"/>
        </w:rPr>
      </w:pPr>
      <w:r w:rsidRPr="003B6A69">
        <w:rPr>
          <w:rFonts w:eastAsia="Calibri"/>
          <w:szCs w:val="20"/>
          <w:lang w:val="en-GB"/>
        </w:rPr>
        <w:t xml:space="preserve">The composition of the Project Board must include the following roles: </w:t>
      </w:r>
    </w:p>
    <w:p w14:paraId="200176A8" w14:textId="410DD86A" w:rsidR="00656B8D" w:rsidRPr="003B6A69" w:rsidRDefault="00656B8D" w:rsidP="003C6B7B">
      <w:pPr>
        <w:numPr>
          <w:ilvl w:val="0"/>
          <w:numId w:val="46"/>
        </w:numPr>
        <w:spacing w:after="160" w:line="259" w:lineRule="auto"/>
        <w:contextualSpacing/>
        <w:jc w:val="left"/>
        <w:rPr>
          <w:rFonts w:eastAsia="Calibri"/>
          <w:szCs w:val="20"/>
          <w:lang w:val="en-GB"/>
        </w:rPr>
      </w:pPr>
      <w:r w:rsidRPr="003B6A69">
        <w:rPr>
          <w:rFonts w:eastAsia="Calibri"/>
          <w:szCs w:val="20"/>
          <w:lang w:val="en-GB"/>
        </w:rPr>
        <w:t>Project Executive: Is an individual who represents ownership of the project and chairs the Project Board. The Executive is normally the national counterpart for nationally implemented pro</w:t>
      </w:r>
      <w:r w:rsidR="007E29B1" w:rsidRPr="003B6A69">
        <w:rPr>
          <w:rFonts w:eastAsia="Calibri"/>
          <w:szCs w:val="20"/>
          <w:lang w:val="en-GB"/>
        </w:rPr>
        <w:t>jects. The Project Executive is</w:t>
      </w:r>
      <w:r w:rsidRPr="003B6A69">
        <w:rPr>
          <w:rFonts w:eastAsia="Calibri"/>
          <w:szCs w:val="20"/>
          <w:lang w:val="en-GB"/>
        </w:rPr>
        <w:t xml:space="preserve"> the designated representative from the Ministry of Ecology, Spatial Planning and Urbanism.</w:t>
      </w:r>
    </w:p>
    <w:p w14:paraId="7331DEF3" w14:textId="173544E7" w:rsidR="00656B8D" w:rsidRPr="003B6A69" w:rsidRDefault="00656B8D" w:rsidP="003C6B7B">
      <w:pPr>
        <w:numPr>
          <w:ilvl w:val="0"/>
          <w:numId w:val="46"/>
        </w:numPr>
        <w:spacing w:after="160" w:line="259" w:lineRule="auto"/>
        <w:contextualSpacing/>
        <w:jc w:val="left"/>
        <w:rPr>
          <w:rFonts w:eastAsia="Calibri"/>
          <w:szCs w:val="20"/>
          <w:lang w:val="en-GB"/>
        </w:rPr>
      </w:pPr>
      <w:r w:rsidRPr="003B6A69">
        <w:rPr>
          <w:rFonts w:eastAsia="Calibri"/>
          <w:szCs w:val="20"/>
          <w:lang w:val="en-GB"/>
        </w:rPr>
        <w:t xml:space="preserve">Beneficiary Representative(s) / Partnership Committee: Individuals or groups representing the interests of those who will ultimately benefit from the project. Their primary function within the board is to ensure the realization of project results from the perspective of project beneficiaries. Often civil society representative(s) can </w:t>
      </w:r>
      <w:proofErr w:type="spellStart"/>
      <w:r w:rsidRPr="003B6A69">
        <w:rPr>
          <w:rFonts w:eastAsia="Calibri"/>
          <w:szCs w:val="20"/>
          <w:lang w:val="en-GB"/>
        </w:rPr>
        <w:t>fulfi</w:t>
      </w:r>
      <w:r w:rsidR="00370549" w:rsidRPr="003B6A69">
        <w:rPr>
          <w:rFonts w:eastAsia="Calibri"/>
          <w:szCs w:val="20"/>
          <w:lang w:val="en-GB"/>
        </w:rPr>
        <w:t>l</w:t>
      </w:r>
      <w:r w:rsidRPr="003B6A69">
        <w:rPr>
          <w:rFonts w:eastAsia="Calibri"/>
          <w:szCs w:val="20"/>
          <w:lang w:val="en-GB"/>
        </w:rPr>
        <w:t>l</w:t>
      </w:r>
      <w:proofErr w:type="spellEnd"/>
      <w:r w:rsidRPr="003B6A69">
        <w:rPr>
          <w:rFonts w:eastAsia="Calibri"/>
          <w:szCs w:val="20"/>
          <w:lang w:val="en-GB"/>
        </w:rPr>
        <w:t xml:space="preserve"> this role. The Beneficiary representative (s) is/are also the members of the Project Partnership Committee (below) and act as observers for the Project Steering Committee. Those are: Ministry of Ecology, Spatial Planning and Urbanism, Ministry of Agriculture, Forestry and Water Management, Forestry Administration, Ministry of Economic Development, Nature and Environment Protection </w:t>
      </w:r>
      <w:r w:rsidRPr="003B6A69">
        <w:rPr>
          <w:rFonts w:eastAsia="Calibri"/>
          <w:szCs w:val="20"/>
          <w:lang w:val="en-GB"/>
        </w:rPr>
        <w:lastRenderedPageBreak/>
        <w:t xml:space="preserve">Agency, Public Enterprise National Parks, Public enterprise </w:t>
      </w:r>
      <w:proofErr w:type="spellStart"/>
      <w:r w:rsidRPr="003B6A69">
        <w:rPr>
          <w:rFonts w:eastAsia="Calibri"/>
          <w:szCs w:val="20"/>
          <w:lang w:val="en-GB"/>
        </w:rPr>
        <w:t>Morsko</w:t>
      </w:r>
      <w:proofErr w:type="spellEnd"/>
      <w:r w:rsidRPr="003B6A69">
        <w:rPr>
          <w:rFonts w:eastAsia="Calibri"/>
          <w:szCs w:val="20"/>
          <w:lang w:val="en-GB"/>
        </w:rPr>
        <w:t xml:space="preserve"> Dobro, Managers of Protected Areas, Investment and Development Fund of Montenegro, Eco Fund, Directorate for IPARD Payments, Local touristic organisation, University of Montenegro, Natural History Museum, UN agencies and GIZ and other international organisations in Montenegro implementing projects in the area of biodiversity protection, agriculture, tourism and forestry, Office for Cooperation with NGOs, Community of Municipalities of Montenegro, representative of civil society (elected on the basis of a public call), local sustainable tourism businesses, local farmers applying “green” technologies and principles and eligible for green subsidies stimulated by the project, private forest owners supported by the project-driven incentives etc. </w:t>
      </w:r>
      <w:r w:rsidR="007E29B1" w:rsidRPr="003B6A69">
        <w:rPr>
          <w:szCs w:val="20"/>
        </w:rPr>
        <w:t>One representative from the Partnership committee will be elected as a member of the Project Steering Committee (performing on a rotational basis)</w:t>
      </w:r>
      <w:r w:rsidRPr="003B6A69">
        <w:rPr>
          <w:rFonts w:eastAsia="Calibri"/>
          <w:szCs w:val="20"/>
          <w:lang w:val="en-GB"/>
        </w:rPr>
        <w:t>.</w:t>
      </w:r>
    </w:p>
    <w:p w14:paraId="5B42FAE6" w14:textId="77777777" w:rsidR="00656B8D" w:rsidRPr="003B6A69" w:rsidRDefault="00656B8D" w:rsidP="003C6B7B">
      <w:pPr>
        <w:numPr>
          <w:ilvl w:val="0"/>
          <w:numId w:val="46"/>
        </w:numPr>
        <w:spacing w:after="160" w:line="259" w:lineRule="auto"/>
        <w:contextualSpacing/>
        <w:jc w:val="left"/>
        <w:rPr>
          <w:rFonts w:eastAsia="Calibri"/>
          <w:szCs w:val="20"/>
          <w:lang w:val="en-GB"/>
        </w:rPr>
      </w:pPr>
      <w:r w:rsidRPr="003B6A69">
        <w:rPr>
          <w:rFonts w:eastAsia="Calibri"/>
          <w:szCs w:val="20"/>
          <w:lang w:val="en-GB"/>
        </w:rPr>
        <w:t xml:space="preserve">Development Partner(s): Individuals or groups representing the interests of the parties concerned that provide funding and/or technical expertise to the project. The Development Partner(s) is/are the Ministry of Ecology, Spatial Planning and Urbanism, Ministry of Agriculture, Forestry and Water Management, Forestry Administration, Ministry of Economic Development, Nature and Environment Protection Agency, University of Montenegro, Natural History Museum. </w:t>
      </w:r>
    </w:p>
    <w:p w14:paraId="33A035AD" w14:textId="7DE045B1" w:rsidR="00656B8D" w:rsidRPr="003B6A69" w:rsidRDefault="00656B8D" w:rsidP="003C6B7B">
      <w:pPr>
        <w:numPr>
          <w:ilvl w:val="0"/>
          <w:numId w:val="46"/>
        </w:numPr>
        <w:spacing w:after="160" w:line="259" w:lineRule="auto"/>
        <w:contextualSpacing/>
        <w:jc w:val="left"/>
        <w:rPr>
          <w:rFonts w:eastAsia="Calibri"/>
          <w:szCs w:val="20"/>
          <w:lang w:val="en-GB"/>
        </w:rPr>
      </w:pPr>
      <w:r w:rsidRPr="003B6A69">
        <w:rPr>
          <w:rFonts w:eastAsia="Calibri"/>
          <w:szCs w:val="20"/>
          <w:lang w:val="en-GB"/>
        </w:rPr>
        <w:t xml:space="preserve">Project Assurance: UNDP performs the quality assurance and supports the Project Board and Project Management Unit by carrying out objective and independent project oversight and monitoring functions. This role ensures appropriate project management milestones are managed and completed. The Project Board cannot delegate any of its quality assurance responsibilities to the </w:t>
      </w:r>
      <w:r w:rsidR="00127DDC" w:rsidRPr="00127DDC">
        <w:rPr>
          <w:highlight w:val="yellow"/>
          <w:lang w:val="en-GB" w:eastAsia="ja-JP"/>
        </w:rPr>
        <w:t xml:space="preserve">project </w:t>
      </w:r>
      <w:r w:rsidR="003E6B19">
        <w:rPr>
          <w:highlight w:val="yellow"/>
          <w:lang w:val="en-GB" w:eastAsia="ja-JP"/>
        </w:rPr>
        <w:t>c</w:t>
      </w:r>
      <w:r w:rsidR="00127DDC" w:rsidRPr="00127DDC">
        <w:rPr>
          <w:highlight w:val="yellow"/>
          <w:lang w:val="en-GB" w:eastAsia="ja-JP"/>
        </w:rPr>
        <w:t xml:space="preserve">oordinator / </w:t>
      </w:r>
      <w:proofErr w:type="gramStart"/>
      <w:r w:rsidR="00127DDC" w:rsidRPr="00127DDC">
        <w:rPr>
          <w:highlight w:val="yellow"/>
          <w:lang w:val="en-GB" w:eastAsia="ja-JP"/>
        </w:rPr>
        <w:t>principle</w:t>
      </w:r>
      <w:proofErr w:type="gramEnd"/>
      <w:r w:rsidR="00127DDC" w:rsidRPr="00127DDC">
        <w:rPr>
          <w:highlight w:val="yellow"/>
          <w:lang w:val="en-GB" w:eastAsia="ja-JP"/>
        </w:rPr>
        <w:t xml:space="preserve"> </w:t>
      </w:r>
      <w:r w:rsidR="00127DDC">
        <w:rPr>
          <w:highlight w:val="yellow"/>
          <w:lang w:val="en-GB" w:eastAsia="ja-JP"/>
        </w:rPr>
        <w:t>m</w:t>
      </w:r>
      <w:r w:rsidR="00127DDC" w:rsidRPr="00127DDC">
        <w:rPr>
          <w:highlight w:val="yellow"/>
          <w:lang w:val="en-GB" w:eastAsia="ja-JP"/>
        </w:rPr>
        <w:t>anager</w:t>
      </w:r>
      <w:r w:rsidRPr="003B6A69">
        <w:rPr>
          <w:rFonts w:eastAsia="Calibri"/>
          <w:szCs w:val="20"/>
          <w:lang w:val="en-GB"/>
        </w:rPr>
        <w:t>. UNDP provides a three – tier oversight services involving the UNDP Country Offices and UNDP at regional and headquarters levels. Project assurance is totally independent of the Project Management function.</w:t>
      </w:r>
    </w:p>
    <w:p w14:paraId="24380BCF" w14:textId="77777777" w:rsidR="00656B8D" w:rsidRPr="003B6A69" w:rsidRDefault="00656B8D" w:rsidP="00656B8D">
      <w:pPr>
        <w:spacing w:after="160" w:line="259" w:lineRule="auto"/>
        <w:rPr>
          <w:rFonts w:eastAsia="Calibri"/>
          <w:szCs w:val="20"/>
          <w:lang w:val="en-GB"/>
        </w:rPr>
      </w:pPr>
    </w:p>
    <w:p w14:paraId="1529D580" w14:textId="77777777" w:rsidR="00656B8D" w:rsidRPr="003B6A69" w:rsidRDefault="00656B8D" w:rsidP="00656B8D">
      <w:pPr>
        <w:spacing w:after="160" w:line="259" w:lineRule="auto"/>
        <w:rPr>
          <w:rFonts w:eastAsia="Calibri"/>
          <w:szCs w:val="20"/>
          <w:lang w:val="en-GB"/>
        </w:rPr>
      </w:pPr>
      <w:r w:rsidRPr="003B6A69">
        <w:rPr>
          <w:rFonts w:eastAsia="Calibri"/>
          <w:szCs w:val="20"/>
          <w:lang w:val="en-GB"/>
        </w:rPr>
        <w:t xml:space="preserve">General: </w:t>
      </w:r>
    </w:p>
    <w:p w14:paraId="00F0460D" w14:textId="77777777" w:rsidR="00656B8D" w:rsidRPr="003B6A69" w:rsidRDefault="00656B8D" w:rsidP="003C6B7B">
      <w:pPr>
        <w:numPr>
          <w:ilvl w:val="0"/>
          <w:numId w:val="48"/>
        </w:numPr>
        <w:spacing w:after="160" w:line="259" w:lineRule="auto"/>
        <w:contextualSpacing/>
        <w:jc w:val="left"/>
        <w:rPr>
          <w:rFonts w:eastAsia="Calibri"/>
          <w:szCs w:val="20"/>
          <w:lang w:val="en-GB"/>
        </w:rPr>
      </w:pPr>
      <w:r w:rsidRPr="003B6A69">
        <w:rPr>
          <w:rFonts w:eastAsia="Calibri"/>
          <w:szCs w:val="20"/>
          <w:lang w:val="en-GB"/>
        </w:rPr>
        <w:t xml:space="preserve">Project Steering Committee is the highest coordinating body of the </w:t>
      </w:r>
      <w:proofErr w:type="gramStart"/>
      <w:r w:rsidRPr="003B6A69">
        <w:rPr>
          <w:rFonts w:eastAsia="Calibri"/>
          <w:szCs w:val="20"/>
          <w:lang w:val="en-GB"/>
        </w:rPr>
        <w:t>project, and</w:t>
      </w:r>
      <w:proofErr w:type="gramEnd"/>
      <w:r w:rsidRPr="003B6A69">
        <w:rPr>
          <w:rFonts w:eastAsia="Calibri"/>
          <w:szCs w:val="20"/>
          <w:lang w:val="en-GB"/>
        </w:rPr>
        <w:t xml:space="preserve"> is established for collaborative discussion and decision making of the project activities and for follow up of the project recommendations.</w:t>
      </w:r>
    </w:p>
    <w:p w14:paraId="1CBC1D31" w14:textId="77777777" w:rsidR="00656B8D" w:rsidRPr="003B6A69" w:rsidRDefault="00656B8D" w:rsidP="003C6B7B">
      <w:pPr>
        <w:numPr>
          <w:ilvl w:val="0"/>
          <w:numId w:val="48"/>
        </w:numPr>
        <w:spacing w:after="160" w:line="259" w:lineRule="auto"/>
        <w:contextualSpacing/>
        <w:jc w:val="left"/>
        <w:rPr>
          <w:rFonts w:eastAsia="Calibri"/>
          <w:szCs w:val="20"/>
          <w:lang w:val="en-GB"/>
        </w:rPr>
      </w:pPr>
      <w:r w:rsidRPr="003B6A69">
        <w:rPr>
          <w:rFonts w:eastAsia="Calibri"/>
          <w:szCs w:val="20"/>
          <w:lang w:val="en-GB"/>
        </w:rPr>
        <w:t>These terms of reference and the project document constitute the regulatory framework for the activities of the Project Steering Committee,</w:t>
      </w:r>
    </w:p>
    <w:p w14:paraId="77B8AAAE" w14:textId="77777777" w:rsidR="00656B8D" w:rsidRPr="003B6A69" w:rsidRDefault="00656B8D" w:rsidP="003C6B7B">
      <w:pPr>
        <w:numPr>
          <w:ilvl w:val="0"/>
          <w:numId w:val="48"/>
        </w:numPr>
        <w:spacing w:after="160" w:line="259" w:lineRule="auto"/>
        <w:contextualSpacing/>
        <w:jc w:val="left"/>
        <w:rPr>
          <w:rFonts w:eastAsia="Calibri"/>
          <w:szCs w:val="20"/>
          <w:lang w:val="en-GB"/>
        </w:rPr>
      </w:pPr>
      <w:r w:rsidRPr="003B6A69">
        <w:rPr>
          <w:rFonts w:eastAsia="Calibri"/>
          <w:szCs w:val="20"/>
          <w:lang w:val="en-GB"/>
        </w:rPr>
        <w:t>All Project Steering Committee members act on an institutional representation basis and receive no remunerations for their contribution to the Project Steering Committee,</w:t>
      </w:r>
    </w:p>
    <w:p w14:paraId="0278BE4D" w14:textId="77777777" w:rsidR="00656B8D" w:rsidRPr="003B6A69" w:rsidRDefault="00656B8D" w:rsidP="003C6B7B">
      <w:pPr>
        <w:numPr>
          <w:ilvl w:val="0"/>
          <w:numId w:val="48"/>
        </w:numPr>
        <w:spacing w:after="160" w:line="259" w:lineRule="auto"/>
        <w:contextualSpacing/>
        <w:jc w:val="left"/>
        <w:rPr>
          <w:rFonts w:eastAsia="Calibri"/>
          <w:szCs w:val="20"/>
          <w:lang w:val="en-GB"/>
        </w:rPr>
      </w:pPr>
      <w:r w:rsidRPr="003B6A69">
        <w:rPr>
          <w:rFonts w:eastAsia="Calibri"/>
          <w:szCs w:val="20"/>
          <w:lang w:val="en-GB"/>
        </w:rPr>
        <w:t>The activity of the Project Steering Committee is based on the principles of free discussion and openness</w:t>
      </w:r>
    </w:p>
    <w:p w14:paraId="6D294D30" w14:textId="77777777" w:rsidR="00656B8D" w:rsidRPr="003B6A69" w:rsidRDefault="00656B8D" w:rsidP="00656B8D">
      <w:pPr>
        <w:spacing w:after="160" w:line="259" w:lineRule="auto"/>
        <w:jc w:val="left"/>
        <w:rPr>
          <w:rFonts w:eastAsia="Calibri"/>
          <w:szCs w:val="20"/>
          <w:lang w:val="en-GB"/>
        </w:rPr>
      </w:pPr>
      <w:r w:rsidRPr="003B6A69">
        <w:rPr>
          <w:rFonts w:eastAsia="Calibri"/>
          <w:szCs w:val="20"/>
          <w:lang w:val="en-GB"/>
        </w:rPr>
        <w:t>Project Steering Committee tasks:</w:t>
      </w:r>
    </w:p>
    <w:p w14:paraId="648313A3" w14:textId="77777777" w:rsidR="00656B8D" w:rsidRPr="003B6A69" w:rsidRDefault="00656B8D" w:rsidP="003C6B7B">
      <w:pPr>
        <w:numPr>
          <w:ilvl w:val="0"/>
          <w:numId w:val="49"/>
        </w:numPr>
        <w:spacing w:after="160" w:line="259" w:lineRule="auto"/>
        <w:contextualSpacing/>
        <w:jc w:val="left"/>
        <w:rPr>
          <w:rFonts w:eastAsia="Calibri"/>
          <w:szCs w:val="20"/>
          <w:lang w:val="en-GB"/>
        </w:rPr>
      </w:pPr>
      <w:r w:rsidRPr="003B6A69">
        <w:rPr>
          <w:rFonts w:eastAsia="Calibri"/>
          <w:szCs w:val="20"/>
          <w:lang w:val="en-GB"/>
        </w:rPr>
        <w:t>Oversight and coordination of the activities of the project for successful realisation of the project activities</w:t>
      </w:r>
    </w:p>
    <w:p w14:paraId="13954609" w14:textId="77777777" w:rsidR="00656B8D" w:rsidRPr="003B6A69" w:rsidRDefault="00656B8D" w:rsidP="003C6B7B">
      <w:pPr>
        <w:numPr>
          <w:ilvl w:val="0"/>
          <w:numId w:val="49"/>
        </w:numPr>
        <w:spacing w:after="160" w:line="259" w:lineRule="auto"/>
        <w:contextualSpacing/>
        <w:jc w:val="left"/>
        <w:rPr>
          <w:rFonts w:eastAsia="Calibri"/>
          <w:szCs w:val="20"/>
          <w:lang w:val="en-GB"/>
        </w:rPr>
      </w:pPr>
      <w:r w:rsidRPr="003B6A69">
        <w:rPr>
          <w:rFonts w:eastAsia="Calibri"/>
          <w:szCs w:val="20"/>
          <w:lang w:val="en-GB"/>
        </w:rPr>
        <w:t xml:space="preserve">Review, assessment, and elaboration of recommendations, as well as consultative and expert delivery of suggestions on strategy, contents, </w:t>
      </w:r>
      <w:proofErr w:type="gramStart"/>
      <w:r w:rsidRPr="003B6A69">
        <w:rPr>
          <w:rFonts w:eastAsia="Calibri"/>
          <w:szCs w:val="20"/>
          <w:lang w:val="en-GB"/>
        </w:rPr>
        <w:t>volume</w:t>
      </w:r>
      <w:proofErr w:type="gramEnd"/>
      <w:r w:rsidRPr="003B6A69">
        <w:rPr>
          <w:rFonts w:eastAsia="Calibri"/>
          <w:szCs w:val="20"/>
          <w:lang w:val="en-GB"/>
        </w:rPr>
        <w:t xml:space="preserve"> and timetables to achieve stated objectives of the project,</w:t>
      </w:r>
    </w:p>
    <w:p w14:paraId="60AC775F" w14:textId="77777777" w:rsidR="00656B8D" w:rsidRPr="003B6A69" w:rsidRDefault="00656B8D" w:rsidP="003C6B7B">
      <w:pPr>
        <w:numPr>
          <w:ilvl w:val="0"/>
          <w:numId w:val="49"/>
        </w:numPr>
        <w:spacing w:after="160" w:line="259" w:lineRule="auto"/>
        <w:contextualSpacing/>
        <w:jc w:val="left"/>
        <w:rPr>
          <w:rFonts w:eastAsia="Calibri"/>
          <w:szCs w:val="20"/>
          <w:lang w:val="en-GB"/>
        </w:rPr>
      </w:pPr>
      <w:r w:rsidRPr="003B6A69">
        <w:rPr>
          <w:rFonts w:eastAsia="Calibri"/>
          <w:szCs w:val="20"/>
          <w:lang w:val="en-GB"/>
        </w:rPr>
        <w:t>Delivery of assistance in the realisation of the work plans of the project</w:t>
      </w:r>
    </w:p>
    <w:p w14:paraId="010052C3" w14:textId="77777777" w:rsidR="00656B8D" w:rsidRPr="003B6A69" w:rsidRDefault="00656B8D" w:rsidP="00656B8D">
      <w:pPr>
        <w:spacing w:after="160" w:line="259" w:lineRule="auto"/>
        <w:jc w:val="left"/>
        <w:rPr>
          <w:rFonts w:eastAsia="Calibri"/>
          <w:szCs w:val="20"/>
          <w:lang w:val="en-GB"/>
        </w:rPr>
      </w:pPr>
      <w:r w:rsidRPr="003B6A69">
        <w:rPr>
          <w:rFonts w:eastAsia="Calibri"/>
          <w:szCs w:val="20"/>
          <w:lang w:val="en-GB"/>
        </w:rPr>
        <w:t>Fundamental functions of the project board:</w:t>
      </w:r>
    </w:p>
    <w:p w14:paraId="0473C036" w14:textId="77777777" w:rsidR="00656B8D" w:rsidRPr="003B6A69" w:rsidRDefault="00656B8D" w:rsidP="003C6B7B">
      <w:pPr>
        <w:numPr>
          <w:ilvl w:val="0"/>
          <w:numId w:val="50"/>
        </w:numPr>
        <w:spacing w:after="160" w:line="259" w:lineRule="auto"/>
        <w:contextualSpacing/>
        <w:jc w:val="left"/>
        <w:rPr>
          <w:rFonts w:eastAsia="Calibri"/>
          <w:szCs w:val="20"/>
          <w:lang w:val="en-GB"/>
        </w:rPr>
      </w:pPr>
      <w:r w:rsidRPr="003B6A69">
        <w:rPr>
          <w:rFonts w:eastAsia="Calibri"/>
          <w:szCs w:val="20"/>
          <w:lang w:val="en-GB"/>
        </w:rPr>
        <w:t>Overall direction of the realisation of the project</w:t>
      </w:r>
    </w:p>
    <w:p w14:paraId="67A18207" w14:textId="77777777" w:rsidR="00656B8D" w:rsidRPr="003B6A69" w:rsidRDefault="00656B8D" w:rsidP="003C6B7B">
      <w:pPr>
        <w:numPr>
          <w:ilvl w:val="0"/>
          <w:numId w:val="50"/>
        </w:numPr>
        <w:spacing w:after="160" w:line="259" w:lineRule="auto"/>
        <w:contextualSpacing/>
        <w:jc w:val="left"/>
        <w:rPr>
          <w:rFonts w:eastAsia="Calibri"/>
          <w:szCs w:val="20"/>
          <w:lang w:val="en-GB"/>
        </w:rPr>
      </w:pPr>
      <w:r w:rsidRPr="003B6A69">
        <w:rPr>
          <w:rFonts w:eastAsia="Calibri"/>
          <w:szCs w:val="20"/>
          <w:lang w:val="en-GB"/>
        </w:rPr>
        <w:t xml:space="preserve">Definition of high-level directions of the project </w:t>
      </w:r>
    </w:p>
    <w:p w14:paraId="3A062489" w14:textId="77777777" w:rsidR="00656B8D" w:rsidRPr="003B6A69" w:rsidRDefault="00656B8D" w:rsidP="003C6B7B">
      <w:pPr>
        <w:numPr>
          <w:ilvl w:val="0"/>
          <w:numId w:val="50"/>
        </w:numPr>
        <w:spacing w:after="160" w:line="259" w:lineRule="auto"/>
        <w:contextualSpacing/>
        <w:jc w:val="left"/>
        <w:rPr>
          <w:rFonts w:eastAsia="Calibri"/>
          <w:szCs w:val="20"/>
          <w:lang w:val="en-GB"/>
        </w:rPr>
      </w:pPr>
      <w:r w:rsidRPr="003B6A69">
        <w:rPr>
          <w:rFonts w:eastAsia="Calibri"/>
          <w:szCs w:val="20"/>
          <w:lang w:val="en-GB"/>
        </w:rPr>
        <w:t>Facilitation of the collaboration with other complementary projects</w:t>
      </w:r>
    </w:p>
    <w:p w14:paraId="18B47C21" w14:textId="77777777" w:rsidR="00656B8D" w:rsidRPr="003B6A69" w:rsidRDefault="00656B8D" w:rsidP="003C6B7B">
      <w:pPr>
        <w:numPr>
          <w:ilvl w:val="0"/>
          <w:numId w:val="50"/>
        </w:numPr>
        <w:spacing w:after="160" w:line="259" w:lineRule="auto"/>
        <w:contextualSpacing/>
        <w:jc w:val="left"/>
        <w:rPr>
          <w:rFonts w:eastAsia="Calibri"/>
          <w:szCs w:val="20"/>
          <w:lang w:val="en-GB"/>
        </w:rPr>
      </w:pPr>
      <w:r w:rsidRPr="003B6A69">
        <w:rPr>
          <w:rFonts w:eastAsia="Calibri"/>
          <w:szCs w:val="20"/>
          <w:lang w:val="en-GB"/>
        </w:rPr>
        <w:t>Facilitation of the collaboration with government agencies, organisations, and other institutes for the successful realisation of the project</w:t>
      </w:r>
    </w:p>
    <w:p w14:paraId="5F0AC817" w14:textId="3AD55A30" w:rsidR="00656B8D" w:rsidRPr="003B6A69" w:rsidRDefault="00656B8D" w:rsidP="003C6B7B">
      <w:pPr>
        <w:numPr>
          <w:ilvl w:val="0"/>
          <w:numId w:val="50"/>
        </w:numPr>
        <w:spacing w:after="160" w:line="259" w:lineRule="auto"/>
        <w:contextualSpacing/>
        <w:jc w:val="left"/>
        <w:rPr>
          <w:rFonts w:eastAsia="Calibri"/>
          <w:szCs w:val="20"/>
          <w:lang w:val="en-GB"/>
        </w:rPr>
      </w:pPr>
      <w:r w:rsidRPr="003B6A69">
        <w:rPr>
          <w:rFonts w:eastAsia="Calibri"/>
          <w:szCs w:val="20"/>
          <w:lang w:val="en-GB"/>
        </w:rPr>
        <w:t>Provision of full access by the project o</w:t>
      </w:r>
      <w:r w:rsidR="00370549" w:rsidRPr="003B6A69">
        <w:rPr>
          <w:rFonts w:eastAsia="Calibri"/>
          <w:szCs w:val="20"/>
          <w:lang w:val="en-GB"/>
        </w:rPr>
        <w:t>f</w:t>
      </w:r>
      <w:r w:rsidRPr="003B6A69">
        <w:rPr>
          <w:rFonts w:eastAsia="Calibri"/>
          <w:szCs w:val="20"/>
          <w:lang w:val="en-GB"/>
        </w:rPr>
        <w:t xml:space="preserve"> all documents and information in various government departments necessary for the monitoring and realisation of the project, as required </w:t>
      </w:r>
    </w:p>
    <w:p w14:paraId="3BAB0CD9" w14:textId="77777777" w:rsidR="00656B8D" w:rsidRPr="003B6A69" w:rsidRDefault="00656B8D" w:rsidP="003C6B7B">
      <w:pPr>
        <w:numPr>
          <w:ilvl w:val="0"/>
          <w:numId w:val="50"/>
        </w:numPr>
        <w:spacing w:after="160" w:line="259" w:lineRule="auto"/>
        <w:contextualSpacing/>
        <w:jc w:val="left"/>
        <w:rPr>
          <w:rFonts w:eastAsia="Calibri"/>
          <w:szCs w:val="20"/>
          <w:lang w:val="en-GB"/>
        </w:rPr>
      </w:pPr>
      <w:r w:rsidRPr="003B6A69">
        <w:rPr>
          <w:rFonts w:eastAsia="Calibri"/>
          <w:szCs w:val="20"/>
          <w:lang w:val="en-GB"/>
        </w:rPr>
        <w:t>Delivery of methodological and practical assistance on question of realisation of project activities</w:t>
      </w:r>
    </w:p>
    <w:p w14:paraId="2C18A94A" w14:textId="460E1D6E" w:rsidR="00656B8D" w:rsidRPr="003B6A69" w:rsidRDefault="00656B8D" w:rsidP="003C6B7B">
      <w:pPr>
        <w:numPr>
          <w:ilvl w:val="0"/>
          <w:numId w:val="50"/>
        </w:numPr>
        <w:spacing w:after="160" w:line="259" w:lineRule="auto"/>
        <w:contextualSpacing/>
        <w:jc w:val="left"/>
        <w:rPr>
          <w:rFonts w:eastAsia="Calibri"/>
          <w:szCs w:val="20"/>
          <w:lang w:val="en-GB"/>
        </w:rPr>
      </w:pPr>
      <w:r w:rsidRPr="003B6A69">
        <w:rPr>
          <w:rFonts w:eastAsia="Calibri"/>
          <w:szCs w:val="20"/>
          <w:lang w:val="en-GB"/>
        </w:rPr>
        <w:t>Review and confirm of Annual work plan</w:t>
      </w:r>
      <w:r w:rsidR="00370549" w:rsidRPr="003B6A69">
        <w:rPr>
          <w:rFonts w:eastAsia="Calibri"/>
          <w:szCs w:val="20"/>
          <w:lang w:val="en-GB"/>
        </w:rPr>
        <w:t>s</w:t>
      </w:r>
      <w:r w:rsidRPr="003B6A69">
        <w:rPr>
          <w:rFonts w:eastAsia="Calibri"/>
          <w:szCs w:val="20"/>
          <w:lang w:val="en-GB"/>
        </w:rPr>
        <w:t>, budget revisions and staged financing</w:t>
      </w:r>
    </w:p>
    <w:p w14:paraId="49234829" w14:textId="77777777" w:rsidR="00656B8D" w:rsidRPr="003B6A69" w:rsidRDefault="00656B8D" w:rsidP="003C6B7B">
      <w:pPr>
        <w:numPr>
          <w:ilvl w:val="0"/>
          <w:numId w:val="50"/>
        </w:numPr>
        <w:spacing w:after="160" w:line="259" w:lineRule="auto"/>
        <w:contextualSpacing/>
        <w:jc w:val="left"/>
        <w:rPr>
          <w:rFonts w:eastAsia="Calibri"/>
          <w:szCs w:val="20"/>
          <w:lang w:val="en-GB"/>
        </w:rPr>
      </w:pPr>
      <w:r w:rsidRPr="003B6A69">
        <w:rPr>
          <w:rFonts w:eastAsia="Calibri"/>
          <w:szCs w:val="20"/>
          <w:lang w:val="en-GB"/>
        </w:rPr>
        <w:t xml:space="preserve">Execution of the functions of the main coordination body for promotion of the interest of the project </w:t>
      </w:r>
      <w:proofErr w:type="gramStart"/>
      <w:r w:rsidRPr="003B6A69">
        <w:rPr>
          <w:rFonts w:eastAsia="Calibri"/>
          <w:szCs w:val="20"/>
          <w:lang w:val="en-GB"/>
        </w:rPr>
        <w:t>with regard to</w:t>
      </w:r>
      <w:proofErr w:type="gramEnd"/>
      <w:r w:rsidRPr="003B6A69">
        <w:rPr>
          <w:rFonts w:eastAsia="Calibri"/>
          <w:szCs w:val="20"/>
          <w:lang w:val="en-GB"/>
        </w:rPr>
        <w:t xml:space="preserve"> political, regulatory, legal and financial support from the project beneficiary Government of Montenegro,</w:t>
      </w:r>
    </w:p>
    <w:p w14:paraId="69942349" w14:textId="77777777" w:rsidR="00656B8D" w:rsidRPr="003B6A69" w:rsidRDefault="00656B8D" w:rsidP="003C6B7B">
      <w:pPr>
        <w:numPr>
          <w:ilvl w:val="0"/>
          <w:numId w:val="50"/>
        </w:numPr>
        <w:spacing w:after="160" w:line="259" w:lineRule="auto"/>
        <w:contextualSpacing/>
        <w:jc w:val="left"/>
        <w:rPr>
          <w:rFonts w:eastAsia="Calibri"/>
          <w:szCs w:val="20"/>
          <w:lang w:val="en-GB"/>
        </w:rPr>
      </w:pPr>
      <w:r w:rsidRPr="003B6A69">
        <w:rPr>
          <w:rFonts w:eastAsia="Calibri"/>
          <w:szCs w:val="20"/>
          <w:lang w:val="en-GB"/>
        </w:rPr>
        <w:t xml:space="preserve">Continued effort to raise additional </w:t>
      </w:r>
      <w:proofErr w:type="spellStart"/>
      <w:r w:rsidRPr="003B6A69">
        <w:rPr>
          <w:rFonts w:eastAsia="Calibri"/>
          <w:szCs w:val="20"/>
          <w:lang w:val="en-GB"/>
        </w:rPr>
        <w:t>cofinancing</w:t>
      </w:r>
      <w:proofErr w:type="spellEnd"/>
      <w:r w:rsidRPr="003B6A69">
        <w:rPr>
          <w:rFonts w:eastAsia="Calibri"/>
          <w:szCs w:val="20"/>
          <w:lang w:val="en-GB"/>
        </w:rPr>
        <w:t xml:space="preserve"> to support results and activities of the project after the conclusion of the funding from GEF</w:t>
      </w:r>
    </w:p>
    <w:p w14:paraId="731A91EA" w14:textId="268BE3BF" w:rsidR="00656B8D" w:rsidRPr="003B6A69" w:rsidRDefault="00656B8D" w:rsidP="003C6B7B">
      <w:pPr>
        <w:numPr>
          <w:ilvl w:val="0"/>
          <w:numId w:val="50"/>
        </w:numPr>
        <w:spacing w:after="160" w:line="259" w:lineRule="auto"/>
        <w:contextualSpacing/>
        <w:jc w:val="left"/>
        <w:rPr>
          <w:rFonts w:eastAsia="Calibri"/>
          <w:szCs w:val="20"/>
          <w:lang w:val="en-GB"/>
        </w:rPr>
      </w:pPr>
      <w:r w:rsidRPr="003B6A69">
        <w:rPr>
          <w:rFonts w:eastAsia="Calibri"/>
          <w:szCs w:val="20"/>
          <w:lang w:val="en-GB"/>
        </w:rPr>
        <w:lastRenderedPageBreak/>
        <w:t>Discussion and confirmation of rational</w:t>
      </w:r>
      <w:r w:rsidR="00370549" w:rsidRPr="003B6A69">
        <w:rPr>
          <w:rFonts w:eastAsia="Calibri"/>
          <w:szCs w:val="20"/>
          <w:lang w:val="en-GB"/>
        </w:rPr>
        <w:t>e</w:t>
      </w:r>
      <w:r w:rsidRPr="003B6A69">
        <w:rPr>
          <w:rFonts w:eastAsia="Calibri"/>
          <w:szCs w:val="20"/>
          <w:lang w:val="en-GB"/>
        </w:rPr>
        <w:t xml:space="preserve"> for establishment of project ad hoc technical working group compromised by nominees from key beneficiary ministries and agencies</w:t>
      </w:r>
    </w:p>
    <w:p w14:paraId="5D5CBB83" w14:textId="77777777" w:rsidR="00656B8D" w:rsidRPr="003B6A69" w:rsidRDefault="00656B8D" w:rsidP="00656B8D">
      <w:pPr>
        <w:spacing w:after="160" w:line="259" w:lineRule="auto"/>
        <w:jc w:val="left"/>
        <w:rPr>
          <w:rFonts w:eastAsia="Calibri"/>
          <w:szCs w:val="20"/>
          <w:lang w:val="en-GB"/>
        </w:rPr>
      </w:pPr>
      <w:r w:rsidRPr="003B6A69">
        <w:rPr>
          <w:rFonts w:eastAsia="Calibri"/>
          <w:szCs w:val="20"/>
          <w:lang w:val="en-GB"/>
        </w:rPr>
        <w:t xml:space="preserve">Organisation of Project Steering Committee activities </w:t>
      </w:r>
    </w:p>
    <w:p w14:paraId="49927405" w14:textId="77777777" w:rsidR="00656B8D" w:rsidRPr="003B6A69" w:rsidRDefault="00656B8D" w:rsidP="003C6B7B">
      <w:pPr>
        <w:numPr>
          <w:ilvl w:val="0"/>
          <w:numId w:val="51"/>
        </w:numPr>
        <w:spacing w:after="160" w:line="259" w:lineRule="auto"/>
        <w:contextualSpacing/>
        <w:jc w:val="left"/>
        <w:rPr>
          <w:rFonts w:eastAsia="Calibri"/>
          <w:szCs w:val="20"/>
          <w:lang w:val="en-GB"/>
        </w:rPr>
      </w:pPr>
      <w:r w:rsidRPr="003B6A69">
        <w:rPr>
          <w:rFonts w:eastAsia="Calibri"/>
          <w:szCs w:val="20"/>
          <w:lang w:val="en-GB"/>
        </w:rPr>
        <w:t xml:space="preserve">Project Steering Committee are coordinated by </w:t>
      </w:r>
      <w:proofErr w:type="gramStart"/>
      <w:r w:rsidRPr="003B6A69">
        <w:rPr>
          <w:rFonts w:eastAsia="Calibri"/>
          <w:szCs w:val="20"/>
          <w:lang w:val="en-GB"/>
        </w:rPr>
        <w:t>Chair person</w:t>
      </w:r>
      <w:proofErr w:type="gramEnd"/>
      <w:r w:rsidRPr="003B6A69">
        <w:rPr>
          <w:rFonts w:eastAsia="Calibri"/>
          <w:szCs w:val="20"/>
          <w:lang w:val="en-GB"/>
        </w:rPr>
        <w:t xml:space="preserve">, or another Project Steering Committee member appointed by Chairperson </w:t>
      </w:r>
    </w:p>
    <w:p w14:paraId="1279BF15" w14:textId="77777777" w:rsidR="00656B8D" w:rsidRPr="003B6A69" w:rsidRDefault="00656B8D" w:rsidP="003C6B7B">
      <w:pPr>
        <w:numPr>
          <w:ilvl w:val="0"/>
          <w:numId w:val="51"/>
        </w:numPr>
        <w:spacing w:after="160" w:line="259" w:lineRule="auto"/>
        <w:contextualSpacing/>
        <w:jc w:val="left"/>
        <w:rPr>
          <w:rFonts w:eastAsia="Calibri"/>
          <w:szCs w:val="20"/>
          <w:lang w:val="en-GB"/>
        </w:rPr>
      </w:pPr>
      <w:r w:rsidRPr="003B6A69">
        <w:rPr>
          <w:rFonts w:eastAsia="Calibri"/>
          <w:szCs w:val="20"/>
          <w:lang w:val="en-GB"/>
        </w:rPr>
        <w:t>Project Steering Committee sessions are held at least once a year. Additional Project Steering Committee sessions can be conveyed by the chairperson or at written request of at least one of the members</w:t>
      </w:r>
    </w:p>
    <w:p w14:paraId="63A4453E" w14:textId="77777777" w:rsidR="00656B8D" w:rsidRPr="003B6A69" w:rsidRDefault="00656B8D" w:rsidP="003C6B7B">
      <w:pPr>
        <w:numPr>
          <w:ilvl w:val="0"/>
          <w:numId w:val="51"/>
        </w:numPr>
        <w:spacing w:after="160" w:line="259" w:lineRule="auto"/>
        <w:contextualSpacing/>
        <w:jc w:val="left"/>
        <w:rPr>
          <w:rFonts w:eastAsia="Calibri"/>
          <w:szCs w:val="20"/>
          <w:lang w:val="en-GB"/>
        </w:rPr>
      </w:pPr>
      <w:r w:rsidRPr="003B6A69">
        <w:rPr>
          <w:rFonts w:eastAsia="Calibri"/>
          <w:szCs w:val="20"/>
          <w:lang w:val="en-GB"/>
        </w:rPr>
        <w:t>Material for the Project Steering Committee meeting must be distributed minimum 1 week prior to the meeting</w:t>
      </w:r>
    </w:p>
    <w:p w14:paraId="300159B4" w14:textId="759C6AFC" w:rsidR="00656B8D" w:rsidRPr="003B6A69" w:rsidRDefault="00656B8D" w:rsidP="003C6B7B">
      <w:pPr>
        <w:numPr>
          <w:ilvl w:val="0"/>
          <w:numId w:val="51"/>
        </w:numPr>
        <w:spacing w:after="160" w:line="259" w:lineRule="auto"/>
        <w:contextualSpacing/>
        <w:jc w:val="left"/>
        <w:rPr>
          <w:rFonts w:eastAsia="Calibri"/>
          <w:szCs w:val="20"/>
          <w:lang w:val="en-GB"/>
        </w:rPr>
      </w:pPr>
      <w:r w:rsidRPr="003B6A69">
        <w:rPr>
          <w:rFonts w:eastAsia="Calibri"/>
          <w:szCs w:val="20"/>
          <w:lang w:val="en-GB"/>
        </w:rPr>
        <w:t>The Project Steering Committee makes decision by voting. Effort</w:t>
      </w:r>
      <w:r w:rsidR="00370549" w:rsidRPr="003B6A69">
        <w:rPr>
          <w:rFonts w:eastAsia="Calibri"/>
          <w:szCs w:val="20"/>
          <w:lang w:val="en-GB"/>
        </w:rPr>
        <w:t>s</w:t>
      </w:r>
      <w:r w:rsidRPr="003B6A69">
        <w:rPr>
          <w:rFonts w:eastAsia="Calibri"/>
          <w:szCs w:val="20"/>
          <w:lang w:val="en-GB"/>
        </w:rPr>
        <w:t xml:space="preserve"> must be devoted to achiev</w:t>
      </w:r>
      <w:r w:rsidR="00370549" w:rsidRPr="003B6A69">
        <w:rPr>
          <w:rFonts w:eastAsia="Calibri"/>
          <w:szCs w:val="20"/>
          <w:lang w:val="en-GB"/>
        </w:rPr>
        <w:t>ing</w:t>
      </w:r>
      <w:r w:rsidRPr="003B6A69">
        <w:rPr>
          <w:rFonts w:eastAsia="Calibri"/>
          <w:szCs w:val="20"/>
          <w:lang w:val="en-GB"/>
        </w:rPr>
        <w:t xml:space="preserve"> consensus. </w:t>
      </w:r>
    </w:p>
    <w:p w14:paraId="3EDB23BC" w14:textId="3AB192D0" w:rsidR="00656B8D" w:rsidRPr="003B6A69" w:rsidRDefault="00656B8D" w:rsidP="003C6B7B">
      <w:pPr>
        <w:numPr>
          <w:ilvl w:val="0"/>
          <w:numId w:val="51"/>
        </w:numPr>
        <w:spacing w:after="160" w:line="259" w:lineRule="auto"/>
        <w:contextualSpacing/>
        <w:jc w:val="left"/>
        <w:rPr>
          <w:rFonts w:eastAsia="Calibri"/>
          <w:szCs w:val="20"/>
          <w:lang w:val="en-GB"/>
        </w:rPr>
      </w:pPr>
      <w:r w:rsidRPr="003B6A69">
        <w:rPr>
          <w:rFonts w:eastAsia="Calibri"/>
          <w:szCs w:val="20"/>
          <w:lang w:val="en-GB"/>
        </w:rPr>
        <w:t>The Project Steering Committee secretary (</w:t>
      </w:r>
      <w:r w:rsidR="00127DDC" w:rsidRPr="00127DDC">
        <w:rPr>
          <w:highlight w:val="yellow"/>
          <w:lang w:val="en-GB" w:eastAsia="ja-JP"/>
        </w:rPr>
        <w:t xml:space="preserve">project </w:t>
      </w:r>
      <w:r w:rsidR="003E6B19">
        <w:rPr>
          <w:highlight w:val="yellow"/>
          <w:lang w:val="en-GB" w:eastAsia="ja-JP"/>
        </w:rPr>
        <w:t>c</w:t>
      </w:r>
      <w:r w:rsidR="00127DDC" w:rsidRPr="00127DDC">
        <w:rPr>
          <w:highlight w:val="yellow"/>
          <w:lang w:val="en-GB" w:eastAsia="ja-JP"/>
        </w:rPr>
        <w:t xml:space="preserve">oordinator / </w:t>
      </w:r>
      <w:proofErr w:type="gramStart"/>
      <w:r w:rsidR="00127DDC" w:rsidRPr="00127DDC">
        <w:rPr>
          <w:highlight w:val="yellow"/>
          <w:lang w:val="en-GB" w:eastAsia="ja-JP"/>
        </w:rPr>
        <w:t>principle</w:t>
      </w:r>
      <w:proofErr w:type="gramEnd"/>
      <w:r w:rsidR="00127DDC" w:rsidRPr="00127DDC">
        <w:rPr>
          <w:highlight w:val="yellow"/>
          <w:lang w:val="en-GB" w:eastAsia="ja-JP"/>
        </w:rPr>
        <w:t xml:space="preserve"> </w:t>
      </w:r>
      <w:r w:rsidR="00127DDC">
        <w:rPr>
          <w:highlight w:val="yellow"/>
          <w:lang w:val="en-GB" w:eastAsia="ja-JP"/>
        </w:rPr>
        <w:t>m</w:t>
      </w:r>
      <w:r w:rsidR="00127DDC" w:rsidRPr="00127DDC">
        <w:rPr>
          <w:highlight w:val="yellow"/>
          <w:lang w:val="en-GB" w:eastAsia="ja-JP"/>
        </w:rPr>
        <w:t>anager</w:t>
      </w:r>
      <w:r w:rsidRPr="003B6A69">
        <w:rPr>
          <w:rFonts w:eastAsia="Calibri"/>
          <w:szCs w:val="20"/>
          <w:lang w:val="en-GB"/>
        </w:rPr>
        <w:t xml:space="preserve">) is responsible for drafting the agenda, organise the session, sending the information to the members and observers, preparation and distribution of the documents for discussion and preparation of draft minutes. </w:t>
      </w:r>
    </w:p>
    <w:p w14:paraId="77F6B8DD" w14:textId="6C5FC454" w:rsidR="00656B8D" w:rsidRPr="003B6A69" w:rsidRDefault="00656B8D" w:rsidP="003C6B7B">
      <w:pPr>
        <w:numPr>
          <w:ilvl w:val="0"/>
          <w:numId w:val="51"/>
        </w:numPr>
        <w:spacing w:after="160" w:line="259" w:lineRule="auto"/>
        <w:contextualSpacing/>
        <w:jc w:val="left"/>
        <w:rPr>
          <w:rFonts w:eastAsia="Calibri"/>
          <w:szCs w:val="20"/>
          <w:lang w:val="en-GB"/>
        </w:rPr>
      </w:pPr>
      <w:r w:rsidRPr="003B6A69">
        <w:rPr>
          <w:rFonts w:eastAsia="Calibri"/>
          <w:szCs w:val="20"/>
          <w:lang w:val="en-GB"/>
        </w:rPr>
        <w:t>The members are not entitled to receive extra remu</w:t>
      </w:r>
      <w:r w:rsidR="00370549" w:rsidRPr="003B6A69">
        <w:rPr>
          <w:rFonts w:eastAsia="Calibri"/>
          <w:szCs w:val="20"/>
          <w:lang w:val="en-GB"/>
        </w:rPr>
        <w:t>neration or material benefits f</w:t>
      </w:r>
      <w:r w:rsidRPr="003B6A69">
        <w:rPr>
          <w:rFonts w:eastAsia="Calibri"/>
          <w:szCs w:val="20"/>
          <w:lang w:val="en-GB"/>
        </w:rPr>
        <w:t>r</w:t>
      </w:r>
      <w:r w:rsidR="00370549" w:rsidRPr="003B6A69">
        <w:rPr>
          <w:rFonts w:eastAsia="Calibri"/>
          <w:szCs w:val="20"/>
          <w:lang w:val="en-GB"/>
        </w:rPr>
        <w:t>o</w:t>
      </w:r>
      <w:r w:rsidRPr="003B6A69">
        <w:rPr>
          <w:rFonts w:eastAsia="Calibri"/>
          <w:szCs w:val="20"/>
          <w:lang w:val="en-GB"/>
        </w:rPr>
        <w:t xml:space="preserve">m any activities financed under the project. </w:t>
      </w:r>
    </w:p>
    <w:p w14:paraId="4F1EE0C2" w14:textId="77777777" w:rsidR="00656B8D" w:rsidRPr="003B6A69" w:rsidRDefault="00656B8D" w:rsidP="00656B8D">
      <w:pPr>
        <w:tabs>
          <w:tab w:val="left" w:pos="6880"/>
        </w:tabs>
        <w:spacing w:after="120"/>
        <w:rPr>
          <w:rFonts w:eastAsia="Calibri" w:cs="Calibri"/>
          <w:szCs w:val="20"/>
          <w:lang w:val="en-GB"/>
        </w:rPr>
      </w:pPr>
      <w:r w:rsidRPr="003B6A69">
        <w:rPr>
          <w:rFonts w:eastAsia="Calibri" w:cs="Calibri"/>
          <w:szCs w:val="20"/>
          <w:lang w:val="en-GB"/>
        </w:rPr>
        <w:t xml:space="preserve">Termination of PB membership: </w:t>
      </w:r>
    </w:p>
    <w:p w14:paraId="6EA150A9" w14:textId="77777777" w:rsidR="00656B8D" w:rsidRPr="003B6A69" w:rsidRDefault="00656B8D" w:rsidP="00656B8D">
      <w:pPr>
        <w:tabs>
          <w:tab w:val="left" w:pos="6880"/>
        </w:tabs>
        <w:spacing w:after="120"/>
        <w:rPr>
          <w:rFonts w:eastAsia="Calibri" w:cs="Calibri"/>
          <w:szCs w:val="20"/>
          <w:lang w:val="en-GB"/>
        </w:rPr>
      </w:pPr>
      <w:r w:rsidRPr="003B6A69">
        <w:rPr>
          <w:rFonts w:eastAsia="Calibri" w:cs="Calibri"/>
          <w:szCs w:val="20"/>
          <w:lang w:val="en-GB"/>
        </w:rPr>
        <w:t xml:space="preserve">A question on termination of membership of any Project Steering Committee member should be raised to the plenary in the following cases: </w:t>
      </w:r>
    </w:p>
    <w:p w14:paraId="3DA04999" w14:textId="77777777" w:rsidR="00656B8D" w:rsidRPr="003B6A69" w:rsidRDefault="00656B8D" w:rsidP="003C6B7B">
      <w:pPr>
        <w:numPr>
          <w:ilvl w:val="0"/>
          <w:numId w:val="52"/>
        </w:numPr>
        <w:tabs>
          <w:tab w:val="left" w:pos="6880"/>
        </w:tabs>
        <w:spacing w:after="120" w:line="259" w:lineRule="auto"/>
        <w:contextualSpacing/>
        <w:jc w:val="left"/>
        <w:rPr>
          <w:rFonts w:eastAsia="Calibri" w:cs="Calibri"/>
          <w:szCs w:val="20"/>
          <w:lang w:val="en-GB"/>
        </w:rPr>
      </w:pPr>
      <w:r w:rsidRPr="003B6A69">
        <w:rPr>
          <w:rFonts w:eastAsia="Calibri" w:cs="Calibri"/>
          <w:szCs w:val="20"/>
          <w:lang w:val="en-GB"/>
        </w:rPr>
        <w:t xml:space="preserve">if the member could no longer perform his/her duties, as set forth in the present </w:t>
      </w:r>
      <w:proofErr w:type="spellStart"/>
      <w:r w:rsidRPr="003B6A69">
        <w:rPr>
          <w:rFonts w:eastAsia="Calibri" w:cs="Calibri"/>
          <w:szCs w:val="20"/>
          <w:lang w:val="en-GB"/>
        </w:rPr>
        <w:t>ToR</w:t>
      </w:r>
      <w:proofErr w:type="spellEnd"/>
      <w:r w:rsidRPr="003B6A69">
        <w:rPr>
          <w:rFonts w:eastAsia="Calibri" w:cs="Calibri"/>
          <w:szCs w:val="20"/>
          <w:lang w:val="en-GB"/>
        </w:rPr>
        <w:t>,</w:t>
      </w:r>
    </w:p>
    <w:p w14:paraId="49344321" w14:textId="77777777" w:rsidR="00656B8D" w:rsidRPr="003B6A69" w:rsidRDefault="00656B8D" w:rsidP="003C6B7B">
      <w:pPr>
        <w:numPr>
          <w:ilvl w:val="0"/>
          <w:numId w:val="52"/>
        </w:numPr>
        <w:tabs>
          <w:tab w:val="left" w:pos="6880"/>
        </w:tabs>
        <w:spacing w:after="120" w:line="259" w:lineRule="auto"/>
        <w:contextualSpacing/>
        <w:jc w:val="left"/>
        <w:rPr>
          <w:rFonts w:eastAsia="Calibri" w:cs="Calibri"/>
          <w:szCs w:val="20"/>
          <w:lang w:val="en-GB"/>
        </w:rPr>
      </w:pPr>
      <w:r w:rsidRPr="003B6A69">
        <w:rPr>
          <w:rFonts w:eastAsia="Calibri" w:cs="Calibri"/>
          <w:szCs w:val="20"/>
          <w:lang w:val="en-GB"/>
        </w:rPr>
        <w:t xml:space="preserve">if the member has been absent in more than two consecutive PB sessions, </w:t>
      </w:r>
    </w:p>
    <w:p w14:paraId="75002CF1" w14:textId="77777777" w:rsidR="00656B8D" w:rsidRPr="003B6A69" w:rsidRDefault="00656B8D" w:rsidP="003C6B7B">
      <w:pPr>
        <w:numPr>
          <w:ilvl w:val="0"/>
          <w:numId w:val="52"/>
        </w:numPr>
        <w:tabs>
          <w:tab w:val="left" w:pos="6880"/>
        </w:tabs>
        <w:spacing w:after="120" w:line="259" w:lineRule="auto"/>
        <w:contextualSpacing/>
        <w:jc w:val="left"/>
        <w:rPr>
          <w:rFonts w:eastAsia="Calibri" w:cs="Calibri"/>
          <w:szCs w:val="20"/>
          <w:lang w:val="en-GB"/>
        </w:rPr>
      </w:pPr>
      <w:r w:rsidRPr="003B6A69">
        <w:rPr>
          <w:rFonts w:eastAsia="Calibri" w:cs="Calibri"/>
          <w:szCs w:val="20"/>
          <w:lang w:val="en-GB"/>
        </w:rPr>
        <w:t xml:space="preserve">if the member has concluded his/her relationship with the organization he/she represented at the PB. </w:t>
      </w:r>
    </w:p>
    <w:p w14:paraId="22C8FF3B" w14:textId="77777777" w:rsidR="00656B8D" w:rsidRPr="003B6A69" w:rsidRDefault="00656B8D" w:rsidP="00656B8D">
      <w:pPr>
        <w:tabs>
          <w:tab w:val="left" w:pos="6880"/>
        </w:tabs>
        <w:spacing w:after="120"/>
        <w:rPr>
          <w:rFonts w:eastAsia="Calibri" w:cs="Calibri"/>
          <w:szCs w:val="20"/>
          <w:lang w:val="en-GB"/>
        </w:rPr>
      </w:pPr>
      <w:r w:rsidRPr="003B6A69">
        <w:rPr>
          <w:rFonts w:eastAsia="Calibri" w:cs="Calibri"/>
          <w:szCs w:val="20"/>
          <w:lang w:val="en-GB"/>
        </w:rPr>
        <w:t xml:space="preserve">For cases “a” and “b” above the PB will decide by consensus whether to terminate the membership of the member in question and if so decided, the PB will </w:t>
      </w:r>
      <w:bookmarkStart w:id="80" w:name="_Hlk67156591"/>
      <w:r w:rsidRPr="003B6A69">
        <w:rPr>
          <w:rFonts w:eastAsia="Calibri" w:cs="Calibri"/>
          <w:szCs w:val="20"/>
          <w:lang w:val="en-GB"/>
        </w:rPr>
        <w:t xml:space="preserve">request to the highest authority of the organization of the terminated member to appoint a new member representing the organization. </w:t>
      </w:r>
      <w:bookmarkEnd w:id="80"/>
      <w:r w:rsidRPr="003B6A69">
        <w:rPr>
          <w:rFonts w:eastAsia="Calibri" w:cs="Calibri"/>
          <w:szCs w:val="20"/>
          <w:lang w:val="en-GB"/>
        </w:rPr>
        <w:t>For the case “c” above the member in question will be considered terminated form the PB at the time of the conclusion of his/her relationship with the organization he/she represented at the PB. The PB will request to the highest authority of the organization of the terminated member to appoint a new member representing the organization.</w:t>
      </w:r>
    </w:p>
    <w:p w14:paraId="13F440A5" w14:textId="77777777" w:rsidR="00656B8D" w:rsidRPr="003B6A69" w:rsidRDefault="00656B8D" w:rsidP="00656B8D">
      <w:pPr>
        <w:spacing w:after="160" w:line="259" w:lineRule="auto"/>
        <w:jc w:val="left"/>
        <w:rPr>
          <w:rFonts w:eastAsia="Calibri"/>
          <w:sz w:val="22"/>
          <w:szCs w:val="22"/>
          <w:lang w:val="en-GB"/>
        </w:rPr>
      </w:pPr>
    </w:p>
    <w:p w14:paraId="5A4BE2CB" w14:textId="134346E7" w:rsidR="007A2771" w:rsidRPr="003B6A69" w:rsidRDefault="007A2771" w:rsidP="00D1090B">
      <w:pPr>
        <w:rPr>
          <w:b/>
          <w:szCs w:val="22"/>
        </w:rPr>
      </w:pPr>
      <w:r w:rsidRPr="003B6A69">
        <w:rPr>
          <w:b/>
          <w:szCs w:val="22"/>
        </w:rPr>
        <w:t>Proje</w:t>
      </w:r>
      <w:r w:rsidR="002E362C" w:rsidRPr="003B6A69">
        <w:rPr>
          <w:b/>
          <w:szCs w:val="22"/>
        </w:rPr>
        <w:t xml:space="preserve">ct Partnerships Committee </w:t>
      </w:r>
    </w:p>
    <w:p w14:paraId="6B733BE5" w14:textId="3025EBD5" w:rsidR="007E29B1" w:rsidRPr="003B6A69" w:rsidRDefault="007A2771" w:rsidP="007A2771">
      <w:r w:rsidRPr="003B6A69">
        <w:t>The members of the Partnership Committee provide support, perform an operational and advisory role, and assist in decision-making to the project team and the project Steering Committee. The Partnership Committee reviews the project plans and proposes possible changes focusing on the needs of project beneficiaries as the Committee is the body that has the authority to present the intervention from the perspective of the project beneficiaries to the project Steering Committee and the project team.</w:t>
      </w:r>
      <w:r w:rsidR="007E29B1" w:rsidRPr="003B6A69">
        <w:t xml:space="preserve"> The Project Partnership Committee will work as an advisory panel supporting the work of the Project Steering Committee, to ensure the realization of project results from the </w:t>
      </w:r>
      <w:proofErr w:type="spellStart"/>
      <w:r w:rsidR="007E29B1" w:rsidRPr="003B6A69">
        <w:t>perspecytivfe</w:t>
      </w:r>
      <w:proofErr w:type="spellEnd"/>
      <w:r w:rsidR="007E29B1" w:rsidRPr="003B6A69">
        <w:t xml:space="preserve"> of project beneficiaries. </w:t>
      </w:r>
      <w:r w:rsidR="007E29B1" w:rsidRPr="003B6A69">
        <w:rPr>
          <w:rFonts w:eastAsia="Times New Roman" w:cstheme="minorHAnsi"/>
          <w:szCs w:val="20"/>
        </w:rPr>
        <w:t>This advisory panel, or Partnership Committee, will be formed of project beneficiaries</w:t>
      </w:r>
      <w:r w:rsidR="007E29B1" w:rsidRPr="003B6A69">
        <w:rPr>
          <w:rFonts w:cs="Arial"/>
          <w:noProof/>
          <w:szCs w:val="20"/>
          <w:lang w:eastAsia="zh-CN"/>
        </w:rPr>
        <w:t>, directly or indirectly affected, either positively or negatively, by the project decisions or actions, due to available expertise and possible benefits to the implementation. The Partnership Committee will serve as a platform for coordination between complementary projects and initiatives, current and future, information exchange, coordination and co-financing monitoring.</w:t>
      </w:r>
      <w:r w:rsidR="007E29B1" w:rsidRPr="003B6A69">
        <w:rPr>
          <w:szCs w:val="20"/>
        </w:rPr>
        <w:t xml:space="preserve"> The Partnership Committee will include representatives of the key project beneficiaries, as follows: the Directorates for Environment and for Special Planning within the Ministry of Ecology, Spatial Planning and Urbanism; Directorates for Payments, for Forestry and for Agriculture within the Ministry of Agriculture, Forestry and Water Management; Forestry Administration; Tourism Directorate within the Ministry of Economic Development; Nature and Environment Protection Agency; Public Enterprise National Parks; Public enterprise </w:t>
      </w:r>
      <w:proofErr w:type="spellStart"/>
      <w:r w:rsidR="007E29B1" w:rsidRPr="003B6A69">
        <w:rPr>
          <w:szCs w:val="20"/>
        </w:rPr>
        <w:t>Morsko</w:t>
      </w:r>
      <w:proofErr w:type="spellEnd"/>
      <w:r w:rsidR="007E29B1" w:rsidRPr="003B6A69">
        <w:rPr>
          <w:szCs w:val="20"/>
        </w:rPr>
        <w:t xml:space="preserve"> Dobro; Managers of Protected Areas; Investment and Development Fund of Montenegro; Eco Fund; , Local tourism </w:t>
      </w:r>
      <w:proofErr w:type="spellStart"/>
      <w:r w:rsidR="007E29B1" w:rsidRPr="003B6A69">
        <w:rPr>
          <w:szCs w:val="20"/>
        </w:rPr>
        <w:t>organisation</w:t>
      </w:r>
      <w:proofErr w:type="spellEnd"/>
      <w:r w:rsidR="007E29B1" w:rsidRPr="003B6A69">
        <w:rPr>
          <w:szCs w:val="20"/>
        </w:rPr>
        <w:t xml:space="preserve">, University of Montenegro, Natural History Museum, UN agencies and GIZ and other international </w:t>
      </w:r>
      <w:proofErr w:type="spellStart"/>
      <w:r w:rsidR="007E29B1" w:rsidRPr="003B6A69">
        <w:rPr>
          <w:szCs w:val="20"/>
        </w:rPr>
        <w:t>organisations</w:t>
      </w:r>
      <w:proofErr w:type="spellEnd"/>
      <w:r w:rsidR="007E29B1" w:rsidRPr="003B6A69">
        <w:rPr>
          <w:szCs w:val="20"/>
        </w:rPr>
        <w:t xml:space="preserve"> in Montenegro implementing projects in the area of biodiversity protection, agriculture, tourism and forestry, Office for Cooperation with NGOs, Community of Municipalities of Montenegro, representative of civil society (elected on the basis of a public call), local sustainable tourism businesses, local farmers applying “green” technologies and principles and eligible for green subsidies stimulated by the project, private forest owners supported by the project-driven incentives etc.</w:t>
      </w:r>
    </w:p>
    <w:p w14:paraId="16617D13" w14:textId="77777777" w:rsidR="007A2771" w:rsidRPr="003B6A69" w:rsidRDefault="007A2771" w:rsidP="007A2771">
      <w:r w:rsidRPr="003B6A69">
        <w:t>The Partnership Committee has the following responsibilities:</w:t>
      </w:r>
    </w:p>
    <w:p w14:paraId="35080D22" w14:textId="77777777" w:rsidR="007A2771" w:rsidRPr="003B6A69" w:rsidRDefault="007A2771" w:rsidP="007A2771">
      <w:r w:rsidRPr="003B6A69">
        <w:t>•</w:t>
      </w:r>
      <w:r w:rsidRPr="003B6A69">
        <w:tab/>
        <w:t>Provides advisory support to the project Steering Committee, and gives an opinion on all activities implemented through the project and its impacts,</w:t>
      </w:r>
    </w:p>
    <w:p w14:paraId="10EC92EB" w14:textId="77777777" w:rsidR="007A2771" w:rsidRPr="003B6A69" w:rsidRDefault="007A2771" w:rsidP="007A2771">
      <w:r w:rsidRPr="003B6A69">
        <w:lastRenderedPageBreak/>
        <w:t>•</w:t>
      </w:r>
      <w:r w:rsidRPr="003B6A69">
        <w:tab/>
        <w:t>Provides specific recommendations to the project team regarding project activities, defining criteria and the process of selection of beneficiaries, time frame for project implementation, establishing quality cooperation between project and NGOs, informing potential beneficiaries about the project,</w:t>
      </w:r>
    </w:p>
    <w:p w14:paraId="5ECCF25F" w14:textId="77777777" w:rsidR="007A2771" w:rsidRPr="003B6A69" w:rsidRDefault="007A2771" w:rsidP="007A2771">
      <w:r w:rsidRPr="003B6A69">
        <w:t>•</w:t>
      </w:r>
      <w:r w:rsidRPr="003B6A69">
        <w:tab/>
        <w:t>Participates in preparations and makes recommendations for wider application in the future and replication of good practices of project,</w:t>
      </w:r>
    </w:p>
    <w:p w14:paraId="777B1EC5" w14:textId="77777777" w:rsidR="007A2771" w:rsidRPr="003B6A69" w:rsidRDefault="007A2771" w:rsidP="007A2771">
      <w:r w:rsidRPr="003B6A69">
        <w:t>•</w:t>
      </w:r>
      <w:r w:rsidRPr="003B6A69">
        <w:tab/>
        <w:t>support the procedures for evaluation and selection of grants project proposals during competitive and transparent Public Calls for project proposals,</w:t>
      </w:r>
    </w:p>
    <w:p w14:paraId="495859DC" w14:textId="77777777" w:rsidR="007A2771" w:rsidRPr="003B6A69" w:rsidRDefault="007A2771" w:rsidP="007A2771">
      <w:r w:rsidRPr="003B6A69">
        <w:t>•</w:t>
      </w:r>
      <w:r w:rsidRPr="003B6A69">
        <w:tab/>
        <w:t>Provides the necessary information to the project Steering Committee and the project team on developments in the field of civil society, academia, local self-government, private sector that could affect the implementation of the project,</w:t>
      </w:r>
    </w:p>
    <w:p w14:paraId="5D7C3525" w14:textId="77777777" w:rsidR="007A2771" w:rsidRPr="003B6A69" w:rsidRDefault="007A2771" w:rsidP="007A2771">
      <w:r w:rsidRPr="003B6A69">
        <w:t>•</w:t>
      </w:r>
      <w:r w:rsidRPr="003B6A69">
        <w:tab/>
        <w:t>Other duties of similar scope and weight as needed at any stage of project implementation.</w:t>
      </w:r>
    </w:p>
    <w:p w14:paraId="010FBFAF" w14:textId="354178EC" w:rsidR="007A2771" w:rsidRPr="003B6A69" w:rsidRDefault="007A2771" w:rsidP="007A2771">
      <w:r w:rsidRPr="003B6A69">
        <w:t xml:space="preserve">Members of the Partnership Committee, and their deputies, should be nominated by an official letter sent to project team by the following organizations / institutions in Montenegro: </w:t>
      </w:r>
      <w:r w:rsidR="00656B8D" w:rsidRPr="003B6A69">
        <w:rPr>
          <w:rFonts w:eastAsia="Calibri"/>
          <w:szCs w:val="20"/>
          <w:lang w:val="en-GB"/>
        </w:rPr>
        <w:t xml:space="preserve">Ministry of Ecology, Spatial Planning and Urbanism, Ministry of Agriculture, Forestry and Water Management, Forestry Administration, Ministry of Economic Development, Nature and Environment Protection Agency, Public Enterprise National Parks, Public enterprise </w:t>
      </w:r>
      <w:proofErr w:type="spellStart"/>
      <w:r w:rsidR="00656B8D" w:rsidRPr="003B6A69">
        <w:rPr>
          <w:rFonts w:eastAsia="Calibri"/>
          <w:szCs w:val="20"/>
          <w:lang w:val="en-GB"/>
        </w:rPr>
        <w:t>Morsko</w:t>
      </w:r>
      <w:proofErr w:type="spellEnd"/>
      <w:r w:rsidR="00656B8D" w:rsidRPr="003B6A69">
        <w:rPr>
          <w:rFonts w:eastAsia="Calibri"/>
          <w:szCs w:val="20"/>
          <w:lang w:val="en-GB"/>
        </w:rPr>
        <w:t xml:space="preserve"> Dobro, Managers of Protected Areas, Investment and Development Fund of Montenegro, Eco Fund, Directorate for IPARD Payments, Local touristic organisation, University of Montenegro, Natural History Museum, UN agencies and GIZ and other international organisations in Montenegro implementing projects in the area of biodiversity protection, agriculture, tourism and forestry, Office for Cooperation with NGOs, Community of Municipalities of Montenegro, representative of civil society (elected on the basis of a public call), local sustainable tourism businesses, local farmers applying “green” technologies and principles and eligible for green subsidies stimulated by the project, private forest owners supported by the project-driven incentives etc</w:t>
      </w:r>
      <w:r w:rsidRPr="003B6A69">
        <w:t>.</w:t>
      </w:r>
    </w:p>
    <w:p w14:paraId="54395DFC" w14:textId="5246E0F7" w:rsidR="007A2771" w:rsidRPr="003B6A69" w:rsidRDefault="007A2771" w:rsidP="007A2771">
      <w:r w:rsidRPr="003B6A69">
        <w:t xml:space="preserve">The Partnership Committee will </w:t>
      </w:r>
      <w:proofErr w:type="spellStart"/>
      <w:r w:rsidRPr="003B6A69">
        <w:t>endeavour</w:t>
      </w:r>
      <w:proofErr w:type="spellEnd"/>
      <w:r w:rsidRPr="003B6A69">
        <w:t xml:space="preserve"> to make decisions by consensus whenever possible. In the event that consensus cannot be reached, decisions shall be taken by a simple majority of the members of the Partnership </w:t>
      </w:r>
      <w:proofErr w:type="gramStart"/>
      <w:r w:rsidRPr="003B6A69">
        <w:t>Committee</w:t>
      </w:r>
      <w:proofErr w:type="gramEnd"/>
      <w:r w:rsidRPr="003B6A69">
        <w:t xml:space="preserve"> or their alternates present at the meeting. </w:t>
      </w:r>
    </w:p>
    <w:p w14:paraId="37D77C58" w14:textId="77777777" w:rsidR="007A2771" w:rsidRPr="003B6A69" w:rsidRDefault="007A2771" w:rsidP="007A2771">
      <w:r w:rsidRPr="003B6A69">
        <w:t>Meetings of the Partnership Committee are chaired by a representative of the Ministry of Ecology, Spatial Planning and Urbanism, and co-chaired by a representative of UNDP Montenegro.</w:t>
      </w:r>
    </w:p>
    <w:p w14:paraId="60C9FB35" w14:textId="77777777" w:rsidR="007A2771" w:rsidRPr="003B6A69" w:rsidRDefault="007A2771" w:rsidP="007A2771">
      <w:r w:rsidRPr="003B6A69">
        <w:t>The role of the Technical Secretary of the Partnership Board is performed by project team. The Technical Secretary is responsible for preparing and / or sending the proposed agenda and working materials, as well as for recording and sending the minutes. The proposed agenda as well as working materials will be submitted to the members of the Partnership Committee at least seven calendar days before the meeting of the Partnership Committee. The minutes of the sessions must be sent to the members no later than ten days after the session.</w:t>
      </w:r>
    </w:p>
    <w:p w14:paraId="22AA2A43" w14:textId="4F357E9B" w:rsidR="007A2771" w:rsidRPr="003B6A69" w:rsidRDefault="007E29B1" w:rsidP="00D1090B">
      <w:pPr>
        <w:rPr>
          <w:b/>
          <w:szCs w:val="22"/>
        </w:rPr>
      </w:pPr>
      <w:r w:rsidRPr="003B6A69">
        <w:t xml:space="preserve">The </w:t>
      </w:r>
      <w:r w:rsidR="007A2771" w:rsidRPr="003B6A69">
        <w:t>Partnership Committ</w:t>
      </w:r>
      <w:r w:rsidRPr="003B6A69">
        <w:t>e</w:t>
      </w:r>
      <w:r w:rsidR="007A2771" w:rsidRPr="003B6A69">
        <w:t>e will meet according to project dynamics, at least twice a year. The schedule will be determined according to the needs during the project implementation. If neces</w:t>
      </w:r>
      <w:r w:rsidRPr="003B6A69">
        <w:t>sary, the Partnership Committee</w:t>
      </w:r>
      <w:r w:rsidR="007A2771" w:rsidRPr="003B6A69">
        <w:t xml:space="preserve"> may organize meetings with the use of information technology. </w:t>
      </w:r>
    </w:p>
    <w:p w14:paraId="7523FFD0" w14:textId="77777777" w:rsidR="007A2771" w:rsidRPr="003B6A69" w:rsidRDefault="007A2771" w:rsidP="00D1090B">
      <w:pPr>
        <w:rPr>
          <w:b/>
          <w:szCs w:val="22"/>
        </w:rPr>
      </w:pPr>
    </w:p>
    <w:p w14:paraId="517A9A99" w14:textId="3E921D92" w:rsidR="00D1090B" w:rsidRPr="003B6A69" w:rsidRDefault="00656B8D" w:rsidP="00D1090B">
      <w:pPr>
        <w:spacing w:after="0"/>
        <w:jc w:val="left"/>
        <w:rPr>
          <w:rFonts w:asciiTheme="minorHAnsi" w:hAnsiTheme="minorHAnsi" w:cstheme="minorHAnsi"/>
          <w:b/>
          <w:bCs/>
          <w:lang w:val="en-GB"/>
        </w:rPr>
      </w:pPr>
      <w:r w:rsidRPr="003B6A69">
        <w:rPr>
          <w:rFonts w:asciiTheme="minorHAnsi" w:hAnsiTheme="minorHAnsi" w:cstheme="minorHAnsi"/>
          <w:b/>
          <w:bCs/>
          <w:lang w:val="en-GB"/>
        </w:rPr>
        <w:t>Indicative Responsibilities of Project Staff and Consultants</w:t>
      </w:r>
    </w:p>
    <w:p w14:paraId="5ADBD548" w14:textId="77777777" w:rsidR="00656B8D" w:rsidRPr="003B6A69" w:rsidRDefault="00656B8D" w:rsidP="00D1090B">
      <w:pPr>
        <w:spacing w:after="0"/>
        <w:jc w:val="left"/>
        <w:rPr>
          <w:rFonts w:asciiTheme="minorHAnsi" w:hAnsiTheme="minorHAnsi" w:cstheme="minorHAnsi"/>
          <w:b/>
          <w:bCs/>
          <w:lang w:val="en-GB"/>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3"/>
        <w:gridCol w:w="8647"/>
      </w:tblGrid>
      <w:tr w:rsidR="00D1090B" w:rsidRPr="003B6A69" w14:paraId="72F583AA" w14:textId="77777777" w:rsidTr="00D1090B">
        <w:trPr>
          <w:tblHeader/>
        </w:trPr>
        <w:tc>
          <w:tcPr>
            <w:tcW w:w="141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789C88E" w14:textId="77777777" w:rsidR="00D1090B" w:rsidRPr="003B6A69" w:rsidRDefault="00D1090B" w:rsidP="00D1090B">
            <w:pPr>
              <w:pStyle w:val="CommentSubject"/>
              <w:rPr>
                <w:bCs w:val="0"/>
                <w:lang w:val="en-GB" w:eastAsia="ja-JP"/>
              </w:rPr>
            </w:pPr>
            <w:r w:rsidRPr="003B6A69">
              <w:rPr>
                <w:bCs w:val="0"/>
                <w:lang w:val="en-GB" w:eastAsia="ja-JP"/>
              </w:rPr>
              <w:t>Staff/Consultant</w:t>
            </w:r>
          </w:p>
          <w:p w14:paraId="2BDFDBC9" w14:textId="77777777" w:rsidR="00D1090B" w:rsidRPr="003B6A69" w:rsidRDefault="00D1090B" w:rsidP="00D1090B">
            <w:pPr>
              <w:pStyle w:val="CommentText"/>
              <w:rPr>
                <w:lang w:val="en-GB" w:eastAsia="ja-JP"/>
              </w:rPr>
            </w:pPr>
            <w:r w:rsidRPr="003B6A69">
              <w:rPr>
                <w:b/>
                <w:lang w:val="en-GB" w:eastAsia="ja-JP"/>
              </w:rPr>
              <w:t>Time Input</w:t>
            </w:r>
          </w:p>
        </w:tc>
        <w:tc>
          <w:tcPr>
            <w:tcW w:w="8647"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5FF6C96" w14:textId="77777777" w:rsidR="00D1090B" w:rsidRPr="003B6A69" w:rsidRDefault="00D1090B" w:rsidP="00D1090B">
            <w:pPr>
              <w:pStyle w:val="CommentSubject"/>
              <w:rPr>
                <w:bCs w:val="0"/>
                <w:lang w:val="en-GB" w:eastAsia="ja-JP"/>
              </w:rPr>
            </w:pPr>
            <w:r w:rsidRPr="003B6A69">
              <w:rPr>
                <w:bCs w:val="0"/>
                <w:lang w:val="en-GB" w:eastAsia="ja-JP"/>
              </w:rPr>
              <w:t>Tasks, Inputs and Outputs</w:t>
            </w:r>
          </w:p>
        </w:tc>
      </w:tr>
      <w:tr w:rsidR="004B5665" w:rsidRPr="003B6A69" w14:paraId="4BDEB3DB" w14:textId="77777777" w:rsidTr="00127DDC">
        <w:tc>
          <w:tcPr>
            <w:tcW w:w="1006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4F59194" w14:textId="6CA4C9E5" w:rsidR="004B5665" w:rsidRPr="003B6A69" w:rsidRDefault="004B5665" w:rsidP="00127DDC">
            <w:pPr>
              <w:rPr>
                <w:b/>
                <w:szCs w:val="20"/>
                <w:lang w:val="en-GB" w:eastAsia="ja-JP"/>
              </w:rPr>
            </w:pPr>
            <w:r w:rsidRPr="003B6A69">
              <w:rPr>
                <w:b/>
                <w:szCs w:val="20"/>
                <w:lang w:val="en-GB" w:eastAsia="ja-JP"/>
              </w:rPr>
              <w:t>National contracting</w:t>
            </w:r>
          </w:p>
        </w:tc>
      </w:tr>
      <w:tr w:rsidR="004B5665" w:rsidRPr="003B6A69" w14:paraId="2E4BBDD1" w14:textId="77777777" w:rsidTr="00127DDC">
        <w:tc>
          <w:tcPr>
            <w:tcW w:w="1413" w:type="dxa"/>
            <w:tcBorders>
              <w:top w:val="single" w:sz="4" w:space="0" w:color="auto"/>
              <w:left w:val="single" w:sz="4" w:space="0" w:color="auto"/>
              <w:bottom w:val="single" w:sz="4" w:space="0" w:color="auto"/>
              <w:right w:val="single" w:sz="4" w:space="0" w:color="auto"/>
            </w:tcBorders>
          </w:tcPr>
          <w:p w14:paraId="39A6B146" w14:textId="5B69F536" w:rsidR="004B5665" w:rsidRPr="003B6A69" w:rsidRDefault="004B5665" w:rsidP="00127DDC">
            <w:pPr>
              <w:pStyle w:val="CharCharChar1"/>
              <w:spacing w:after="120" w:line="240" w:lineRule="auto"/>
              <w:rPr>
                <w:rFonts w:cs="Times New Roman"/>
                <w:lang w:val="en-GB" w:eastAsia="ja-JP"/>
              </w:rPr>
            </w:pPr>
            <w:r w:rsidRPr="00EB189A">
              <w:rPr>
                <w:rFonts w:cs="Times New Roman"/>
                <w:highlight w:val="green"/>
                <w:lang w:val="en-GB" w:eastAsia="ja-JP"/>
              </w:rPr>
              <w:t>Project Coordinator / Princip</w:t>
            </w:r>
            <w:r w:rsidR="00EB189A">
              <w:rPr>
                <w:rFonts w:cs="Times New Roman"/>
                <w:highlight w:val="green"/>
                <w:lang w:val="en-GB" w:eastAsia="ja-JP"/>
              </w:rPr>
              <w:t>al</w:t>
            </w:r>
            <w:r w:rsidRPr="00EB189A">
              <w:rPr>
                <w:rFonts w:cs="Times New Roman"/>
                <w:highlight w:val="green"/>
                <w:lang w:val="en-GB" w:eastAsia="ja-JP"/>
              </w:rPr>
              <w:t xml:space="preserve"> Manager</w:t>
            </w:r>
          </w:p>
          <w:p w14:paraId="4AEBA6AB" w14:textId="77777777" w:rsidR="004B5665" w:rsidRPr="003B6A69" w:rsidRDefault="004B5665" w:rsidP="00127DDC">
            <w:pPr>
              <w:pStyle w:val="CharCharChar1"/>
              <w:spacing w:after="120" w:line="240" w:lineRule="auto"/>
              <w:rPr>
                <w:rFonts w:cs="Times New Roman"/>
                <w:lang w:val="en-GB" w:eastAsia="ja-JP"/>
              </w:rPr>
            </w:pPr>
          </w:p>
        </w:tc>
        <w:tc>
          <w:tcPr>
            <w:tcW w:w="8647" w:type="dxa"/>
            <w:tcBorders>
              <w:top w:val="single" w:sz="4" w:space="0" w:color="auto"/>
              <w:left w:val="single" w:sz="4" w:space="0" w:color="auto"/>
              <w:bottom w:val="single" w:sz="4" w:space="0" w:color="auto"/>
              <w:right w:val="single" w:sz="4" w:space="0" w:color="auto"/>
            </w:tcBorders>
            <w:hideMark/>
          </w:tcPr>
          <w:p w14:paraId="4D65B899" w14:textId="1F0AD439" w:rsidR="004B5665" w:rsidRPr="003B6A69" w:rsidRDefault="004B5665" w:rsidP="00127DDC">
            <w:pPr>
              <w:jc w:val="left"/>
              <w:rPr>
                <w:rFonts w:cs="Arial"/>
                <w:iCs/>
                <w:noProof/>
                <w:szCs w:val="20"/>
                <w:lang w:val="en-GB" w:eastAsia="zh-CN"/>
              </w:rPr>
            </w:pPr>
            <w:r w:rsidRPr="003E6B19">
              <w:rPr>
                <w:highlight w:val="yellow"/>
                <w:lang w:val="en-GB" w:eastAsia="ja-JP"/>
              </w:rPr>
              <w:t>Project C</w:t>
            </w:r>
            <w:r w:rsidR="003E6B19" w:rsidRPr="003E6B19">
              <w:rPr>
                <w:highlight w:val="yellow"/>
                <w:lang w:val="en-GB" w:eastAsia="ja-JP"/>
              </w:rPr>
              <w:t>o</w:t>
            </w:r>
            <w:r w:rsidRPr="003E6B19">
              <w:rPr>
                <w:highlight w:val="yellow"/>
                <w:lang w:val="en-GB" w:eastAsia="ja-JP"/>
              </w:rPr>
              <w:t xml:space="preserve">ordinator / </w:t>
            </w:r>
            <w:proofErr w:type="gramStart"/>
            <w:r w:rsidRPr="003E6B19">
              <w:rPr>
                <w:highlight w:val="yellow"/>
                <w:lang w:val="en-GB" w:eastAsia="ja-JP"/>
              </w:rPr>
              <w:t>Principle</w:t>
            </w:r>
            <w:proofErr w:type="gramEnd"/>
            <w:r w:rsidRPr="003E6B19">
              <w:rPr>
                <w:highlight w:val="yellow"/>
                <w:lang w:val="en-GB" w:eastAsia="ja-JP"/>
              </w:rPr>
              <w:t xml:space="preserve"> Manager</w:t>
            </w:r>
            <w:r w:rsidRPr="003B6A69">
              <w:rPr>
                <w:szCs w:val="20"/>
              </w:rPr>
              <w:t xml:space="preserve"> (PM) will be a </w:t>
            </w:r>
            <w:r>
              <w:rPr>
                <w:szCs w:val="20"/>
              </w:rPr>
              <w:t xml:space="preserve">national specialist recruited and funded by the project Implementing Partner. He/she will be responsible for the overall management of project inputs and processes and will ensure administrative supervision for the project team. The primarily responsibility of the PM will be to support the Implementing Partner in project execution and ensure project coordination and outreach to project partners. </w:t>
            </w:r>
          </w:p>
          <w:p w14:paraId="5267B48D" w14:textId="502B171C" w:rsidR="004B5665" w:rsidRPr="003B6A69" w:rsidRDefault="004B5665" w:rsidP="00127DDC">
            <w:pPr>
              <w:pStyle w:val="Header"/>
              <w:tabs>
                <w:tab w:val="clear" w:pos="4153"/>
                <w:tab w:val="clear" w:pos="8306"/>
              </w:tabs>
              <w:spacing w:after="0"/>
              <w:jc w:val="left"/>
              <w:rPr>
                <w:iCs/>
                <w:szCs w:val="20"/>
              </w:rPr>
            </w:pPr>
            <w:r w:rsidRPr="003B6A69">
              <w:rPr>
                <w:iCs/>
                <w:szCs w:val="20"/>
                <w:lang w:val="en-GB"/>
              </w:rPr>
              <w:t xml:space="preserve">The PM is to ensure that the project impact contributes to the overall achievement of the main objective set for the project, and the project delivers the global environmental benefits as pledged in the project document.  The PM </w:t>
            </w:r>
            <w:r>
              <w:rPr>
                <w:iCs/>
                <w:szCs w:val="20"/>
                <w:lang w:val="en-GB"/>
              </w:rPr>
              <w:t xml:space="preserve">will be responsible for project reporting to the Implementing Partner and the Steering Committee, will coordinate the work of the Steering Committee and the Partnership Committee, will submit project reports and workplans for the consideration of the project management bodies and will ensure appraisal of key project deliverables by the Implementing Partner and other key </w:t>
            </w:r>
            <w:r>
              <w:rPr>
                <w:iCs/>
                <w:szCs w:val="20"/>
                <w:lang w:val="en-GB"/>
              </w:rPr>
              <w:lastRenderedPageBreak/>
              <w:t xml:space="preserve">decision-makers. </w:t>
            </w:r>
            <w:r w:rsidRPr="003B6A69">
              <w:rPr>
                <w:iCs/>
                <w:szCs w:val="20"/>
                <w:lang w:val="en-GB"/>
              </w:rPr>
              <w:t>The</w:t>
            </w:r>
            <w:r w:rsidRPr="003B6A69">
              <w:rPr>
                <w:iCs/>
                <w:szCs w:val="20"/>
              </w:rPr>
              <w:t xml:space="preserve"> </w:t>
            </w:r>
            <w:r w:rsidRPr="003B6A69">
              <w:rPr>
                <w:iCs/>
                <w:szCs w:val="20"/>
                <w:lang w:val="en-GB"/>
              </w:rPr>
              <w:t>PM</w:t>
            </w:r>
            <w:r w:rsidRPr="003B6A69">
              <w:rPr>
                <w:iCs/>
                <w:szCs w:val="20"/>
              </w:rPr>
              <w:t xml:space="preserve"> </w:t>
            </w:r>
            <w:r>
              <w:rPr>
                <w:iCs/>
                <w:szCs w:val="20"/>
                <w:lang w:val="en-GB"/>
              </w:rPr>
              <w:t xml:space="preserve">will be </w:t>
            </w:r>
            <w:r w:rsidRPr="003B6A69">
              <w:rPr>
                <w:iCs/>
                <w:szCs w:val="20"/>
                <w:lang w:val="en-GB"/>
              </w:rPr>
              <w:t>responsible</w:t>
            </w:r>
            <w:r w:rsidRPr="003B6A69">
              <w:rPr>
                <w:iCs/>
                <w:szCs w:val="20"/>
              </w:rPr>
              <w:t xml:space="preserve"> </w:t>
            </w:r>
            <w:r w:rsidRPr="003B6A69">
              <w:rPr>
                <w:iCs/>
                <w:szCs w:val="20"/>
                <w:lang w:val="en-GB"/>
              </w:rPr>
              <w:t>for</w:t>
            </w:r>
            <w:r w:rsidRPr="003B6A69">
              <w:rPr>
                <w:iCs/>
                <w:szCs w:val="20"/>
              </w:rPr>
              <w:t xml:space="preserve"> </w:t>
            </w:r>
            <w:r w:rsidRPr="003B6A69">
              <w:rPr>
                <w:iCs/>
                <w:szCs w:val="20"/>
                <w:lang w:val="en-GB"/>
              </w:rPr>
              <w:t>coordination</w:t>
            </w:r>
            <w:r w:rsidRPr="003B6A69">
              <w:rPr>
                <w:iCs/>
                <w:szCs w:val="20"/>
              </w:rPr>
              <w:t xml:space="preserve"> </w:t>
            </w:r>
            <w:r w:rsidRPr="003B6A69">
              <w:rPr>
                <w:iCs/>
                <w:szCs w:val="20"/>
                <w:lang w:val="en-GB"/>
              </w:rPr>
              <w:t>of</w:t>
            </w:r>
            <w:r w:rsidRPr="003B6A69">
              <w:rPr>
                <w:iCs/>
                <w:szCs w:val="20"/>
              </w:rPr>
              <w:t xml:space="preserve"> </w:t>
            </w:r>
            <w:r w:rsidRPr="003B6A69">
              <w:rPr>
                <w:iCs/>
                <w:szCs w:val="20"/>
                <w:lang w:val="en-GB"/>
              </w:rPr>
              <w:t>project</w:t>
            </w:r>
            <w:r w:rsidRPr="003B6A69">
              <w:rPr>
                <w:iCs/>
                <w:szCs w:val="20"/>
              </w:rPr>
              <w:t xml:space="preserve"> </w:t>
            </w:r>
            <w:r w:rsidRPr="003B6A69">
              <w:rPr>
                <w:iCs/>
                <w:szCs w:val="20"/>
                <w:lang w:val="en-GB"/>
              </w:rPr>
              <w:t>activities</w:t>
            </w:r>
            <w:r w:rsidRPr="003B6A69">
              <w:rPr>
                <w:iCs/>
                <w:szCs w:val="20"/>
              </w:rPr>
              <w:t xml:space="preserve"> </w:t>
            </w:r>
            <w:r w:rsidRPr="003B6A69">
              <w:rPr>
                <w:iCs/>
                <w:szCs w:val="20"/>
                <w:lang w:val="en-GB"/>
              </w:rPr>
              <w:t>with</w:t>
            </w:r>
            <w:r w:rsidRPr="003B6A69">
              <w:rPr>
                <w:iCs/>
                <w:szCs w:val="20"/>
              </w:rPr>
              <w:t xml:space="preserve"> </w:t>
            </w:r>
            <w:r w:rsidRPr="003B6A69">
              <w:rPr>
                <w:iCs/>
                <w:szCs w:val="20"/>
                <w:lang w:val="en-GB"/>
              </w:rPr>
              <w:t>parallel</w:t>
            </w:r>
            <w:r w:rsidRPr="003B6A69">
              <w:rPr>
                <w:iCs/>
                <w:szCs w:val="20"/>
              </w:rPr>
              <w:t xml:space="preserve"> </w:t>
            </w:r>
            <w:r w:rsidRPr="003B6A69">
              <w:rPr>
                <w:iCs/>
                <w:szCs w:val="20"/>
                <w:lang w:val="en-GB"/>
              </w:rPr>
              <w:t>initiatives</w:t>
            </w:r>
            <w:r w:rsidRPr="003B6A69">
              <w:rPr>
                <w:iCs/>
                <w:szCs w:val="20"/>
              </w:rPr>
              <w:t xml:space="preserve"> </w:t>
            </w:r>
            <w:r w:rsidRPr="003B6A69">
              <w:rPr>
                <w:iCs/>
                <w:szCs w:val="20"/>
                <w:lang w:val="en-GB"/>
              </w:rPr>
              <w:t>undertaken</w:t>
            </w:r>
            <w:r w:rsidRPr="003B6A69">
              <w:rPr>
                <w:iCs/>
                <w:szCs w:val="20"/>
              </w:rPr>
              <w:t xml:space="preserve"> </w:t>
            </w:r>
            <w:r w:rsidRPr="003B6A69">
              <w:rPr>
                <w:iCs/>
                <w:szCs w:val="20"/>
                <w:lang w:val="en-GB"/>
              </w:rPr>
              <w:t>by</w:t>
            </w:r>
            <w:r w:rsidRPr="003B6A69">
              <w:rPr>
                <w:iCs/>
                <w:szCs w:val="20"/>
              </w:rPr>
              <w:t xml:space="preserve"> </w:t>
            </w:r>
            <w:r w:rsidRPr="003B6A69">
              <w:rPr>
                <w:iCs/>
                <w:szCs w:val="20"/>
                <w:lang w:val="en-GB"/>
              </w:rPr>
              <w:t>the</w:t>
            </w:r>
            <w:r w:rsidR="00EB189A">
              <w:rPr>
                <w:iCs/>
                <w:szCs w:val="20"/>
                <w:lang w:val="en-GB"/>
              </w:rPr>
              <w:t xml:space="preserve"> Governmental authorities, cantonal</w:t>
            </w:r>
            <w:r w:rsidRPr="003B6A69">
              <w:rPr>
                <w:iCs/>
                <w:szCs w:val="20"/>
              </w:rPr>
              <w:t xml:space="preserve"> </w:t>
            </w:r>
            <w:r w:rsidRPr="003B6A69">
              <w:rPr>
                <w:iCs/>
                <w:szCs w:val="20"/>
                <w:lang w:val="en-GB"/>
              </w:rPr>
              <w:t>administrations</w:t>
            </w:r>
            <w:r w:rsidR="00EB189A">
              <w:rPr>
                <w:iCs/>
                <w:szCs w:val="20"/>
                <w:lang w:val="en-GB"/>
              </w:rPr>
              <w:t xml:space="preserve">, municipalities, </w:t>
            </w:r>
            <w:proofErr w:type="gramStart"/>
            <w:r w:rsidRPr="003B6A69">
              <w:rPr>
                <w:iCs/>
                <w:szCs w:val="20"/>
                <w:lang w:val="en-GB"/>
              </w:rPr>
              <w:t>PAs</w:t>
            </w:r>
            <w:proofErr w:type="gramEnd"/>
            <w:r w:rsidRPr="003B6A69">
              <w:rPr>
                <w:iCs/>
                <w:szCs w:val="20"/>
              </w:rPr>
              <w:t xml:space="preserve"> </w:t>
            </w:r>
            <w:r w:rsidRPr="003B6A69">
              <w:rPr>
                <w:iCs/>
                <w:szCs w:val="20"/>
                <w:lang w:val="en-GB"/>
              </w:rPr>
              <w:t>and</w:t>
            </w:r>
            <w:r w:rsidRPr="003B6A69">
              <w:rPr>
                <w:iCs/>
                <w:szCs w:val="20"/>
              </w:rPr>
              <w:t xml:space="preserve"> </w:t>
            </w:r>
            <w:r w:rsidRPr="003B6A69">
              <w:rPr>
                <w:iCs/>
                <w:szCs w:val="20"/>
                <w:lang w:val="en-GB"/>
              </w:rPr>
              <w:t>other</w:t>
            </w:r>
            <w:r w:rsidRPr="003B6A69">
              <w:rPr>
                <w:iCs/>
                <w:szCs w:val="20"/>
              </w:rPr>
              <w:t xml:space="preserve"> </w:t>
            </w:r>
            <w:r w:rsidRPr="003B6A69">
              <w:rPr>
                <w:iCs/>
                <w:szCs w:val="20"/>
                <w:lang w:val="en-GB"/>
              </w:rPr>
              <w:t>project</w:t>
            </w:r>
            <w:r w:rsidRPr="003B6A69">
              <w:rPr>
                <w:iCs/>
                <w:szCs w:val="20"/>
              </w:rPr>
              <w:t xml:space="preserve"> </w:t>
            </w:r>
            <w:r w:rsidRPr="003B6A69">
              <w:rPr>
                <w:iCs/>
                <w:szCs w:val="20"/>
                <w:lang w:val="en-GB"/>
              </w:rPr>
              <w:t>stakeholders</w:t>
            </w:r>
            <w:r w:rsidRPr="003B6A69">
              <w:rPr>
                <w:iCs/>
                <w:szCs w:val="20"/>
              </w:rPr>
              <w:t>.</w:t>
            </w:r>
            <w:r>
              <w:rPr>
                <w:iCs/>
                <w:szCs w:val="20"/>
              </w:rPr>
              <w:t xml:space="preserve"> </w:t>
            </w:r>
            <w:r w:rsidRPr="004B5665">
              <w:rPr>
                <w:iCs/>
                <w:szCs w:val="20"/>
              </w:rPr>
              <w:t xml:space="preserve">The PM will be responsible for meeting government obligations under the project and will perform a liaison role with the Government, UNDP and other UN Agencies, </w:t>
            </w:r>
            <w:proofErr w:type="gramStart"/>
            <w:r w:rsidRPr="004B5665">
              <w:rPr>
                <w:iCs/>
                <w:szCs w:val="20"/>
              </w:rPr>
              <w:t>NGOs</w:t>
            </w:r>
            <w:proofErr w:type="gramEnd"/>
            <w:r w:rsidRPr="004B5665">
              <w:rPr>
                <w:iCs/>
                <w:szCs w:val="20"/>
              </w:rPr>
              <w:t xml:space="preserve"> and other project partners.</w:t>
            </w:r>
          </w:p>
          <w:p w14:paraId="6F865F6F" w14:textId="77777777" w:rsidR="004B5665" w:rsidRPr="003B6A69" w:rsidRDefault="004B5665" w:rsidP="00127DDC">
            <w:pPr>
              <w:pStyle w:val="Header"/>
              <w:tabs>
                <w:tab w:val="clear" w:pos="4153"/>
                <w:tab w:val="clear" w:pos="8306"/>
              </w:tabs>
              <w:spacing w:after="0"/>
              <w:jc w:val="left"/>
              <w:rPr>
                <w:szCs w:val="20"/>
              </w:rPr>
            </w:pPr>
          </w:p>
          <w:p w14:paraId="110819D7" w14:textId="51AC4817" w:rsidR="004B5665" w:rsidRPr="003B6A69" w:rsidRDefault="004B5665" w:rsidP="00127DDC">
            <w:pPr>
              <w:pStyle w:val="Header"/>
              <w:tabs>
                <w:tab w:val="clear" w:pos="4153"/>
                <w:tab w:val="clear" w:pos="8306"/>
              </w:tabs>
              <w:spacing w:after="0"/>
              <w:jc w:val="left"/>
              <w:rPr>
                <w:iCs/>
                <w:szCs w:val="20"/>
              </w:rPr>
            </w:pPr>
            <w:r w:rsidRPr="003B6A69">
              <w:rPr>
                <w:szCs w:val="20"/>
              </w:rPr>
              <w:t xml:space="preserve">The PM will report to the Implementing Partner for </w:t>
            </w:r>
            <w:proofErr w:type="gramStart"/>
            <w:r w:rsidRPr="003B6A69">
              <w:rPr>
                <w:szCs w:val="20"/>
              </w:rPr>
              <w:t>all of</w:t>
            </w:r>
            <w:proofErr w:type="gramEnd"/>
            <w:r w:rsidRPr="003B6A69">
              <w:rPr>
                <w:szCs w:val="20"/>
              </w:rPr>
              <w:t xml:space="preserve"> the project’s substantive and administrative issues.</w:t>
            </w:r>
          </w:p>
          <w:p w14:paraId="7ED411F6" w14:textId="77777777" w:rsidR="004B5665" w:rsidRPr="003B6A69" w:rsidRDefault="004B5665" w:rsidP="00127DDC">
            <w:pPr>
              <w:pStyle w:val="Header"/>
              <w:tabs>
                <w:tab w:val="clear" w:pos="4153"/>
                <w:tab w:val="clear" w:pos="8306"/>
              </w:tabs>
              <w:spacing w:after="0"/>
              <w:jc w:val="left"/>
              <w:rPr>
                <w:rFonts w:cs="Arial"/>
                <w:noProof/>
                <w:szCs w:val="20"/>
                <w:lang w:val="en-GB" w:eastAsia="zh-CN"/>
              </w:rPr>
            </w:pPr>
            <w:r w:rsidRPr="003B6A69">
              <w:rPr>
                <w:rFonts w:cs="Arial"/>
                <w:noProof/>
                <w:szCs w:val="20"/>
                <w:lang w:val="en-GB" w:eastAsia="zh-CN"/>
              </w:rPr>
              <w:tab/>
            </w:r>
          </w:p>
          <w:p w14:paraId="28C207CD" w14:textId="77777777" w:rsidR="004B5665" w:rsidRPr="003B6A69" w:rsidRDefault="004B5665" w:rsidP="00127DDC">
            <w:pPr>
              <w:spacing w:after="0"/>
              <w:jc w:val="left"/>
              <w:rPr>
                <w:rFonts w:cs="Arial"/>
                <w:noProof/>
                <w:szCs w:val="20"/>
                <w:u w:val="single"/>
                <w:lang w:val="en-GB" w:eastAsia="zh-CN"/>
              </w:rPr>
            </w:pPr>
            <w:r w:rsidRPr="003B6A69">
              <w:rPr>
                <w:rFonts w:cs="Arial"/>
                <w:noProof/>
                <w:szCs w:val="20"/>
                <w:u w:val="single"/>
                <w:lang w:val="en-GB" w:eastAsia="zh-CN"/>
              </w:rPr>
              <w:t>Duties and Responsibilities</w:t>
            </w:r>
          </w:p>
          <w:p w14:paraId="36B1F9A6" w14:textId="7C14D478" w:rsidR="004B5665" w:rsidRPr="003B6A69" w:rsidRDefault="00EB189A" w:rsidP="00127DDC">
            <w:pPr>
              <w:numPr>
                <w:ilvl w:val="0"/>
                <w:numId w:val="62"/>
              </w:numPr>
              <w:tabs>
                <w:tab w:val="num" w:pos="794"/>
              </w:tabs>
              <w:rPr>
                <w:szCs w:val="20"/>
              </w:rPr>
            </w:pPr>
            <w:r>
              <w:rPr>
                <w:szCs w:val="20"/>
              </w:rPr>
              <w:t xml:space="preserve">Manage the overall </w:t>
            </w:r>
            <w:r w:rsidRPr="00EB189A">
              <w:rPr>
                <w:szCs w:val="20"/>
              </w:rPr>
              <w:t xml:space="preserve">conduct </w:t>
            </w:r>
            <w:r w:rsidRPr="00EB189A">
              <w:rPr>
                <w:rFonts w:asciiTheme="minorHAnsi" w:eastAsia="Times New Roman" w:hAnsiTheme="minorHAnsi" w:cstheme="minorHAnsi"/>
                <w:color w:val="000000"/>
                <w:szCs w:val="20"/>
              </w:rPr>
              <w:t xml:space="preserve">of the </w:t>
            </w:r>
            <w:proofErr w:type="gramStart"/>
            <w:r w:rsidRPr="00EB189A">
              <w:rPr>
                <w:rFonts w:asciiTheme="minorHAnsi" w:eastAsia="Times New Roman" w:hAnsiTheme="minorHAnsi" w:cstheme="minorHAnsi"/>
                <w:color w:val="000000"/>
                <w:szCs w:val="20"/>
              </w:rPr>
              <w:t>project</w:t>
            </w:r>
            <w:r w:rsidR="004B5665" w:rsidRPr="00EB189A">
              <w:rPr>
                <w:szCs w:val="20"/>
              </w:rPr>
              <w:t>;</w:t>
            </w:r>
            <w:proofErr w:type="gramEnd"/>
            <w:r w:rsidR="004B5665" w:rsidRPr="003B6A69">
              <w:rPr>
                <w:szCs w:val="20"/>
              </w:rPr>
              <w:t xml:space="preserve"> </w:t>
            </w:r>
          </w:p>
          <w:p w14:paraId="2E77E302" w14:textId="781DC876" w:rsidR="00EB189A" w:rsidRPr="003B6A69" w:rsidRDefault="00EB189A" w:rsidP="00EB189A">
            <w:pPr>
              <w:numPr>
                <w:ilvl w:val="0"/>
                <w:numId w:val="62"/>
              </w:numPr>
              <w:tabs>
                <w:tab w:val="num" w:pos="794"/>
              </w:tabs>
              <w:rPr>
                <w:szCs w:val="20"/>
              </w:rPr>
            </w:pPr>
            <w:r>
              <w:rPr>
                <w:szCs w:val="20"/>
              </w:rPr>
              <w:t xml:space="preserve">Ensure project </w:t>
            </w:r>
            <w:proofErr w:type="spellStart"/>
            <w:r>
              <w:rPr>
                <w:szCs w:val="20"/>
              </w:rPr>
              <w:t>workplanning</w:t>
            </w:r>
            <w:proofErr w:type="spellEnd"/>
            <w:r>
              <w:rPr>
                <w:szCs w:val="20"/>
              </w:rPr>
              <w:t xml:space="preserve"> and reporting in accordance with the donor requirements, UNDP rules and the requirements and standards of the project Implementing Partner. Based on the inputs from the PIU members, ensure project reporting to the GEF, UNDP, </w:t>
            </w:r>
            <w:proofErr w:type="gramStart"/>
            <w:r>
              <w:rPr>
                <w:szCs w:val="20"/>
              </w:rPr>
              <w:t>IP</w:t>
            </w:r>
            <w:proofErr w:type="gramEnd"/>
            <w:r>
              <w:rPr>
                <w:szCs w:val="20"/>
              </w:rPr>
              <w:t xml:space="preserve"> and the Project Steering Committee. </w:t>
            </w:r>
            <w:r w:rsidRPr="003B6A69">
              <w:rPr>
                <w:szCs w:val="20"/>
              </w:rPr>
              <w:t xml:space="preserve">Prepare the annual workplan and quarterly operational workplans as required by the Implementing Partner; prepare the Annual Work Plan (AWP) and Annual Plan of Activities and Procurement Plan for the project years as requested by </w:t>
            </w:r>
            <w:proofErr w:type="gramStart"/>
            <w:r w:rsidRPr="003B6A69">
              <w:rPr>
                <w:szCs w:val="20"/>
              </w:rPr>
              <w:t>UNDP;</w:t>
            </w:r>
            <w:proofErr w:type="gramEnd"/>
          </w:p>
          <w:p w14:paraId="6C1D9B71" w14:textId="77777777" w:rsidR="00EB189A" w:rsidRPr="003B6A69" w:rsidRDefault="00EB189A" w:rsidP="00EB189A">
            <w:pPr>
              <w:numPr>
                <w:ilvl w:val="0"/>
                <w:numId w:val="62"/>
              </w:numPr>
              <w:tabs>
                <w:tab w:val="num" w:pos="794"/>
              </w:tabs>
              <w:rPr>
                <w:szCs w:val="20"/>
              </w:rPr>
            </w:pPr>
            <w:r w:rsidRPr="003B6A69">
              <w:rPr>
                <w:szCs w:val="20"/>
              </w:rPr>
              <w:t xml:space="preserve">Ensure implementation of the project workplan as </w:t>
            </w:r>
            <w:proofErr w:type="gramStart"/>
            <w:r w:rsidRPr="003B6A69">
              <w:rPr>
                <w:szCs w:val="20"/>
              </w:rPr>
              <w:t>scheduled;</w:t>
            </w:r>
            <w:proofErr w:type="gramEnd"/>
          </w:p>
          <w:p w14:paraId="3666CBFE" w14:textId="77777777" w:rsidR="00EB189A" w:rsidRPr="003B6A69" w:rsidRDefault="00EB189A" w:rsidP="00EB189A">
            <w:pPr>
              <w:numPr>
                <w:ilvl w:val="0"/>
                <w:numId w:val="62"/>
              </w:numPr>
              <w:tabs>
                <w:tab w:val="num" w:pos="794"/>
              </w:tabs>
              <w:rPr>
                <w:szCs w:val="20"/>
              </w:rPr>
            </w:pPr>
            <w:r w:rsidRPr="003B6A69">
              <w:rPr>
                <w:szCs w:val="20"/>
              </w:rPr>
              <w:t>Monit</w:t>
            </w:r>
            <w:r>
              <w:rPr>
                <w:szCs w:val="20"/>
              </w:rPr>
              <w:t>or the implementation of the workplan and budget delivery</w:t>
            </w:r>
            <w:r w:rsidRPr="003B6A69">
              <w:rPr>
                <w:szCs w:val="20"/>
              </w:rPr>
              <w:t xml:space="preserve">, </w:t>
            </w:r>
            <w:proofErr w:type="spellStart"/>
            <w:r w:rsidRPr="003B6A69">
              <w:rPr>
                <w:szCs w:val="20"/>
              </w:rPr>
              <w:t>analyse</w:t>
            </w:r>
            <w:proofErr w:type="spellEnd"/>
            <w:r w:rsidRPr="003B6A69">
              <w:rPr>
                <w:szCs w:val="20"/>
              </w:rPr>
              <w:t xml:space="preserve"> problems that hamper </w:t>
            </w:r>
            <w:r>
              <w:rPr>
                <w:szCs w:val="20"/>
              </w:rPr>
              <w:t>project</w:t>
            </w:r>
            <w:r w:rsidRPr="003B6A69">
              <w:rPr>
                <w:szCs w:val="20"/>
              </w:rPr>
              <w:t xml:space="preserve"> implementation and takes appropriate measures to ensure timely delivery of required </w:t>
            </w:r>
            <w:proofErr w:type="gramStart"/>
            <w:r w:rsidRPr="003B6A69">
              <w:rPr>
                <w:szCs w:val="20"/>
              </w:rPr>
              <w:t>inputs;</w:t>
            </w:r>
            <w:proofErr w:type="gramEnd"/>
          </w:p>
          <w:p w14:paraId="2B14BCBB" w14:textId="704B3CA9" w:rsidR="004B5665" w:rsidRDefault="00EB189A" w:rsidP="00127DDC">
            <w:pPr>
              <w:numPr>
                <w:ilvl w:val="0"/>
                <w:numId w:val="62"/>
              </w:numPr>
              <w:tabs>
                <w:tab w:val="num" w:pos="794"/>
              </w:tabs>
              <w:rPr>
                <w:szCs w:val="20"/>
              </w:rPr>
            </w:pPr>
            <w:r>
              <w:rPr>
                <w:szCs w:val="20"/>
              </w:rPr>
              <w:t xml:space="preserve">Ensure management and administrative oversight for project personnel and project contractors, delivery of goods and services, trainings and communication activities; ensure </w:t>
            </w:r>
            <w:r w:rsidRPr="00EB189A">
              <w:rPr>
                <w:szCs w:val="20"/>
              </w:rPr>
              <w:t xml:space="preserve">Execute activities by managing personnel, goods and services, training and low-value grants, including drafting terms of reference and work specifications, and overseeing all contractors’ </w:t>
            </w:r>
            <w:proofErr w:type="gramStart"/>
            <w:r w:rsidRPr="00EB189A">
              <w:rPr>
                <w:szCs w:val="20"/>
              </w:rPr>
              <w:t>work</w:t>
            </w:r>
            <w:r>
              <w:rPr>
                <w:szCs w:val="20"/>
              </w:rPr>
              <w:t>;</w:t>
            </w:r>
            <w:proofErr w:type="gramEnd"/>
          </w:p>
          <w:p w14:paraId="11630D8B" w14:textId="744875FC" w:rsidR="00EB189A" w:rsidRDefault="00EB189A" w:rsidP="00127DDC">
            <w:pPr>
              <w:numPr>
                <w:ilvl w:val="0"/>
                <w:numId w:val="62"/>
              </w:numPr>
              <w:tabs>
                <w:tab w:val="num" w:pos="794"/>
              </w:tabs>
              <w:rPr>
                <w:szCs w:val="20"/>
              </w:rPr>
            </w:pPr>
            <w:r>
              <w:rPr>
                <w:szCs w:val="20"/>
              </w:rPr>
              <w:t xml:space="preserve">Manage the project financial reporting to donor and development </w:t>
            </w:r>
            <w:proofErr w:type="gramStart"/>
            <w:r>
              <w:rPr>
                <w:szCs w:val="20"/>
              </w:rPr>
              <w:t>partners;</w:t>
            </w:r>
            <w:proofErr w:type="gramEnd"/>
            <w:r>
              <w:rPr>
                <w:szCs w:val="20"/>
              </w:rPr>
              <w:t xml:space="preserve"> </w:t>
            </w:r>
          </w:p>
          <w:p w14:paraId="3A9E0789" w14:textId="77777777" w:rsidR="00EB189A" w:rsidRDefault="00EB189A" w:rsidP="00EB189A">
            <w:pPr>
              <w:numPr>
                <w:ilvl w:val="0"/>
                <w:numId w:val="62"/>
              </w:numPr>
              <w:rPr>
                <w:szCs w:val="20"/>
              </w:rPr>
            </w:pPr>
            <w:r>
              <w:rPr>
                <w:szCs w:val="20"/>
              </w:rPr>
              <w:t xml:space="preserve">Manage and monitor project </w:t>
            </w:r>
            <w:proofErr w:type="gramStart"/>
            <w:r>
              <w:rPr>
                <w:szCs w:val="20"/>
              </w:rPr>
              <w:t>risks;</w:t>
            </w:r>
            <w:proofErr w:type="gramEnd"/>
          </w:p>
          <w:p w14:paraId="1AE33744" w14:textId="4E471510" w:rsidR="00EB189A" w:rsidRPr="00EB189A" w:rsidRDefault="00EB189A" w:rsidP="00127DDC">
            <w:pPr>
              <w:numPr>
                <w:ilvl w:val="0"/>
                <w:numId w:val="62"/>
              </w:numPr>
              <w:tabs>
                <w:tab w:val="num" w:pos="794"/>
              </w:tabs>
              <w:rPr>
                <w:szCs w:val="20"/>
              </w:rPr>
            </w:pPr>
            <w:r>
              <w:rPr>
                <w:szCs w:val="20"/>
              </w:rPr>
              <w:t>Ensure timely delivery and coordination of co-financing resources, collect data and evidence of project co-</w:t>
            </w:r>
            <w:proofErr w:type="gramStart"/>
            <w:r>
              <w:rPr>
                <w:szCs w:val="20"/>
              </w:rPr>
              <w:t>financing;</w:t>
            </w:r>
            <w:proofErr w:type="gramEnd"/>
          </w:p>
          <w:p w14:paraId="611D7D2C" w14:textId="77777777" w:rsidR="00EB189A" w:rsidRPr="00EB189A" w:rsidRDefault="00EB189A" w:rsidP="00EB189A">
            <w:pPr>
              <w:numPr>
                <w:ilvl w:val="0"/>
                <w:numId w:val="62"/>
              </w:numPr>
              <w:rPr>
                <w:szCs w:val="20"/>
              </w:rPr>
            </w:pPr>
            <w:r>
              <w:rPr>
                <w:szCs w:val="20"/>
              </w:rPr>
              <w:t xml:space="preserve">Ensure project coordination with </w:t>
            </w:r>
            <w:r w:rsidRPr="00EB189A">
              <w:rPr>
                <w:iCs/>
                <w:szCs w:val="20"/>
                <w:lang w:val="en-GB"/>
              </w:rPr>
              <w:t>with</w:t>
            </w:r>
            <w:r w:rsidRPr="00EB189A">
              <w:rPr>
                <w:iCs/>
                <w:szCs w:val="20"/>
              </w:rPr>
              <w:t xml:space="preserve"> </w:t>
            </w:r>
            <w:r w:rsidRPr="00EB189A">
              <w:rPr>
                <w:iCs/>
                <w:szCs w:val="20"/>
                <w:lang w:val="en-GB"/>
              </w:rPr>
              <w:t>parallel</w:t>
            </w:r>
            <w:r w:rsidRPr="00EB189A">
              <w:rPr>
                <w:iCs/>
                <w:szCs w:val="20"/>
              </w:rPr>
              <w:t xml:space="preserve"> </w:t>
            </w:r>
            <w:r w:rsidRPr="00EB189A">
              <w:rPr>
                <w:iCs/>
                <w:szCs w:val="20"/>
                <w:lang w:val="en-GB"/>
              </w:rPr>
              <w:t>initiatives</w:t>
            </w:r>
            <w:r w:rsidRPr="00EB189A">
              <w:rPr>
                <w:iCs/>
                <w:szCs w:val="20"/>
              </w:rPr>
              <w:t xml:space="preserve"> </w:t>
            </w:r>
            <w:r w:rsidRPr="00EB189A">
              <w:rPr>
                <w:iCs/>
                <w:szCs w:val="20"/>
                <w:lang w:val="en-GB"/>
              </w:rPr>
              <w:t>undertaken</w:t>
            </w:r>
            <w:r w:rsidRPr="00EB189A">
              <w:rPr>
                <w:iCs/>
                <w:szCs w:val="20"/>
              </w:rPr>
              <w:t xml:space="preserve"> </w:t>
            </w:r>
            <w:r w:rsidRPr="00EB189A">
              <w:rPr>
                <w:iCs/>
                <w:szCs w:val="20"/>
                <w:lang w:val="en-GB"/>
              </w:rPr>
              <w:t>by</w:t>
            </w:r>
            <w:r w:rsidRPr="00EB189A">
              <w:rPr>
                <w:iCs/>
                <w:szCs w:val="20"/>
              </w:rPr>
              <w:t xml:space="preserve"> </w:t>
            </w:r>
            <w:r w:rsidRPr="00EB189A">
              <w:rPr>
                <w:iCs/>
                <w:szCs w:val="20"/>
                <w:lang w:val="en-GB"/>
              </w:rPr>
              <w:t>the Governmental authorities, cantonal</w:t>
            </w:r>
            <w:r w:rsidRPr="00EB189A">
              <w:rPr>
                <w:iCs/>
                <w:szCs w:val="20"/>
              </w:rPr>
              <w:t xml:space="preserve"> </w:t>
            </w:r>
            <w:r w:rsidRPr="00EB189A">
              <w:rPr>
                <w:iCs/>
                <w:szCs w:val="20"/>
                <w:lang w:val="en-GB"/>
              </w:rPr>
              <w:t>administrations, municipalities, PAs</w:t>
            </w:r>
            <w:r w:rsidRPr="00EB189A">
              <w:rPr>
                <w:iCs/>
                <w:szCs w:val="20"/>
              </w:rPr>
              <w:t xml:space="preserve"> </w:t>
            </w:r>
            <w:r w:rsidRPr="00EB189A">
              <w:rPr>
                <w:iCs/>
                <w:szCs w:val="20"/>
                <w:lang w:val="en-GB"/>
              </w:rPr>
              <w:t>and</w:t>
            </w:r>
            <w:r w:rsidRPr="00EB189A">
              <w:rPr>
                <w:iCs/>
                <w:szCs w:val="20"/>
              </w:rPr>
              <w:t xml:space="preserve"> </w:t>
            </w:r>
            <w:r w:rsidRPr="00EB189A">
              <w:rPr>
                <w:iCs/>
                <w:szCs w:val="20"/>
                <w:lang w:val="en-GB"/>
              </w:rPr>
              <w:t>other</w:t>
            </w:r>
            <w:r w:rsidRPr="00EB189A">
              <w:rPr>
                <w:iCs/>
                <w:szCs w:val="20"/>
              </w:rPr>
              <w:t xml:space="preserve"> </w:t>
            </w:r>
            <w:r w:rsidRPr="00EB189A">
              <w:rPr>
                <w:iCs/>
                <w:szCs w:val="20"/>
                <w:lang w:val="en-GB"/>
              </w:rPr>
              <w:t>project</w:t>
            </w:r>
            <w:r w:rsidRPr="00EB189A">
              <w:rPr>
                <w:iCs/>
                <w:szCs w:val="20"/>
              </w:rPr>
              <w:t xml:space="preserve"> </w:t>
            </w:r>
            <w:proofErr w:type="gramStart"/>
            <w:r w:rsidRPr="00EB189A">
              <w:rPr>
                <w:iCs/>
                <w:szCs w:val="20"/>
                <w:lang w:val="en-GB"/>
              </w:rPr>
              <w:t>stakeholders</w:t>
            </w:r>
            <w:r>
              <w:rPr>
                <w:iCs/>
                <w:szCs w:val="20"/>
              </w:rPr>
              <w:t>;</w:t>
            </w:r>
            <w:proofErr w:type="gramEnd"/>
          </w:p>
          <w:p w14:paraId="6483B1DD" w14:textId="072FC2A4" w:rsidR="00EB189A" w:rsidRPr="00EB189A" w:rsidRDefault="00EB189A" w:rsidP="00EB189A">
            <w:pPr>
              <w:numPr>
                <w:ilvl w:val="0"/>
                <w:numId w:val="62"/>
              </w:numPr>
              <w:rPr>
                <w:szCs w:val="20"/>
              </w:rPr>
            </w:pPr>
            <w:r>
              <w:rPr>
                <w:iCs/>
                <w:szCs w:val="20"/>
              </w:rPr>
              <w:t xml:space="preserve">Support meeting the </w:t>
            </w:r>
            <w:r w:rsidRPr="00EB189A">
              <w:rPr>
                <w:iCs/>
                <w:szCs w:val="20"/>
              </w:rPr>
              <w:t xml:space="preserve">government obligations under the project and perform a liaison role with the Government, UNDP and other UN Agencies, </w:t>
            </w:r>
            <w:r>
              <w:rPr>
                <w:iCs/>
                <w:szCs w:val="20"/>
              </w:rPr>
              <w:t xml:space="preserve">NGOs and </w:t>
            </w:r>
            <w:proofErr w:type="gramStart"/>
            <w:r>
              <w:rPr>
                <w:iCs/>
                <w:szCs w:val="20"/>
              </w:rPr>
              <w:t>other</w:t>
            </w:r>
            <w:proofErr w:type="gramEnd"/>
            <w:r>
              <w:rPr>
                <w:iCs/>
                <w:szCs w:val="20"/>
              </w:rPr>
              <w:t xml:space="preserve"> project partners;</w:t>
            </w:r>
          </w:p>
          <w:p w14:paraId="388FA9E0" w14:textId="7912E977" w:rsidR="00EB189A" w:rsidRPr="00EB189A" w:rsidRDefault="00EB189A" w:rsidP="00EB189A">
            <w:pPr>
              <w:numPr>
                <w:ilvl w:val="0"/>
                <w:numId w:val="62"/>
              </w:numPr>
              <w:rPr>
                <w:iCs/>
                <w:szCs w:val="20"/>
                <w:lang w:val="en-GB"/>
              </w:rPr>
            </w:pPr>
            <w:r w:rsidRPr="00EB189A">
              <w:rPr>
                <w:iCs/>
                <w:szCs w:val="20"/>
              </w:rPr>
              <w:t>Undertake resource mobilization activities in areas of technical project scope to contribute to pro</w:t>
            </w:r>
            <w:r>
              <w:rPr>
                <w:iCs/>
                <w:szCs w:val="20"/>
              </w:rPr>
              <w:t xml:space="preserve">ject scaling-up and </w:t>
            </w:r>
            <w:proofErr w:type="gramStart"/>
            <w:r>
              <w:rPr>
                <w:iCs/>
                <w:szCs w:val="20"/>
              </w:rPr>
              <w:t>replication;</w:t>
            </w:r>
            <w:proofErr w:type="gramEnd"/>
          </w:p>
          <w:p w14:paraId="28AC85C2" w14:textId="7EE60640" w:rsidR="00EB189A" w:rsidRPr="003B6A69" w:rsidRDefault="00EB189A" w:rsidP="00EB189A">
            <w:pPr>
              <w:numPr>
                <w:ilvl w:val="0"/>
                <w:numId w:val="62"/>
              </w:numPr>
              <w:rPr>
                <w:szCs w:val="20"/>
              </w:rPr>
            </w:pPr>
            <w:r w:rsidRPr="003B6A69">
              <w:rPr>
                <w:szCs w:val="20"/>
              </w:rPr>
              <w:t xml:space="preserve">Act as a </w:t>
            </w:r>
            <w:r>
              <w:rPr>
                <w:szCs w:val="20"/>
              </w:rPr>
              <w:t xml:space="preserve">project </w:t>
            </w:r>
            <w:r w:rsidRPr="003B6A69">
              <w:rPr>
                <w:szCs w:val="20"/>
              </w:rPr>
              <w:t>foca</w:t>
            </w:r>
            <w:r>
              <w:rPr>
                <w:szCs w:val="20"/>
              </w:rPr>
              <w:t>l point for media interventions</w:t>
            </w:r>
            <w:r w:rsidRPr="003B6A69">
              <w:rPr>
                <w:szCs w:val="20"/>
              </w:rPr>
              <w:t>. Monitor and facilitate advocacy and mass media outreach activities, write success stories, ensure newspapers covera</w:t>
            </w:r>
            <w:r>
              <w:rPr>
                <w:szCs w:val="20"/>
              </w:rPr>
              <w:t>ge, participate in PR campaigns.</w:t>
            </w:r>
          </w:p>
          <w:p w14:paraId="07DCFD09" w14:textId="77777777" w:rsidR="004B5665" w:rsidRPr="003B6A69" w:rsidRDefault="004B5665" w:rsidP="00EB189A">
            <w:pPr>
              <w:spacing w:after="0"/>
              <w:ind w:left="720"/>
              <w:jc w:val="left"/>
              <w:rPr>
                <w:rFonts w:cs="Arial"/>
                <w:noProof/>
                <w:szCs w:val="20"/>
                <w:lang w:val="en-GB" w:eastAsia="zh-CN"/>
              </w:rPr>
            </w:pPr>
          </w:p>
          <w:p w14:paraId="1B1DF4A6" w14:textId="77777777" w:rsidR="004B5665" w:rsidRPr="003B6A69" w:rsidRDefault="004B5665" w:rsidP="00127DDC">
            <w:pPr>
              <w:spacing w:after="0"/>
              <w:jc w:val="left"/>
              <w:rPr>
                <w:szCs w:val="20"/>
                <w:u w:val="single"/>
                <w:lang w:val="en-GB"/>
              </w:rPr>
            </w:pPr>
            <w:r w:rsidRPr="003B6A69">
              <w:rPr>
                <w:szCs w:val="20"/>
                <w:u w:val="single"/>
                <w:lang w:val="en-GB"/>
              </w:rPr>
              <w:t>Qualifications required:</w:t>
            </w:r>
          </w:p>
          <w:p w14:paraId="673F3D06" w14:textId="77777777" w:rsidR="004B5665" w:rsidRPr="003B6A69" w:rsidRDefault="004B5665" w:rsidP="00127DDC">
            <w:pPr>
              <w:numPr>
                <w:ilvl w:val="0"/>
                <w:numId w:val="7"/>
              </w:numPr>
              <w:spacing w:after="0"/>
              <w:jc w:val="left"/>
              <w:rPr>
                <w:rFonts w:cs="Arial"/>
                <w:noProof/>
                <w:szCs w:val="20"/>
                <w:lang w:val="en-GB" w:eastAsia="zh-CN"/>
              </w:rPr>
            </w:pPr>
            <w:r w:rsidRPr="003B6A69">
              <w:rPr>
                <w:rFonts w:cs="Arial"/>
                <w:noProof/>
                <w:szCs w:val="20"/>
                <w:lang w:val="en-GB" w:eastAsia="zh-CN"/>
              </w:rPr>
              <w:t>A university degree (MSc or PhD) in a subject related to natural resource management or environmental sciences.</w:t>
            </w:r>
          </w:p>
          <w:p w14:paraId="0014FC48" w14:textId="5E805328" w:rsidR="004B5665" w:rsidRPr="003B6A69" w:rsidRDefault="004B5665" w:rsidP="00127DDC">
            <w:pPr>
              <w:numPr>
                <w:ilvl w:val="0"/>
                <w:numId w:val="7"/>
              </w:numPr>
              <w:spacing w:after="0"/>
              <w:jc w:val="left"/>
              <w:rPr>
                <w:rFonts w:cs="Arial"/>
                <w:noProof/>
                <w:szCs w:val="20"/>
                <w:lang w:val="en-GB" w:eastAsia="zh-CN"/>
              </w:rPr>
            </w:pPr>
            <w:r w:rsidRPr="003B6A69">
              <w:rPr>
                <w:rFonts w:cs="Arial"/>
                <w:noProof/>
                <w:szCs w:val="20"/>
                <w:lang w:val="en-GB" w:eastAsia="zh-CN"/>
              </w:rPr>
              <w:t>At least 5 years of demonstrable project/programme management experience</w:t>
            </w:r>
            <w:r w:rsidR="00EB189A">
              <w:rPr>
                <w:rFonts w:cs="Arial"/>
                <w:noProof/>
                <w:szCs w:val="20"/>
                <w:lang w:val="en-GB" w:eastAsia="zh-CN"/>
              </w:rPr>
              <w:t xml:space="preserve"> or administrative management within a governmental authority</w:t>
            </w:r>
            <w:r w:rsidRPr="003B6A69">
              <w:rPr>
                <w:rFonts w:cs="Arial"/>
                <w:noProof/>
                <w:szCs w:val="20"/>
                <w:lang w:val="en-GB" w:eastAsia="zh-CN"/>
              </w:rPr>
              <w:t>.</w:t>
            </w:r>
          </w:p>
          <w:p w14:paraId="401EF540" w14:textId="614C755B" w:rsidR="004B5665" w:rsidRPr="003B6A69" w:rsidRDefault="004B5665" w:rsidP="00127DDC">
            <w:pPr>
              <w:numPr>
                <w:ilvl w:val="0"/>
                <w:numId w:val="7"/>
              </w:numPr>
              <w:spacing w:after="0"/>
              <w:jc w:val="left"/>
              <w:rPr>
                <w:rFonts w:cs="Arial"/>
                <w:noProof/>
                <w:szCs w:val="20"/>
                <w:lang w:val="en-GB" w:eastAsia="zh-CN"/>
              </w:rPr>
            </w:pPr>
            <w:r w:rsidRPr="003B6A69">
              <w:rPr>
                <w:rFonts w:cs="Arial"/>
                <w:noProof/>
                <w:szCs w:val="20"/>
                <w:lang w:val="en-GB" w:eastAsia="zh-CN"/>
              </w:rPr>
              <w:t xml:space="preserve">At least 5 years of experience working with </w:t>
            </w:r>
            <w:r w:rsidR="00EB189A">
              <w:rPr>
                <w:rFonts w:cs="Arial"/>
                <w:noProof/>
                <w:szCs w:val="20"/>
                <w:lang w:val="en-GB" w:eastAsia="zh-CN"/>
              </w:rPr>
              <w:t xml:space="preserve">the national </w:t>
            </w:r>
            <w:r w:rsidRPr="003B6A69">
              <w:rPr>
                <w:rFonts w:cs="Arial"/>
                <w:noProof/>
                <w:szCs w:val="20"/>
                <w:lang w:val="en-GB" w:eastAsia="zh-CN"/>
              </w:rPr>
              <w:t>institutions that are concerned with natural resource and/or environmental management.</w:t>
            </w:r>
          </w:p>
          <w:p w14:paraId="7EB380B3" w14:textId="77777777" w:rsidR="004B5665" w:rsidRPr="003B6A69" w:rsidRDefault="004B5665" w:rsidP="00127DDC">
            <w:pPr>
              <w:spacing w:after="0"/>
              <w:jc w:val="left"/>
              <w:rPr>
                <w:rFonts w:cs="Arial"/>
                <w:noProof/>
                <w:szCs w:val="20"/>
                <w:u w:val="single"/>
                <w:lang w:val="en-GB" w:eastAsia="zh-CN"/>
              </w:rPr>
            </w:pPr>
          </w:p>
          <w:p w14:paraId="475D4272" w14:textId="77777777" w:rsidR="004B5665" w:rsidRPr="003B6A69" w:rsidRDefault="004B5665" w:rsidP="00127DDC">
            <w:pPr>
              <w:spacing w:after="0"/>
              <w:jc w:val="left"/>
              <w:rPr>
                <w:rFonts w:cs="Arial"/>
                <w:noProof/>
                <w:szCs w:val="20"/>
                <w:u w:val="single"/>
                <w:lang w:val="en-GB" w:eastAsia="zh-CN"/>
              </w:rPr>
            </w:pPr>
            <w:r w:rsidRPr="003B6A69">
              <w:rPr>
                <w:rFonts w:cs="Arial"/>
                <w:noProof/>
                <w:szCs w:val="20"/>
                <w:u w:val="single"/>
                <w:lang w:val="en-GB" w:eastAsia="zh-CN"/>
              </w:rPr>
              <w:t>Competencies</w:t>
            </w:r>
          </w:p>
          <w:p w14:paraId="5FCAED26" w14:textId="4D3F216A" w:rsidR="004B5665" w:rsidRPr="003B6A69" w:rsidRDefault="004B5665" w:rsidP="00127DDC">
            <w:pPr>
              <w:numPr>
                <w:ilvl w:val="0"/>
                <w:numId w:val="8"/>
              </w:numPr>
              <w:spacing w:after="0"/>
              <w:jc w:val="left"/>
              <w:rPr>
                <w:rFonts w:cs="Arial"/>
                <w:noProof/>
                <w:szCs w:val="20"/>
                <w:lang w:val="en-GB" w:eastAsia="zh-CN"/>
              </w:rPr>
            </w:pPr>
            <w:r w:rsidRPr="003B6A69">
              <w:rPr>
                <w:rFonts w:cs="Arial"/>
                <w:noProof/>
                <w:szCs w:val="20"/>
                <w:lang w:val="en-GB" w:eastAsia="zh-CN"/>
              </w:rPr>
              <w:lastRenderedPageBreak/>
              <w:t>Strong leadership, managerial and coordination skills, with a demonstrated ability to effectively coordinate the implementation of large multi-stakeholder projects, including financial aspects.</w:t>
            </w:r>
          </w:p>
          <w:p w14:paraId="06F8AD90" w14:textId="77777777" w:rsidR="004B5665" w:rsidRPr="003B6A69" w:rsidRDefault="004B5665" w:rsidP="00127DDC">
            <w:pPr>
              <w:numPr>
                <w:ilvl w:val="0"/>
                <w:numId w:val="8"/>
              </w:numPr>
              <w:spacing w:after="0"/>
              <w:jc w:val="left"/>
              <w:rPr>
                <w:rFonts w:cs="Arial"/>
                <w:noProof/>
                <w:szCs w:val="20"/>
                <w:lang w:val="en-GB" w:eastAsia="zh-CN"/>
              </w:rPr>
            </w:pPr>
            <w:r w:rsidRPr="003B6A69">
              <w:rPr>
                <w:rFonts w:cs="Arial"/>
                <w:noProof/>
                <w:szCs w:val="20"/>
                <w:lang w:val="en-GB" w:eastAsia="zh-CN"/>
              </w:rPr>
              <w:t>Ability to effectively manage technical and administrative teams, work with a wide range of stakeholders across various sectors and at all levels, to develop durable partnerships with collaborating agencies.</w:t>
            </w:r>
          </w:p>
          <w:p w14:paraId="0D27303A" w14:textId="77777777" w:rsidR="004B5665" w:rsidRPr="003B6A69" w:rsidRDefault="004B5665" w:rsidP="00127DDC">
            <w:pPr>
              <w:numPr>
                <w:ilvl w:val="0"/>
                <w:numId w:val="7"/>
              </w:numPr>
              <w:spacing w:after="0"/>
              <w:jc w:val="left"/>
              <w:rPr>
                <w:rFonts w:cs="Arial"/>
                <w:noProof/>
                <w:szCs w:val="20"/>
                <w:lang w:val="en-GB" w:eastAsia="zh-CN"/>
              </w:rPr>
            </w:pPr>
            <w:r w:rsidRPr="003B6A69">
              <w:rPr>
                <w:rFonts w:cs="Arial"/>
                <w:noProof/>
                <w:szCs w:val="20"/>
                <w:lang w:val="en-GB" w:eastAsia="zh-CN"/>
              </w:rPr>
              <w:t>Ability to administer budgets, train and work effectively with counterpart staff at all levels and with all groups involved in the project.</w:t>
            </w:r>
          </w:p>
          <w:p w14:paraId="3371DC6A" w14:textId="77777777" w:rsidR="004B5665" w:rsidRPr="003B6A69" w:rsidRDefault="004B5665" w:rsidP="00127DDC">
            <w:pPr>
              <w:numPr>
                <w:ilvl w:val="0"/>
                <w:numId w:val="7"/>
              </w:numPr>
              <w:spacing w:after="0"/>
              <w:jc w:val="left"/>
              <w:rPr>
                <w:rFonts w:cs="Arial"/>
                <w:noProof/>
                <w:szCs w:val="20"/>
                <w:lang w:val="en-GB" w:eastAsia="zh-CN"/>
              </w:rPr>
            </w:pPr>
            <w:r w:rsidRPr="003B6A69">
              <w:rPr>
                <w:rFonts w:cs="Arial"/>
                <w:noProof/>
                <w:szCs w:val="20"/>
                <w:lang w:val="en-GB" w:eastAsia="zh-CN"/>
              </w:rPr>
              <w:t>Ability to coordinate and supervise multiple Project Implementation Units in their implementation of technical activities in partnership with a variety of subnational stakeholder groups, including community and government.</w:t>
            </w:r>
          </w:p>
          <w:p w14:paraId="3221A2F4" w14:textId="77777777" w:rsidR="004B5665" w:rsidRPr="003B6A69" w:rsidRDefault="004B5665" w:rsidP="00127DDC">
            <w:pPr>
              <w:numPr>
                <w:ilvl w:val="0"/>
                <w:numId w:val="7"/>
              </w:numPr>
              <w:spacing w:after="0"/>
              <w:jc w:val="left"/>
              <w:rPr>
                <w:rFonts w:cs="Arial"/>
                <w:noProof/>
                <w:szCs w:val="20"/>
                <w:lang w:val="en-GB" w:eastAsia="zh-CN"/>
              </w:rPr>
            </w:pPr>
            <w:r w:rsidRPr="003B6A69">
              <w:rPr>
                <w:rFonts w:cs="Arial"/>
                <w:noProof/>
                <w:szCs w:val="20"/>
                <w:lang w:val="en-GB" w:eastAsia="zh-CN"/>
              </w:rPr>
              <w:t>Strong drafting, presentation and reporting skills.</w:t>
            </w:r>
          </w:p>
          <w:p w14:paraId="4F753951" w14:textId="77777777" w:rsidR="004B5665" w:rsidRPr="003B6A69" w:rsidRDefault="004B5665" w:rsidP="00127DDC">
            <w:pPr>
              <w:pStyle w:val="Paragraph"/>
              <w:numPr>
                <w:ilvl w:val="0"/>
                <w:numId w:val="7"/>
              </w:numPr>
              <w:spacing w:after="0"/>
              <w:rPr>
                <w:rFonts w:ascii="Calibri" w:hAnsi="Calibri" w:cs="Arial"/>
                <w:szCs w:val="20"/>
                <w:lang w:val="en-GB" w:eastAsia="zh-CN"/>
              </w:rPr>
            </w:pPr>
            <w:r w:rsidRPr="003B6A69">
              <w:rPr>
                <w:rFonts w:ascii="Calibri" w:hAnsi="Calibri" w:cs="Arial"/>
                <w:szCs w:val="20"/>
                <w:lang w:val="en-GB" w:eastAsia="zh-CN"/>
              </w:rPr>
              <w:t>Strong communication skills, especially in timely and accurate responses to emails.</w:t>
            </w:r>
          </w:p>
          <w:p w14:paraId="5F24A7A0" w14:textId="77777777" w:rsidR="004B5665" w:rsidRPr="003B6A69" w:rsidRDefault="004B5665" w:rsidP="00127DDC">
            <w:pPr>
              <w:numPr>
                <w:ilvl w:val="0"/>
                <w:numId w:val="7"/>
              </w:numPr>
              <w:spacing w:after="0"/>
              <w:jc w:val="left"/>
              <w:rPr>
                <w:rFonts w:cs="Arial"/>
                <w:noProof/>
                <w:szCs w:val="20"/>
                <w:lang w:val="en-GB" w:eastAsia="zh-CN"/>
              </w:rPr>
            </w:pPr>
            <w:r w:rsidRPr="003B6A69">
              <w:rPr>
                <w:rFonts w:cs="Arial"/>
                <w:noProof/>
                <w:szCs w:val="20"/>
                <w:lang w:val="en-GB" w:eastAsia="zh-CN"/>
              </w:rPr>
              <w:t>Strong computer skills, in particular mastery of all applications of the MS Office package and internet search.</w:t>
            </w:r>
          </w:p>
          <w:p w14:paraId="4AEDFBCA" w14:textId="77777777" w:rsidR="004B5665" w:rsidRPr="003B6A69" w:rsidRDefault="004B5665" w:rsidP="00127DDC">
            <w:pPr>
              <w:numPr>
                <w:ilvl w:val="0"/>
                <w:numId w:val="7"/>
              </w:numPr>
              <w:spacing w:after="0"/>
              <w:jc w:val="left"/>
              <w:rPr>
                <w:rFonts w:cs="Arial"/>
                <w:noProof/>
                <w:szCs w:val="20"/>
                <w:lang w:val="en-GB" w:eastAsia="zh-CN"/>
              </w:rPr>
            </w:pPr>
            <w:r w:rsidRPr="003B6A69">
              <w:rPr>
                <w:rFonts w:cs="Arial"/>
                <w:noProof/>
                <w:szCs w:val="20"/>
                <w:lang w:val="en-GB" w:eastAsia="zh-CN"/>
              </w:rPr>
              <w:t>Excellent command of English and local languages.</w:t>
            </w:r>
          </w:p>
          <w:p w14:paraId="26E15A23" w14:textId="77777777" w:rsidR="004B5665" w:rsidRPr="003B6A69" w:rsidRDefault="004B5665" w:rsidP="00127DDC">
            <w:pPr>
              <w:jc w:val="left"/>
              <w:rPr>
                <w:szCs w:val="20"/>
                <w:lang w:val="en-GB" w:eastAsia="ja-JP"/>
              </w:rPr>
            </w:pPr>
          </w:p>
        </w:tc>
      </w:tr>
      <w:tr w:rsidR="00D1090B" w:rsidRPr="003B6A69" w14:paraId="180645BB" w14:textId="77777777" w:rsidTr="00D1090B">
        <w:tc>
          <w:tcPr>
            <w:tcW w:w="1413" w:type="dxa"/>
            <w:tcBorders>
              <w:top w:val="single" w:sz="4" w:space="0" w:color="auto"/>
              <w:left w:val="single" w:sz="4" w:space="0" w:color="auto"/>
              <w:bottom w:val="single" w:sz="4" w:space="0" w:color="auto"/>
              <w:right w:val="single" w:sz="4" w:space="0" w:color="auto"/>
            </w:tcBorders>
          </w:tcPr>
          <w:p w14:paraId="326C62DD" w14:textId="4357E11E" w:rsidR="00D1090B" w:rsidRPr="003B6A69" w:rsidRDefault="004B5665" w:rsidP="00D1090B">
            <w:pPr>
              <w:pStyle w:val="CharCharChar1"/>
              <w:spacing w:after="120" w:line="240" w:lineRule="auto"/>
              <w:rPr>
                <w:rFonts w:cs="Times New Roman"/>
                <w:lang w:val="en-GB" w:eastAsia="ja-JP"/>
              </w:rPr>
            </w:pPr>
            <w:r w:rsidRPr="00EB189A">
              <w:rPr>
                <w:rFonts w:cs="Times New Roman"/>
                <w:highlight w:val="green"/>
                <w:lang w:val="en-GB" w:eastAsia="ja-JP"/>
              </w:rPr>
              <w:lastRenderedPageBreak/>
              <w:t>Chief</w:t>
            </w:r>
            <w:r w:rsidR="00F313EE" w:rsidRPr="00EB189A">
              <w:rPr>
                <w:rFonts w:cs="Times New Roman"/>
                <w:highlight w:val="green"/>
                <w:lang w:val="en-GB" w:eastAsia="ja-JP"/>
              </w:rPr>
              <w:t xml:space="preserve"> Technical </w:t>
            </w:r>
            <w:r w:rsidRPr="00EB189A">
              <w:rPr>
                <w:rFonts w:cs="Times New Roman"/>
                <w:highlight w:val="green"/>
                <w:lang w:val="en-GB" w:eastAsia="ja-JP"/>
              </w:rPr>
              <w:t>Specialist</w:t>
            </w:r>
          </w:p>
          <w:p w14:paraId="074124B7" w14:textId="5151F2CF" w:rsidR="00D1090B" w:rsidRPr="003B6A69" w:rsidRDefault="00D1090B" w:rsidP="00D1090B">
            <w:pPr>
              <w:pStyle w:val="CharCharChar1"/>
              <w:spacing w:after="120" w:line="240" w:lineRule="auto"/>
              <w:rPr>
                <w:rFonts w:cs="Times New Roman"/>
                <w:lang w:val="en-GB" w:eastAsia="ja-JP"/>
              </w:rPr>
            </w:pPr>
          </w:p>
        </w:tc>
        <w:tc>
          <w:tcPr>
            <w:tcW w:w="8647" w:type="dxa"/>
            <w:tcBorders>
              <w:top w:val="single" w:sz="4" w:space="0" w:color="auto"/>
              <w:left w:val="single" w:sz="4" w:space="0" w:color="auto"/>
              <w:bottom w:val="single" w:sz="4" w:space="0" w:color="auto"/>
              <w:right w:val="single" w:sz="4" w:space="0" w:color="auto"/>
            </w:tcBorders>
            <w:hideMark/>
          </w:tcPr>
          <w:p w14:paraId="7D858562" w14:textId="2480E141" w:rsidR="00900588" w:rsidRPr="003B6A69" w:rsidRDefault="00403B35" w:rsidP="00D1090B">
            <w:pPr>
              <w:jc w:val="left"/>
              <w:rPr>
                <w:rFonts w:cs="Arial"/>
                <w:iCs/>
                <w:noProof/>
                <w:szCs w:val="20"/>
                <w:lang w:val="en-GB" w:eastAsia="zh-CN"/>
              </w:rPr>
            </w:pPr>
            <w:r w:rsidRPr="003B6A69">
              <w:rPr>
                <w:szCs w:val="20"/>
              </w:rPr>
              <w:t xml:space="preserve">The </w:t>
            </w:r>
            <w:r w:rsidR="00EB189A">
              <w:rPr>
                <w:lang w:val="en-GB" w:eastAsia="ja-JP"/>
              </w:rPr>
              <w:t>Chief</w:t>
            </w:r>
            <w:r w:rsidR="00EB189A" w:rsidRPr="003B6A69">
              <w:rPr>
                <w:lang w:val="en-GB" w:eastAsia="ja-JP"/>
              </w:rPr>
              <w:t xml:space="preserve"> Technical </w:t>
            </w:r>
            <w:r w:rsidR="00EB189A">
              <w:rPr>
                <w:lang w:val="en-GB" w:eastAsia="ja-JP"/>
              </w:rPr>
              <w:t>Specialist</w:t>
            </w:r>
            <w:r w:rsidR="00EB189A" w:rsidRPr="003B6A69">
              <w:rPr>
                <w:szCs w:val="20"/>
              </w:rPr>
              <w:t xml:space="preserve"> </w:t>
            </w:r>
            <w:r w:rsidRPr="003B6A69">
              <w:rPr>
                <w:szCs w:val="20"/>
              </w:rPr>
              <w:t>(</w:t>
            </w:r>
            <w:r w:rsidR="00EB189A">
              <w:rPr>
                <w:szCs w:val="20"/>
              </w:rPr>
              <w:t>CTS</w:t>
            </w:r>
            <w:r w:rsidRPr="003B6A69">
              <w:rPr>
                <w:szCs w:val="20"/>
              </w:rPr>
              <w:t xml:space="preserve">) will be a locally recruited national selected based on an open competitive process. He/she will be providing technical input for the implementation of the project, will ensure technical coordination and mobilization of all project inputs and synergy between the project components, will be technically supervising project staff, </w:t>
            </w:r>
            <w:proofErr w:type="gramStart"/>
            <w:r w:rsidRPr="003B6A69">
              <w:rPr>
                <w:szCs w:val="20"/>
              </w:rPr>
              <w:t>consultants</w:t>
            </w:r>
            <w:proofErr w:type="gramEnd"/>
            <w:r w:rsidRPr="003B6A69">
              <w:rPr>
                <w:szCs w:val="20"/>
              </w:rPr>
              <w:t xml:space="preserve"> and sub-contractors. </w:t>
            </w:r>
            <w:r w:rsidR="00900588" w:rsidRPr="003B6A69">
              <w:rPr>
                <w:szCs w:val="20"/>
              </w:rPr>
              <w:t xml:space="preserve">The </w:t>
            </w:r>
            <w:r w:rsidR="00EB189A">
              <w:rPr>
                <w:szCs w:val="20"/>
              </w:rPr>
              <w:t>CTS</w:t>
            </w:r>
            <w:r w:rsidR="00900588" w:rsidRPr="003B6A69">
              <w:rPr>
                <w:szCs w:val="20"/>
              </w:rPr>
              <w:t xml:space="preserve"> will be tasked with the </w:t>
            </w:r>
            <w:r w:rsidRPr="003B6A69">
              <w:rPr>
                <w:szCs w:val="20"/>
              </w:rPr>
              <w:t>technical supervision over implementation of project technical Outcomes, KM and M&amp;E</w:t>
            </w:r>
            <w:r w:rsidR="00900588" w:rsidRPr="003B6A69">
              <w:rPr>
                <w:szCs w:val="20"/>
              </w:rPr>
              <w:t>, as well as with substantive, financial and administrative reporting.</w:t>
            </w:r>
          </w:p>
          <w:p w14:paraId="45E7D12F" w14:textId="3267EE60" w:rsidR="00900588" w:rsidRPr="003B6A69" w:rsidRDefault="00403B35" w:rsidP="00D1090B">
            <w:pPr>
              <w:pStyle w:val="Header"/>
              <w:tabs>
                <w:tab w:val="clear" w:pos="4153"/>
                <w:tab w:val="clear" w:pos="8306"/>
              </w:tabs>
              <w:spacing w:after="0"/>
              <w:jc w:val="left"/>
              <w:rPr>
                <w:iCs/>
                <w:szCs w:val="20"/>
              </w:rPr>
            </w:pPr>
            <w:r w:rsidRPr="003B6A69">
              <w:rPr>
                <w:iCs/>
                <w:szCs w:val="20"/>
                <w:lang w:val="en-GB"/>
              </w:rPr>
              <w:t xml:space="preserve">The </w:t>
            </w:r>
            <w:r w:rsidR="00EB189A">
              <w:rPr>
                <w:iCs/>
                <w:szCs w:val="20"/>
                <w:lang w:val="en-GB"/>
              </w:rPr>
              <w:t>CTS</w:t>
            </w:r>
            <w:r w:rsidRPr="003B6A69">
              <w:rPr>
                <w:iCs/>
                <w:szCs w:val="20"/>
                <w:lang w:val="en-GB"/>
              </w:rPr>
              <w:t xml:space="preserve"> </w:t>
            </w:r>
            <w:r w:rsidR="00EB189A">
              <w:rPr>
                <w:iCs/>
                <w:szCs w:val="20"/>
                <w:lang w:val="en-GB"/>
              </w:rPr>
              <w:t>will technically support the PM to</w:t>
            </w:r>
            <w:r w:rsidRPr="003B6A69">
              <w:rPr>
                <w:iCs/>
                <w:szCs w:val="20"/>
                <w:lang w:val="en-GB"/>
              </w:rPr>
              <w:t xml:space="preserve"> ensure that the project impact contributes to the overall achievement of the main objective set for the project, and the project delivers the global environmental benefits as pledge</w:t>
            </w:r>
            <w:r w:rsidR="00EB189A">
              <w:rPr>
                <w:iCs/>
                <w:szCs w:val="20"/>
                <w:lang w:val="en-GB"/>
              </w:rPr>
              <w:t>d in the project document.  The CTS together with the PM will technically support the project reporting, will prepare</w:t>
            </w:r>
            <w:r w:rsidRPr="003B6A69">
              <w:rPr>
                <w:iCs/>
                <w:szCs w:val="20"/>
                <w:lang w:val="en-GB"/>
              </w:rPr>
              <w:t xml:space="preserve"> the yearly project workplan for the appraisal by the Project Steering Committee, develop TORs/SOWs for project activities and ensure the technical appraisal of project products and deliverables. </w:t>
            </w:r>
          </w:p>
          <w:p w14:paraId="63D99290" w14:textId="77777777" w:rsidR="00900588" w:rsidRPr="003B6A69" w:rsidRDefault="00900588" w:rsidP="00D1090B">
            <w:pPr>
              <w:pStyle w:val="Header"/>
              <w:tabs>
                <w:tab w:val="clear" w:pos="4153"/>
                <w:tab w:val="clear" w:pos="8306"/>
              </w:tabs>
              <w:spacing w:after="0"/>
              <w:jc w:val="left"/>
              <w:rPr>
                <w:szCs w:val="20"/>
              </w:rPr>
            </w:pPr>
          </w:p>
          <w:p w14:paraId="1E34FD15" w14:textId="2E4600BE" w:rsidR="00900588" w:rsidRPr="003B6A69" w:rsidRDefault="00900588" w:rsidP="00D1090B">
            <w:pPr>
              <w:pStyle w:val="Header"/>
              <w:tabs>
                <w:tab w:val="clear" w:pos="4153"/>
                <w:tab w:val="clear" w:pos="8306"/>
              </w:tabs>
              <w:spacing w:after="0"/>
              <w:jc w:val="left"/>
              <w:rPr>
                <w:iCs/>
                <w:szCs w:val="20"/>
              </w:rPr>
            </w:pPr>
            <w:r w:rsidRPr="003B6A69">
              <w:rPr>
                <w:szCs w:val="20"/>
              </w:rPr>
              <w:t xml:space="preserve">The </w:t>
            </w:r>
            <w:r w:rsidR="00EB189A">
              <w:rPr>
                <w:szCs w:val="20"/>
              </w:rPr>
              <w:t>CTS</w:t>
            </w:r>
            <w:r w:rsidRPr="003B6A69">
              <w:rPr>
                <w:szCs w:val="20"/>
              </w:rPr>
              <w:t xml:space="preserve"> will report to </w:t>
            </w:r>
            <w:r w:rsidR="00EB189A">
              <w:rPr>
                <w:szCs w:val="20"/>
              </w:rPr>
              <w:t>the PM,</w:t>
            </w:r>
            <w:r w:rsidRPr="003B6A69">
              <w:rPr>
                <w:szCs w:val="20"/>
              </w:rPr>
              <w:t xml:space="preserve"> the Implementing Partner and UNDP Montenegro CO. </w:t>
            </w:r>
          </w:p>
          <w:p w14:paraId="4E026A7D" w14:textId="6950D5CF" w:rsidR="00D1090B" w:rsidRPr="003B6A69" w:rsidRDefault="00D1090B" w:rsidP="00D1090B">
            <w:pPr>
              <w:pStyle w:val="Header"/>
              <w:tabs>
                <w:tab w:val="clear" w:pos="4153"/>
                <w:tab w:val="clear" w:pos="8306"/>
              </w:tabs>
              <w:spacing w:after="0"/>
              <w:jc w:val="left"/>
              <w:rPr>
                <w:rFonts w:cs="Arial"/>
                <w:noProof/>
                <w:szCs w:val="20"/>
                <w:lang w:val="en-GB" w:eastAsia="zh-CN"/>
              </w:rPr>
            </w:pPr>
            <w:r w:rsidRPr="003B6A69">
              <w:rPr>
                <w:rFonts w:cs="Arial"/>
                <w:noProof/>
                <w:szCs w:val="20"/>
                <w:lang w:val="en-GB" w:eastAsia="zh-CN"/>
              </w:rPr>
              <w:tab/>
            </w:r>
          </w:p>
          <w:p w14:paraId="4DBC1201" w14:textId="77777777" w:rsidR="00D1090B" w:rsidRPr="003B6A69" w:rsidRDefault="00D1090B" w:rsidP="00D1090B">
            <w:pPr>
              <w:spacing w:after="0"/>
              <w:jc w:val="left"/>
              <w:rPr>
                <w:rFonts w:cs="Arial"/>
                <w:noProof/>
                <w:szCs w:val="20"/>
                <w:u w:val="single"/>
                <w:lang w:val="en-GB" w:eastAsia="zh-CN"/>
              </w:rPr>
            </w:pPr>
            <w:r w:rsidRPr="003B6A69">
              <w:rPr>
                <w:rFonts w:cs="Arial"/>
                <w:noProof/>
                <w:szCs w:val="20"/>
                <w:u w:val="single"/>
                <w:lang w:val="en-GB" w:eastAsia="zh-CN"/>
              </w:rPr>
              <w:t>Duties and Responsibilities</w:t>
            </w:r>
          </w:p>
          <w:p w14:paraId="189822CA" w14:textId="37667128" w:rsidR="002F09AC" w:rsidRPr="003B6A69" w:rsidRDefault="002F09AC" w:rsidP="003C6B7B">
            <w:pPr>
              <w:numPr>
                <w:ilvl w:val="0"/>
                <w:numId w:val="62"/>
              </w:numPr>
              <w:tabs>
                <w:tab w:val="num" w:pos="794"/>
              </w:tabs>
              <w:rPr>
                <w:szCs w:val="20"/>
              </w:rPr>
            </w:pPr>
            <w:r w:rsidRPr="003B6A69">
              <w:rPr>
                <w:szCs w:val="20"/>
              </w:rPr>
              <w:t xml:space="preserve">Plan the activities of the project </w:t>
            </w:r>
            <w:r w:rsidR="00E4544A" w:rsidRPr="003B6A69">
              <w:rPr>
                <w:szCs w:val="20"/>
              </w:rPr>
              <w:t xml:space="preserve">under technical Components 1, 2 and 3 and, jointly with technical specialists, </w:t>
            </w:r>
            <w:r w:rsidRPr="003B6A69">
              <w:rPr>
                <w:szCs w:val="20"/>
              </w:rPr>
              <w:t xml:space="preserve">monitor progress against the initial quality criteria, </w:t>
            </w:r>
            <w:proofErr w:type="gramStart"/>
            <w:r w:rsidRPr="003B6A69">
              <w:rPr>
                <w:szCs w:val="20"/>
              </w:rPr>
              <w:t>i.e.</w:t>
            </w:r>
            <w:proofErr w:type="gramEnd"/>
            <w:r w:rsidRPr="003B6A69">
              <w:rPr>
                <w:szCs w:val="20"/>
              </w:rPr>
              <w:t xml:space="preserve"> vis-à-vis indicators in the </w:t>
            </w:r>
            <w:proofErr w:type="spellStart"/>
            <w:r w:rsidRPr="003B6A69">
              <w:rPr>
                <w:szCs w:val="20"/>
              </w:rPr>
              <w:t>logframe</w:t>
            </w:r>
            <w:proofErr w:type="spellEnd"/>
            <w:r w:rsidRPr="003B6A69">
              <w:rPr>
                <w:szCs w:val="20"/>
              </w:rPr>
              <w:t xml:space="preserve">; </w:t>
            </w:r>
          </w:p>
          <w:p w14:paraId="1F7B5329" w14:textId="77777777" w:rsidR="002F09AC" w:rsidRPr="003B6A69" w:rsidRDefault="002F09AC" w:rsidP="003C6B7B">
            <w:pPr>
              <w:numPr>
                <w:ilvl w:val="0"/>
                <w:numId w:val="62"/>
              </w:numPr>
              <w:tabs>
                <w:tab w:val="num" w:pos="794"/>
              </w:tabs>
              <w:rPr>
                <w:szCs w:val="20"/>
              </w:rPr>
            </w:pPr>
            <w:r w:rsidRPr="003B6A69">
              <w:rPr>
                <w:szCs w:val="20"/>
              </w:rPr>
              <w:t xml:space="preserve">Ensure technical coordination and mobilization of all project inputs and synergy between the project components throughout the project </w:t>
            </w:r>
            <w:proofErr w:type="gramStart"/>
            <w:r w:rsidRPr="003B6A69">
              <w:rPr>
                <w:szCs w:val="20"/>
              </w:rPr>
              <w:t>implementation;</w:t>
            </w:r>
            <w:proofErr w:type="gramEnd"/>
          </w:p>
          <w:p w14:paraId="59321313" w14:textId="600A5C54" w:rsidR="002F09AC" w:rsidRPr="003B6A69" w:rsidRDefault="002F09AC" w:rsidP="003C6B7B">
            <w:pPr>
              <w:numPr>
                <w:ilvl w:val="0"/>
                <w:numId w:val="62"/>
              </w:numPr>
              <w:tabs>
                <w:tab w:val="num" w:pos="794"/>
              </w:tabs>
              <w:rPr>
                <w:szCs w:val="20"/>
              </w:rPr>
            </w:pPr>
            <w:r w:rsidRPr="003B6A69">
              <w:rPr>
                <w:szCs w:val="20"/>
              </w:rPr>
              <w:t xml:space="preserve">Streamline the integrated approach and cross-sectoral cooperation and coordination </w:t>
            </w:r>
            <w:r w:rsidR="00E4544A" w:rsidRPr="003B6A69">
              <w:rPr>
                <w:szCs w:val="20"/>
              </w:rPr>
              <w:t xml:space="preserve">between project technical Components 1 and 2 </w:t>
            </w:r>
            <w:r w:rsidRPr="003B6A69">
              <w:rPr>
                <w:szCs w:val="20"/>
              </w:rPr>
              <w:t xml:space="preserve">in order to achieve the </w:t>
            </w:r>
            <w:r w:rsidRPr="003B6A69">
              <w:rPr>
                <w:rFonts w:cs="Calibri"/>
                <w:bCs/>
              </w:rPr>
              <w:t>transform</w:t>
            </w:r>
            <w:r w:rsidR="00E4544A" w:rsidRPr="003B6A69">
              <w:rPr>
                <w:rFonts w:cs="Calibri"/>
                <w:bCs/>
              </w:rPr>
              <w:t xml:space="preserve">ative changes towards better protection and sustainable management of KBAs and biodiversity </w:t>
            </w:r>
            <w:proofErr w:type="gramStart"/>
            <w:r w:rsidR="00E4544A" w:rsidRPr="003B6A69">
              <w:rPr>
                <w:rFonts w:cs="Calibri"/>
                <w:bCs/>
              </w:rPr>
              <w:t>corridors</w:t>
            </w:r>
            <w:r w:rsidRPr="003B6A69">
              <w:rPr>
                <w:szCs w:val="20"/>
              </w:rPr>
              <w:t>;</w:t>
            </w:r>
            <w:proofErr w:type="gramEnd"/>
            <w:r w:rsidRPr="003B6A69">
              <w:rPr>
                <w:szCs w:val="20"/>
              </w:rPr>
              <w:t xml:space="preserve"> </w:t>
            </w:r>
          </w:p>
          <w:p w14:paraId="7112AF2B" w14:textId="27AFA23C" w:rsidR="002F09AC" w:rsidRPr="003B6A69" w:rsidRDefault="002F09AC" w:rsidP="003C6B7B">
            <w:pPr>
              <w:numPr>
                <w:ilvl w:val="0"/>
                <w:numId w:val="62"/>
              </w:numPr>
              <w:tabs>
                <w:tab w:val="num" w:pos="794"/>
              </w:tabs>
              <w:rPr>
                <w:szCs w:val="20"/>
              </w:rPr>
            </w:pPr>
            <w:r w:rsidRPr="003B6A69">
              <w:rPr>
                <w:szCs w:val="20"/>
              </w:rPr>
              <w:t xml:space="preserve">Facilitate the </w:t>
            </w:r>
            <w:r w:rsidRPr="003B6A69">
              <w:t xml:space="preserve">engagement of the private sector, including </w:t>
            </w:r>
            <w:r w:rsidR="00E4544A" w:rsidRPr="003B6A69">
              <w:t xml:space="preserve">tourism businesses, </w:t>
            </w:r>
            <w:r w:rsidR="00997C4A" w:rsidRPr="003B6A69">
              <w:t>private</w:t>
            </w:r>
            <w:r w:rsidR="00E4544A" w:rsidRPr="003B6A69">
              <w:t xml:space="preserve"> forest owners and “green” farmers</w:t>
            </w:r>
            <w:r w:rsidRPr="003B6A69">
              <w:t xml:space="preserve">, as key project </w:t>
            </w:r>
            <w:proofErr w:type="gramStart"/>
            <w:r w:rsidRPr="003B6A69">
              <w:t>partners;</w:t>
            </w:r>
            <w:proofErr w:type="gramEnd"/>
          </w:p>
          <w:p w14:paraId="74D6FAB5" w14:textId="249B12E8" w:rsidR="002F09AC" w:rsidRPr="003B6A69" w:rsidRDefault="002F09AC" w:rsidP="003C6B7B">
            <w:pPr>
              <w:numPr>
                <w:ilvl w:val="0"/>
                <w:numId w:val="62"/>
              </w:numPr>
              <w:tabs>
                <w:tab w:val="num" w:pos="794"/>
              </w:tabs>
              <w:rPr>
                <w:szCs w:val="20"/>
              </w:rPr>
            </w:pPr>
            <w:r w:rsidRPr="003B6A69">
              <w:rPr>
                <w:bCs/>
                <w:szCs w:val="20"/>
              </w:rPr>
              <w:t xml:space="preserve">Provide technical leadership and guidance to the project implementation team and development partners to make sure that the project efforts in providing better </w:t>
            </w:r>
            <w:r w:rsidR="00E4544A" w:rsidRPr="003B6A69">
              <w:rPr>
                <w:bCs/>
                <w:szCs w:val="20"/>
              </w:rPr>
              <w:t>functioning</w:t>
            </w:r>
            <w:r w:rsidRPr="003B6A69">
              <w:rPr>
                <w:bCs/>
                <w:szCs w:val="20"/>
              </w:rPr>
              <w:t xml:space="preserve"> </w:t>
            </w:r>
            <w:r w:rsidR="00E4544A" w:rsidRPr="003B6A69">
              <w:rPr>
                <w:bCs/>
                <w:szCs w:val="20"/>
              </w:rPr>
              <w:t>of PA estate</w:t>
            </w:r>
            <w:r w:rsidRPr="003B6A69">
              <w:rPr>
                <w:bCs/>
                <w:szCs w:val="20"/>
              </w:rPr>
              <w:t xml:space="preserve"> are balanced with the </w:t>
            </w:r>
            <w:r w:rsidR="00E4544A" w:rsidRPr="003B6A69">
              <w:rPr>
                <w:bCs/>
                <w:szCs w:val="20"/>
              </w:rPr>
              <w:t xml:space="preserve">sectoral BD mainstreaming efforts planned within the project Component </w:t>
            </w:r>
            <w:proofErr w:type="gramStart"/>
            <w:r w:rsidR="00E4544A" w:rsidRPr="003B6A69">
              <w:rPr>
                <w:bCs/>
                <w:szCs w:val="20"/>
              </w:rPr>
              <w:t>2</w:t>
            </w:r>
            <w:r w:rsidRPr="003B6A69">
              <w:rPr>
                <w:bCs/>
                <w:szCs w:val="20"/>
              </w:rPr>
              <w:t>;</w:t>
            </w:r>
            <w:proofErr w:type="gramEnd"/>
            <w:r w:rsidRPr="003B6A69">
              <w:rPr>
                <w:bCs/>
                <w:szCs w:val="20"/>
              </w:rPr>
              <w:t xml:space="preserve"> </w:t>
            </w:r>
          </w:p>
          <w:p w14:paraId="6C3120C6" w14:textId="1B629423" w:rsidR="00E4544A" w:rsidRPr="003B6A69" w:rsidRDefault="00E4544A" w:rsidP="003C6B7B">
            <w:pPr>
              <w:numPr>
                <w:ilvl w:val="0"/>
                <w:numId w:val="62"/>
              </w:numPr>
              <w:tabs>
                <w:tab w:val="num" w:pos="794"/>
              </w:tabs>
              <w:rPr>
                <w:szCs w:val="20"/>
              </w:rPr>
            </w:pPr>
            <w:r w:rsidRPr="003B6A69">
              <w:rPr>
                <w:bCs/>
                <w:szCs w:val="20"/>
              </w:rPr>
              <w:t>Make sure the project inputs into BD research and assessments (Outcome 2) are up-scaled to actual spatial planning arrangement for unprotected BD hot-</w:t>
            </w:r>
            <w:proofErr w:type="gramStart"/>
            <w:r w:rsidRPr="003B6A69">
              <w:rPr>
                <w:bCs/>
                <w:szCs w:val="20"/>
              </w:rPr>
              <w:t>spots;</w:t>
            </w:r>
            <w:proofErr w:type="gramEnd"/>
          </w:p>
          <w:p w14:paraId="765CD5C8" w14:textId="77777777" w:rsidR="002F09AC" w:rsidRPr="003B6A69" w:rsidRDefault="002F09AC" w:rsidP="003C6B7B">
            <w:pPr>
              <w:numPr>
                <w:ilvl w:val="0"/>
                <w:numId w:val="62"/>
              </w:numPr>
              <w:tabs>
                <w:tab w:val="num" w:pos="794"/>
              </w:tabs>
              <w:rPr>
                <w:szCs w:val="20"/>
              </w:rPr>
            </w:pPr>
            <w:r w:rsidRPr="003B6A69">
              <w:rPr>
                <w:bCs/>
                <w:szCs w:val="20"/>
              </w:rPr>
              <w:t xml:space="preserve">Make sure that the project planning is done on the basis of a thorough feasibility analysis and the best available knowledge and </w:t>
            </w:r>
            <w:proofErr w:type="gramStart"/>
            <w:r w:rsidRPr="003B6A69">
              <w:rPr>
                <w:bCs/>
                <w:szCs w:val="20"/>
              </w:rPr>
              <w:t>practices;</w:t>
            </w:r>
            <w:proofErr w:type="gramEnd"/>
            <w:r w:rsidRPr="003B6A69">
              <w:rPr>
                <w:bCs/>
                <w:szCs w:val="20"/>
              </w:rPr>
              <w:t xml:space="preserve"> </w:t>
            </w:r>
          </w:p>
          <w:p w14:paraId="62824660" w14:textId="77777777" w:rsidR="002F09AC" w:rsidRPr="003B6A69" w:rsidRDefault="002F09AC" w:rsidP="003C6B7B">
            <w:pPr>
              <w:numPr>
                <w:ilvl w:val="0"/>
                <w:numId w:val="62"/>
              </w:numPr>
              <w:tabs>
                <w:tab w:val="num" w:pos="794"/>
              </w:tabs>
              <w:rPr>
                <w:szCs w:val="20"/>
              </w:rPr>
            </w:pPr>
            <w:r w:rsidRPr="003B6A69">
              <w:rPr>
                <w:bCs/>
                <w:szCs w:val="20"/>
              </w:rPr>
              <w:lastRenderedPageBreak/>
              <w:t xml:space="preserve">Ensure that the project planning is adaptive to the changing implementation environment and takes into account the existing practice and lessons that are being learned from the other projects and </w:t>
            </w:r>
            <w:proofErr w:type="gramStart"/>
            <w:r w:rsidRPr="003B6A69">
              <w:rPr>
                <w:bCs/>
                <w:szCs w:val="20"/>
              </w:rPr>
              <w:t>regions;</w:t>
            </w:r>
            <w:proofErr w:type="gramEnd"/>
          </w:p>
          <w:p w14:paraId="3AD2C04B" w14:textId="5830B6FC" w:rsidR="002F09AC" w:rsidRPr="003B6A69" w:rsidRDefault="00EB189A" w:rsidP="003C6B7B">
            <w:pPr>
              <w:numPr>
                <w:ilvl w:val="0"/>
                <w:numId w:val="62"/>
              </w:numPr>
              <w:tabs>
                <w:tab w:val="num" w:pos="794"/>
              </w:tabs>
              <w:rPr>
                <w:szCs w:val="20"/>
              </w:rPr>
            </w:pPr>
            <w:r>
              <w:rPr>
                <w:szCs w:val="20"/>
              </w:rPr>
              <w:t xml:space="preserve">Provide technical contribution to project </w:t>
            </w:r>
            <w:proofErr w:type="spellStart"/>
            <w:r>
              <w:rPr>
                <w:szCs w:val="20"/>
              </w:rPr>
              <w:t>workplanning</w:t>
            </w:r>
            <w:proofErr w:type="spellEnd"/>
            <w:r>
              <w:rPr>
                <w:szCs w:val="20"/>
              </w:rPr>
              <w:t xml:space="preserve"> and </w:t>
            </w:r>
            <w:proofErr w:type="gramStart"/>
            <w:r>
              <w:rPr>
                <w:szCs w:val="20"/>
              </w:rPr>
              <w:t xml:space="preserve">reporting </w:t>
            </w:r>
            <w:r w:rsidR="002F09AC" w:rsidRPr="003B6A69">
              <w:rPr>
                <w:szCs w:val="20"/>
              </w:rPr>
              <w:t xml:space="preserve"> ;</w:t>
            </w:r>
            <w:proofErr w:type="gramEnd"/>
          </w:p>
          <w:p w14:paraId="0E05D212" w14:textId="2782259B" w:rsidR="002F09AC" w:rsidRPr="003B6A69" w:rsidRDefault="002F09AC" w:rsidP="003C6B7B">
            <w:pPr>
              <w:numPr>
                <w:ilvl w:val="0"/>
                <w:numId w:val="62"/>
              </w:numPr>
              <w:tabs>
                <w:tab w:val="num" w:pos="794"/>
              </w:tabs>
              <w:rPr>
                <w:szCs w:val="20"/>
              </w:rPr>
            </w:pPr>
            <w:r w:rsidRPr="003B6A69">
              <w:rPr>
                <w:szCs w:val="20"/>
              </w:rPr>
              <w:t>Prepare TORs and work specifications</w:t>
            </w:r>
            <w:r w:rsidR="00E4544A" w:rsidRPr="003B6A69">
              <w:rPr>
                <w:szCs w:val="20"/>
              </w:rPr>
              <w:t xml:space="preserve"> for key technical experts under Components 1, </w:t>
            </w:r>
            <w:proofErr w:type="gramStart"/>
            <w:r w:rsidR="00E4544A" w:rsidRPr="003B6A69">
              <w:rPr>
                <w:szCs w:val="20"/>
              </w:rPr>
              <w:t>2,and</w:t>
            </w:r>
            <w:proofErr w:type="gramEnd"/>
            <w:r w:rsidR="00E4544A" w:rsidRPr="003B6A69">
              <w:rPr>
                <w:szCs w:val="20"/>
              </w:rPr>
              <w:t xml:space="preserve"> 3. Coach and train the technical experts under components until they are fully capable of implementing the tasks</w:t>
            </w:r>
            <w:r w:rsidRPr="003B6A69">
              <w:rPr>
                <w:szCs w:val="20"/>
              </w:rPr>
              <w:t xml:space="preserve">; </w:t>
            </w:r>
          </w:p>
          <w:p w14:paraId="1058C393" w14:textId="7B4DA9D7" w:rsidR="002F09AC" w:rsidRPr="003B6A69" w:rsidRDefault="002F09AC" w:rsidP="003C6B7B">
            <w:pPr>
              <w:numPr>
                <w:ilvl w:val="0"/>
                <w:numId w:val="62"/>
              </w:numPr>
              <w:tabs>
                <w:tab w:val="num" w:pos="794"/>
              </w:tabs>
              <w:rPr>
                <w:szCs w:val="20"/>
              </w:rPr>
            </w:pPr>
            <w:proofErr w:type="gramStart"/>
            <w:r w:rsidRPr="003B6A69">
              <w:rPr>
                <w:szCs w:val="20"/>
                <w:lang w:val="en-GB"/>
              </w:rPr>
              <w:t xml:space="preserve">Review  </w:t>
            </w:r>
            <w:r w:rsidR="00E4544A" w:rsidRPr="003B6A69">
              <w:rPr>
                <w:szCs w:val="20"/>
                <w:lang w:val="en-GB"/>
              </w:rPr>
              <w:t>technical</w:t>
            </w:r>
            <w:proofErr w:type="gramEnd"/>
            <w:r w:rsidR="00E4544A" w:rsidRPr="003B6A69">
              <w:rPr>
                <w:szCs w:val="20"/>
                <w:lang w:val="en-GB"/>
              </w:rPr>
              <w:t xml:space="preserve"> reports under Components 1 and 2</w:t>
            </w:r>
            <w:r w:rsidRPr="003B6A69">
              <w:rPr>
                <w:szCs w:val="20"/>
                <w:lang w:val="en-GB"/>
              </w:rPr>
              <w:t xml:space="preserve">, </w:t>
            </w:r>
            <w:r w:rsidR="00E4544A" w:rsidRPr="003B6A69">
              <w:rPr>
                <w:szCs w:val="20"/>
                <w:lang w:val="en-GB"/>
              </w:rPr>
              <w:t>substantively contribute to development of technical knowledge products and other deliverables obtained from consultants and contractors, ensure technical assessment and control of quality</w:t>
            </w:r>
            <w:r w:rsidRPr="003B6A69">
              <w:rPr>
                <w:szCs w:val="20"/>
                <w:lang w:val="en-GB"/>
              </w:rPr>
              <w:t xml:space="preserve">; </w:t>
            </w:r>
          </w:p>
          <w:p w14:paraId="17B6EF2A" w14:textId="77777777" w:rsidR="002F09AC" w:rsidRPr="003B6A69" w:rsidRDefault="002F09AC" w:rsidP="003C6B7B">
            <w:pPr>
              <w:numPr>
                <w:ilvl w:val="0"/>
                <w:numId w:val="62"/>
              </w:numPr>
              <w:tabs>
                <w:tab w:val="num" w:pos="794"/>
              </w:tabs>
              <w:rPr>
                <w:szCs w:val="20"/>
              </w:rPr>
            </w:pPr>
            <w:r w:rsidRPr="003B6A69">
              <w:rPr>
                <w:szCs w:val="20"/>
              </w:rPr>
              <w:t xml:space="preserve">Monitor the implementation of project components, </w:t>
            </w:r>
            <w:proofErr w:type="spellStart"/>
            <w:r w:rsidRPr="003B6A69">
              <w:rPr>
                <w:szCs w:val="20"/>
              </w:rPr>
              <w:t>analyse</w:t>
            </w:r>
            <w:proofErr w:type="spellEnd"/>
            <w:r w:rsidRPr="003B6A69">
              <w:rPr>
                <w:szCs w:val="20"/>
              </w:rPr>
              <w:t xml:space="preserve"> problems that hamper their implementation and takes appropriate measures to ensure timely delivery of required inputs and achievement of project-wide </w:t>
            </w:r>
            <w:proofErr w:type="gramStart"/>
            <w:r w:rsidRPr="003B6A69">
              <w:rPr>
                <w:szCs w:val="20"/>
              </w:rPr>
              <w:t>results;</w:t>
            </w:r>
            <w:proofErr w:type="gramEnd"/>
          </w:p>
          <w:p w14:paraId="6001CAD7" w14:textId="0D3FEE29" w:rsidR="002F09AC" w:rsidRPr="003B6A69" w:rsidRDefault="002F09AC" w:rsidP="003C6B7B">
            <w:pPr>
              <w:numPr>
                <w:ilvl w:val="0"/>
                <w:numId w:val="62"/>
              </w:numPr>
              <w:rPr>
                <w:szCs w:val="20"/>
              </w:rPr>
            </w:pPr>
            <w:r w:rsidRPr="003B6A69">
              <w:rPr>
                <w:szCs w:val="20"/>
              </w:rPr>
              <w:t xml:space="preserve">Monitor and control the </w:t>
            </w:r>
            <w:r w:rsidR="00997C4A" w:rsidRPr="003B6A69">
              <w:rPr>
                <w:szCs w:val="20"/>
              </w:rPr>
              <w:t xml:space="preserve">technical </w:t>
            </w:r>
            <w:r w:rsidRPr="003B6A69">
              <w:rPr>
                <w:szCs w:val="20"/>
              </w:rPr>
              <w:t xml:space="preserve">progress of the project at a strategic level and ensure adequate project performance </w:t>
            </w:r>
            <w:r w:rsidRPr="003B6A69">
              <w:rPr>
                <w:szCs w:val="20"/>
                <w:lang w:val="en-GB"/>
              </w:rPr>
              <w:t xml:space="preserve">in terms of delivery of progress indicator values in accordance with the Project Strategic Framework and agreed </w:t>
            </w:r>
            <w:proofErr w:type="gramStart"/>
            <w:r w:rsidRPr="003B6A69">
              <w:rPr>
                <w:szCs w:val="20"/>
                <w:lang w:val="en-GB"/>
              </w:rPr>
              <w:t>timeframes;</w:t>
            </w:r>
            <w:proofErr w:type="gramEnd"/>
          </w:p>
          <w:p w14:paraId="12949E4F" w14:textId="77777777" w:rsidR="00997C4A" w:rsidRPr="003B6A69" w:rsidRDefault="00997C4A" w:rsidP="003C6B7B">
            <w:pPr>
              <w:numPr>
                <w:ilvl w:val="0"/>
                <w:numId w:val="62"/>
              </w:numPr>
              <w:rPr>
                <w:szCs w:val="20"/>
              </w:rPr>
            </w:pPr>
            <w:r w:rsidRPr="003B6A69">
              <w:rPr>
                <w:szCs w:val="20"/>
              </w:rPr>
              <w:t xml:space="preserve">Provide technical supervision and ensure substantive input for project </w:t>
            </w:r>
            <w:proofErr w:type="gramStart"/>
            <w:r w:rsidRPr="003B6A69">
              <w:rPr>
                <w:szCs w:val="20"/>
              </w:rPr>
              <w:t>reporting;</w:t>
            </w:r>
            <w:proofErr w:type="gramEnd"/>
            <w:r w:rsidRPr="003B6A69">
              <w:rPr>
                <w:szCs w:val="20"/>
              </w:rPr>
              <w:t xml:space="preserve"> </w:t>
            </w:r>
          </w:p>
          <w:p w14:paraId="3FCF76DE" w14:textId="34D890D9" w:rsidR="002F09AC" w:rsidRPr="003B6A69" w:rsidRDefault="00997C4A" w:rsidP="003C6B7B">
            <w:pPr>
              <w:numPr>
                <w:ilvl w:val="0"/>
                <w:numId w:val="62"/>
              </w:numPr>
              <w:rPr>
                <w:szCs w:val="20"/>
              </w:rPr>
            </w:pPr>
            <w:r w:rsidRPr="003B6A69">
              <w:rPr>
                <w:szCs w:val="20"/>
              </w:rPr>
              <w:t xml:space="preserve">Provide technical guidance </w:t>
            </w:r>
            <w:proofErr w:type="gramStart"/>
            <w:r w:rsidRPr="003B6A69">
              <w:rPr>
                <w:szCs w:val="20"/>
              </w:rPr>
              <w:t xml:space="preserve">for </w:t>
            </w:r>
            <w:r w:rsidR="002F09AC" w:rsidRPr="003B6A69">
              <w:rPr>
                <w:szCs w:val="20"/>
              </w:rPr>
              <w:t xml:space="preserve"> implementation</w:t>
            </w:r>
            <w:proofErr w:type="gramEnd"/>
            <w:r w:rsidR="002F09AC" w:rsidRPr="003B6A69">
              <w:rPr>
                <w:szCs w:val="20"/>
              </w:rPr>
              <w:t xml:space="preserve"> of the project M&amp;E plan;</w:t>
            </w:r>
          </w:p>
          <w:p w14:paraId="1831264B" w14:textId="77777777" w:rsidR="00997C4A" w:rsidRPr="003B6A69" w:rsidRDefault="00997C4A" w:rsidP="003C6B7B">
            <w:pPr>
              <w:numPr>
                <w:ilvl w:val="0"/>
                <w:numId w:val="62"/>
              </w:numPr>
              <w:tabs>
                <w:tab w:val="num" w:pos="794"/>
              </w:tabs>
              <w:rPr>
                <w:szCs w:val="20"/>
              </w:rPr>
            </w:pPr>
            <w:r w:rsidRPr="003B6A69">
              <w:rPr>
                <w:szCs w:val="20"/>
              </w:rPr>
              <w:t xml:space="preserve">Provide technical guidance for project risk management and </w:t>
            </w:r>
            <w:proofErr w:type="gramStart"/>
            <w:r w:rsidRPr="003B6A69">
              <w:rPr>
                <w:szCs w:val="20"/>
              </w:rPr>
              <w:t>response;</w:t>
            </w:r>
            <w:proofErr w:type="gramEnd"/>
            <w:r w:rsidRPr="003B6A69">
              <w:rPr>
                <w:szCs w:val="20"/>
              </w:rPr>
              <w:t xml:space="preserve"> </w:t>
            </w:r>
          </w:p>
          <w:p w14:paraId="2098619F" w14:textId="0C2DCB36" w:rsidR="002F09AC" w:rsidRPr="003B6A69" w:rsidRDefault="002F09AC" w:rsidP="003C6B7B">
            <w:pPr>
              <w:numPr>
                <w:ilvl w:val="0"/>
                <w:numId w:val="62"/>
              </w:numPr>
              <w:rPr>
                <w:szCs w:val="20"/>
              </w:rPr>
            </w:pPr>
            <w:r w:rsidRPr="003B6A69">
              <w:rPr>
                <w:szCs w:val="20"/>
              </w:rPr>
              <w:t>Document l</w:t>
            </w:r>
            <w:r w:rsidR="00EB189A">
              <w:rPr>
                <w:szCs w:val="20"/>
              </w:rPr>
              <w:t>essons learned for the project.</w:t>
            </w:r>
          </w:p>
          <w:p w14:paraId="2063EB82" w14:textId="77777777" w:rsidR="00D1090B" w:rsidRPr="003B6A69" w:rsidRDefault="00D1090B" w:rsidP="00D1090B">
            <w:pPr>
              <w:spacing w:after="0"/>
              <w:jc w:val="left"/>
              <w:rPr>
                <w:szCs w:val="20"/>
                <w:u w:val="single"/>
                <w:lang w:val="en-GB"/>
              </w:rPr>
            </w:pPr>
            <w:r w:rsidRPr="003B6A69">
              <w:rPr>
                <w:szCs w:val="20"/>
                <w:u w:val="single"/>
                <w:lang w:val="en-GB"/>
              </w:rPr>
              <w:t>Qualifications required:</w:t>
            </w:r>
          </w:p>
          <w:p w14:paraId="344EA7B4" w14:textId="77777777" w:rsidR="00D1090B" w:rsidRPr="003B6A69" w:rsidRDefault="00D1090B" w:rsidP="00AF69F1">
            <w:pPr>
              <w:numPr>
                <w:ilvl w:val="0"/>
                <w:numId w:val="7"/>
              </w:numPr>
              <w:spacing w:after="0"/>
              <w:jc w:val="left"/>
              <w:rPr>
                <w:rFonts w:cs="Arial"/>
                <w:noProof/>
                <w:szCs w:val="20"/>
                <w:lang w:val="en-GB" w:eastAsia="zh-CN"/>
              </w:rPr>
            </w:pPr>
            <w:r w:rsidRPr="003B6A69">
              <w:rPr>
                <w:rFonts w:cs="Arial"/>
                <w:noProof/>
                <w:szCs w:val="20"/>
                <w:lang w:val="en-GB" w:eastAsia="zh-CN"/>
              </w:rPr>
              <w:t>A university degree (MSc or PhD) in a subject related to natural resource management or environmental sciences.</w:t>
            </w:r>
          </w:p>
          <w:p w14:paraId="48847730" w14:textId="1719633B" w:rsidR="00D1090B" w:rsidRPr="003B6A69" w:rsidRDefault="00D1090B" w:rsidP="00AF69F1">
            <w:pPr>
              <w:numPr>
                <w:ilvl w:val="0"/>
                <w:numId w:val="7"/>
              </w:numPr>
              <w:spacing w:after="0"/>
              <w:jc w:val="left"/>
              <w:rPr>
                <w:rFonts w:cs="Arial"/>
                <w:noProof/>
                <w:szCs w:val="20"/>
                <w:lang w:val="en-GB" w:eastAsia="zh-CN"/>
              </w:rPr>
            </w:pPr>
            <w:r w:rsidRPr="003B6A69">
              <w:rPr>
                <w:rFonts w:cs="Arial"/>
                <w:noProof/>
                <w:szCs w:val="20"/>
                <w:lang w:val="en-GB" w:eastAsia="zh-CN"/>
              </w:rPr>
              <w:t xml:space="preserve">At least 5 years of demonstrable project/programme </w:t>
            </w:r>
            <w:r w:rsidR="00D62F59">
              <w:rPr>
                <w:rFonts w:cs="Arial"/>
                <w:noProof/>
                <w:szCs w:val="20"/>
                <w:lang w:val="en-GB" w:eastAsia="zh-CN"/>
              </w:rPr>
              <w:t>technical supervision/management</w:t>
            </w:r>
            <w:r w:rsidRPr="003B6A69">
              <w:rPr>
                <w:rFonts w:cs="Arial"/>
                <w:noProof/>
                <w:szCs w:val="20"/>
                <w:lang w:val="en-GB" w:eastAsia="zh-CN"/>
              </w:rPr>
              <w:t xml:space="preserve"> experience.</w:t>
            </w:r>
          </w:p>
          <w:p w14:paraId="1CDD3B44" w14:textId="77777777" w:rsidR="00D1090B" w:rsidRPr="003B6A69" w:rsidRDefault="00D1090B" w:rsidP="00AF69F1">
            <w:pPr>
              <w:numPr>
                <w:ilvl w:val="0"/>
                <w:numId w:val="7"/>
              </w:numPr>
              <w:spacing w:after="0"/>
              <w:jc w:val="left"/>
              <w:rPr>
                <w:rFonts w:cs="Arial"/>
                <w:noProof/>
                <w:szCs w:val="20"/>
                <w:lang w:val="en-GB" w:eastAsia="zh-CN"/>
              </w:rPr>
            </w:pPr>
            <w:r w:rsidRPr="003B6A69">
              <w:rPr>
                <w:rFonts w:cs="Arial"/>
                <w:noProof/>
                <w:szCs w:val="20"/>
                <w:lang w:val="en-GB" w:eastAsia="zh-CN"/>
              </w:rPr>
              <w:t>At least 5 years of experience working with ministries, national or provincial institutions that are concerned with natural resource and/or environmental management.</w:t>
            </w:r>
          </w:p>
          <w:p w14:paraId="6E375679" w14:textId="77777777" w:rsidR="00D1090B" w:rsidRPr="003B6A69" w:rsidRDefault="00D1090B" w:rsidP="00D1090B">
            <w:pPr>
              <w:spacing w:after="0"/>
              <w:jc w:val="left"/>
              <w:rPr>
                <w:rFonts w:cs="Arial"/>
                <w:noProof/>
                <w:szCs w:val="20"/>
                <w:u w:val="single"/>
                <w:lang w:val="en-GB" w:eastAsia="zh-CN"/>
              </w:rPr>
            </w:pPr>
          </w:p>
          <w:p w14:paraId="5BFD57B1" w14:textId="77777777" w:rsidR="00D1090B" w:rsidRPr="003B6A69" w:rsidRDefault="00D1090B" w:rsidP="00D1090B">
            <w:pPr>
              <w:spacing w:after="0"/>
              <w:jc w:val="left"/>
              <w:rPr>
                <w:rFonts w:cs="Arial"/>
                <w:noProof/>
                <w:szCs w:val="20"/>
                <w:u w:val="single"/>
                <w:lang w:val="en-GB" w:eastAsia="zh-CN"/>
              </w:rPr>
            </w:pPr>
            <w:r w:rsidRPr="003B6A69">
              <w:rPr>
                <w:rFonts w:cs="Arial"/>
                <w:noProof/>
                <w:szCs w:val="20"/>
                <w:u w:val="single"/>
                <w:lang w:val="en-GB" w:eastAsia="zh-CN"/>
              </w:rPr>
              <w:t>Competencies</w:t>
            </w:r>
          </w:p>
          <w:p w14:paraId="211A0555" w14:textId="77777777" w:rsidR="00D1090B" w:rsidRPr="003B6A69" w:rsidRDefault="00D1090B" w:rsidP="00AF69F1">
            <w:pPr>
              <w:numPr>
                <w:ilvl w:val="0"/>
                <w:numId w:val="8"/>
              </w:numPr>
              <w:spacing w:after="0"/>
              <w:jc w:val="left"/>
              <w:rPr>
                <w:rFonts w:cs="Arial"/>
                <w:noProof/>
                <w:szCs w:val="20"/>
                <w:lang w:val="en-GB" w:eastAsia="zh-CN"/>
              </w:rPr>
            </w:pPr>
            <w:r w:rsidRPr="003B6A69">
              <w:rPr>
                <w:rFonts w:cs="Arial"/>
                <w:noProof/>
                <w:szCs w:val="20"/>
                <w:lang w:val="en-GB" w:eastAsia="zh-CN"/>
              </w:rPr>
              <w:t>Strong leadership, managerial and coordination skills, with a demonstrated ability to effectively coordinate the implementation of large multi-stakeholder projects, including financial and technical aspects.</w:t>
            </w:r>
          </w:p>
          <w:p w14:paraId="7E4B5428" w14:textId="77777777" w:rsidR="00D1090B" w:rsidRPr="003B6A69" w:rsidRDefault="00D1090B" w:rsidP="00AF69F1">
            <w:pPr>
              <w:numPr>
                <w:ilvl w:val="0"/>
                <w:numId w:val="8"/>
              </w:numPr>
              <w:spacing w:after="0"/>
              <w:jc w:val="left"/>
              <w:rPr>
                <w:rFonts w:cs="Arial"/>
                <w:noProof/>
                <w:szCs w:val="20"/>
                <w:lang w:val="en-GB" w:eastAsia="zh-CN"/>
              </w:rPr>
            </w:pPr>
            <w:r w:rsidRPr="003B6A69">
              <w:rPr>
                <w:rFonts w:cs="Arial"/>
                <w:noProof/>
                <w:szCs w:val="20"/>
                <w:lang w:val="en-GB" w:eastAsia="zh-CN"/>
              </w:rPr>
              <w:t>Ability to effectively manage technical and administrative teams, work with a wide range of stakeholders across various sectors and at all levels, to develop durable partnerships with collaborating agencies.</w:t>
            </w:r>
          </w:p>
          <w:p w14:paraId="2AE89145" w14:textId="77777777" w:rsidR="00D1090B" w:rsidRPr="003B6A69" w:rsidRDefault="00D1090B" w:rsidP="00AF69F1">
            <w:pPr>
              <w:numPr>
                <w:ilvl w:val="0"/>
                <w:numId w:val="7"/>
              </w:numPr>
              <w:spacing w:after="0"/>
              <w:jc w:val="left"/>
              <w:rPr>
                <w:rFonts w:cs="Arial"/>
                <w:noProof/>
                <w:szCs w:val="20"/>
                <w:lang w:val="en-GB" w:eastAsia="zh-CN"/>
              </w:rPr>
            </w:pPr>
            <w:r w:rsidRPr="003B6A69">
              <w:rPr>
                <w:rFonts w:cs="Arial"/>
                <w:noProof/>
                <w:szCs w:val="20"/>
                <w:lang w:val="en-GB" w:eastAsia="zh-CN"/>
              </w:rPr>
              <w:t>Ability to administer budgets, train and work effectively with counterpart staff at all levels and with all groups involved in the project.</w:t>
            </w:r>
          </w:p>
          <w:p w14:paraId="3719DEF5" w14:textId="77777777" w:rsidR="00D1090B" w:rsidRPr="003B6A69" w:rsidRDefault="00D1090B" w:rsidP="00AF69F1">
            <w:pPr>
              <w:numPr>
                <w:ilvl w:val="0"/>
                <w:numId w:val="7"/>
              </w:numPr>
              <w:spacing w:after="0"/>
              <w:jc w:val="left"/>
              <w:rPr>
                <w:rFonts w:cs="Arial"/>
                <w:noProof/>
                <w:szCs w:val="20"/>
                <w:lang w:val="en-GB" w:eastAsia="zh-CN"/>
              </w:rPr>
            </w:pPr>
            <w:r w:rsidRPr="003B6A69">
              <w:rPr>
                <w:rFonts w:cs="Arial"/>
                <w:noProof/>
                <w:szCs w:val="20"/>
                <w:lang w:val="en-GB" w:eastAsia="zh-CN"/>
              </w:rPr>
              <w:t>Ability to coordinate and supervise multiple Project Implementation Units in their implementation of technical activities in partnership with a variety of subnational stakeholder groups, including community and government.</w:t>
            </w:r>
          </w:p>
          <w:p w14:paraId="768B1D24" w14:textId="77777777" w:rsidR="00D1090B" w:rsidRPr="003B6A69" w:rsidRDefault="00D1090B" w:rsidP="00AF69F1">
            <w:pPr>
              <w:numPr>
                <w:ilvl w:val="0"/>
                <w:numId w:val="7"/>
              </w:numPr>
              <w:spacing w:after="0"/>
              <w:jc w:val="left"/>
              <w:rPr>
                <w:rFonts w:cs="Arial"/>
                <w:noProof/>
                <w:szCs w:val="20"/>
                <w:lang w:val="en-GB" w:eastAsia="zh-CN"/>
              </w:rPr>
            </w:pPr>
            <w:r w:rsidRPr="003B6A69">
              <w:rPr>
                <w:rFonts w:cs="Arial"/>
                <w:noProof/>
                <w:szCs w:val="20"/>
                <w:lang w:val="en-GB" w:eastAsia="zh-CN"/>
              </w:rPr>
              <w:t>Strong drafting, presentation and reporting skills.</w:t>
            </w:r>
          </w:p>
          <w:p w14:paraId="51E9DA80" w14:textId="77777777" w:rsidR="00D1090B" w:rsidRPr="003B6A69" w:rsidRDefault="00D1090B" w:rsidP="00AF69F1">
            <w:pPr>
              <w:pStyle w:val="Paragraph"/>
              <w:numPr>
                <w:ilvl w:val="0"/>
                <w:numId w:val="7"/>
              </w:numPr>
              <w:spacing w:after="0"/>
              <w:rPr>
                <w:rFonts w:ascii="Calibri" w:hAnsi="Calibri" w:cs="Arial"/>
                <w:szCs w:val="20"/>
                <w:lang w:val="en-GB" w:eastAsia="zh-CN"/>
              </w:rPr>
            </w:pPr>
            <w:r w:rsidRPr="003B6A69">
              <w:rPr>
                <w:rFonts w:ascii="Calibri" w:hAnsi="Calibri" w:cs="Arial"/>
                <w:szCs w:val="20"/>
                <w:lang w:val="en-GB" w:eastAsia="zh-CN"/>
              </w:rPr>
              <w:t>Strong communication skills, especially in timely and accurate responses to emails.</w:t>
            </w:r>
          </w:p>
          <w:p w14:paraId="1370340C" w14:textId="77777777" w:rsidR="00D1090B" w:rsidRPr="003B6A69" w:rsidRDefault="00D1090B" w:rsidP="00AF69F1">
            <w:pPr>
              <w:numPr>
                <w:ilvl w:val="0"/>
                <w:numId w:val="7"/>
              </w:numPr>
              <w:spacing w:after="0"/>
              <w:jc w:val="left"/>
              <w:rPr>
                <w:rFonts w:cs="Arial"/>
                <w:noProof/>
                <w:szCs w:val="20"/>
                <w:lang w:val="en-GB" w:eastAsia="zh-CN"/>
              </w:rPr>
            </w:pPr>
            <w:r w:rsidRPr="003B6A69">
              <w:rPr>
                <w:rFonts w:cs="Arial"/>
                <w:noProof/>
                <w:szCs w:val="20"/>
                <w:lang w:val="en-GB" w:eastAsia="zh-CN"/>
              </w:rPr>
              <w:t>Strong computer skills, in particular mastery of all applications of the MS Office package and internet search.</w:t>
            </w:r>
          </w:p>
          <w:p w14:paraId="52897824" w14:textId="77777777" w:rsidR="00D1090B" w:rsidRPr="003B6A69" w:rsidRDefault="00D1090B" w:rsidP="00AF69F1">
            <w:pPr>
              <w:numPr>
                <w:ilvl w:val="0"/>
                <w:numId w:val="7"/>
              </w:numPr>
              <w:spacing w:after="0"/>
              <w:jc w:val="left"/>
              <w:rPr>
                <w:rFonts w:cs="Arial"/>
                <w:noProof/>
                <w:szCs w:val="20"/>
                <w:lang w:val="en-GB" w:eastAsia="zh-CN"/>
              </w:rPr>
            </w:pPr>
            <w:r w:rsidRPr="003B6A69">
              <w:rPr>
                <w:rFonts w:cs="Arial"/>
                <w:noProof/>
                <w:szCs w:val="20"/>
                <w:lang w:val="en-GB" w:eastAsia="zh-CN"/>
              </w:rPr>
              <w:t>Strong knowledge about the political and socio-economic context related to the Indonesian protected area system, biodiversity conservation and law enforcement at national and subnational levels.</w:t>
            </w:r>
          </w:p>
          <w:p w14:paraId="7ED2D75D" w14:textId="77777777" w:rsidR="00D1090B" w:rsidRPr="003B6A69" w:rsidRDefault="00D1090B" w:rsidP="00AF69F1">
            <w:pPr>
              <w:numPr>
                <w:ilvl w:val="0"/>
                <w:numId w:val="7"/>
              </w:numPr>
              <w:spacing w:after="0"/>
              <w:jc w:val="left"/>
              <w:rPr>
                <w:rFonts w:cs="Arial"/>
                <w:noProof/>
                <w:szCs w:val="20"/>
                <w:lang w:val="en-GB" w:eastAsia="zh-CN"/>
              </w:rPr>
            </w:pPr>
            <w:r w:rsidRPr="003B6A69">
              <w:rPr>
                <w:rFonts w:cs="Arial"/>
                <w:noProof/>
                <w:szCs w:val="20"/>
                <w:lang w:val="en-GB" w:eastAsia="zh-CN"/>
              </w:rPr>
              <w:t>Excellent command of English and local languages.</w:t>
            </w:r>
          </w:p>
          <w:p w14:paraId="799D0644" w14:textId="77777777" w:rsidR="00D1090B" w:rsidRPr="003B6A69" w:rsidRDefault="00D1090B" w:rsidP="00D1090B">
            <w:pPr>
              <w:jc w:val="left"/>
              <w:rPr>
                <w:szCs w:val="20"/>
                <w:lang w:val="en-GB" w:eastAsia="ja-JP"/>
              </w:rPr>
            </w:pPr>
          </w:p>
        </w:tc>
      </w:tr>
      <w:tr w:rsidR="00D1090B" w:rsidRPr="003B6A69" w14:paraId="5012A8B9" w14:textId="77777777" w:rsidTr="00D1090B">
        <w:tc>
          <w:tcPr>
            <w:tcW w:w="1413" w:type="dxa"/>
            <w:tcBorders>
              <w:top w:val="single" w:sz="4" w:space="0" w:color="auto"/>
              <w:left w:val="single" w:sz="4" w:space="0" w:color="auto"/>
              <w:bottom w:val="single" w:sz="4" w:space="0" w:color="auto"/>
              <w:right w:val="single" w:sz="4" w:space="0" w:color="auto"/>
            </w:tcBorders>
          </w:tcPr>
          <w:p w14:paraId="43ADE77B" w14:textId="2CB11620" w:rsidR="00D1090B" w:rsidRPr="003B6A69" w:rsidRDefault="00D1090B" w:rsidP="00D1090B">
            <w:pPr>
              <w:pStyle w:val="CharCharChar1"/>
              <w:spacing w:after="120" w:line="240" w:lineRule="auto"/>
            </w:pPr>
            <w:r w:rsidRPr="003B6A69">
              <w:lastRenderedPageBreak/>
              <w:t xml:space="preserve">Project </w:t>
            </w:r>
            <w:r w:rsidR="00900588" w:rsidRPr="003B6A69">
              <w:t xml:space="preserve">Admin/Finance </w:t>
            </w:r>
            <w:r w:rsidRPr="003B6A69">
              <w:rPr>
                <w:lang w:val="en-GB" w:eastAsia="ja-JP"/>
              </w:rPr>
              <w:t>Assistant</w:t>
            </w:r>
          </w:p>
          <w:p w14:paraId="7BC77BE4" w14:textId="20AAA677" w:rsidR="00D1090B" w:rsidRPr="003B6A69" w:rsidRDefault="00D1090B" w:rsidP="00D1090B">
            <w:pPr>
              <w:jc w:val="left"/>
              <w:rPr>
                <w:szCs w:val="20"/>
                <w:lang w:val="en-GB" w:eastAsia="ja-JP"/>
              </w:rPr>
            </w:pPr>
          </w:p>
        </w:tc>
        <w:tc>
          <w:tcPr>
            <w:tcW w:w="8647" w:type="dxa"/>
            <w:tcBorders>
              <w:top w:val="single" w:sz="4" w:space="0" w:color="auto"/>
              <w:left w:val="single" w:sz="4" w:space="0" w:color="auto"/>
              <w:bottom w:val="single" w:sz="4" w:space="0" w:color="auto"/>
              <w:right w:val="single" w:sz="4" w:space="0" w:color="auto"/>
            </w:tcBorders>
          </w:tcPr>
          <w:p w14:paraId="6FCCFB74" w14:textId="2390B069" w:rsidR="00A153C6" w:rsidRPr="003B6A69" w:rsidRDefault="00A153C6" w:rsidP="00A153C6">
            <w:pPr>
              <w:rPr>
                <w:szCs w:val="20"/>
              </w:rPr>
            </w:pPr>
            <w:r w:rsidRPr="003B6A69">
              <w:rPr>
                <w:szCs w:val="20"/>
              </w:rPr>
              <w:t xml:space="preserve">Under direct supervision of the </w:t>
            </w:r>
            <w:r w:rsidR="00127DDC" w:rsidRPr="00127DDC">
              <w:rPr>
                <w:highlight w:val="yellow"/>
                <w:lang w:val="en-GB" w:eastAsia="ja-JP"/>
              </w:rPr>
              <w:t xml:space="preserve">project </w:t>
            </w:r>
            <w:r w:rsidR="003E6B19">
              <w:rPr>
                <w:highlight w:val="yellow"/>
                <w:lang w:val="en-GB" w:eastAsia="ja-JP"/>
              </w:rPr>
              <w:t>c</w:t>
            </w:r>
            <w:r w:rsidR="00127DDC" w:rsidRPr="00127DDC">
              <w:rPr>
                <w:highlight w:val="yellow"/>
                <w:lang w:val="en-GB" w:eastAsia="ja-JP"/>
              </w:rPr>
              <w:t xml:space="preserve">oordinator / </w:t>
            </w:r>
            <w:proofErr w:type="gramStart"/>
            <w:r w:rsidR="00127DDC" w:rsidRPr="00127DDC">
              <w:rPr>
                <w:highlight w:val="yellow"/>
                <w:lang w:val="en-GB" w:eastAsia="ja-JP"/>
              </w:rPr>
              <w:t>principle</w:t>
            </w:r>
            <w:proofErr w:type="gramEnd"/>
            <w:r w:rsidR="00127DDC" w:rsidRPr="00127DDC">
              <w:rPr>
                <w:highlight w:val="yellow"/>
                <w:lang w:val="en-GB" w:eastAsia="ja-JP"/>
              </w:rPr>
              <w:t xml:space="preserve"> </w:t>
            </w:r>
            <w:r w:rsidR="00127DDC">
              <w:rPr>
                <w:highlight w:val="yellow"/>
                <w:lang w:val="en-GB" w:eastAsia="ja-JP"/>
              </w:rPr>
              <w:t>m</w:t>
            </w:r>
            <w:r w:rsidR="00127DDC" w:rsidRPr="00127DDC">
              <w:rPr>
                <w:highlight w:val="yellow"/>
                <w:lang w:val="en-GB" w:eastAsia="ja-JP"/>
              </w:rPr>
              <w:t>anager</w:t>
            </w:r>
            <w:r w:rsidRPr="003B6A69">
              <w:rPr>
                <w:szCs w:val="20"/>
              </w:rPr>
              <w:t>, Administrative and Financial Assistant is fully responsible for operational and programmatic management of the project according to the project document, GEF corporate rules and NIM implementation agreed standards &amp; procedures and for fulfilling but not limiting the following functions:</w:t>
            </w:r>
          </w:p>
          <w:p w14:paraId="17F9E1E6" w14:textId="77777777" w:rsidR="00A153C6" w:rsidRPr="003B6A69" w:rsidRDefault="00A153C6" w:rsidP="00A153C6">
            <w:pPr>
              <w:rPr>
                <w:szCs w:val="20"/>
                <w:u w:val="single"/>
              </w:rPr>
            </w:pPr>
            <w:r w:rsidRPr="003B6A69">
              <w:rPr>
                <w:szCs w:val="20"/>
                <w:u w:val="single"/>
              </w:rPr>
              <w:t>Duties and Responsibilities:</w:t>
            </w:r>
          </w:p>
          <w:p w14:paraId="685BEC26" w14:textId="77777777" w:rsidR="00A153C6" w:rsidRPr="003B6A69" w:rsidRDefault="00A153C6" w:rsidP="00AF69F1">
            <w:pPr>
              <w:numPr>
                <w:ilvl w:val="0"/>
                <w:numId w:val="9"/>
              </w:numPr>
              <w:rPr>
                <w:szCs w:val="20"/>
              </w:rPr>
            </w:pPr>
            <w:r w:rsidRPr="003B6A69">
              <w:rPr>
                <w:szCs w:val="20"/>
              </w:rPr>
              <w:t xml:space="preserve">Bear responsibilities for logistics, procurement, finance and recruitment for the project, in accordance with corporate UNDP rules and </w:t>
            </w:r>
            <w:proofErr w:type="gramStart"/>
            <w:r w:rsidRPr="003B6A69">
              <w:rPr>
                <w:szCs w:val="20"/>
              </w:rPr>
              <w:t>regulations;</w:t>
            </w:r>
            <w:proofErr w:type="gramEnd"/>
          </w:p>
          <w:p w14:paraId="297F6578" w14:textId="77777777" w:rsidR="00A153C6" w:rsidRPr="003B6A69" w:rsidRDefault="00A153C6" w:rsidP="00AF69F1">
            <w:pPr>
              <w:numPr>
                <w:ilvl w:val="0"/>
                <w:numId w:val="9"/>
              </w:numPr>
              <w:rPr>
                <w:szCs w:val="20"/>
              </w:rPr>
            </w:pPr>
            <w:r w:rsidRPr="003B6A69">
              <w:rPr>
                <w:szCs w:val="20"/>
              </w:rPr>
              <w:t xml:space="preserve">Prepare all financial and administrative documents related to the project </w:t>
            </w:r>
            <w:proofErr w:type="gramStart"/>
            <w:r w:rsidRPr="003B6A69">
              <w:rPr>
                <w:szCs w:val="20"/>
              </w:rPr>
              <w:t>implementation;</w:t>
            </w:r>
            <w:proofErr w:type="gramEnd"/>
          </w:p>
          <w:p w14:paraId="17646325" w14:textId="77777777" w:rsidR="00A153C6" w:rsidRPr="003B6A69" w:rsidRDefault="00A153C6" w:rsidP="00AF69F1">
            <w:pPr>
              <w:numPr>
                <w:ilvl w:val="0"/>
                <w:numId w:val="9"/>
              </w:numPr>
              <w:rPr>
                <w:szCs w:val="20"/>
              </w:rPr>
            </w:pPr>
            <w:r w:rsidRPr="003B6A69">
              <w:rPr>
                <w:szCs w:val="20"/>
              </w:rPr>
              <w:t xml:space="preserve">Develop quarterly and annual budget plans for recruitment of personnel; maintain financial records and monitoring systems to record and reconcile expenditures, balances, payments and other data for day-to-day transaction and </w:t>
            </w:r>
            <w:proofErr w:type="gramStart"/>
            <w:r w:rsidRPr="003B6A69">
              <w:rPr>
                <w:szCs w:val="20"/>
              </w:rPr>
              <w:t>reports;</w:t>
            </w:r>
            <w:proofErr w:type="gramEnd"/>
          </w:p>
          <w:p w14:paraId="013C3EEA" w14:textId="77777777" w:rsidR="00A153C6" w:rsidRPr="003B6A69" w:rsidRDefault="00A153C6" w:rsidP="00AF69F1">
            <w:pPr>
              <w:numPr>
                <w:ilvl w:val="0"/>
                <w:numId w:val="9"/>
              </w:numPr>
              <w:rPr>
                <w:szCs w:val="20"/>
              </w:rPr>
            </w:pPr>
            <w:r w:rsidRPr="003B6A69">
              <w:rPr>
                <w:szCs w:val="20"/>
              </w:rPr>
              <w:t xml:space="preserve">Advise and assist Project staff, experts and consultants on all respects of allowances, salary advances, travel claims and other financial and administrative matters, and calculate and authorize payments due for claims and </w:t>
            </w:r>
            <w:proofErr w:type="gramStart"/>
            <w:r w:rsidRPr="003B6A69">
              <w:rPr>
                <w:szCs w:val="20"/>
              </w:rPr>
              <w:t>services;</w:t>
            </w:r>
            <w:proofErr w:type="gramEnd"/>
          </w:p>
          <w:p w14:paraId="7F463A85" w14:textId="77777777" w:rsidR="00A153C6" w:rsidRPr="003B6A69" w:rsidRDefault="00A153C6" w:rsidP="00AF69F1">
            <w:pPr>
              <w:numPr>
                <w:ilvl w:val="0"/>
                <w:numId w:val="9"/>
              </w:numPr>
              <w:rPr>
                <w:szCs w:val="20"/>
              </w:rPr>
            </w:pPr>
            <w:r w:rsidRPr="003B6A69">
              <w:rPr>
                <w:szCs w:val="20"/>
              </w:rPr>
              <w:t xml:space="preserve">Prepare detailed cost estimates and participates in budget analysis and projections as required to handle all financial operations of the project office and reconcile all accounts in required time </w:t>
            </w:r>
            <w:proofErr w:type="gramStart"/>
            <w:r w:rsidRPr="003B6A69">
              <w:rPr>
                <w:szCs w:val="20"/>
              </w:rPr>
              <w:t>frame;</w:t>
            </w:r>
            <w:proofErr w:type="gramEnd"/>
          </w:p>
          <w:p w14:paraId="44400444" w14:textId="77777777" w:rsidR="00A153C6" w:rsidRPr="003B6A69" w:rsidRDefault="00A153C6" w:rsidP="00AF69F1">
            <w:pPr>
              <w:numPr>
                <w:ilvl w:val="0"/>
                <w:numId w:val="9"/>
              </w:numPr>
              <w:rPr>
                <w:szCs w:val="20"/>
              </w:rPr>
            </w:pPr>
            <w:r w:rsidRPr="003B6A69">
              <w:rPr>
                <w:szCs w:val="20"/>
              </w:rPr>
              <w:t xml:space="preserve">Maintain, update and transmit inventory records of non-expendable equipment in accordance with UNDP </w:t>
            </w:r>
            <w:proofErr w:type="gramStart"/>
            <w:r w:rsidRPr="003B6A69">
              <w:rPr>
                <w:szCs w:val="20"/>
              </w:rPr>
              <w:t>rules;</w:t>
            </w:r>
            <w:proofErr w:type="gramEnd"/>
          </w:p>
          <w:p w14:paraId="66F08522" w14:textId="77777777" w:rsidR="00A153C6" w:rsidRPr="003B6A69" w:rsidRDefault="00A153C6" w:rsidP="00AF69F1">
            <w:pPr>
              <w:numPr>
                <w:ilvl w:val="0"/>
                <w:numId w:val="9"/>
              </w:numPr>
              <w:rPr>
                <w:szCs w:val="20"/>
              </w:rPr>
            </w:pPr>
            <w:r w:rsidRPr="003B6A69">
              <w:rPr>
                <w:szCs w:val="20"/>
              </w:rPr>
              <w:t xml:space="preserve">Perform cash custodian’s duties being primarily responsible for project’s cash disbursements and maintain project’s petty cash book and </w:t>
            </w:r>
            <w:proofErr w:type="gramStart"/>
            <w:r w:rsidRPr="003B6A69">
              <w:rPr>
                <w:szCs w:val="20"/>
              </w:rPr>
              <w:t>payrolls;</w:t>
            </w:r>
            <w:proofErr w:type="gramEnd"/>
          </w:p>
          <w:p w14:paraId="343060CA" w14:textId="77777777" w:rsidR="00A153C6" w:rsidRPr="003B6A69" w:rsidRDefault="00A153C6" w:rsidP="00AF69F1">
            <w:pPr>
              <w:numPr>
                <w:ilvl w:val="0"/>
                <w:numId w:val="9"/>
              </w:numPr>
              <w:rPr>
                <w:szCs w:val="20"/>
              </w:rPr>
            </w:pPr>
            <w:r w:rsidRPr="003B6A69">
              <w:rPr>
                <w:szCs w:val="20"/>
              </w:rPr>
              <w:t xml:space="preserve">Ensure leave monitoring of project staff, check the accuracy and proper completion of monthly leave </w:t>
            </w:r>
            <w:proofErr w:type="gramStart"/>
            <w:r w:rsidRPr="003B6A69">
              <w:rPr>
                <w:szCs w:val="20"/>
              </w:rPr>
              <w:t>reports;</w:t>
            </w:r>
            <w:proofErr w:type="gramEnd"/>
          </w:p>
          <w:p w14:paraId="3EFDED64" w14:textId="77777777" w:rsidR="00A153C6" w:rsidRPr="003B6A69" w:rsidRDefault="00A153C6" w:rsidP="00AF69F1">
            <w:pPr>
              <w:numPr>
                <w:ilvl w:val="0"/>
                <w:numId w:val="9"/>
              </w:numPr>
              <w:rPr>
                <w:szCs w:val="20"/>
              </w:rPr>
            </w:pPr>
            <w:r w:rsidRPr="003B6A69">
              <w:rPr>
                <w:szCs w:val="20"/>
              </w:rPr>
              <w:t xml:space="preserve">Analyze the potential problems concerning administrative-financial issues and take respective measures to provide adequate project’s resources in time for implementation of the project </w:t>
            </w:r>
            <w:proofErr w:type="gramStart"/>
            <w:r w:rsidRPr="003B6A69">
              <w:rPr>
                <w:szCs w:val="20"/>
              </w:rPr>
              <w:t>activities;</w:t>
            </w:r>
            <w:proofErr w:type="gramEnd"/>
          </w:p>
          <w:p w14:paraId="2E88DE29" w14:textId="77777777" w:rsidR="00A153C6" w:rsidRPr="003B6A69" w:rsidRDefault="00A153C6" w:rsidP="00AF69F1">
            <w:pPr>
              <w:numPr>
                <w:ilvl w:val="0"/>
                <w:numId w:val="9"/>
              </w:numPr>
              <w:rPr>
                <w:szCs w:val="20"/>
              </w:rPr>
            </w:pPr>
            <w:r w:rsidRPr="003B6A69">
              <w:rPr>
                <w:szCs w:val="20"/>
              </w:rPr>
              <w:t xml:space="preserve">Define the cost-effective measures for optimal use of resources of the </w:t>
            </w:r>
            <w:proofErr w:type="gramStart"/>
            <w:r w:rsidRPr="003B6A69">
              <w:rPr>
                <w:szCs w:val="20"/>
              </w:rPr>
              <w:t>project;</w:t>
            </w:r>
            <w:proofErr w:type="gramEnd"/>
          </w:p>
          <w:p w14:paraId="53BF93A6" w14:textId="77777777" w:rsidR="00A153C6" w:rsidRPr="003B6A69" w:rsidRDefault="00A153C6" w:rsidP="00AF69F1">
            <w:pPr>
              <w:numPr>
                <w:ilvl w:val="0"/>
                <w:numId w:val="9"/>
              </w:numPr>
              <w:rPr>
                <w:szCs w:val="20"/>
              </w:rPr>
            </w:pPr>
            <w:r w:rsidRPr="003B6A69">
              <w:rPr>
                <w:szCs w:val="20"/>
              </w:rPr>
              <w:t xml:space="preserve">Ensure full compliance of administrative and financial processes and financial records with UNDP and GEF related rules, regulations, policies and </w:t>
            </w:r>
            <w:proofErr w:type="gramStart"/>
            <w:r w:rsidRPr="003B6A69">
              <w:rPr>
                <w:szCs w:val="20"/>
              </w:rPr>
              <w:t>strategies;</w:t>
            </w:r>
            <w:proofErr w:type="gramEnd"/>
          </w:p>
          <w:p w14:paraId="77902F74" w14:textId="77777777" w:rsidR="00A153C6" w:rsidRPr="003B6A69" w:rsidRDefault="00A153C6" w:rsidP="00AF69F1">
            <w:pPr>
              <w:numPr>
                <w:ilvl w:val="0"/>
                <w:numId w:val="9"/>
              </w:numPr>
              <w:rPr>
                <w:szCs w:val="20"/>
              </w:rPr>
            </w:pPr>
            <w:r w:rsidRPr="003B6A69">
              <w:rPr>
                <w:szCs w:val="20"/>
              </w:rPr>
              <w:t xml:space="preserve">Encourage awareness of and promotion of gender equality among project staff and </w:t>
            </w:r>
            <w:proofErr w:type="gramStart"/>
            <w:r w:rsidRPr="003B6A69">
              <w:rPr>
                <w:szCs w:val="20"/>
              </w:rPr>
              <w:t>partners;</w:t>
            </w:r>
            <w:proofErr w:type="gramEnd"/>
          </w:p>
          <w:p w14:paraId="589AE51D" w14:textId="77777777" w:rsidR="00A153C6" w:rsidRPr="003B6A69" w:rsidRDefault="00A153C6" w:rsidP="00A153C6">
            <w:pPr>
              <w:spacing w:after="0"/>
              <w:jc w:val="left"/>
              <w:rPr>
                <w:szCs w:val="20"/>
              </w:rPr>
            </w:pPr>
            <w:r w:rsidRPr="003B6A69">
              <w:rPr>
                <w:szCs w:val="20"/>
              </w:rPr>
              <w:t>Perform other duties related to personnel, administrative and financial issues of project as required</w:t>
            </w:r>
          </w:p>
          <w:p w14:paraId="49BF3A25" w14:textId="77777777" w:rsidR="00A153C6" w:rsidRPr="003B6A69" w:rsidRDefault="00A153C6" w:rsidP="00A153C6">
            <w:pPr>
              <w:spacing w:after="0"/>
              <w:jc w:val="left"/>
              <w:rPr>
                <w:szCs w:val="20"/>
              </w:rPr>
            </w:pPr>
          </w:p>
          <w:p w14:paraId="47B37912" w14:textId="49547FFF" w:rsidR="00D1090B" w:rsidRPr="003B6A69" w:rsidRDefault="00D1090B" w:rsidP="00A153C6">
            <w:pPr>
              <w:spacing w:after="0"/>
              <w:jc w:val="left"/>
              <w:rPr>
                <w:szCs w:val="20"/>
                <w:u w:val="single"/>
                <w:lang w:val="en-GB"/>
              </w:rPr>
            </w:pPr>
            <w:r w:rsidRPr="003B6A69">
              <w:rPr>
                <w:szCs w:val="20"/>
                <w:u w:val="single"/>
                <w:lang w:val="en-GB"/>
              </w:rPr>
              <w:t>Qualifications required:</w:t>
            </w:r>
          </w:p>
          <w:p w14:paraId="525B20A9" w14:textId="77777777" w:rsidR="00A153C6" w:rsidRPr="003B6A69" w:rsidRDefault="00A153C6" w:rsidP="00AF69F1">
            <w:pPr>
              <w:numPr>
                <w:ilvl w:val="0"/>
                <w:numId w:val="9"/>
              </w:numPr>
              <w:rPr>
                <w:szCs w:val="20"/>
              </w:rPr>
            </w:pPr>
            <w:proofErr w:type="gramStart"/>
            <w:r w:rsidRPr="003B6A69">
              <w:rPr>
                <w:szCs w:val="20"/>
              </w:rPr>
              <w:t>Bachelor</w:t>
            </w:r>
            <w:proofErr w:type="gramEnd"/>
            <w:r w:rsidRPr="003B6A69">
              <w:rPr>
                <w:szCs w:val="20"/>
              </w:rPr>
              <w:t xml:space="preserve"> degree in any of the following areas: Finance, Economics, Management, Environmental sciences, International Relations, or any related field;</w:t>
            </w:r>
          </w:p>
          <w:p w14:paraId="0D00D8DA" w14:textId="77777777" w:rsidR="00A153C6" w:rsidRPr="003B6A69" w:rsidRDefault="00A153C6" w:rsidP="00AF69F1">
            <w:pPr>
              <w:numPr>
                <w:ilvl w:val="0"/>
                <w:numId w:val="9"/>
              </w:numPr>
              <w:rPr>
                <w:szCs w:val="20"/>
              </w:rPr>
            </w:pPr>
            <w:r w:rsidRPr="003B6A69">
              <w:rPr>
                <w:szCs w:val="20"/>
              </w:rPr>
              <w:t xml:space="preserve">At least 2-3-years relevant experience. Working experience in international organizations is an </w:t>
            </w:r>
            <w:proofErr w:type="gramStart"/>
            <w:r w:rsidRPr="003B6A69">
              <w:rPr>
                <w:szCs w:val="20"/>
              </w:rPr>
              <w:t>advantage;</w:t>
            </w:r>
            <w:proofErr w:type="gramEnd"/>
          </w:p>
          <w:p w14:paraId="748BD46C" w14:textId="77777777" w:rsidR="00A153C6" w:rsidRPr="003B6A69" w:rsidRDefault="00A153C6" w:rsidP="00AF69F1">
            <w:pPr>
              <w:numPr>
                <w:ilvl w:val="0"/>
                <w:numId w:val="9"/>
              </w:numPr>
              <w:rPr>
                <w:szCs w:val="20"/>
              </w:rPr>
            </w:pPr>
            <w:r w:rsidRPr="003B6A69">
              <w:rPr>
                <w:szCs w:val="20"/>
              </w:rPr>
              <w:t xml:space="preserve">Strong financial and administrative skills, result and client-orientation, ability to work in a </w:t>
            </w:r>
            <w:proofErr w:type="gramStart"/>
            <w:r w:rsidRPr="003B6A69">
              <w:rPr>
                <w:szCs w:val="20"/>
              </w:rPr>
              <w:t>team;</w:t>
            </w:r>
            <w:proofErr w:type="gramEnd"/>
          </w:p>
          <w:p w14:paraId="33611A09" w14:textId="77777777" w:rsidR="00A153C6" w:rsidRPr="003B6A69" w:rsidRDefault="00A153C6" w:rsidP="00AF69F1">
            <w:pPr>
              <w:numPr>
                <w:ilvl w:val="0"/>
                <w:numId w:val="9"/>
              </w:numPr>
              <w:rPr>
                <w:szCs w:val="20"/>
              </w:rPr>
            </w:pPr>
            <w:r w:rsidRPr="003B6A69">
              <w:rPr>
                <w:szCs w:val="20"/>
              </w:rPr>
              <w:t xml:space="preserve">Ability to work under pressure and with tight deadlines, ethics and </w:t>
            </w:r>
            <w:proofErr w:type="gramStart"/>
            <w:r w:rsidRPr="003B6A69">
              <w:rPr>
                <w:szCs w:val="20"/>
              </w:rPr>
              <w:t>honesty;</w:t>
            </w:r>
            <w:proofErr w:type="gramEnd"/>
          </w:p>
          <w:p w14:paraId="2F30AD34" w14:textId="77777777" w:rsidR="00A153C6" w:rsidRPr="003B6A69" w:rsidRDefault="00A153C6" w:rsidP="00AF69F1">
            <w:pPr>
              <w:numPr>
                <w:ilvl w:val="0"/>
                <w:numId w:val="9"/>
              </w:numPr>
              <w:rPr>
                <w:szCs w:val="20"/>
              </w:rPr>
            </w:pPr>
            <w:r w:rsidRPr="003B6A69">
              <w:rPr>
                <w:szCs w:val="20"/>
              </w:rPr>
              <w:t xml:space="preserve">Ability to use information and communication technology as a tool and </w:t>
            </w:r>
            <w:proofErr w:type="gramStart"/>
            <w:r w:rsidRPr="003B6A69">
              <w:rPr>
                <w:szCs w:val="20"/>
              </w:rPr>
              <w:t>resource;</w:t>
            </w:r>
            <w:proofErr w:type="gramEnd"/>
          </w:p>
          <w:p w14:paraId="797166E0" w14:textId="77777777" w:rsidR="00A153C6" w:rsidRPr="003B6A69" w:rsidRDefault="00A153C6" w:rsidP="00AF69F1">
            <w:pPr>
              <w:numPr>
                <w:ilvl w:val="0"/>
                <w:numId w:val="9"/>
              </w:numPr>
              <w:rPr>
                <w:szCs w:val="20"/>
              </w:rPr>
            </w:pPr>
            <w:r w:rsidRPr="003B6A69">
              <w:rPr>
                <w:szCs w:val="20"/>
              </w:rPr>
              <w:t xml:space="preserve">Experience in handling web-based management </w:t>
            </w:r>
            <w:proofErr w:type="gramStart"/>
            <w:r w:rsidRPr="003B6A69">
              <w:rPr>
                <w:szCs w:val="20"/>
              </w:rPr>
              <w:t>systems;</w:t>
            </w:r>
            <w:proofErr w:type="gramEnd"/>
          </w:p>
          <w:p w14:paraId="0E84880E" w14:textId="77777777" w:rsidR="00A153C6" w:rsidRPr="003B6A69" w:rsidRDefault="00A153C6" w:rsidP="00AF69F1">
            <w:pPr>
              <w:numPr>
                <w:ilvl w:val="0"/>
                <w:numId w:val="9"/>
              </w:numPr>
              <w:rPr>
                <w:szCs w:val="20"/>
              </w:rPr>
            </w:pPr>
            <w:r w:rsidRPr="003B6A69">
              <w:rPr>
                <w:szCs w:val="20"/>
              </w:rPr>
              <w:t>Ability to handle multiple tasks simultaneously and ability to prioritize</w:t>
            </w:r>
          </w:p>
          <w:p w14:paraId="0D642B20" w14:textId="77777777" w:rsidR="00A153C6" w:rsidRPr="003B6A69" w:rsidRDefault="00A153C6" w:rsidP="00AF69F1">
            <w:pPr>
              <w:numPr>
                <w:ilvl w:val="0"/>
                <w:numId w:val="9"/>
              </w:numPr>
              <w:rPr>
                <w:szCs w:val="20"/>
              </w:rPr>
            </w:pPr>
            <w:r w:rsidRPr="003B6A69">
              <w:rPr>
                <w:szCs w:val="20"/>
              </w:rPr>
              <w:t xml:space="preserve">Good computer skills in common word processing (MS Word), spreadsheet (MS Excel), and accounting </w:t>
            </w:r>
            <w:proofErr w:type="gramStart"/>
            <w:r w:rsidRPr="003B6A69">
              <w:rPr>
                <w:szCs w:val="20"/>
              </w:rPr>
              <w:t>software;</w:t>
            </w:r>
            <w:proofErr w:type="gramEnd"/>
          </w:p>
          <w:p w14:paraId="0145701C" w14:textId="77777777" w:rsidR="00D1090B" w:rsidRPr="003B6A69" w:rsidRDefault="00A153C6" w:rsidP="00AF69F1">
            <w:pPr>
              <w:numPr>
                <w:ilvl w:val="0"/>
                <w:numId w:val="9"/>
              </w:numPr>
              <w:spacing w:after="0" w:line="256" w:lineRule="auto"/>
              <w:jc w:val="left"/>
              <w:rPr>
                <w:szCs w:val="20"/>
                <w:lang w:val="en-GB"/>
              </w:rPr>
            </w:pPr>
            <w:r w:rsidRPr="003B6A69">
              <w:rPr>
                <w:szCs w:val="20"/>
              </w:rPr>
              <w:t>Appropriate local language skills, both spoken and written.</w:t>
            </w:r>
          </w:p>
          <w:p w14:paraId="6EDDDA75" w14:textId="771F27C4" w:rsidR="00A153C6" w:rsidRPr="003B6A69" w:rsidRDefault="00A153C6" w:rsidP="00A153C6">
            <w:pPr>
              <w:spacing w:after="0" w:line="256" w:lineRule="auto"/>
              <w:ind w:left="360"/>
              <w:jc w:val="left"/>
              <w:rPr>
                <w:szCs w:val="20"/>
                <w:lang w:val="en-GB"/>
              </w:rPr>
            </w:pPr>
          </w:p>
        </w:tc>
      </w:tr>
      <w:tr w:rsidR="00D1090B" w:rsidRPr="003B6A69" w14:paraId="384EEA35" w14:textId="77777777" w:rsidTr="00D1090B">
        <w:tc>
          <w:tcPr>
            <w:tcW w:w="1413" w:type="dxa"/>
            <w:tcBorders>
              <w:top w:val="single" w:sz="4" w:space="0" w:color="auto"/>
              <w:left w:val="single" w:sz="4" w:space="0" w:color="auto"/>
              <w:bottom w:val="single" w:sz="4" w:space="0" w:color="auto"/>
              <w:right w:val="single" w:sz="4" w:space="0" w:color="auto"/>
            </w:tcBorders>
          </w:tcPr>
          <w:p w14:paraId="76DFA289" w14:textId="4EEA4A9C" w:rsidR="00900588" w:rsidRPr="003B6A69" w:rsidRDefault="00D1090B" w:rsidP="00900588">
            <w:pPr>
              <w:pStyle w:val="CharCharChar1"/>
              <w:spacing w:after="120" w:line="240" w:lineRule="auto"/>
            </w:pPr>
            <w:r w:rsidRPr="003B6A69">
              <w:lastRenderedPageBreak/>
              <w:t xml:space="preserve">Project </w:t>
            </w:r>
            <w:r w:rsidR="00900588" w:rsidRPr="003B6A69">
              <w:t>Procurement Specialist</w:t>
            </w:r>
          </w:p>
          <w:p w14:paraId="3E528283" w14:textId="4DC0D8BB" w:rsidR="00D1090B" w:rsidRPr="003B6A69" w:rsidRDefault="00D1090B" w:rsidP="00D1090B">
            <w:pPr>
              <w:pStyle w:val="CharCharChar1"/>
              <w:spacing w:after="120" w:line="240" w:lineRule="auto"/>
            </w:pPr>
          </w:p>
        </w:tc>
        <w:tc>
          <w:tcPr>
            <w:tcW w:w="8647" w:type="dxa"/>
            <w:tcBorders>
              <w:top w:val="single" w:sz="4" w:space="0" w:color="auto"/>
              <w:left w:val="single" w:sz="4" w:space="0" w:color="auto"/>
              <w:bottom w:val="single" w:sz="4" w:space="0" w:color="auto"/>
              <w:right w:val="single" w:sz="4" w:space="0" w:color="auto"/>
            </w:tcBorders>
          </w:tcPr>
          <w:p w14:paraId="6B48B2AF" w14:textId="3FAA7853" w:rsidR="00A153C6" w:rsidRPr="003B6A69" w:rsidRDefault="00A153C6" w:rsidP="00A153C6">
            <w:pPr>
              <w:rPr>
                <w:szCs w:val="20"/>
              </w:rPr>
            </w:pPr>
            <w:r w:rsidRPr="003B6A69">
              <w:rPr>
                <w:szCs w:val="20"/>
              </w:rPr>
              <w:t xml:space="preserve">The Procurement Specialist (PS) will be a locally recruited national selected based on an open competitive process. He/she will report to the </w:t>
            </w:r>
            <w:r w:rsidR="00127DDC">
              <w:rPr>
                <w:highlight w:val="yellow"/>
                <w:lang w:val="en-GB" w:eastAsia="ja-JP"/>
              </w:rPr>
              <w:t>P</w:t>
            </w:r>
            <w:r w:rsidR="00127DDC" w:rsidRPr="00127DDC">
              <w:rPr>
                <w:highlight w:val="yellow"/>
                <w:lang w:val="en-GB" w:eastAsia="ja-JP"/>
              </w:rPr>
              <w:t xml:space="preserve">roject Coordinator / </w:t>
            </w:r>
            <w:proofErr w:type="gramStart"/>
            <w:r w:rsidR="00127DDC">
              <w:rPr>
                <w:highlight w:val="yellow"/>
                <w:lang w:val="en-GB" w:eastAsia="ja-JP"/>
              </w:rPr>
              <w:t>P</w:t>
            </w:r>
            <w:r w:rsidR="00127DDC" w:rsidRPr="00127DDC">
              <w:rPr>
                <w:highlight w:val="yellow"/>
                <w:lang w:val="en-GB" w:eastAsia="ja-JP"/>
              </w:rPr>
              <w:t>rinciple</w:t>
            </w:r>
            <w:proofErr w:type="gramEnd"/>
            <w:r w:rsidR="003E6B19">
              <w:rPr>
                <w:highlight w:val="yellow"/>
                <w:lang w:val="en-GB" w:eastAsia="ja-JP"/>
              </w:rPr>
              <w:t xml:space="preserve"> </w:t>
            </w:r>
            <w:r w:rsidR="00127DDC">
              <w:rPr>
                <w:highlight w:val="yellow"/>
                <w:lang w:val="en-GB" w:eastAsia="ja-JP"/>
              </w:rPr>
              <w:t>M</w:t>
            </w:r>
            <w:r w:rsidR="00127DDC" w:rsidRPr="00127DDC">
              <w:rPr>
                <w:highlight w:val="yellow"/>
                <w:lang w:val="en-GB" w:eastAsia="ja-JP"/>
              </w:rPr>
              <w:t>anager</w:t>
            </w:r>
            <w:r w:rsidR="00127DDC" w:rsidRPr="003B6A69">
              <w:rPr>
                <w:szCs w:val="20"/>
              </w:rPr>
              <w:t xml:space="preserve"> </w:t>
            </w:r>
            <w:r w:rsidRPr="003B6A69">
              <w:rPr>
                <w:szCs w:val="20"/>
              </w:rPr>
              <w:t xml:space="preserve">(PM) and lead the project’s procurement activities for all Outcomes including drafting procurement plan based on the project’s annual work plan and project document, drafting specs for subcontracts based on </w:t>
            </w:r>
            <w:proofErr w:type="spellStart"/>
            <w:r w:rsidRPr="003B6A69">
              <w:rPr>
                <w:szCs w:val="20"/>
              </w:rPr>
              <w:t>ToRs</w:t>
            </w:r>
            <w:proofErr w:type="spellEnd"/>
            <w:r w:rsidRPr="003B6A69">
              <w:rPr>
                <w:szCs w:val="20"/>
              </w:rPr>
              <w:t xml:space="preserve"> provided by project Task Leaders and NPM, lead recruitment process for the project. S/he will assess support requirements against project objectives and operating environment. </w:t>
            </w:r>
          </w:p>
          <w:p w14:paraId="5EFBE712" w14:textId="77777777" w:rsidR="00A153C6" w:rsidRPr="003B6A69" w:rsidRDefault="00A153C6" w:rsidP="00A153C6">
            <w:pPr>
              <w:rPr>
                <w:szCs w:val="20"/>
                <w:u w:val="single"/>
              </w:rPr>
            </w:pPr>
            <w:r w:rsidRPr="003B6A69">
              <w:rPr>
                <w:szCs w:val="20"/>
                <w:u w:val="single"/>
              </w:rPr>
              <w:t>Duties and Responsibilities</w:t>
            </w:r>
          </w:p>
          <w:p w14:paraId="00DC955B" w14:textId="77777777" w:rsidR="00A153C6" w:rsidRPr="003B6A69" w:rsidRDefault="00A153C6" w:rsidP="003C6B7B">
            <w:pPr>
              <w:numPr>
                <w:ilvl w:val="0"/>
                <w:numId w:val="56"/>
              </w:numPr>
              <w:rPr>
                <w:szCs w:val="20"/>
              </w:rPr>
            </w:pPr>
            <w:r w:rsidRPr="003B6A69">
              <w:rPr>
                <w:szCs w:val="20"/>
              </w:rPr>
              <w:t xml:space="preserve">Development of a plan and monitoring of procurements annually according to the agreed </w:t>
            </w:r>
            <w:proofErr w:type="gramStart"/>
            <w:r w:rsidRPr="003B6A69">
              <w:rPr>
                <w:szCs w:val="20"/>
              </w:rPr>
              <w:t>format;</w:t>
            </w:r>
            <w:proofErr w:type="gramEnd"/>
          </w:p>
          <w:p w14:paraId="295A622E" w14:textId="77777777" w:rsidR="00A153C6" w:rsidRPr="003B6A69" w:rsidRDefault="00A153C6" w:rsidP="003C6B7B">
            <w:pPr>
              <w:numPr>
                <w:ilvl w:val="0"/>
                <w:numId w:val="56"/>
              </w:numPr>
              <w:rPr>
                <w:szCs w:val="20"/>
              </w:rPr>
            </w:pPr>
            <w:r w:rsidRPr="003B6A69">
              <w:rPr>
                <w:szCs w:val="20"/>
              </w:rPr>
              <w:t xml:space="preserve">Contribute to development of projects’ Procurement Action Plan and initiate procurement procedures for project equipment, supplies and services in a transparent and cost-effective manner; recommend procurement </w:t>
            </w:r>
            <w:proofErr w:type="gramStart"/>
            <w:r w:rsidRPr="003B6A69">
              <w:rPr>
                <w:szCs w:val="20"/>
              </w:rPr>
              <w:t>decision;</w:t>
            </w:r>
            <w:proofErr w:type="gramEnd"/>
            <w:r w:rsidRPr="003B6A69">
              <w:rPr>
                <w:szCs w:val="20"/>
              </w:rPr>
              <w:t xml:space="preserve"> </w:t>
            </w:r>
          </w:p>
          <w:p w14:paraId="0B75594E" w14:textId="77777777" w:rsidR="00A153C6" w:rsidRPr="003B6A69" w:rsidRDefault="00A153C6" w:rsidP="003C6B7B">
            <w:pPr>
              <w:numPr>
                <w:ilvl w:val="0"/>
                <w:numId w:val="56"/>
              </w:numPr>
              <w:rPr>
                <w:szCs w:val="20"/>
              </w:rPr>
            </w:pPr>
            <w:r w:rsidRPr="003B6A69">
              <w:rPr>
                <w:szCs w:val="20"/>
              </w:rPr>
              <w:t>Collection and systematization of the information on potential suppliers of services/</w:t>
            </w:r>
            <w:proofErr w:type="gramStart"/>
            <w:r w:rsidRPr="003B6A69">
              <w:rPr>
                <w:szCs w:val="20"/>
              </w:rPr>
              <w:t>goods;</w:t>
            </w:r>
            <w:proofErr w:type="gramEnd"/>
          </w:p>
          <w:p w14:paraId="2FEFB51B" w14:textId="77777777" w:rsidR="00A153C6" w:rsidRPr="003B6A69" w:rsidRDefault="00A153C6" w:rsidP="003C6B7B">
            <w:pPr>
              <w:numPr>
                <w:ilvl w:val="0"/>
                <w:numId w:val="56"/>
              </w:numPr>
              <w:rPr>
                <w:szCs w:val="20"/>
              </w:rPr>
            </w:pPr>
            <w:r w:rsidRPr="003B6A69">
              <w:rPr>
                <w:szCs w:val="20"/>
              </w:rPr>
              <w:t xml:space="preserve">Ensuring tender selection of the supplier of services/goods in accordance with the agreed NIM requirements and </w:t>
            </w:r>
            <w:proofErr w:type="gramStart"/>
            <w:r w:rsidRPr="003B6A69">
              <w:rPr>
                <w:szCs w:val="20"/>
              </w:rPr>
              <w:t>procedures;</w:t>
            </w:r>
            <w:proofErr w:type="gramEnd"/>
          </w:p>
          <w:p w14:paraId="1A038BA3" w14:textId="77777777" w:rsidR="00A153C6" w:rsidRPr="003B6A69" w:rsidRDefault="00A153C6" w:rsidP="003C6B7B">
            <w:pPr>
              <w:numPr>
                <w:ilvl w:val="0"/>
                <w:numId w:val="56"/>
              </w:numPr>
              <w:rPr>
                <w:szCs w:val="20"/>
              </w:rPr>
            </w:pPr>
            <w:r w:rsidRPr="003B6A69">
              <w:rPr>
                <w:szCs w:val="20"/>
              </w:rPr>
              <w:t xml:space="preserve">Preparation of motivations on the selected supplier of services/goods for consideration by the UNDP procurement </w:t>
            </w:r>
            <w:proofErr w:type="gramStart"/>
            <w:r w:rsidRPr="003B6A69">
              <w:rPr>
                <w:szCs w:val="20"/>
              </w:rPr>
              <w:t>committee;</w:t>
            </w:r>
            <w:proofErr w:type="gramEnd"/>
          </w:p>
          <w:p w14:paraId="1510BE9A" w14:textId="77777777" w:rsidR="00A153C6" w:rsidRPr="003B6A69" w:rsidRDefault="00A153C6" w:rsidP="003C6B7B">
            <w:pPr>
              <w:numPr>
                <w:ilvl w:val="0"/>
                <w:numId w:val="56"/>
              </w:numPr>
              <w:rPr>
                <w:szCs w:val="20"/>
              </w:rPr>
            </w:pPr>
            <w:r w:rsidRPr="003B6A69">
              <w:rPr>
                <w:szCs w:val="20"/>
              </w:rPr>
              <w:t>Preparation in consultation with the project experts the justifications for selected suppliers of goods/</w:t>
            </w:r>
            <w:proofErr w:type="gramStart"/>
            <w:r w:rsidRPr="003B6A69">
              <w:rPr>
                <w:szCs w:val="20"/>
              </w:rPr>
              <w:t>services;</w:t>
            </w:r>
            <w:proofErr w:type="gramEnd"/>
          </w:p>
          <w:p w14:paraId="3E6CD5A0" w14:textId="77777777" w:rsidR="00A153C6" w:rsidRPr="003B6A69" w:rsidRDefault="00A153C6" w:rsidP="003C6B7B">
            <w:pPr>
              <w:numPr>
                <w:ilvl w:val="0"/>
                <w:numId w:val="56"/>
              </w:numPr>
              <w:rPr>
                <w:szCs w:val="20"/>
              </w:rPr>
            </w:pPr>
            <w:r w:rsidRPr="003B6A69">
              <w:rPr>
                <w:szCs w:val="20"/>
              </w:rPr>
              <w:t xml:space="preserve">Preparation, agreement upon and arrangement the approval of contractual documents pertaining to procurements of goods/services; to control the progress of suppliers’ contractual terms and conditions and inform </w:t>
            </w:r>
            <w:proofErr w:type="gramStart"/>
            <w:r w:rsidRPr="003B6A69">
              <w:rPr>
                <w:szCs w:val="20"/>
              </w:rPr>
              <w:t>NPM;</w:t>
            </w:r>
            <w:proofErr w:type="gramEnd"/>
          </w:p>
          <w:p w14:paraId="704C3BBE" w14:textId="77777777" w:rsidR="00A153C6" w:rsidRPr="003B6A69" w:rsidRDefault="00A153C6" w:rsidP="003C6B7B">
            <w:pPr>
              <w:numPr>
                <w:ilvl w:val="0"/>
                <w:numId w:val="56"/>
              </w:numPr>
              <w:rPr>
                <w:szCs w:val="20"/>
              </w:rPr>
            </w:pPr>
            <w:r w:rsidRPr="003B6A69">
              <w:rPr>
                <w:szCs w:val="20"/>
              </w:rPr>
              <w:t xml:space="preserve">Creation of requisitions </w:t>
            </w:r>
            <w:proofErr w:type="gramStart"/>
            <w:r w:rsidRPr="003B6A69">
              <w:rPr>
                <w:szCs w:val="20"/>
              </w:rPr>
              <w:t>under signed</w:t>
            </w:r>
            <w:proofErr w:type="gramEnd"/>
            <w:r w:rsidRPr="003B6A69">
              <w:rPr>
                <w:szCs w:val="20"/>
              </w:rPr>
              <w:t xml:space="preserve"> contracts and tranches, monitoring requests;</w:t>
            </w:r>
          </w:p>
          <w:p w14:paraId="379CDDA9" w14:textId="77777777" w:rsidR="00A153C6" w:rsidRPr="003B6A69" w:rsidRDefault="00A153C6" w:rsidP="003C6B7B">
            <w:pPr>
              <w:numPr>
                <w:ilvl w:val="0"/>
                <w:numId w:val="56"/>
              </w:numPr>
              <w:rPr>
                <w:szCs w:val="20"/>
              </w:rPr>
            </w:pPr>
            <w:r w:rsidRPr="003B6A69">
              <w:rPr>
                <w:szCs w:val="20"/>
              </w:rPr>
              <w:t xml:space="preserve">Equipment inventory, preparing reports about equipment </w:t>
            </w:r>
            <w:proofErr w:type="gramStart"/>
            <w:r w:rsidRPr="003B6A69">
              <w:rPr>
                <w:szCs w:val="20"/>
              </w:rPr>
              <w:t>condition;</w:t>
            </w:r>
            <w:proofErr w:type="gramEnd"/>
          </w:p>
          <w:p w14:paraId="17F07D21" w14:textId="77777777" w:rsidR="00A153C6" w:rsidRPr="003B6A69" w:rsidRDefault="00A153C6" w:rsidP="003C6B7B">
            <w:pPr>
              <w:numPr>
                <w:ilvl w:val="0"/>
                <w:numId w:val="56"/>
              </w:numPr>
              <w:rPr>
                <w:szCs w:val="20"/>
              </w:rPr>
            </w:pPr>
            <w:r w:rsidRPr="003B6A69">
              <w:rPr>
                <w:szCs w:val="20"/>
              </w:rPr>
              <w:t xml:space="preserve">Assistance to NPM and Outcome Task Leaders in preparing the annual/quarterly project </w:t>
            </w:r>
            <w:proofErr w:type="gramStart"/>
            <w:r w:rsidRPr="003B6A69">
              <w:rPr>
                <w:szCs w:val="20"/>
              </w:rPr>
              <w:t>budgets;</w:t>
            </w:r>
            <w:proofErr w:type="gramEnd"/>
            <w:r w:rsidRPr="003B6A69">
              <w:rPr>
                <w:szCs w:val="20"/>
              </w:rPr>
              <w:t xml:space="preserve"> </w:t>
            </w:r>
          </w:p>
          <w:p w14:paraId="7FFD2191" w14:textId="77777777" w:rsidR="00A153C6" w:rsidRPr="003B6A69" w:rsidRDefault="00A153C6" w:rsidP="003C6B7B">
            <w:pPr>
              <w:numPr>
                <w:ilvl w:val="0"/>
                <w:numId w:val="56"/>
              </w:numPr>
              <w:rPr>
                <w:szCs w:val="20"/>
              </w:rPr>
            </w:pPr>
            <w:r w:rsidRPr="003B6A69">
              <w:rPr>
                <w:szCs w:val="20"/>
              </w:rPr>
              <w:t xml:space="preserve">Assist in monitoring the projects’ financially to ensure the efficient and timely delivery of inputs and the realization of the targeted expenditure/delivery </w:t>
            </w:r>
            <w:proofErr w:type="gramStart"/>
            <w:r w:rsidRPr="003B6A69">
              <w:rPr>
                <w:szCs w:val="20"/>
              </w:rPr>
              <w:t>rate;</w:t>
            </w:r>
            <w:proofErr w:type="gramEnd"/>
          </w:p>
          <w:p w14:paraId="2CFDBBED" w14:textId="77777777" w:rsidR="00A153C6" w:rsidRPr="003B6A69" w:rsidRDefault="00A153C6" w:rsidP="003C6B7B">
            <w:pPr>
              <w:numPr>
                <w:ilvl w:val="0"/>
                <w:numId w:val="56"/>
              </w:numPr>
              <w:rPr>
                <w:szCs w:val="20"/>
              </w:rPr>
            </w:pPr>
            <w:r w:rsidRPr="003B6A69">
              <w:rPr>
                <w:szCs w:val="20"/>
              </w:rPr>
              <w:t xml:space="preserve">Timely preparation of financial documents required for audit and other </w:t>
            </w:r>
            <w:proofErr w:type="gramStart"/>
            <w:r w:rsidRPr="003B6A69">
              <w:rPr>
                <w:szCs w:val="20"/>
              </w:rPr>
              <w:t>reporting;</w:t>
            </w:r>
            <w:proofErr w:type="gramEnd"/>
          </w:p>
          <w:p w14:paraId="1D1F3D81" w14:textId="77777777" w:rsidR="00A153C6" w:rsidRPr="003B6A69" w:rsidRDefault="00A153C6" w:rsidP="003C6B7B">
            <w:pPr>
              <w:numPr>
                <w:ilvl w:val="0"/>
                <w:numId w:val="56"/>
              </w:numPr>
              <w:rPr>
                <w:szCs w:val="20"/>
              </w:rPr>
            </w:pPr>
            <w:r w:rsidRPr="003B6A69">
              <w:rPr>
                <w:szCs w:val="20"/>
              </w:rPr>
              <w:t xml:space="preserve">Maintain the archive data log; enter all the data pertaining to contracts, reports, the inventory list of equipment, etc., revision and updating such data in the established format for further </w:t>
            </w:r>
            <w:proofErr w:type="gramStart"/>
            <w:r w:rsidRPr="003B6A69">
              <w:rPr>
                <w:szCs w:val="20"/>
              </w:rPr>
              <w:t>use;</w:t>
            </w:r>
            <w:proofErr w:type="gramEnd"/>
            <w:r w:rsidRPr="003B6A69">
              <w:rPr>
                <w:szCs w:val="20"/>
              </w:rPr>
              <w:t xml:space="preserve"> </w:t>
            </w:r>
          </w:p>
          <w:p w14:paraId="52873F80" w14:textId="77777777" w:rsidR="00A153C6" w:rsidRPr="003B6A69" w:rsidRDefault="00A153C6" w:rsidP="003C6B7B">
            <w:pPr>
              <w:numPr>
                <w:ilvl w:val="0"/>
                <w:numId w:val="56"/>
              </w:numPr>
              <w:rPr>
                <w:szCs w:val="20"/>
              </w:rPr>
            </w:pPr>
            <w:r w:rsidRPr="003B6A69">
              <w:rPr>
                <w:szCs w:val="20"/>
              </w:rPr>
              <w:t>Maintain the records pertaining to the issuance of project equipment; maintain monitoring of such equipment</w:t>
            </w:r>
          </w:p>
          <w:p w14:paraId="299BEFD6" w14:textId="77777777" w:rsidR="00A153C6" w:rsidRPr="003B6A69" w:rsidRDefault="00A153C6" w:rsidP="00A153C6">
            <w:pPr>
              <w:rPr>
                <w:szCs w:val="20"/>
                <w:u w:val="single"/>
              </w:rPr>
            </w:pPr>
            <w:r w:rsidRPr="003B6A69">
              <w:rPr>
                <w:szCs w:val="20"/>
                <w:u w:val="single"/>
              </w:rPr>
              <w:t>Qualifications</w:t>
            </w:r>
          </w:p>
          <w:p w14:paraId="5E4CB284" w14:textId="77777777" w:rsidR="00A153C6" w:rsidRPr="003B6A69" w:rsidRDefault="00A153C6" w:rsidP="003C6B7B">
            <w:pPr>
              <w:numPr>
                <w:ilvl w:val="0"/>
                <w:numId w:val="54"/>
              </w:numPr>
              <w:rPr>
                <w:szCs w:val="20"/>
              </w:rPr>
            </w:pPr>
            <w:r w:rsidRPr="003B6A69">
              <w:rPr>
                <w:szCs w:val="20"/>
              </w:rPr>
              <w:t xml:space="preserve">University degree, preferably   in economics, accounting, financial management or business </w:t>
            </w:r>
            <w:proofErr w:type="gramStart"/>
            <w:r w:rsidRPr="003B6A69">
              <w:rPr>
                <w:szCs w:val="20"/>
              </w:rPr>
              <w:t>administration;</w:t>
            </w:r>
            <w:proofErr w:type="gramEnd"/>
          </w:p>
          <w:p w14:paraId="3F69609F" w14:textId="77777777" w:rsidR="00A153C6" w:rsidRPr="003B6A69" w:rsidRDefault="00A153C6" w:rsidP="003C6B7B">
            <w:pPr>
              <w:numPr>
                <w:ilvl w:val="0"/>
                <w:numId w:val="54"/>
              </w:numPr>
              <w:rPr>
                <w:szCs w:val="20"/>
              </w:rPr>
            </w:pPr>
            <w:r w:rsidRPr="003B6A69">
              <w:rPr>
                <w:szCs w:val="20"/>
              </w:rPr>
              <w:t xml:space="preserve">At least 4 years of experience in financial administration and </w:t>
            </w:r>
            <w:proofErr w:type="gramStart"/>
            <w:r w:rsidRPr="003B6A69">
              <w:rPr>
                <w:szCs w:val="20"/>
              </w:rPr>
              <w:t>procurement;</w:t>
            </w:r>
            <w:proofErr w:type="gramEnd"/>
            <w:r w:rsidRPr="003B6A69">
              <w:rPr>
                <w:szCs w:val="20"/>
              </w:rPr>
              <w:t xml:space="preserve"> </w:t>
            </w:r>
          </w:p>
          <w:p w14:paraId="48AC9877" w14:textId="77777777" w:rsidR="00A153C6" w:rsidRPr="003B6A69" w:rsidRDefault="00A153C6" w:rsidP="003C6B7B">
            <w:pPr>
              <w:numPr>
                <w:ilvl w:val="0"/>
                <w:numId w:val="54"/>
              </w:numPr>
              <w:rPr>
                <w:szCs w:val="20"/>
              </w:rPr>
            </w:pPr>
            <w:r w:rsidRPr="003B6A69">
              <w:rPr>
                <w:szCs w:val="20"/>
              </w:rPr>
              <w:t xml:space="preserve">Experience in the international companies/organizations is an </w:t>
            </w:r>
            <w:proofErr w:type="gramStart"/>
            <w:r w:rsidRPr="003B6A69">
              <w:rPr>
                <w:szCs w:val="20"/>
              </w:rPr>
              <w:t>advantage;</w:t>
            </w:r>
            <w:proofErr w:type="gramEnd"/>
          </w:p>
          <w:p w14:paraId="2061EBDE" w14:textId="77777777" w:rsidR="00A153C6" w:rsidRPr="003B6A69" w:rsidRDefault="00A153C6" w:rsidP="003C6B7B">
            <w:pPr>
              <w:numPr>
                <w:ilvl w:val="0"/>
                <w:numId w:val="54"/>
              </w:numPr>
              <w:rPr>
                <w:szCs w:val="20"/>
              </w:rPr>
            </w:pPr>
            <w:r w:rsidRPr="003B6A69">
              <w:rPr>
                <w:szCs w:val="20"/>
              </w:rPr>
              <w:t xml:space="preserve">Previous experience in working with UNDP/GEF projects is </w:t>
            </w:r>
            <w:proofErr w:type="gramStart"/>
            <w:r w:rsidRPr="003B6A69">
              <w:rPr>
                <w:szCs w:val="20"/>
              </w:rPr>
              <w:t>preferable;</w:t>
            </w:r>
            <w:proofErr w:type="gramEnd"/>
          </w:p>
          <w:p w14:paraId="67A266EF" w14:textId="77777777" w:rsidR="00A153C6" w:rsidRPr="003B6A69" w:rsidRDefault="00A153C6" w:rsidP="003C6B7B">
            <w:pPr>
              <w:numPr>
                <w:ilvl w:val="0"/>
                <w:numId w:val="54"/>
              </w:numPr>
              <w:rPr>
                <w:szCs w:val="20"/>
              </w:rPr>
            </w:pPr>
            <w:r w:rsidRPr="003B6A69">
              <w:rPr>
                <w:szCs w:val="20"/>
              </w:rPr>
              <w:t xml:space="preserve">Solid experience of planning and reporting on foreign funded </w:t>
            </w:r>
            <w:proofErr w:type="gramStart"/>
            <w:r w:rsidRPr="003B6A69">
              <w:rPr>
                <w:szCs w:val="20"/>
              </w:rPr>
              <w:t>projects;</w:t>
            </w:r>
            <w:proofErr w:type="gramEnd"/>
            <w:r w:rsidRPr="003B6A69">
              <w:rPr>
                <w:szCs w:val="20"/>
              </w:rPr>
              <w:t xml:space="preserve"> </w:t>
            </w:r>
          </w:p>
          <w:p w14:paraId="5C53BD02" w14:textId="77777777" w:rsidR="00A153C6" w:rsidRPr="003B6A69" w:rsidRDefault="00A153C6" w:rsidP="003C6B7B">
            <w:pPr>
              <w:numPr>
                <w:ilvl w:val="0"/>
                <w:numId w:val="54"/>
              </w:numPr>
              <w:rPr>
                <w:szCs w:val="20"/>
              </w:rPr>
            </w:pPr>
            <w:r w:rsidRPr="003B6A69">
              <w:rPr>
                <w:szCs w:val="20"/>
              </w:rPr>
              <w:t xml:space="preserve">Good organizational </w:t>
            </w:r>
            <w:proofErr w:type="gramStart"/>
            <w:r w:rsidRPr="003B6A69">
              <w:rPr>
                <w:szCs w:val="20"/>
              </w:rPr>
              <w:t>capacity;</w:t>
            </w:r>
            <w:proofErr w:type="gramEnd"/>
          </w:p>
          <w:p w14:paraId="1386DBEF" w14:textId="77777777" w:rsidR="00A153C6" w:rsidRPr="003B6A69" w:rsidRDefault="00A153C6" w:rsidP="003C6B7B">
            <w:pPr>
              <w:numPr>
                <w:ilvl w:val="0"/>
                <w:numId w:val="54"/>
              </w:numPr>
              <w:rPr>
                <w:szCs w:val="20"/>
              </w:rPr>
            </w:pPr>
            <w:r w:rsidRPr="003B6A69">
              <w:rPr>
                <w:szCs w:val="20"/>
              </w:rPr>
              <w:t xml:space="preserve">Knowledge in administrative procedures of the Government and </w:t>
            </w:r>
            <w:proofErr w:type="gramStart"/>
            <w:r w:rsidRPr="003B6A69">
              <w:rPr>
                <w:szCs w:val="20"/>
              </w:rPr>
              <w:t>UNDP;</w:t>
            </w:r>
            <w:proofErr w:type="gramEnd"/>
          </w:p>
          <w:p w14:paraId="64C29D09" w14:textId="77777777" w:rsidR="00A153C6" w:rsidRPr="003B6A69" w:rsidRDefault="00A153C6" w:rsidP="003C6B7B">
            <w:pPr>
              <w:numPr>
                <w:ilvl w:val="0"/>
                <w:numId w:val="54"/>
              </w:numPr>
              <w:rPr>
                <w:szCs w:val="20"/>
                <w:lang w:val="en-GB"/>
              </w:rPr>
            </w:pPr>
            <w:r w:rsidRPr="003B6A69">
              <w:rPr>
                <w:szCs w:val="20"/>
              </w:rPr>
              <w:lastRenderedPageBreak/>
              <w:t xml:space="preserve">Good computer skills in common word processing (MS Word), spreadsheet (MS Excel), and accounting </w:t>
            </w:r>
            <w:proofErr w:type="gramStart"/>
            <w:r w:rsidRPr="003B6A69">
              <w:rPr>
                <w:szCs w:val="20"/>
              </w:rPr>
              <w:t>software;</w:t>
            </w:r>
            <w:proofErr w:type="gramEnd"/>
            <w:r w:rsidRPr="003B6A69">
              <w:rPr>
                <w:szCs w:val="20"/>
              </w:rPr>
              <w:t xml:space="preserve"> </w:t>
            </w:r>
          </w:p>
          <w:p w14:paraId="09666575" w14:textId="00C2BDB3" w:rsidR="00D1090B" w:rsidRPr="003B6A69" w:rsidRDefault="00A153C6" w:rsidP="003C6B7B">
            <w:pPr>
              <w:numPr>
                <w:ilvl w:val="0"/>
                <w:numId w:val="54"/>
              </w:numPr>
              <w:rPr>
                <w:szCs w:val="20"/>
                <w:lang w:val="en-GB"/>
              </w:rPr>
            </w:pPr>
            <w:r w:rsidRPr="003B6A69">
              <w:rPr>
                <w:szCs w:val="20"/>
              </w:rPr>
              <w:t>Appropriate local language skills, both spoken and written.</w:t>
            </w:r>
          </w:p>
        </w:tc>
      </w:tr>
      <w:tr w:rsidR="00D1090B" w:rsidRPr="003B6A69" w14:paraId="51F4F259" w14:textId="77777777" w:rsidTr="00D1090B">
        <w:tc>
          <w:tcPr>
            <w:tcW w:w="1413" w:type="dxa"/>
            <w:tcBorders>
              <w:top w:val="single" w:sz="4" w:space="0" w:color="auto"/>
              <w:left w:val="single" w:sz="4" w:space="0" w:color="auto"/>
              <w:bottom w:val="single" w:sz="4" w:space="0" w:color="auto"/>
              <w:right w:val="single" w:sz="4" w:space="0" w:color="auto"/>
            </w:tcBorders>
          </w:tcPr>
          <w:p w14:paraId="6AB5B1D8" w14:textId="7B6ADAAA" w:rsidR="00D1090B" w:rsidRPr="003B6A69" w:rsidRDefault="00D1090B" w:rsidP="00D1090B">
            <w:pPr>
              <w:pStyle w:val="CharCharChar1"/>
              <w:spacing w:after="120" w:line="240" w:lineRule="auto"/>
            </w:pPr>
            <w:r w:rsidRPr="003B6A69">
              <w:lastRenderedPageBreak/>
              <w:t xml:space="preserve">Project </w:t>
            </w:r>
            <w:r w:rsidR="00900588" w:rsidRPr="003B6A69">
              <w:t>Knowledge Management</w:t>
            </w:r>
            <w:r w:rsidR="005D4D70" w:rsidRPr="003B6A69">
              <w:t>,</w:t>
            </w:r>
            <w:r w:rsidR="00900588" w:rsidRPr="003B6A69">
              <w:t xml:space="preserve"> </w:t>
            </w:r>
            <w:r w:rsidRPr="003B6A69">
              <w:t>Communications</w:t>
            </w:r>
            <w:r w:rsidR="005D4D70" w:rsidRPr="003B6A69">
              <w:t xml:space="preserve"> and M&amp;E</w:t>
            </w:r>
            <w:r w:rsidRPr="003B6A69">
              <w:t xml:space="preserve"> </w:t>
            </w:r>
            <w:r w:rsidR="00900588" w:rsidRPr="003B6A69">
              <w:t>Consultant</w:t>
            </w:r>
          </w:p>
          <w:p w14:paraId="6ED9CA1F" w14:textId="77777777" w:rsidR="00D1090B" w:rsidRPr="003B6A69" w:rsidRDefault="00D1090B" w:rsidP="00900588">
            <w:pPr>
              <w:pStyle w:val="CharCharChar1"/>
              <w:spacing w:after="120" w:line="240" w:lineRule="auto"/>
            </w:pPr>
          </w:p>
        </w:tc>
        <w:tc>
          <w:tcPr>
            <w:tcW w:w="8647" w:type="dxa"/>
            <w:tcBorders>
              <w:top w:val="single" w:sz="4" w:space="0" w:color="auto"/>
              <w:left w:val="single" w:sz="4" w:space="0" w:color="auto"/>
              <w:bottom w:val="single" w:sz="4" w:space="0" w:color="auto"/>
              <w:right w:val="single" w:sz="4" w:space="0" w:color="auto"/>
            </w:tcBorders>
          </w:tcPr>
          <w:p w14:paraId="342C0644" w14:textId="13D0E89A" w:rsidR="00D1090B" w:rsidRPr="003B6A69" w:rsidRDefault="00D1090B" w:rsidP="00D1090B">
            <w:pPr>
              <w:spacing w:after="0"/>
              <w:jc w:val="left"/>
              <w:rPr>
                <w:szCs w:val="20"/>
                <w:lang w:val="en-GB"/>
              </w:rPr>
            </w:pPr>
            <w:r w:rsidRPr="003B6A69">
              <w:rPr>
                <w:szCs w:val="20"/>
                <w:lang w:val="en-GB"/>
              </w:rPr>
              <w:t xml:space="preserve">Under the overall supervision and guidance of the </w:t>
            </w:r>
            <w:r w:rsidR="00127DDC" w:rsidRPr="00127DDC">
              <w:rPr>
                <w:highlight w:val="yellow"/>
                <w:lang w:val="en-GB" w:eastAsia="ja-JP"/>
              </w:rPr>
              <w:t xml:space="preserve">project </w:t>
            </w:r>
            <w:r w:rsidR="003E6B19">
              <w:rPr>
                <w:highlight w:val="yellow"/>
                <w:lang w:val="en-GB" w:eastAsia="ja-JP"/>
              </w:rPr>
              <w:t>c</w:t>
            </w:r>
            <w:r w:rsidR="00127DDC" w:rsidRPr="00127DDC">
              <w:rPr>
                <w:highlight w:val="yellow"/>
                <w:lang w:val="en-GB" w:eastAsia="ja-JP"/>
              </w:rPr>
              <w:t xml:space="preserve">oordinator / </w:t>
            </w:r>
            <w:proofErr w:type="gramStart"/>
            <w:r w:rsidR="00127DDC" w:rsidRPr="00127DDC">
              <w:rPr>
                <w:highlight w:val="yellow"/>
                <w:lang w:val="en-GB" w:eastAsia="ja-JP"/>
              </w:rPr>
              <w:t>principle</w:t>
            </w:r>
            <w:proofErr w:type="gramEnd"/>
            <w:r w:rsidR="00127DDC" w:rsidRPr="00127DDC">
              <w:rPr>
                <w:highlight w:val="yellow"/>
                <w:lang w:val="en-GB" w:eastAsia="ja-JP"/>
              </w:rPr>
              <w:t xml:space="preserve"> </w:t>
            </w:r>
            <w:r w:rsidR="00127DDC">
              <w:rPr>
                <w:highlight w:val="yellow"/>
                <w:lang w:val="en-GB" w:eastAsia="ja-JP"/>
              </w:rPr>
              <w:t>m</w:t>
            </w:r>
            <w:r w:rsidR="00127DDC" w:rsidRPr="00127DDC">
              <w:rPr>
                <w:highlight w:val="yellow"/>
                <w:lang w:val="en-GB" w:eastAsia="ja-JP"/>
              </w:rPr>
              <w:t>anager</w:t>
            </w:r>
            <w:r w:rsidRPr="003B6A69">
              <w:rPr>
                <w:szCs w:val="20"/>
                <w:lang w:val="en-GB"/>
              </w:rPr>
              <w:t xml:space="preserve">, the </w:t>
            </w:r>
            <w:r w:rsidR="00A153C6" w:rsidRPr="003B6A69">
              <w:rPr>
                <w:szCs w:val="20"/>
                <w:lang w:val="en-GB"/>
              </w:rPr>
              <w:t>Know</w:t>
            </w:r>
            <w:r w:rsidR="007E29B1" w:rsidRPr="003B6A69">
              <w:rPr>
                <w:szCs w:val="20"/>
                <w:lang w:val="en-GB"/>
              </w:rPr>
              <w:t>l</w:t>
            </w:r>
            <w:r w:rsidR="00A153C6" w:rsidRPr="003B6A69">
              <w:rPr>
                <w:szCs w:val="20"/>
                <w:lang w:val="en-GB"/>
              </w:rPr>
              <w:t xml:space="preserve">edge Management and </w:t>
            </w:r>
            <w:r w:rsidRPr="003B6A69">
              <w:rPr>
                <w:szCs w:val="20"/>
                <w:lang w:val="en-GB"/>
              </w:rPr>
              <w:t xml:space="preserve">Communications </w:t>
            </w:r>
            <w:r w:rsidR="00A153C6" w:rsidRPr="003B6A69">
              <w:rPr>
                <w:szCs w:val="20"/>
                <w:lang w:val="en-GB"/>
              </w:rPr>
              <w:t>Consultant</w:t>
            </w:r>
            <w:r w:rsidRPr="003B6A69">
              <w:rPr>
                <w:szCs w:val="20"/>
                <w:lang w:val="en-GB"/>
              </w:rPr>
              <w:t xml:space="preserve"> will have the responsibility for leading knowledge management outputs and developing the project communications strategy at the project outset and coordinating its implementation across all project components. </w:t>
            </w:r>
            <w:r w:rsidR="007E29B1" w:rsidRPr="003B6A69">
              <w:rPr>
                <w:szCs w:val="20"/>
                <w:lang w:val="en-GB"/>
              </w:rPr>
              <w:t xml:space="preserve">The consultant, under the PM guidance, will also support the implementation of the project Monitoring and Evaluation Plan. </w:t>
            </w:r>
            <w:r w:rsidRPr="003B6A69">
              <w:rPr>
                <w:szCs w:val="20"/>
                <w:lang w:val="en-GB"/>
              </w:rPr>
              <w:t>Specific responsibilities will include:</w:t>
            </w:r>
          </w:p>
          <w:p w14:paraId="17F9340D" w14:textId="77777777" w:rsidR="00D1090B" w:rsidRPr="003B6A69" w:rsidRDefault="00D1090B" w:rsidP="00D1090B">
            <w:pPr>
              <w:spacing w:after="0"/>
              <w:jc w:val="left"/>
              <w:rPr>
                <w:szCs w:val="20"/>
                <w:lang w:val="en-GB"/>
              </w:rPr>
            </w:pPr>
          </w:p>
          <w:p w14:paraId="4E4E85ED" w14:textId="77777777" w:rsidR="00D1090B" w:rsidRPr="003B6A69" w:rsidRDefault="00D1090B" w:rsidP="00AF69F1">
            <w:pPr>
              <w:numPr>
                <w:ilvl w:val="0"/>
                <w:numId w:val="10"/>
              </w:numPr>
              <w:spacing w:after="0"/>
              <w:jc w:val="left"/>
              <w:rPr>
                <w:szCs w:val="20"/>
                <w:lang w:val="en-GB"/>
              </w:rPr>
            </w:pPr>
            <w:r w:rsidRPr="003B6A69">
              <w:rPr>
                <w:szCs w:val="20"/>
                <w:lang w:val="en-GB"/>
              </w:rPr>
              <w:t xml:space="preserve">Develop a project communications strategy / plan, incorporate it with the annual work plans and update it annually in consultation with project </w:t>
            </w:r>
            <w:proofErr w:type="gramStart"/>
            <w:r w:rsidRPr="003B6A69">
              <w:rPr>
                <w:szCs w:val="20"/>
                <w:lang w:val="en-GB"/>
              </w:rPr>
              <w:t>stakeholders;</w:t>
            </w:r>
            <w:proofErr w:type="gramEnd"/>
            <w:r w:rsidRPr="003B6A69">
              <w:rPr>
                <w:szCs w:val="20"/>
                <w:lang w:val="en-GB"/>
              </w:rPr>
              <w:t xml:space="preserve"> </w:t>
            </w:r>
          </w:p>
          <w:p w14:paraId="3574BF92" w14:textId="77777777" w:rsidR="00D1090B" w:rsidRPr="003B6A69" w:rsidRDefault="00D1090B" w:rsidP="00AF69F1">
            <w:pPr>
              <w:numPr>
                <w:ilvl w:val="0"/>
                <w:numId w:val="10"/>
              </w:numPr>
              <w:spacing w:after="0"/>
              <w:jc w:val="left"/>
              <w:rPr>
                <w:szCs w:val="20"/>
                <w:lang w:val="en-GB"/>
              </w:rPr>
            </w:pPr>
            <w:r w:rsidRPr="003B6A69">
              <w:rPr>
                <w:szCs w:val="20"/>
                <w:lang w:val="en-GB"/>
              </w:rPr>
              <w:t xml:space="preserve">Lead and coordinate the implementation of the project communications </w:t>
            </w:r>
            <w:proofErr w:type="gramStart"/>
            <w:r w:rsidRPr="003B6A69">
              <w:rPr>
                <w:szCs w:val="20"/>
                <w:lang w:val="en-GB"/>
              </w:rPr>
              <w:t>strategy;</w:t>
            </w:r>
            <w:proofErr w:type="gramEnd"/>
          </w:p>
          <w:p w14:paraId="5AE62226" w14:textId="77777777" w:rsidR="00D1090B" w:rsidRPr="003B6A69" w:rsidRDefault="00D1090B" w:rsidP="00AF69F1">
            <w:pPr>
              <w:numPr>
                <w:ilvl w:val="0"/>
                <w:numId w:val="10"/>
              </w:numPr>
              <w:spacing w:after="0"/>
              <w:jc w:val="left"/>
              <w:rPr>
                <w:szCs w:val="20"/>
                <w:lang w:val="en-GB"/>
              </w:rPr>
            </w:pPr>
            <w:r w:rsidRPr="003B6A69">
              <w:rPr>
                <w:szCs w:val="20"/>
                <w:lang w:val="en-GB"/>
              </w:rPr>
              <w:t xml:space="preserve">Coordinate and oversee the implementation of public awareness activities across all project </w:t>
            </w:r>
            <w:proofErr w:type="gramStart"/>
            <w:r w:rsidRPr="003B6A69">
              <w:rPr>
                <w:szCs w:val="20"/>
                <w:lang w:val="en-GB"/>
              </w:rPr>
              <w:t>components;</w:t>
            </w:r>
            <w:proofErr w:type="gramEnd"/>
          </w:p>
          <w:p w14:paraId="49B8EB0A" w14:textId="77777777" w:rsidR="00D1090B" w:rsidRPr="003B6A69" w:rsidRDefault="00D1090B" w:rsidP="00AF69F1">
            <w:pPr>
              <w:numPr>
                <w:ilvl w:val="0"/>
                <w:numId w:val="10"/>
              </w:numPr>
              <w:spacing w:after="0"/>
              <w:jc w:val="left"/>
              <w:rPr>
                <w:szCs w:val="20"/>
                <w:lang w:val="en-GB"/>
              </w:rPr>
            </w:pPr>
            <w:r w:rsidRPr="003B6A69">
              <w:rPr>
                <w:szCs w:val="20"/>
                <w:lang w:val="en-GB"/>
              </w:rPr>
              <w:t xml:space="preserve">Lead and coordinate the development of knowledge management outputs of the </w:t>
            </w:r>
            <w:proofErr w:type="gramStart"/>
            <w:r w:rsidRPr="003B6A69">
              <w:rPr>
                <w:szCs w:val="20"/>
                <w:lang w:val="en-GB"/>
              </w:rPr>
              <w:t>project;</w:t>
            </w:r>
            <w:proofErr w:type="gramEnd"/>
          </w:p>
          <w:p w14:paraId="561DB34D" w14:textId="77777777" w:rsidR="00D1090B" w:rsidRPr="003B6A69" w:rsidRDefault="00D1090B" w:rsidP="00AF69F1">
            <w:pPr>
              <w:numPr>
                <w:ilvl w:val="0"/>
                <w:numId w:val="10"/>
              </w:numPr>
              <w:spacing w:after="0"/>
              <w:jc w:val="left"/>
              <w:rPr>
                <w:szCs w:val="20"/>
                <w:lang w:val="en-GB"/>
              </w:rPr>
            </w:pPr>
            <w:r w:rsidRPr="003B6A69">
              <w:rPr>
                <w:szCs w:val="20"/>
                <w:lang w:val="en-GB"/>
              </w:rPr>
              <w:t xml:space="preserve">Facilitate the design and maintenance of the project website/webpages and ensure it is up-to-date and </w:t>
            </w:r>
            <w:proofErr w:type="gramStart"/>
            <w:r w:rsidRPr="003B6A69">
              <w:rPr>
                <w:szCs w:val="20"/>
                <w:lang w:val="en-GB"/>
              </w:rPr>
              <w:t>dynamic;</w:t>
            </w:r>
            <w:proofErr w:type="gramEnd"/>
          </w:p>
          <w:p w14:paraId="4C74748D" w14:textId="77777777" w:rsidR="00D1090B" w:rsidRPr="003B6A69" w:rsidRDefault="00D1090B" w:rsidP="00AF69F1">
            <w:pPr>
              <w:numPr>
                <w:ilvl w:val="0"/>
                <w:numId w:val="10"/>
              </w:numPr>
              <w:spacing w:after="0"/>
              <w:jc w:val="left"/>
              <w:rPr>
                <w:szCs w:val="20"/>
                <w:lang w:val="en-GB"/>
              </w:rPr>
            </w:pPr>
            <w:r w:rsidRPr="003B6A69">
              <w:rPr>
                <w:szCs w:val="20"/>
                <w:lang w:val="en-GB"/>
              </w:rPr>
              <w:t xml:space="preserve">Facilitate learning and sharing of knowledge and experiences relevant to the </w:t>
            </w:r>
            <w:proofErr w:type="gramStart"/>
            <w:r w:rsidRPr="003B6A69">
              <w:rPr>
                <w:szCs w:val="20"/>
                <w:lang w:val="en-GB"/>
              </w:rPr>
              <w:t>project;</w:t>
            </w:r>
            <w:proofErr w:type="gramEnd"/>
          </w:p>
          <w:p w14:paraId="65F2FE8D" w14:textId="0E033127" w:rsidR="007E29B1" w:rsidRPr="003B6A69" w:rsidRDefault="007E29B1" w:rsidP="00AF69F1">
            <w:pPr>
              <w:numPr>
                <w:ilvl w:val="0"/>
                <w:numId w:val="10"/>
              </w:numPr>
              <w:spacing w:after="0"/>
              <w:jc w:val="left"/>
              <w:rPr>
                <w:szCs w:val="20"/>
                <w:lang w:val="en-GB"/>
              </w:rPr>
            </w:pPr>
            <w:r w:rsidRPr="003B6A69">
              <w:rPr>
                <w:szCs w:val="20"/>
                <w:lang w:val="en-GB"/>
              </w:rPr>
              <w:t xml:space="preserve">Collect lessons </w:t>
            </w:r>
            <w:proofErr w:type="gramStart"/>
            <w:r w:rsidRPr="003B6A69">
              <w:rPr>
                <w:szCs w:val="20"/>
                <w:lang w:val="en-GB"/>
              </w:rPr>
              <w:t>learned;</w:t>
            </w:r>
            <w:proofErr w:type="gramEnd"/>
          </w:p>
          <w:p w14:paraId="2B8160E3" w14:textId="43AB9A42" w:rsidR="007E29B1" w:rsidRPr="003B6A69" w:rsidRDefault="007E29B1" w:rsidP="00AF69F1">
            <w:pPr>
              <w:numPr>
                <w:ilvl w:val="0"/>
                <w:numId w:val="10"/>
              </w:numPr>
              <w:spacing w:after="0"/>
              <w:jc w:val="left"/>
              <w:rPr>
                <w:szCs w:val="20"/>
                <w:lang w:val="en-GB"/>
              </w:rPr>
            </w:pPr>
            <w:r w:rsidRPr="003B6A69">
              <w:rPr>
                <w:szCs w:val="20"/>
                <w:lang w:val="en-GB"/>
              </w:rPr>
              <w:t xml:space="preserve">Support monitoring of project results as determined by the project M&amp;E </w:t>
            </w:r>
            <w:proofErr w:type="gramStart"/>
            <w:r w:rsidRPr="003B6A69">
              <w:rPr>
                <w:szCs w:val="20"/>
                <w:lang w:val="en-GB"/>
              </w:rPr>
              <w:t>Plan;</w:t>
            </w:r>
            <w:proofErr w:type="gramEnd"/>
          </w:p>
          <w:p w14:paraId="156A9201" w14:textId="39D72121" w:rsidR="007E29B1" w:rsidRPr="003B6A69" w:rsidRDefault="007E29B1" w:rsidP="00AF69F1">
            <w:pPr>
              <w:numPr>
                <w:ilvl w:val="0"/>
                <w:numId w:val="10"/>
              </w:numPr>
              <w:spacing w:after="0"/>
              <w:jc w:val="left"/>
              <w:rPr>
                <w:szCs w:val="20"/>
                <w:lang w:val="en-GB"/>
              </w:rPr>
            </w:pPr>
            <w:r w:rsidRPr="003B6A69">
              <w:rPr>
                <w:szCs w:val="20"/>
                <w:lang w:val="en-GB"/>
              </w:rPr>
              <w:t xml:space="preserve">Support risk </w:t>
            </w:r>
            <w:proofErr w:type="gramStart"/>
            <w:r w:rsidRPr="003B6A69">
              <w:rPr>
                <w:szCs w:val="20"/>
                <w:lang w:val="en-GB"/>
              </w:rPr>
              <w:t>monitoring;</w:t>
            </w:r>
            <w:proofErr w:type="gramEnd"/>
          </w:p>
          <w:p w14:paraId="0D1EB1AE" w14:textId="453FEEF5" w:rsidR="007E29B1" w:rsidRPr="003B6A69" w:rsidRDefault="007E29B1" w:rsidP="00AF69F1">
            <w:pPr>
              <w:numPr>
                <w:ilvl w:val="0"/>
                <w:numId w:val="10"/>
              </w:numPr>
              <w:spacing w:after="0"/>
              <w:jc w:val="left"/>
              <w:rPr>
                <w:szCs w:val="20"/>
                <w:lang w:val="en-GB"/>
              </w:rPr>
            </w:pPr>
            <w:r w:rsidRPr="003B6A69">
              <w:rPr>
                <w:szCs w:val="20"/>
                <w:lang w:val="en-GB"/>
              </w:rPr>
              <w:t xml:space="preserve">Support project evaluations. </w:t>
            </w:r>
          </w:p>
          <w:p w14:paraId="2AA82E6C" w14:textId="77777777" w:rsidR="00D1090B" w:rsidRPr="003B6A69" w:rsidRDefault="00D1090B" w:rsidP="00D1090B">
            <w:pPr>
              <w:pStyle w:val="Header"/>
              <w:tabs>
                <w:tab w:val="clear" w:pos="4153"/>
                <w:tab w:val="clear" w:pos="8306"/>
              </w:tabs>
              <w:spacing w:after="0"/>
              <w:jc w:val="left"/>
              <w:rPr>
                <w:szCs w:val="20"/>
                <w:lang w:val="en-GB"/>
              </w:rPr>
            </w:pPr>
          </w:p>
          <w:p w14:paraId="1109BFFA" w14:textId="77777777" w:rsidR="00D1090B" w:rsidRPr="003B6A69" w:rsidRDefault="00D1090B" w:rsidP="00D1090B">
            <w:pPr>
              <w:spacing w:after="0"/>
              <w:jc w:val="left"/>
              <w:rPr>
                <w:szCs w:val="20"/>
                <w:u w:val="single"/>
                <w:lang w:val="en-GB"/>
              </w:rPr>
            </w:pPr>
            <w:r w:rsidRPr="003B6A69">
              <w:rPr>
                <w:szCs w:val="20"/>
                <w:u w:val="single"/>
                <w:lang w:val="en-GB"/>
              </w:rPr>
              <w:t>Qualifications required:</w:t>
            </w:r>
          </w:p>
          <w:p w14:paraId="3E168C06" w14:textId="77777777" w:rsidR="00D1090B" w:rsidRPr="003B6A69" w:rsidRDefault="00D1090B" w:rsidP="00AF69F1">
            <w:pPr>
              <w:numPr>
                <w:ilvl w:val="0"/>
                <w:numId w:val="11"/>
              </w:numPr>
              <w:spacing w:after="0"/>
              <w:jc w:val="left"/>
              <w:rPr>
                <w:szCs w:val="20"/>
                <w:lang w:val="en-GB"/>
              </w:rPr>
            </w:pPr>
            <w:r w:rsidRPr="003B6A69">
              <w:rPr>
                <w:szCs w:val="20"/>
                <w:lang w:val="en-GB"/>
              </w:rPr>
              <w:t xml:space="preserve">University degree, preferably in the field of community development or natural resource / environmental </w:t>
            </w:r>
            <w:proofErr w:type="gramStart"/>
            <w:r w:rsidRPr="003B6A69">
              <w:rPr>
                <w:szCs w:val="20"/>
                <w:lang w:val="en-GB"/>
              </w:rPr>
              <w:t>management;</w:t>
            </w:r>
            <w:proofErr w:type="gramEnd"/>
            <w:r w:rsidRPr="003B6A69">
              <w:rPr>
                <w:szCs w:val="20"/>
                <w:lang w:val="en-GB"/>
              </w:rPr>
              <w:t xml:space="preserve"> </w:t>
            </w:r>
          </w:p>
          <w:p w14:paraId="0206907C" w14:textId="77777777" w:rsidR="00D1090B" w:rsidRPr="003B6A69" w:rsidRDefault="00D1090B" w:rsidP="00AF69F1">
            <w:pPr>
              <w:numPr>
                <w:ilvl w:val="0"/>
                <w:numId w:val="11"/>
              </w:numPr>
              <w:spacing w:after="0"/>
              <w:jc w:val="left"/>
              <w:rPr>
                <w:szCs w:val="20"/>
                <w:lang w:val="fr-FR"/>
              </w:rPr>
            </w:pPr>
            <w:r w:rsidRPr="003B6A69">
              <w:rPr>
                <w:szCs w:val="20"/>
                <w:lang w:val="fr-FR"/>
              </w:rPr>
              <w:t>A communications qualification (</w:t>
            </w:r>
            <w:proofErr w:type="spellStart"/>
            <w:r w:rsidRPr="003B6A69">
              <w:rPr>
                <w:szCs w:val="20"/>
                <w:lang w:val="fr-FR"/>
              </w:rPr>
              <w:t>diploma</w:t>
            </w:r>
            <w:proofErr w:type="spellEnd"/>
            <w:r w:rsidRPr="003B6A69">
              <w:rPr>
                <w:szCs w:val="20"/>
                <w:lang w:val="fr-FR"/>
              </w:rPr>
              <w:t xml:space="preserve">, </w:t>
            </w:r>
            <w:proofErr w:type="spellStart"/>
            <w:r w:rsidRPr="003B6A69">
              <w:rPr>
                <w:szCs w:val="20"/>
                <w:lang w:val="fr-FR"/>
              </w:rPr>
              <w:t>Bachelor’s</w:t>
            </w:r>
            <w:proofErr w:type="spellEnd"/>
            <w:r w:rsidRPr="003B6A69">
              <w:rPr>
                <w:szCs w:val="20"/>
                <w:lang w:val="fr-FR"/>
              </w:rPr>
              <w:t xml:space="preserve"> </w:t>
            </w:r>
            <w:proofErr w:type="spellStart"/>
            <w:r w:rsidRPr="003B6A69">
              <w:rPr>
                <w:szCs w:val="20"/>
                <w:lang w:val="fr-FR"/>
              </w:rPr>
              <w:t>degree</w:t>
            </w:r>
            <w:proofErr w:type="spellEnd"/>
            <w:r w:rsidRPr="003B6A69">
              <w:rPr>
                <w:szCs w:val="20"/>
                <w:lang w:val="fr-FR"/>
              </w:rPr>
              <w:t>)</w:t>
            </w:r>
          </w:p>
          <w:p w14:paraId="50E19167" w14:textId="77777777" w:rsidR="00D1090B" w:rsidRPr="003B6A69" w:rsidRDefault="00D1090B" w:rsidP="00AF69F1">
            <w:pPr>
              <w:numPr>
                <w:ilvl w:val="0"/>
                <w:numId w:val="11"/>
              </w:numPr>
              <w:spacing w:after="0"/>
              <w:jc w:val="left"/>
              <w:rPr>
                <w:szCs w:val="20"/>
                <w:lang w:val="en-GB"/>
              </w:rPr>
            </w:pPr>
            <w:r w:rsidRPr="003B6A69">
              <w:rPr>
                <w:szCs w:val="20"/>
                <w:lang w:val="en-GB"/>
              </w:rPr>
              <w:t xml:space="preserve">At least three years of relevant work experience of communications for project or programme implementation, ideally involving international donors. Previous experience with UN projects will be a definite </w:t>
            </w:r>
            <w:proofErr w:type="gramStart"/>
            <w:r w:rsidRPr="003B6A69">
              <w:rPr>
                <w:szCs w:val="20"/>
                <w:lang w:val="en-GB"/>
              </w:rPr>
              <w:t>asset;</w:t>
            </w:r>
            <w:proofErr w:type="gramEnd"/>
          </w:p>
          <w:p w14:paraId="78940AA3" w14:textId="77777777" w:rsidR="00D1090B" w:rsidRPr="003B6A69" w:rsidRDefault="00D1090B" w:rsidP="00AF69F1">
            <w:pPr>
              <w:numPr>
                <w:ilvl w:val="0"/>
                <w:numId w:val="11"/>
              </w:numPr>
              <w:spacing w:after="0"/>
              <w:jc w:val="left"/>
              <w:rPr>
                <w:szCs w:val="20"/>
                <w:lang w:val="en-GB"/>
              </w:rPr>
            </w:pPr>
            <w:r w:rsidRPr="003B6A69">
              <w:rPr>
                <w:szCs w:val="20"/>
                <w:lang w:val="en-GB"/>
              </w:rPr>
              <w:t>Previous experience in developing and implementing communications strategies for organizations or projects</w:t>
            </w:r>
          </w:p>
          <w:p w14:paraId="62690779" w14:textId="77777777" w:rsidR="00D1090B" w:rsidRPr="003B6A69" w:rsidRDefault="00D1090B" w:rsidP="00AF69F1">
            <w:pPr>
              <w:numPr>
                <w:ilvl w:val="0"/>
                <w:numId w:val="11"/>
              </w:numPr>
              <w:spacing w:after="0"/>
              <w:jc w:val="left"/>
              <w:rPr>
                <w:szCs w:val="20"/>
                <w:lang w:val="en-GB"/>
              </w:rPr>
            </w:pPr>
            <w:r w:rsidRPr="003B6A69">
              <w:rPr>
                <w:szCs w:val="20"/>
                <w:lang w:val="en-GB"/>
              </w:rPr>
              <w:t>Strong professional working capacity to use information and communications technology, specifically including website design and desk top publishing software</w:t>
            </w:r>
          </w:p>
          <w:p w14:paraId="72509B53" w14:textId="77777777" w:rsidR="00D1090B" w:rsidRPr="003B6A69" w:rsidRDefault="00D1090B" w:rsidP="00AF69F1">
            <w:pPr>
              <w:numPr>
                <w:ilvl w:val="0"/>
                <w:numId w:val="11"/>
              </w:numPr>
              <w:spacing w:after="0"/>
              <w:jc w:val="left"/>
              <w:rPr>
                <w:szCs w:val="20"/>
                <w:lang w:val="en-GB"/>
              </w:rPr>
            </w:pPr>
            <w:r w:rsidRPr="003B6A69">
              <w:rPr>
                <w:szCs w:val="20"/>
                <w:lang w:val="en-GB"/>
              </w:rPr>
              <w:t xml:space="preserve">Understanding of illegal wildlife trade, biodiversity conservation, sustainable livelihoods and associated </w:t>
            </w:r>
            <w:proofErr w:type="gramStart"/>
            <w:r w:rsidRPr="003B6A69">
              <w:rPr>
                <w:szCs w:val="20"/>
                <w:lang w:val="en-GB"/>
              </w:rPr>
              <w:t>issues;</w:t>
            </w:r>
            <w:proofErr w:type="gramEnd"/>
            <w:r w:rsidRPr="003B6A69">
              <w:rPr>
                <w:szCs w:val="20"/>
                <w:lang w:val="en-GB"/>
              </w:rPr>
              <w:t xml:space="preserve"> </w:t>
            </w:r>
          </w:p>
          <w:p w14:paraId="1963AE59" w14:textId="77777777" w:rsidR="00D1090B" w:rsidRPr="003B6A69" w:rsidRDefault="00D1090B" w:rsidP="00AF69F1">
            <w:pPr>
              <w:numPr>
                <w:ilvl w:val="0"/>
                <w:numId w:val="11"/>
              </w:numPr>
              <w:spacing w:after="0"/>
              <w:jc w:val="left"/>
              <w:rPr>
                <w:szCs w:val="20"/>
                <w:lang w:val="en-GB"/>
              </w:rPr>
            </w:pPr>
            <w:r w:rsidRPr="003B6A69">
              <w:rPr>
                <w:szCs w:val="20"/>
                <w:lang w:val="en-GB"/>
              </w:rPr>
              <w:t xml:space="preserve">Very good inter-personal skills </w:t>
            </w:r>
          </w:p>
          <w:p w14:paraId="20245517" w14:textId="161B710D" w:rsidR="00D1090B" w:rsidRPr="003B6A69" w:rsidRDefault="00D1090B" w:rsidP="00AF69F1">
            <w:pPr>
              <w:numPr>
                <w:ilvl w:val="0"/>
                <w:numId w:val="11"/>
              </w:numPr>
              <w:spacing w:after="0"/>
              <w:jc w:val="left"/>
              <w:rPr>
                <w:b/>
                <w:szCs w:val="20"/>
                <w:lang w:val="en-GB"/>
              </w:rPr>
            </w:pPr>
            <w:r w:rsidRPr="003B6A69">
              <w:rPr>
                <w:szCs w:val="20"/>
                <w:lang w:val="en-GB"/>
              </w:rPr>
              <w:t xml:space="preserve">Excellent language skills in English (writing, </w:t>
            </w:r>
            <w:proofErr w:type="gramStart"/>
            <w:r w:rsidRPr="003B6A69">
              <w:rPr>
                <w:szCs w:val="20"/>
                <w:lang w:val="en-GB"/>
              </w:rPr>
              <w:t>speaking</w:t>
            </w:r>
            <w:proofErr w:type="gramEnd"/>
            <w:r w:rsidRPr="003B6A69">
              <w:rPr>
                <w:szCs w:val="20"/>
                <w:lang w:val="en-GB"/>
              </w:rPr>
              <w:t xml:space="preserve"> and</w:t>
            </w:r>
            <w:r w:rsidR="00A153C6" w:rsidRPr="003B6A69">
              <w:rPr>
                <w:szCs w:val="20"/>
                <w:lang w:val="en-GB"/>
              </w:rPr>
              <w:t xml:space="preserve"> reading) and in local language</w:t>
            </w:r>
          </w:p>
          <w:p w14:paraId="2CE11525" w14:textId="77777777" w:rsidR="00D1090B" w:rsidRPr="003B6A69" w:rsidRDefault="00D1090B" w:rsidP="00D1090B">
            <w:pPr>
              <w:spacing w:after="0"/>
              <w:jc w:val="left"/>
              <w:rPr>
                <w:rFonts w:cs="Arial"/>
                <w:noProof/>
                <w:szCs w:val="20"/>
                <w:u w:val="single"/>
                <w:lang w:eastAsia="zh-CN"/>
              </w:rPr>
            </w:pPr>
          </w:p>
        </w:tc>
      </w:tr>
    </w:tbl>
    <w:p w14:paraId="72E432A8" w14:textId="6D9306A6" w:rsidR="00D1090B" w:rsidRPr="003B6A69" w:rsidRDefault="00D1090B" w:rsidP="00D1090B">
      <w:pPr>
        <w:spacing w:after="0"/>
        <w:jc w:val="left"/>
        <w:rPr>
          <w:rFonts w:asciiTheme="minorHAnsi" w:hAnsiTheme="minorHAnsi" w:cstheme="minorHAnsi"/>
          <w:b/>
          <w:bCs/>
          <w:lang w:val="en-GB"/>
        </w:rPr>
      </w:pPr>
    </w:p>
    <w:p w14:paraId="14CE6F24" w14:textId="77777777" w:rsidR="006C1C66" w:rsidRPr="003B6A69" w:rsidRDefault="006C1C66" w:rsidP="00D1090B">
      <w:pPr>
        <w:spacing w:after="0"/>
        <w:jc w:val="left"/>
        <w:rPr>
          <w:rFonts w:asciiTheme="minorHAnsi" w:hAnsiTheme="minorHAnsi" w:cstheme="minorHAnsi"/>
          <w:b/>
          <w:bCs/>
          <w:lang w:val="en-GB"/>
        </w:rPr>
        <w:sectPr w:rsidR="006C1C66" w:rsidRPr="003B6A69" w:rsidSect="00D1090B">
          <w:pgSz w:w="12240" w:h="15840" w:code="1"/>
          <w:pgMar w:top="720" w:right="720" w:bottom="720" w:left="720" w:header="720" w:footer="720" w:gutter="0"/>
          <w:cols w:space="720"/>
          <w:docGrid w:linePitch="360"/>
        </w:sectPr>
      </w:pPr>
    </w:p>
    <w:p w14:paraId="37785EE1" w14:textId="4EAE6E68" w:rsidR="00D1090B" w:rsidRPr="003B6A69" w:rsidRDefault="00D1090B" w:rsidP="00D1090B">
      <w:pPr>
        <w:spacing w:after="0"/>
        <w:jc w:val="left"/>
        <w:rPr>
          <w:rFonts w:asciiTheme="minorHAnsi" w:hAnsiTheme="minorHAnsi" w:cstheme="minorHAnsi"/>
          <w:b/>
          <w:bCs/>
          <w:lang w:val="en-GB"/>
        </w:rPr>
      </w:pPr>
    </w:p>
    <w:p w14:paraId="680F3729" w14:textId="513180F8" w:rsidR="00CF6304" w:rsidRPr="003B6A69" w:rsidRDefault="00ED4DE7" w:rsidP="00B24DF3">
      <w:pPr>
        <w:pStyle w:val="Heading2"/>
        <w:rPr>
          <w:lang w:val="en-GB"/>
        </w:rPr>
      </w:pPr>
      <w:bookmarkStart w:id="81" w:name="_Annex_8:_GEF"/>
      <w:bookmarkStart w:id="82" w:name="_Toc82018281"/>
      <w:bookmarkStart w:id="83" w:name="_Toc10449651"/>
      <w:bookmarkEnd w:id="81"/>
      <w:r w:rsidRPr="003B6A69">
        <w:rPr>
          <w:lang w:val="en-GB"/>
        </w:rPr>
        <w:t xml:space="preserve">Annex </w:t>
      </w:r>
      <w:r w:rsidR="006C1C66" w:rsidRPr="003B6A69">
        <w:rPr>
          <w:lang w:val="en-GB"/>
        </w:rPr>
        <w:t>8</w:t>
      </w:r>
      <w:r w:rsidRPr="003B6A69">
        <w:rPr>
          <w:lang w:val="en-GB"/>
        </w:rPr>
        <w:t xml:space="preserve">: </w:t>
      </w:r>
      <w:r w:rsidR="00CF6304" w:rsidRPr="003B6A69">
        <w:rPr>
          <w:lang w:val="en-GB"/>
        </w:rPr>
        <w:t xml:space="preserve">GEF Core </w:t>
      </w:r>
      <w:r w:rsidR="00A1641A" w:rsidRPr="003B6A69">
        <w:rPr>
          <w:lang w:val="en-GB"/>
        </w:rPr>
        <w:t>I</w:t>
      </w:r>
      <w:r w:rsidR="00CF6304" w:rsidRPr="003B6A69">
        <w:rPr>
          <w:lang w:val="en-GB"/>
        </w:rPr>
        <w:t>ndicators at Baseline</w:t>
      </w:r>
      <w:bookmarkEnd w:id="82"/>
    </w:p>
    <w:p w14:paraId="7BC819E8" w14:textId="77777777" w:rsidR="004E7FA9" w:rsidRPr="003B6A69" w:rsidRDefault="004E7FA9" w:rsidP="004E7FA9">
      <w:pPr>
        <w:rPr>
          <w:lang w:val="en-GB"/>
        </w:rPr>
      </w:pPr>
    </w:p>
    <w:tbl>
      <w:tblPr>
        <w:tblStyle w:val="TableGrid1"/>
        <w:tblW w:w="14454" w:type="dxa"/>
        <w:tblLook w:val="04A0" w:firstRow="1" w:lastRow="0" w:firstColumn="1" w:lastColumn="0" w:noHBand="0" w:noVBand="1"/>
      </w:tblPr>
      <w:tblGrid>
        <w:gridCol w:w="1295"/>
        <w:gridCol w:w="1039"/>
        <w:gridCol w:w="1024"/>
        <w:gridCol w:w="1408"/>
        <w:gridCol w:w="1698"/>
        <w:gridCol w:w="2702"/>
        <w:gridCol w:w="1964"/>
        <w:gridCol w:w="3324"/>
      </w:tblGrid>
      <w:tr w:rsidR="004E7FA9" w:rsidRPr="003B6A69" w14:paraId="2868D1A0" w14:textId="77777777" w:rsidTr="00AE6C8E">
        <w:tc>
          <w:tcPr>
            <w:tcW w:w="1298" w:type="dxa"/>
            <w:shd w:val="clear" w:color="auto" w:fill="D9D9D9" w:themeFill="background1" w:themeFillShade="D9"/>
          </w:tcPr>
          <w:p w14:paraId="4696D49D" w14:textId="77777777" w:rsidR="004E7FA9" w:rsidRPr="003B6A69" w:rsidRDefault="004E7FA9" w:rsidP="00AE6C8E">
            <w:pPr>
              <w:rPr>
                <w:rFonts w:asciiTheme="minorHAnsi" w:hAnsiTheme="minorHAnsi" w:cstheme="minorHAnsi"/>
                <w:b/>
                <w:sz w:val="18"/>
                <w:szCs w:val="18"/>
              </w:rPr>
            </w:pPr>
            <w:r w:rsidRPr="003B6A69">
              <w:rPr>
                <w:rFonts w:asciiTheme="minorHAnsi" w:hAnsiTheme="minorHAnsi" w:cstheme="minorHAnsi"/>
                <w:b/>
                <w:sz w:val="18"/>
                <w:szCs w:val="18"/>
              </w:rPr>
              <w:t>Core Indicator 1</w:t>
            </w:r>
          </w:p>
        </w:tc>
        <w:tc>
          <w:tcPr>
            <w:tcW w:w="9798" w:type="dxa"/>
            <w:gridSpan w:val="6"/>
            <w:shd w:val="clear" w:color="auto" w:fill="D9D9D9" w:themeFill="background1" w:themeFillShade="D9"/>
          </w:tcPr>
          <w:p w14:paraId="23676447" w14:textId="77777777" w:rsidR="004E7FA9" w:rsidRPr="003B6A69" w:rsidRDefault="004E7FA9" w:rsidP="00AE6C8E">
            <w:pPr>
              <w:rPr>
                <w:rFonts w:asciiTheme="minorHAnsi" w:hAnsiTheme="minorHAnsi" w:cstheme="minorHAnsi"/>
                <w:b/>
                <w:sz w:val="18"/>
                <w:szCs w:val="18"/>
              </w:rPr>
            </w:pPr>
            <w:r w:rsidRPr="003B6A69">
              <w:rPr>
                <w:rFonts w:asciiTheme="minorHAnsi" w:hAnsiTheme="minorHAnsi" w:cstheme="minorHAnsi"/>
                <w:b/>
                <w:sz w:val="18"/>
                <w:szCs w:val="18"/>
              </w:rPr>
              <w:t>Terrestrial protected areas created or under improved management for conservation and sustainable use</w:t>
            </w:r>
          </w:p>
        </w:tc>
        <w:tc>
          <w:tcPr>
            <w:tcW w:w="3358" w:type="dxa"/>
            <w:shd w:val="clear" w:color="auto" w:fill="D9D9D9" w:themeFill="background1" w:themeFillShade="D9"/>
          </w:tcPr>
          <w:p w14:paraId="507EB815" w14:textId="77777777" w:rsidR="004E7FA9" w:rsidRPr="003B6A69" w:rsidRDefault="004E7FA9" w:rsidP="00AE6C8E">
            <w:pPr>
              <w:jc w:val="right"/>
              <w:rPr>
                <w:rFonts w:asciiTheme="minorHAnsi" w:hAnsiTheme="minorHAnsi" w:cstheme="minorHAnsi"/>
                <w:b/>
                <w:sz w:val="18"/>
                <w:szCs w:val="18"/>
              </w:rPr>
            </w:pPr>
            <w:r w:rsidRPr="003B6A69">
              <w:rPr>
                <w:rFonts w:asciiTheme="minorHAnsi" w:hAnsiTheme="minorHAnsi" w:cstheme="minorHAnsi"/>
                <w:b/>
                <w:i/>
                <w:color w:val="000000"/>
                <w:sz w:val="18"/>
                <w:szCs w:val="18"/>
              </w:rPr>
              <w:fldChar w:fldCharType="begin">
                <w:ffData>
                  <w:name w:val="F_GEB_BD_target"/>
                  <w:enabled/>
                  <w:calcOnExit w:val="0"/>
                  <w:textInput>
                    <w:default w:val="(Hectares)"/>
                  </w:textInput>
                </w:ffData>
              </w:fldChar>
            </w:r>
            <w:bookmarkStart w:id="84" w:name="F_GEB_BD_target"/>
            <w:r w:rsidRPr="003B6A69">
              <w:rPr>
                <w:rFonts w:asciiTheme="minorHAnsi" w:hAnsiTheme="minorHAnsi" w:cstheme="minorHAnsi"/>
                <w:b/>
                <w:i/>
                <w:color w:val="000000"/>
                <w:sz w:val="18"/>
                <w:szCs w:val="18"/>
              </w:rPr>
              <w:instrText xml:space="preserve"> FORMTEXT </w:instrText>
            </w:r>
            <w:r w:rsidRPr="003B6A69">
              <w:rPr>
                <w:rFonts w:asciiTheme="minorHAnsi" w:hAnsiTheme="minorHAnsi" w:cstheme="minorHAnsi"/>
                <w:b/>
                <w:i/>
                <w:color w:val="000000"/>
                <w:sz w:val="18"/>
                <w:szCs w:val="18"/>
              </w:rPr>
            </w:r>
            <w:r w:rsidRPr="003B6A69">
              <w:rPr>
                <w:rFonts w:asciiTheme="minorHAnsi" w:hAnsiTheme="minorHAnsi" w:cstheme="minorHAnsi"/>
                <w:b/>
                <w:i/>
                <w:color w:val="000000"/>
                <w:sz w:val="18"/>
                <w:szCs w:val="18"/>
              </w:rPr>
              <w:fldChar w:fldCharType="separate"/>
            </w:r>
            <w:r w:rsidRPr="003B6A69">
              <w:rPr>
                <w:rFonts w:asciiTheme="minorHAnsi" w:hAnsiTheme="minorHAnsi" w:cstheme="minorHAnsi"/>
                <w:b/>
                <w:i/>
                <w:noProof/>
                <w:color w:val="000000"/>
                <w:sz w:val="18"/>
                <w:szCs w:val="18"/>
              </w:rPr>
              <w:t>(Hectares)</w:t>
            </w:r>
            <w:r w:rsidRPr="003B6A69">
              <w:rPr>
                <w:rFonts w:asciiTheme="minorHAnsi" w:hAnsiTheme="minorHAnsi" w:cstheme="minorHAnsi"/>
                <w:b/>
                <w:i/>
                <w:color w:val="000000"/>
                <w:sz w:val="18"/>
                <w:szCs w:val="18"/>
              </w:rPr>
              <w:fldChar w:fldCharType="end"/>
            </w:r>
            <w:bookmarkEnd w:id="84"/>
          </w:p>
        </w:tc>
      </w:tr>
      <w:tr w:rsidR="004E7FA9" w:rsidRPr="003B6A69" w14:paraId="329BE109" w14:textId="77777777" w:rsidTr="00AE6C8E">
        <w:tc>
          <w:tcPr>
            <w:tcW w:w="1298" w:type="dxa"/>
            <w:shd w:val="clear" w:color="auto" w:fill="auto"/>
          </w:tcPr>
          <w:p w14:paraId="583EB25A" w14:textId="77777777" w:rsidR="004E7FA9" w:rsidRPr="003B6A69" w:rsidRDefault="004E7FA9" w:rsidP="00AE6C8E">
            <w:pPr>
              <w:rPr>
                <w:rFonts w:asciiTheme="minorHAnsi" w:hAnsiTheme="minorHAnsi" w:cstheme="minorHAnsi"/>
                <w:sz w:val="18"/>
                <w:szCs w:val="18"/>
              </w:rPr>
            </w:pPr>
          </w:p>
        </w:tc>
        <w:tc>
          <w:tcPr>
            <w:tcW w:w="3375" w:type="dxa"/>
            <w:gridSpan w:val="3"/>
            <w:shd w:val="clear" w:color="auto" w:fill="auto"/>
          </w:tcPr>
          <w:p w14:paraId="784D0E9E" w14:textId="77777777" w:rsidR="004E7FA9" w:rsidRPr="003B6A69" w:rsidRDefault="004E7FA9" w:rsidP="00AE6C8E">
            <w:pPr>
              <w:rPr>
                <w:rFonts w:asciiTheme="minorHAnsi" w:hAnsiTheme="minorHAnsi" w:cstheme="minorHAnsi"/>
                <w:sz w:val="18"/>
                <w:szCs w:val="18"/>
              </w:rPr>
            </w:pPr>
          </w:p>
        </w:tc>
        <w:tc>
          <w:tcPr>
            <w:tcW w:w="9781" w:type="dxa"/>
            <w:gridSpan w:val="4"/>
            <w:shd w:val="clear" w:color="auto" w:fill="F2F2F2" w:themeFill="background1" w:themeFillShade="F2"/>
          </w:tcPr>
          <w:p w14:paraId="3F36C121" w14:textId="77777777" w:rsidR="004E7FA9" w:rsidRPr="003B6A69" w:rsidRDefault="004E7FA9" w:rsidP="00AE6C8E">
            <w:pPr>
              <w:jc w:val="center"/>
              <w:rPr>
                <w:rFonts w:asciiTheme="minorHAnsi" w:hAnsiTheme="minorHAnsi" w:cstheme="minorHAnsi"/>
                <w:i/>
                <w:color w:val="000000"/>
                <w:sz w:val="18"/>
                <w:szCs w:val="18"/>
              </w:rPr>
            </w:pPr>
            <w:r w:rsidRPr="003B6A69">
              <w:rPr>
                <w:rFonts w:asciiTheme="minorHAnsi" w:hAnsiTheme="minorHAnsi" w:cstheme="minorHAnsi"/>
                <w:i/>
                <w:color w:val="000000"/>
                <w:sz w:val="18"/>
                <w:szCs w:val="18"/>
              </w:rPr>
              <w:t>Hectares (1.1+1.2)</w:t>
            </w:r>
          </w:p>
        </w:tc>
      </w:tr>
      <w:tr w:rsidR="004E7FA9" w:rsidRPr="003B6A69" w14:paraId="613B0300" w14:textId="77777777" w:rsidTr="00AE6C8E">
        <w:tc>
          <w:tcPr>
            <w:tcW w:w="1298" w:type="dxa"/>
            <w:shd w:val="clear" w:color="auto" w:fill="auto"/>
          </w:tcPr>
          <w:p w14:paraId="2114EC24" w14:textId="77777777" w:rsidR="004E7FA9" w:rsidRPr="003B6A69" w:rsidRDefault="004E7FA9" w:rsidP="00AE6C8E">
            <w:pPr>
              <w:rPr>
                <w:rFonts w:asciiTheme="minorHAnsi" w:hAnsiTheme="minorHAnsi" w:cstheme="minorHAnsi"/>
                <w:sz w:val="18"/>
                <w:szCs w:val="18"/>
              </w:rPr>
            </w:pPr>
          </w:p>
        </w:tc>
        <w:tc>
          <w:tcPr>
            <w:tcW w:w="3375" w:type="dxa"/>
            <w:gridSpan w:val="3"/>
            <w:shd w:val="clear" w:color="auto" w:fill="auto"/>
          </w:tcPr>
          <w:p w14:paraId="3AB3DAB3" w14:textId="77777777" w:rsidR="004E7FA9" w:rsidRPr="003B6A69" w:rsidRDefault="004E7FA9" w:rsidP="00AE6C8E">
            <w:pPr>
              <w:rPr>
                <w:rFonts w:asciiTheme="minorHAnsi" w:hAnsiTheme="minorHAnsi" w:cstheme="minorHAnsi"/>
                <w:sz w:val="18"/>
                <w:szCs w:val="18"/>
              </w:rPr>
            </w:pPr>
          </w:p>
        </w:tc>
        <w:tc>
          <w:tcPr>
            <w:tcW w:w="4438" w:type="dxa"/>
            <w:gridSpan w:val="2"/>
            <w:shd w:val="clear" w:color="auto" w:fill="F2F2F2" w:themeFill="background1" w:themeFillShade="F2"/>
          </w:tcPr>
          <w:p w14:paraId="20D9D2A8" w14:textId="77777777" w:rsidR="004E7FA9" w:rsidRPr="003B6A69" w:rsidRDefault="004E7FA9" w:rsidP="00AE6C8E">
            <w:pPr>
              <w:jc w:val="center"/>
              <w:rPr>
                <w:rFonts w:asciiTheme="minorHAnsi" w:hAnsiTheme="minorHAnsi" w:cstheme="minorHAnsi"/>
                <w:i/>
                <w:color w:val="000000"/>
                <w:sz w:val="18"/>
                <w:szCs w:val="18"/>
              </w:rPr>
            </w:pPr>
            <w:r w:rsidRPr="003B6A69">
              <w:rPr>
                <w:rFonts w:asciiTheme="minorHAnsi" w:hAnsiTheme="minorHAnsi" w:cstheme="minorHAnsi"/>
                <w:i/>
                <w:color w:val="000000"/>
                <w:sz w:val="18"/>
                <w:szCs w:val="18"/>
              </w:rPr>
              <w:t>Expected</w:t>
            </w:r>
          </w:p>
        </w:tc>
        <w:tc>
          <w:tcPr>
            <w:tcW w:w="5343" w:type="dxa"/>
            <w:gridSpan w:val="2"/>
            <w:shd w:val="clear" w:color="auto" w:fill="F2F2F2" w:themeFill="background1" w:themeFillShade="F2"/>
          </w:tcPr>
          <w:p w14:paraId="5F733166" w14:textId="77777777" w:rsidR="004E7FA9" w:rsidRPr="003B6A69" w:rsidRDefault="004E7FA9" w:rsidP="00AE6C8E">
            <w:pPr>
              <w:jc w:val="center"/>
              <w:rPr>
                <w:rFonts w:asciiTheme="minorHAnsi" w:hAnsiTheme="minorHAnsi" w:cstheme="minorHAnsi"/>
                <w:i/>
                <w:color w:val="000000"/>
                <w:sz w:val="18"/>
                <w:szCs w:val="18"/>
              </w:rPr>
            </w:pPr>
            <w:r w:rsidRPr="003B6A69">
              <w:rPr>
                <w:rFonts w:asciiTheme="minorHAnsi" w:hAnsiTheme="minorHAnsi" w:cstheme="minorHAnsi"/>
                <w:sz w:val="18"/>
                <w:szCs w:val="18"/>
              </w:rPr>
              <w:t>Achieved</w:t>
            </w:r>
          </w:p>
        </w:tc>
      </w:tr>
      <w:tr w:rsidR="004E7FA9" w:rsidRPr="003B6A69" w14:paraId="6B3715DC" w14:textId="77777777" w:rsidTr="00AE6C8E">
        <w:tc>
          <w:tcPr>
            <w:tcW w:w="1298" w:type="dxa"/>
            <w:shd w:val="clear" w:color="auto" w:fill="auto"/>
          </w:tcPr>
          <w:p w14:paraId="2FEEF4E3" w14:textId="77777777" w:rsidR="004E7FA9" w:rsidRPr="003B6A69" w:rsidRDefault="004E7FA9" w:rsidP="00AE6C8E">
            <w:pPr>
              <w:rPr>
                <w:rFonts w:asciiTheme="minorHAnsi" w:hAnsiTheme="minorHAnsi" w:cstheme="minorHAnsi"/>
                <w:sz w:val="18"/>
                <w:szCs w:val="18"/>
              </w:rPr>
            </w:pPr>
          </w:p>
        </w:tc>
        <w:tc>
          <w:tcPr>
            <w:tcW w:w="3375" w:type="dxa"/>
            <w:gridSpan w:val="3"/>
            <w:shd w:val="clear" w:color="auto" w:fill="auto"/>
          </w:tcPr>
          <w:p w14:paraId="7D3572CA" w14:textId="77777777" w:rsidR="004E7FA9" w:rsidRPr="003B6A69" w:rsidRDefault="004E7FA9" w:rsidP="00AE6C8E">
            <w:pPr>
              <w:rPr>
                <w:rFonts w:asciiTheme="minorHAnsi" w:hAnsiTheme="minorHAnsi" w:cstheme="minorHAnsi"/>
                <w:sz w:val="18"/>
                <w:szCs w:val="18"/>
              </w:rPr>
            </w:pPr>
          </w:p>
        </w:tc>
        <w:tc>
          <w:tcPr>
            <w:tcW w:w="1712" w:type="dxa"/>
            <w:shd w:val="clear" w:color="auto" w:fill="F2F2F2" w:themeFill="background1" w:themeFillShade="F2"/>
          </w:tcPr>
          <w:p w14:paraId="0681B6C8"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PIF stage</w:t>
            </w:r>
          </w:p>
        </w:tc>
        <w:tc>
          <w:tcPr>
            <w:tcW w:w="2726" w:type="dxa"/>
            <w:shd w:val="clear" w:color="auto" w:fill="F2F2F2" w:themeFill="background1" w:themeFillShade="F2"/>
          </w:tcPr>
          <w:p w14:paraId="394DD2D3"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Endorsement</w:t>
            </w:r>
          </w:p>
        </w:tc>
        <w:tc>
          <w:tcPr>
            <w:tcW w:w="1985" w:type="dxa"/>
            <w:shd w:val="clear" w:color="auto" w:fill="F2F2F2" w:themeFill="background1" w:themeFillShade="F2"/>
          </w:tcPr>
          <w:p w14:paraId="799DBD05"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MTR</w:t>
            </w:r>
          </w:p>
        </w:tc>
        <w:tc>
          <w:tcPr>
            <w:tcW w:w="3358" w:type="dxa"/>
            <w:shd w:val="clear" w:color="auto" w:fill="F2F2F2" w:themeFill="background1" w:themeFillShade="F2"/>
          </w:tcPr>
          <w:p w14:paraId="336956E3" w14:textId="77777777" w:rsidR="004E7FA9" w:rsidRPr="003B6A69" w:rsidRDefault="004E7FA9" w:rsidP="00AE6C8E">
            <w:pPr>
              <w:jc w:val="center"/>
              <w:rPr>
                <w:rFonts w:asciiTheme="minorHAnsi" w:hAnsiTheme="minorHAnsi" w:cstheme="minorHAnsi"/>
                <w:i/>
                <w:color w:val="000000"/>
                <w:sz w:val="18"/>
                <w:szCs w:val="18"/>
              </w:rPr>
            </w:pPr>
            <w:r w:rsidRPr="003B6A69">
              <w:rPr>
                <w:rFonts w:asciiTheme="minorHAnsi" w:hAnsiTheme="minorHAnsi" w:cstheme="minorHAnsi"/>
                <w:sz w:val="18"/>
                <w:szCs w:val="18"/>
              </w:rPr>
              <w:t>TE</w:t>
            </w:r>
          </w:p>
        </w:tc>
      </w:tr>
      <w:tr w:rsidR="004E7FA9" w:rsidRPr="003B6A69" w14:paraId="14ED7A6C" w14:textId="77777777" w:rsidTr="00AE6C8E">
        <w:tc>
          <w:tcPr>
            <w:tcW w:w="1298" w:type="dxa"/>
            <w:shd w:val="clear" w:color="auto" w:fill="auto"/>
          </w:tcPr>
          <w:p w14:paraId="3B4E7921" w14:textId="77777777" w:rsidR="004E7FA9" w:rsidRPr="003B6A69" w:rsidRDefault="004E7FA9" w:rsidP="00AE6C8E">
            <w:pPr>
              <w:rPr>
                <w:rFonts w:asciiTheme="minorHAnsi" w:hAnsiTheme="minorHAnsi" w:cstheme="minorHAnsi"/>
                <w:sz w:val="18"/>
                <w:szCs w:val="18"/>
              </w:rPr>
            </w:pPr>
          </w:p>
        </w:tc>
        <w:tc>
          <w:tcPr>
            <w:tcW w:w="3375" w:type="dxa"/>
            <w:gridSpan w:val="3"/>
            <w:shd w:val="clear" w:color="auto" w:fill="auto"/>
          </w:tcPr>
          <w:p w14:paraId="4C89C985" w14:textId="77777777" w:rsidR="004E7FA9" w:rsidRPr="003B6A69" w:rsidRDefault="004E7FA9" w:rsidP="00AE6C8E">
            <w:pPr>
              <w:rPr>
                <w:rFonts w:asciiTheme="minorHAnsi" w:hAnsiTheme="minorHAnsi" w:cstheme="minorHAnsi"/>
                <w:sz w:val="18"/>
                <w:szCs w:val="18"/>
              </w:rPr>
            </w:pPr>
          </w:p>
        </w:tc>
        <w:tc>
          <w:tcPr>
            <w:tcW w:w="1712" w:type="dxa"/>
            <w:shd w:val="clear" w:color="auto" w:fill="F2F2F2" w:themeFill="background1" w:themeFillShade="F2"/>
          </w:tcPr>
          <w:p w14:paraId="5D04C7AF"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t>150,070</w:t>
            </w:r>
          </w:p>
        </w:tc>
        <w:tc>
          <w:tcPr>
            <w:tcW w:w="2726" w:type="dxa"/>
            <w:shd w:val="clear" w:color="auto" w:fill="F2F2F2" w:themeFill="background1" w:themeFillShade="F2"/>
          </w:tcPr>
          <w:p w14:paraId="1B6D72A5"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t>145,767</w:t>
            </w:r>
          </w:p>
        </w:tc>
        <w:tc>
          <w:tcPr>
            <w:tcW w:w="1985" w:type="dxa"/>
            <w:shd w:val="clear" w:color="auto" w:fill="F2F2F2" w:themeFill="background1" w:themeFillShade="F2"/>
          </w:tcPr>
          <w:p w14:paraId="50D3F743"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3358" w:type="dxa"/>
            <w:shd w:val="clear" w:color="auto" w:fill="F2F2F2" w:themeFill="background1" w:themeFillShade="F2"/>
          </w:tcPr>
          <w:p w14:paraId="6EC19E94" w14:textId="77777777" w:rsidR="004E7FA9" w:rsidRPr="003B6A69" w:rsidRDefault="004E7FA9" w:rsidP="00AE6C8E">
            <w:pPr>
              <w:jc w:val="right"/>
              <w:rPr>
                <w:rFonts w:asciiTheme="minorHAnsi" w:hAnsiTheme="minorHAnsi" w:cstheme="minorHAnsi"/>
                <w:i/>
                <w:color w:val="000000"/>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r>
      <w:tr w:rsidR="004E7FA9" w:rsidRPr="003B6A69" w14:paraId="3A32637D" w14:textId="77777777" w:rsidTr="00AE6C8E">
        <w:tc>
          <w:tcPr>
            <w:tcW w:w="1298" w:type="dxa"/>
            <w:shd w:val="clear" w:color="auto" w:fill="BFBFBF" w:themeFill="background1" w:themeFillShade="BF"/>
          </w:tcPr>
          <w:p w14:paraId="757E2F03" w14:textId="77777777" w:rsidR="004E7FA9" w:rsidRPr="003B6A69" w:rsidRDefault="004E7FA9" w:rsidP="00AE6C8E">
            <w:pPr>
              <w:rPr>
                <w:rFonts w:asciiTheme="minorHAnsi" w:hAnsiTheme="minorHAnsi" w:cstheme="minorHAnsi"/>
                <w:sz w:val="18"/>
                <w:szCs w:val="18"/>
              </w:rPr>
            </w:pPr>
            <w:r w:rsidRPr="003B6A69">
              <w:rPr>
                <w:rFonts w:asciiTheme="minorHAnsi" w:hAnsiTheme="minorHAnsi" w:cstheme="minorHAnsi"/>
                <w:sz w:val="18"/>
                <w:szCs w:val="18"/>
              </w:rPr>
              <w:t>Indicator 1.1</w:t>
            </w:r>
          </w:p>
        </w:tc>
        <w:tc>
          <w:tcPr>
            <w:tcW w:w="9798" w:type="dxa"/>
            <w:gridSpan w:val="6"/>
            <w:shd w:val="clear" w:color="auto" w:fill="BFBFBF" w:themeFill="background1" w:themeFillShade="BF"/>
          </w:tcPr>
          <w:p w14:paraId="04DE859F" w14:textId="77777777" w:rsidR="004E7FA9" w:rsidRPr="003B6A69" w:rsidRDefault="004E7FA9" w:rsidP="00AE6C8E">
            <w:pPr>
              <w:rPr>
                <w:rFonts w:asciiTheme="minorHAnsi" w:hAnsiTheme="minorHAnsi" w:cstheme="minorHAnsi"/>
                <w:sz w:val="18"/>
                <w:szCs w:val="18"/>
              </w:rPr>
            </w:pPr>
            <w:r w:rsidRPr="003B6A69">
              <w:rPr>
                <w:rFonts w:asciiTheme="minorHAnsi" w:hAnsiTheme="minorHAnsi" w:cstheme="minorHAnsi"/>
                <w:sz w:val="18"/>
                <w:szCs w:val="18"/>
              </w:rPr>
              <w:t>Terrestrial protected areas newly created</w:t>
            </w:r>
          </w:p>
        </w:tc>
        <w:tc>
          <w:tcPr>
            <w:tcW w:w="3358" w:type="dxa"/>
            <w:shd w:val="clear" w:color="auto" w:fill="BFBFBF" w:themeFill="background1" w:themeFillShade="BF"/>
          </w:tcPr>
          <w:p w14:paraId="67B8DE3B"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r>
      <w:tr w:rsidR="004E7FA9" w:rsidRPr="003B6A69" w14:paraId="66BEC28F" w14:textId="77777777" w:rsidTr="00AE6C8E">
        <w:trPr>
          <w:trHeight w:val="125"/>
        </w:trPr>
        <w:tc>
          <w:tcPr>
            <w:tcW w:w="1298" w:type="dxa"/>
            <w:vMerge w:val="restart"/>
            <w:vAlign w:val="center"/>
          </w:tcPr>
          <w:p w14:paraId="3A1F7506" w14:textId="77777777" w:rsidR="004E7FA9" w:rsidRPr="003B6A69" w:rsidRDefault="004E7FA9" w:rsidP="00AE6C8E">
            <w:pPr>
              <w:rPr>
                <w:rFonts w:asciiTheme="minorHAnsi" w:hAnsiTheme="minorHAnsi" w:cstheme="minorHAnsi"/>
                <w:sz w:val="18"/>
                <w:szCs w:val="18"/>
              </w:rPr>
            </w:pPr>
            <w:r w:rsidRPr="003B6A69">
              <w:rPr>
                <w:rFonts w:asciiTheme="minorHAnsi" w:hAnsiTheme="minorHAnsi" w:cstheme="minorHAnsi"/>
                <w:sz w:val="18"/>
                <w:szCs w:val="18"/>
              </w:rPr>
              <w:t>Name of Protected Area</w:t>
            </w:r>
          </w:p>
        </w:tc>
        <w:tc>
          <w:tcPr>
            <w:tcW w:w="933" w:type="dxa"/>
            <w:vMerge w:val="restart"/>
            <w:vAlign w:val="center"/>
          </w:tcPr>
          <w:p w14:paraId="63D92D03" w14:textId="77777777" w:rsidR="004E7FA9" w:rsidRPr="003B6A69" w:rsidRDefault="004E7FA9" w:rsidP="00AE6C8E">
            <w:pPr>
              <w:rPr>
                <w:rFonts w:asciiTheme="minorHAnsi" w:hAnsiTheme="minorHAnsi" w:cstheme="minorHAnsi"/>
                <w:sz w:val="18"/>
                <w:szCs w:val="18"/>
              </w:rPr>
            </w:pPr>
            <w:r w:rsidRPr="003B6A69">
              <w:rPr>
                <w:rFonts w:asciiTheme="minorHAnsi" w:hAnsiTheme="minorHAnsi" w:cstheme="minorHAnsi"/>
                <w:sz w:val="18"/>
                <w:szCs w:val="18"/>
              </w:rPr>
              <w:t>WDPA ID</w:t>
            </w:r>
          </w:p>
        </w:tc>
        <w:tc>
          <w:tcPr>
            <w:tcW w:w="2442" w:type="dxa"/>
            <w:gridSpan w:val="2"/>
            <w:vMerge w:val="restart"/>
            <w:vAlign w:val="center"/>
          </w:tcPr>
          <w:p w14:paraId="1DA0B105" w14:textId="77777777" w:rsidR="004E7FA9" w:rsidRPr="003B6A69" w:rsidRDefault="004E7FA9" w:rsidP="00AE6C8E">
            <w:pPr>
              <w:rPr>
                <w:rFonts w:asciiTheme="minorHAnsi" w:hAnsiTheme="minorHAnsi" w:cstheme="minorHAnsi"/>
                <w:sz w:val="18"/>
                <w:szCs w:val="18"/>
              </w:rPr>
            </w:pPr>
            <w:r w:rsidRPr="003B6A69">
              <w:rPr>
                <w:rFonts w:asciiTheme="minorHAnsi" w:hAnsiTheme="minorHAnsi" w:cstheme="minorHAnsi"/>
                <w:sz w:val="18"/>
                <w:szCs w:val="18"/>
              </w:rPr>
              <w:t>IUCN category</w:t>
            </w:r>
          </w:p>
        </w:tc>
        <w:tc>
          <w:tcPr>
            <w:tcW w:w="9781" w:type="dxa"/>
            <w:gridSpan w:val="4"/>
          </w:tcPr>
          <w:p w14:paraId="38B3D9FE"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Hectares</w:t>
            </w:r>
          </w:p>
        </w:tc>
      </w:tr>
      <w:tr w:rsidR="004E7FA9" w:rsidRPr="003B6A69" w14:paraId="3386C92F" w14:textId="77777777" w:rsidTr="00AE6C8E">
        <w:trPr>
          <w:trHeight w:val="58"/>
        </w:trPr>
        <w:tc>
          <w:tcPr>
            <w:tcW w:w="1298" w:type="dxa"/>
            <w:vMerge/>
          </w:tcPr>
          <w:p w14:paraId="3F3AC742" w14:textId="77777777" w:rsidR="004E7FA9" w:rsidRPr="003B6A69" w:rsidRDefault="004E7FA9" w:rsidP="00AE6C8E">
            <w:pPr>
              <w:rPr>
                <w:rFonts w:asciiTheme="minorHAnsi" w:hAnsiTheme="minorHAnsi" w:cstheme="minorHAnsi"/>
                <w:sz w:val="18"/>
                <w:szCs w:val="18"/>
              </w:rPr>
            </w:pPr>
          </w:p>
        </w:tc>
        <w:tc>
          <w:tcPr>
            <w:tcW w:w="933" w:type="dxa"/>
            <w:vMerge/>
          </w:tcPr>
          <w:p w14:paraId="4CFB0A9D" w14:textId="77777777" w:rsidR="004E7FA9" w:rsidRPr="003B6A69" w:rsidRDefault="004E7FA9" w:rsidP="00AE6C8E">
            <w:pPr>
              <w:rPr>
                <w:rFonts w:asciiTheme="minorHAnsi" w:hAnsiTheme="minorHAnsi" w:cstheme="minorHAnsi"/>
                <w:sz w:val="18"/>
                <w:szCs w:val="18"/>
              </w:rPr>
            </w:pPr>
          </w:p>
        </w:tc>
        <w:tc>
          <w:tcPr>
            <w:tcW w:w="2442" w:type="dxa"/>
            <w:gridSpan w:val="2"/>
            <w:vMerge/>
          </w:tcPr>
          <w:p w14:paraId="55D3087E" w14:textId="77777777" w:rsidR="004E7FA9" w:rsidRPr="003B6A69" w:rsidRDefault="004E7FA9" w:rsidP="00AE6C8E">
            <w:pPr>
              <w:rPr>
                <w:rFonts w:asciiTheme="minorHAnsi" w:hAnsiTheme="minorHAnsi" w:cstheme="minorHAnsi"/>
                <w:sz w:val="18"/>
                <w:szCs w:val="18"/>
              </w:rPr>
            </w:pPr>
          </w:p>
        </w:tc>
        <w:tc>
          <w:tcPr>
            <w:tcW w:w="4438" w:type="dxa"/>
            <w:gridSpan w:val="2"/>
          </w:tcPr>
          <w:p w14:paraId="1BF9B35A"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Expected</w:t>
            </w:r>
          </w:p>
        </w:tc>
        <w:tc>
          <w:tcPr>
            <w:tcW w:w="5343" w:type="dxa"/>
            <w:gridSpan w:val="2"/>
          </w:tcPr>
          <w:p w14:paraId="5562348C"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Achieved</w:t>
            </w:r>
          </w:p>
        </w:tc>
      </w:tr>
      <w:tr w:rsidR="004E7FA9" w:rsidRPr="003B6A69" w14:paraId="54AC7085" w14:textId="77777777" w:rsidTr="00AE6C8E">
        <w:trPr>
          <w:trHeight w:val="58"/>
        </w:trPr>
        <w:tc>
          <w:tcPr>
            <w:tcW w:w="1298" w:type="dxa"/>
            <w:vMerge/>
          </w:tcPr>
          <w:p w14:paraId="54E0E03F" w14:textId="77777777" w:rsidR="004E7FA9" w:rsidRPr="003B6A69" w:rsidRDefault="004E7FA9" w:rsidP="00AE6C8E">
            <w:pPr>
              <w:rPr>
                <w:rFonts w:asciiTheme="minorHAnsi" w:hAnsiTheme="minorHAnsi" w:cstheme="minorHAnsi"/>
                <w:sz w:val="18"/>
                <w:szCs w:val="18"/>
              </w:rPr>
            </w:pPr>
          </w:p>
        </w:tc>
        <w:tc>
          <w:tcPr>
            <w:tcW w:w="933" w:type="dxa"/>
            <w:vMerge/>
          </w:tcPr>
          <w:p w14:paraId="5207B85D" w14:textId="77777777" w:rsidR="004E7FA9" w:rsidRPr="003B6A69" w:rsidRDefault="004E7FA9" w:rsidP="00AE6C8E">
            <w:pPr>
              <w:rPr>
                <w:rFonts w:asciiTheme="minorHAnsi" w:hAnsiTheme="minorHAnsi" w:cstheme="minorHAnsi"/>
                <w:sz w:val="18"/>
                <w:szCs w:val="18"/>
              </w:rPr>
            </w:pPr>
          </w:p>
        </w:tc>
        <w:tc>
          <w:tcPr>
            <w:tcW w:w="2442" w:type="dxa"/>
            <w:gridSpan w:val="2"/>
            <w:vMerge/>
          </w:tcPr>
          <w:p w14:paraId="0D389BB5" w14:textId="77777777" w:rsidR="004E7FA9" w:rsidRPr="003B6A69" w:rsidRDefault="004E7FA9" w:rsidP="00AE6C8E">
            <w:pPr>
              <w:rPr>
                <w:rFonts w:asciiTheme="minorHAnsi" w:hAnsiTheme="minorHAnsi" w:cstheme="minorHAnsi"/>
                <w:sz w:val="18"/>
                <w:szCs w:val="18"/>
              </w:rPr>
            </w:pPr>
          </w:p>
        </w:tc>
        <w:tc>
          <w:tcPr>
            <w:tcW w:w="1712" w:type="dxa"/>
          </w:tcPr>
          <w:p w14:paraId="4FBA3303"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PIF stage</w:t>
            </w:r>
          </w:p>
        </w:tc>
        <w:tc>
          <w:tcPr>
            <w:tcW w:w="2726" w:type="dxa"/>
          </w:tcPr>
          <w:p w14:paraId="3543E623"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Endorsement</w:t>
            </w:r>
          </w:p>
        </w:tc>
        <w:tc>
          <w:tcPr>
            <w:tcW w:w="1985" w:type="dxa"/>
          </w:tcPr>
          <w:p w14:paraId="08E0A3B6"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MTR</w:t>
            </w:r>
          </w:p>
        </w:tc>
        <w:tc>
          <w:tcPr>
            <w:tcW w:w="3358" w:type="dxa"/>
          </w:tcPr>
          <w:p w14:paraId="2CF52C2C"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TE</w:t>
            </w:r>
          </w:p>
        </w:tc>
      </w:tr>
      <w:tr w:rsidR="004E7FA9" w:rsidRPr="003B6A69" w14:paraId="0A3DDBA5" w14:textId="77777777" w:rsidTr="00AE6C8E">
        <w:trPr>
          <w:trHeight w:val="125"/>
        </w:trPr>
        <w:tc>
          <w:tcPr>
            <w:tcW w:w="1298" w:type="dxa"/>
          </w:tcPr>
          <w:p w14:paraId="766584AA"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933" w:type="dxa"/>
          </w:tcPr>
          <w:p w14:paraId="2F9F729B"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2442" w:type="dxa"/>
            <w:gridSpan w:val="2"/>
          </w:tcPr>
          <w:p w14:paraId="12FC8019"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color w:val="000000"/>
                <w:sz w:val="18"/>
                <w:szCs w:val="18"/>
              </w:rPr>
              <w:fldChar w:fldCharType="begin">
                <w:ffData>
                  <w:name w:val="PPG_fa_01"/>
                  <w:enabled/>
                  <w:calcOnExit w:val="0"/>
                  <w:ddList>
                    <w:listEntry w:val="(select)"/>
                    <w:listEntry w:val="Ia Strict Nature Reserve"/>
                    <w:listEntry w:val="Ib Wilderness Area"/>
                    <w:listEntry w:val="II National Park"/>
                    <w:listEntry w:val="III Natural Monument or Feature"/>
                    <w:listEntry w:val="IV Habitat/Species Management Area"/>
                    <w:listEntry w:val="V Protected Landscape/Seascape"/>
                    <w:listEntry w:val="VI PA with sustainable use of natural resources"/>
                  </w:ddList>
                </w:ffData>
              </w:fldChar>
            </w:r>
            <w:bookmarkStart w:id="85" w:name="PPG_fa_01"/>
            <w:r w:rsidRPr="003B6A69">
              <w:rPr>
                <w:rFonts w:asciiTheme="minorHAnsi" w:hAnsiTheme="minorHAnsi" w:cstheme="minorHAnsi"/>
                <w:color w:val="000000"/>
                <w:sz w:val="18"/>
                <w:szCs w:val="18"/>
              </w:rPr>
              <w:instrText xml:space="preserve"> FORMDROPDOWN </w:instrText>
            </w:r>
            <w:r w:rsidR="00127DDC">
              <w:rPr>
                <w:rFonts w:asciiTheme="minorHAnsi" w:hAnsiTheme="minorHAnsi" w:cstheme="minorHAnsi"/>
                <w:color w:val="000000"/>
                <w:sz w:val="18"/>
                <w:szCs w:val="18"/>
              </w:rPr>
            </w:r>
            <w:r w:rsidR="00127DDC">
              <w:rPr>
                <w:rFonts w:asciiTheme="minorHAnsi" w:hAnsiTheme="minorHAnsi" w:cstheme="minorHAnsi"/>
                <w:color w:val="000000"/>
                <w:sz w:val="18"/>
                <w:szCs w:val="18"/>
              </w:rPr>
              <w:fldChar w:fldCharType="separate"/>
            </w:r>
            <w:r w:rsidRPr="003B6A69">
              <w:rPr>
                <w:rFonts w:asciiTheme="minorHAnsi" w:hAnsiTheme="minorHAnsi" w:cstheme="minorHAnsi"/>
                <w:color w:val="000000"/>
                <w:sz w:val="18"/>
                <w:szCs w:val="18"/>
              </w:rPr>
              <w:fldChar w:fldCharType="end"/>
            </w:r>
            <w:bookmarkEnd w:id="85"/>
            <w:r w:rsidRPr="003B6A69">
              <w:rPr>
                <w:rFonts w:asciiTheme="minorHAnsi" w:hAnsiTheme="minorHAnsi" w:cstheme="minorHAnsi"/>
                <w:color w:val="000000"/>
                <w:sz w:val="18"/>
                <w:szCs w:val="18"/>
              </w:rPr>
              <w:t xml:space="preserve">  </w:t>
            </w:r>
          </w:p>
        </w:tc>
        <w:tc>
          <w:tcPr>
            <w:tcW w:w="1712" w:type="dxa"/>
          </w:tcPr>
          <w:p w14:paraId="7BCB061C"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2726" w:type="dxa"/>
          </w:tcPr>
          <w:p w14:paraId="36B667DE"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1985" w:type="dxa"/>
          </w:tcPr>
          <w:p w14:paraId="0EBB87B1"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3358" w:type="dxa"/>
          </w:tcPr>
          <w:p w14:paraId="4B51552F"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r>
      <w:tr w:rsidR="004E7FA9" w:rsidRPr="003B6A69" w14:paraId="1CA0AE22" w14:textId="77777777" w:rsidTr="00AE6C8E">
        <w:tc>
          <w:tcPr>
            <w:tcW w:w="1298" w:type="dxa"/>
          </w:tcPr>
          <w:p w14:paraId="02200E2E"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933" w:type="dxa"/>
          </w:tcPr>
          <w:p w14:paraId="22CCA7E5"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2442" w:type="dxa"/>
            <w:gridSpan w:val="2"/>
          </w:tcPr>
          <w:p w14:paraId="2051C3FA"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color w:val="000000"/>
                <w:sz w:val="18"/>
                <w:szCs w:val="18"/>
              </w:rPr>
              <w:fldChar w:fldCharType="begin">
                <w:ffData>
                  <w:name w:val="PPG_fa_01"/>
                  <w:enabled/>
                  <w:calcOnExit w:val="0"/>
                  <w:ddList>
                    <w:listEntry w:val="(select)"/>
                    <w:listEntry w:val="Ia Strict Nature Reserve"/>
                    <w:listEntry w:val="Ib Wilderness Area"/>
                    <w:listEntry w:val="II National Park"/>
                    <w:listEntry w:val="III Natural Monument or Feature"/>
                    <w:listEntry w:val="IV Habitat/Species Management Area"/>
                    <w:listEntry w:val="V Protected Landscape/Seascape"/>
                    <w:listEntry w:val="VI PA with sustainable use of natural resources"/>
                  </w:ddList>
                </w:ffData>
              </w:fldChar>
            </w:r>
            <w:r w:rsidRPr="003B6A69">
              <w:rPr>
                <w:rFonts w:asciiTheme="minorHAnsi" w:hAnsiTheme="minorHAnsi" w:cstheme="minorHAnsi"/>
                <w:color w:val="000000"/>
                <w:sz w:val="18"/>
                <w:szCs w:val="18"/>
              </w:rPr>
              <w:instrText xml:space="preserve"> FORMDROPDOWN </w:instrText>
            </w:r>
            <w:r w:rsidR="00127DDC">
              <w:rPr>
                <w:rFonts w:asciiTheme="minorHAnsi" w:hAnsiTheme="minorHAnsi" w:cstheme="minorHAnsi"/>
                <w:color w:val="000000"/>
                <w:sz w:val="18"/>
                <w:szCs w:val="18"/>
              </w:rPr>
            </w:r>
            <w:r w:rsidR="00127DDC">
              <w:rPr>
                <w:rFonts w:asciiTheme="minorHAnsi" w:hAnsiTheme="minorHAnsi" w:cstheme="minorHAnsi"/>
                <w:color w:val="000000"/>
                <w:sz w:val="18"/>
                <w:szCs w:val="18"/>
              </w:rPr>
              <w:fldChar w:fldCharType="separate"/>
            </w:r>
            <w:r w:rsidRPr="003B6A69">
              <w:rPr>
                <w:rFonts w:asciiTheme="minorHAnsi" w:hAnsiTheme="minorHAnsi" w:cstheme="minorHAnsi"/>
                <w:color w:val="000000"/>
                <w:sz w:val="18"/>
                <w:szCs w:val="18"/>
              </w:rPr>
              <w:fldChar w:fldCharType="end"/>
            </w:r>
            <w:r w:rsidRPr="003B6A69">
              <w:rPr>
                <w:rFonts w:asciiTheme="minorHAnsi" w:hAnsiTheme="minorHAnsi" w:cstheme="minorHAnsi"/>
                <w:color w:val="000000"/>
                <w:sz w:val="18"/>
                <w:szCs w:val="18"/>
              </w:rPr>
              <w:t xml:space="preserve">  </w:t>
            </w:r>
          </w:p>
        </w:tc>
        <w:tc>
          <w:tcPr>
            <w:tcW w:w="1712" w:type="dxa"/>
          </w:tcPr>
          <w:p w14:paraId="7BD818BF"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2726" w:type="dxa"/>
          </w:tcPr>
          <w:p w14:paraId="2C3A49CE"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1985" w:type="dxa"/>
          </w:tcPr>
          <w:p w14:paraId="532E2566"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3358" w:type="dxa"/>
          </w:tcPr>
          <w:p w14:paraId="2C5D916C"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r>
      <w:tr w:rsidR="004E7FA9" w:rsidRPr="003B6A69" w14:paraId="0BE407AE" w14:textId="77777777" w:rsidTr="00AE6C8E">
        <w:tc>
          <w:tcPr>
            <w:tcW w:w="1298" w:type="dxa"/>
          </w:tcPr>
          <w:p w14:paraId="5B451648" w14:textId="77777777" w:rsidR="004E7FA9" w:rsidRPr="003B6A69" w:rsidRDefault="004E7FA9" w:rsidP="00AE6C8E">
            <w:pPr>
              <w:rPr>
                <w:rFonts w:asciiTheme="minorHAnsi" w:hAnsiTheme="minorHAnsi" w:cstheme="minorHAnsi"/>
                <w:sz w:val="18"/>
                <w:szCs w:val="18"/>
              </w:rPr>
            </w:pPr>
          </w:p>
        </w:tc>
        <w:tc>
          <w:tcPr>
            <w:tcW w:w="933" w:type="dxa"/>
          </w:tcPr>
          <w:p w14:paraId="0474B063" w14:textId="77777777" w:rsidR="004E7FA9" w:rsidRPr="003B6A69" w:rsidRDefault="004E7FA9" w:rsidP="00AE6C8E">
            <w:pPr>
              <w:rPr>
                <w:rFonts w:asciiTheme="minorHAnsi" w:hAnsiTheme="minorHAnsi" w:cstheme="minorHAnsi"/>
                <w:sz w:val="18"/>
                <w:szCs w:val="18"/>
              </w:rPr>
            </w:pPr>
          </w:p>
        </w:tc>
        <w:tc>
          <w:tcPr>
            <w:tcW w:w="2442" w:type="dxa"/>
            <w:gridSpan w:val="2"/>
          </w:tcPr>
          <w:p w14:paraId="0B9F6C7B"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sz w:val="18"/>
                <w:szCs w:val="18"/>
              </w:rPr>
              <w:t>Sum</w:t>
            </w:r>
          </w:p>
        </w:tc>
        <w:tc>
          <w:tcPr>
            <w:tcW w:w="1712" w:type="dxa"/>
          </w:tcPr>
          <w:p w14:paraId="7E116C18"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2726" w:type="dxa"/>
          </w:tcPr>
          <w:p w14:paraId="7D6CC482"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1985" w:type="dxa"/>
          </w:tcPr>
          <w:p w14:paraId="50BBAFBA"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3358" w:type="dxa"/>
          </w:tcPr>
          <w:p w14:paraId="4B516031"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r>
      <w:tr w:rsidR="004E7FA9" w:rsidRPr="003B6A69" w14:paraId="0D8FCD84" w14:textId="77777777" w:rsidTr="00AE6C8E">
        <w:tc>
          <w:tcPr>
            <w:tcW w:w="1298" w:type="dxa"/>
            <w:shd w:val="clear" w:color="auto" w:fill="BFBFBF" w:themeFill="background1" w:themeFillShade="BF"/>
          </w:tcPr>
          <w:p w14:paraId="46074373" w14:textId="77777777" w:rsidR="004E7FA9" w:rsidRPr="003B6A69" w:rsidRDefault="004E7FA9" w:rsidP="00AE6C8E">
            <w:pPr>
              <w:rPr>
                <w:rFonts w:asciiTheme="minorHAnsi" w:hAnsiTheme="minorHAnsi" w:cstheme="minorHAnsi"/>
                <w:sz w:val="18"/>
                <w:szCs w:val="18"/>
              </w:rPr>
            </w:pPr>
            <w:r w:rsidRPr="003B6A69">
              <w:rPr>
                <w:rFonts w:asciiTheme="minorHAnsi" w:hAnsiTheme="minorHAnsi" w:cstheme="minorHAnsi"/>
                <w:sz w:val="18"/>
                <w:szCs w:val="18"/>
              </w:rPr>
              <w:t>Indicator 1.2</w:t>
            </w:r>
          </w:p>
        </w:tc>
        <w:tc>
          <w:tcPr>
            <w:tcW w:w="9798" w:type="dxa"/>
            <w:gridSpan w:val="6"/>
            <w:shd w:val="clear" w:color="auto" w:fill="BFBFBF" w:themeFill="background1" w:themeFillShade="BF"/>
          </w:tcPr>
          <w:p w14:paraId="1FB3772F" w14:textId="77777777" w:rsidR="004E7FA9" w:rsidRPr="003B6A69" w:rsidRDefault="004E7FA9" w:rsidP="00AE6C8E">
            <w:pPr>
              <w:rPr>
                <w:rFonts w:asciiTheme="minorHAnsi" w:hAnsiTheme="minorHAnsi" w:cstheme="minorHAnsi"/>
                <w:sz w:val="18"/>
                <w:szCs w:val="18"/>
              </w:rPr>
            </w:pPr>
            <w:r w:rsidRPr="003B6A69">
              <w:rPr>
                <w:rFonts w:asciiTheme="minorHAnsi" w:hAnsiTheme="minorHAnsi" w:cstheme="minorHAnsi"/>
                <w:sz w:val="18"/>
                <w:szCs w:val="18"/>
              </w:rPr>
              <w:t>Terrestrial protected areas under improved management effectiveness</w:t>
            </w:r>
          </w:p>
        </w:tc>
        <w:tc>
          <w:tcPr>
            <w:tcW w:w="3358" w:type="dxa"/>
            <w:shd w:val="clear" w:color="auto" w:fill="BFBFBF" w:themeFill="background1" w:themeFillShade="BF"/>
          </w:tcPr>
          <w:p w14:paraId="42F008D6"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r>
      <w:tr w:rsidR="004E7FA9" w:rsidRPr="003B6A69" w14:paraId="119FF54A" w14:textId="77777777" w:rsidTr="00AE6C8E">
        <w:trPr>
          <w:trHeight w:val="125"/>
        </w:trPr>
        <w:tc>
          <w:tcPr>
            <w:tcW w:w="1298" w:type="dxa"/>
            <w:vMerge w:val="restart"/>
            <w:vAlign w:val="center"/>
          </w:tcPr>
          <w:p w14:paraId="60CBF746" w14:textId="77777777" w:rsidR="004E7FA9" w:rsidRPr="003B6A69" w:rsidRDefault="004E7FA9" w:rsidP="00AE6C8E">
            <w:pPr>
              <w:rPr>
                <w:rFonts w:asciiTheme="minorHAnsi" w:hAnsiTheme="minorHAnsi" w:cstheme="minorHAnsi"/>
                <w:sz w:val="18"/>
                <w:szCs w:val="18"/>
              </w:rPr>
            </w:pPr>
            <w:r w:rsidRPr="003B6A69">
              <w:rPr>
                <w:rFonts w:asciiTheme="minorHAnsi" w:hAnsiTheme="minorHAnsi" w:cstheme="minorHAnsi"/>
                <w:sz w:val="18"/>
                <w:szCs w:val="18"/>
              </w:rPr>
              <w:t>Name of Protected Area</w:t>
            </w:r>
          </w:p>
        </w:tc>
        <w:tc>
          <w:tcPr>
            <w:tcW w:w="933" w:type="dxa"/>
            <w:vMerge w:val="restart"/>
            <w:vAlign w:val="center"/>
          </w:tcPr>
          <w:p w14:paraId="0BDA2CB9" w14:textId="77777777" w:rsidR="004E7FA9" w:rsidRPr="003B6A69" w:rsidRDefault="004E7FA9" w:rsidP="00AE6C8E">
            <w:pPr>
              <w:rPr>
                <w:rFonts w:asciiTheme="minorHAnsi" w:hAnsiTheme="minorHAnsi" w:cstheme="minorHAnsi"/>
                <w:sz w:val="18"/>
                <w:szCs w:val="18"/>
              </w:rPr>
            </w:pPr>
            <w:r w:rsidRPr="003B6A69">
              <w:rPr>
                <w:rFonts w:asciiTheme="minorHAnsi" w:hAnsiTheme="minorHAnsi" w:cstheme="minorHAnsi"/>
                <w:sz w:val="18"/>
                <w:szCs w:val="18"/>
              </w:rPr>
              <w:t>WDPA ID</w:t>
            </w:r>
          </w:p>
        </w:tc>
        <w:tc>
          <w:tcPr>
            <w:tcW w:w="1025" w:type="dxa"/>
            <w:vMerge w:val="restart"/>
            <w:vAlign w:val="center"/>
          </w:tcPr>
          <w:p w14:paraId="4BF26516" w14:textId="77777777" w:rsidR="004E7FA9" w:rsidRPr="003B6A69" w:rsidRDefault="004E7FA9" w:rsidP="00AE6C8E">
            <w:pPr>
              <w:rPr>
                <w:rFonts w:asciiTheme="minorHAnsi" w:hAnsiTheme="minorHAnsi" w:cstheme="minorHAnsi"/>
                <w:sz w:val="18"/>
                <w:szCs w:val="18"/>
              </w:rPr>
            </w:pPr>
            <w:r w:rsidRPr="003B6A69">
              <w:rPr>
                <w:rFonts w:asciiTheme="minorHAnsi" w:hAnsiTheme="minorHAnsi" w:cstheme="minorHAnsi"/>
                <w:sz w:val="18"/>
                <w:szCs w:val="18"/>
              </w:rPr>
              <w:t>IUCN category</w:t>
            </w:r>
          </w:p>
        </w:tc>
        <w:tc>
          <w:tcPr>
            <w:tcW w:w="1417" w:type="dxa"/>
            <w:vMerge w:val="restart"/>
            <w:vAlign w:val="center"/>
          </w:tcPr>
          <w:p w14:paraId="2D1CD975" w14:textId="77777777" w:rsidR="004E7FA9" w:rsidRPr="003B6A69" w:rsidRDefault="004E7FA9" w:rsidP="00AE6C8E">
            <w:pPr>
              <w:rPr>
                <w:rFonts w:asciiTheme="minorHAnsi" w:hAnsiTheme="minorHAnsi" w:cstheme="minorHAnsi"/>
                <w:sz w:val="18"/>
                <w:szCs w:val="18"/>
              </w:rPr>
            </w:pPr>
            <w:r w:rsidRPr="003B6A69">
              <w:rPr>
                <w:rFonts w:asciiTheme="minorHAnsi" w:hAnsiTheme="minorHAnsi" w:cstheme="minorHAnsi"/>
                <w:sz w:val="18"/>
                <w:szCs w:val="18"/>
              </w:rPr>
              <w:t>Hectares</w:t>
            </w:r>
          </w:p>
        </w:tc>
        <w:tc>
          <w:tcPr>
            <w:tcW w:w="9781" w:type="dxa"/>
            <w:gridSpan w:val="4"/>
          </w:tcPr>
          <w:p w14:paraId="46CF1686"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 xml:space="preserve">METT Score </w:t>
            </w:r>
          </w:p>
        </w:tc>
      </w:tr>
      <w:tr w:rsidR="004E7FA9" w:rsidRPr="003B6A69" w14:paraId="03B5A753" w14:textId="77777777" w:rsidTr="00AE6C8E">
        <w:trPr>
          <w:trHeight w:val="58"/>
        </w:trPr>
        <w:tc>
          <w:tcPr>
            <w:tcW w:w="1298" w:type="dxa"/>
            <w:vMerge/>
          </w:tcPr>
          <w:p w14:paraId="4091CCDB" w14:textId="77777777" w:rsidR="004E7FA9" w:rsidRPr="003B6A69" w:rsidRDefault="004E7FA9" w:rsidP="00AE6C8E">
            <w:pPr>
              <w:rPr>
                <w:rFonts w:asciiTheme="minorHAnsi" w:hAnsiTheme="minorHAnsi" w:cstheme="minorHAnsi"/>
                <w:sz w:val="18"/>
                <w:szCs w:val="18"/>
              </w:rPr>
            </w:pPr>
          </w:p>
        </w:tc>
        <w:tc>
          <w:tcPr>
            <w:tcW w:w="933" w:type="dxa"/>
            <w:vMerge/>
          </w:tcPr>
          <w:p w14:paraId="346CD782" w14:textId="77777777" w:rsidR="004E7FA9" w:rsidRPr="003B6A69" w:rsidRDefault="004E7FA9" w:rsidP="00AE6C8E">
            <w:pPr>
              <w:rPr>
                <w:rFonts w:asciiTheme="minorHAnsi" w:hAnsiTheme="minorHAnsi" w:cstheme="minorHAnsi"/>
                <w:sz w:val="18"/>
                <w:szCs w:val="18"/>
              </w:rPr>
            </w:pPr>
          </w:p>
        </w:tc>
        <w:tc>
          <w:tcPr>
            <w:tcW w:w="1025" w:type="dxa"/>
            <w:vMerge/>
          </w:tcPr>
          <w:p w14:paraId="4E9469EC" w14:textId="77777777" w:rsidR="004E7FA9" w:rsidRPr="003B6A69" w:rsidRDefault="004E7FA9" w:rsidP="00AE6C8E">
            <w:pPr>
              <w:rPr>
                <w:rFonts w:asciiTheme="minorHAnsi" w:hAnsiTheme="minorHAnsi" w:cstheme="minorHAnsi"/>
                <w:sz w:val="18"/>
                <w:szCs w:val="18"/>
              </w:rPr>
            </w:pPr>
          </w:p>
        </w:tc>
        <w:tc>
          <w:tcPr>
            <w:tcW w:w="1417" w:type="dxa"/>
            <w:vMerge/>
          </w:tcPr>
          <w:p w14:paraId="2EB05874" w14:textId="77777777" w:rsidR="004E7FA9" w:rsidRPr="003B6A69" w:rsidRDefault="004E7FA9" w:rsidP="00AE6C8E">
            <w:pPr>
              <w:rPr>
                <w:rFonts w:asciiTheme="minorHAnsi" w:hAnsiTheme="minorHAnsi" w:cstheme="minorHAnsi"/>
                <w:sz w:val="18"/>
                <w:szCs w:val="18"/>
              </w:rPr>
            </w:pPr>
          </w:p>
        </w:tc>
        <w:tc>
          <w:tcPr>
            <w:tcW w:w="4438" w:type="dxa"/>
            <w:gridSpan w:val="2"/>
          </w:tcPr>
          <w:p w14:paraId="3E3E2C30"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Baseline</w:t>
            </w:r>
          </w:p>
        </w:tc>
        <w:tc>
          <w:tcPr>
            <w:tcW w:w="5343" w:type="dxa"/>
            <w:gridSpan w:val="2"/>
          </w:tcPr>
          <w:p w14:paraId="7232034D"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Planned</w:t>
            </w:r>
          </w:p>
        </w:tc>
      </w:tr>
      <w:tr w:rsidR="004E7FA9" w:rsidRPr="003B6A69" w14:paraId="3DF4246E" w14:textId="77777777" w:rsidTr="00AE6C8E">
        <w:trPr>
          <w:trHeight w:val="58"/>
        </w:trPr>
        <w:tc>
          <w:tcPr>
            <w:tcW w:w="1298" w:type="dxa"/>
            <w:vMerge/>
          </w:tcPr>
          <w:p w14:paraId="6AE0C27D" w14:textId="77777777" w:rsidR="004E7FA9" w:rsidRPr="003B6A69" w:rsidRDefault="004E7FA9" w:rsidP="00AE6C8E">
            <w:pPr>
              <w:rPr>
                <w:rFonts w:asciiTheme="minorHAnsi" w:hAnsiTheme="minorHAnsi" w:cstheme="minorHAnsi"/>
                <w:sz w:val="18"/>
                <w:szCs w:val="18"/>
              </w:rPr>
            </w:pPr>
          </w:p>
        </w:tc>
        <w:tc>
          <w:tcPr>
            <w:tcW w:w="933" w:type="dxa"/>
            <w:vMerge/>
          </w:tcPr>
          <w:p w14:paraId="4B921D1C" w14:textId="77777777" w:rsidR="004E7FA9" w:rsidRPr="003B6A69" w:rsidRDefault="004E7FA9" w:rsidP="00AE6C8E">
            <w:pPr>
              <w:rPr>
                <w:rFonts w:asciiTheme="minorHAnsi" w:hAnsiTheme="minorHAnsi" w:cstheme="minorHAnsi"/>
                <w:sz w:val="18"/>
                <w:szCs w:val="18"/>
              </w:rPr>
            </w:pPr>
          </w:p>
        </w:tc>
        <w:tc>
          <w:tcPr>
            <w:tcW w:w="1025" w:type="dxa"/>
            <w:vMerge/>
          </w:tcPr>
          <w:p w14:paraId="3F73A3FF" w14:textId="77777777" w:rsidR="004E7FA9" w:rsidRPr="003B6A69" w:rsidRDefault="004E7FA9" w:rsidP="00AE6C8E">
            <w:pPr>
              <w:rPr>
                <w:rFonts w:asciiTheme="minorHAnsi" w:hAnsiTheme="minorHAnsi" w:cstheme="minorHAnsi"/>
                <w:sz w:val="18"/>
                <w:szCs w:val="18"/>
              </w:rPr>
            </w:pPr>
          </w:p>
        </w:tc>
        <w:tc>
          <w:tcPr>
            <w:tcW w:w="1417" w:type="dxa"/>
            <w:vMerge/>
          </w:tcPr>
          <w:p w14:paraId="52674BE5" w14:textId="77777777" w:rsidR="004E7FA9" w:rsidRPr="003B6A69" w:rsidRDefault="004E7FA9" w:rsidP="00AE6C8E">
            <w:pPr>
              <w:rPr>
                <w:rFonts w:asciiTheme="minorHAnsi" w:hAnsiTheme="minorHAnsi" w:cstheme="minorHAnsi"/>
                <w:sz w:val="18"/>
                <w:szCs w:val="18"/>
              </w:rPr>
            </w:pPr>
          </w:p>
        </w:tc>
        <w:tc>
          <w:tcPr>
            <w:tcW w:w="1712" w:type="dxa"/>
          </w:tcPr>
          <w:p w14:paraId="5FD77D5C" w14:textId="77777777" w:rsidR="004E7FA9" w:rsidRPr="003B6A69" w:rsidRDefault="004E7FA9" w:rsidP="00AE6C8E">
            <w:pPr>
              <w:jc w:val="center"/>
              <w:rPr>
                <w:rFonts w:asciiTheme="minorHAnsi" w:hAnsiTheme="minorHAnsi" w:cstheme="minorHAnsi"/>
                <w:sz w:val="18"/>
                <w:szCs w:val="18"/>
              </w:rPr>
            </w:pPr>
          </w:p>
        </w:tc>
        <w:tc>
          <w:tcPr>
            <w:tcW w:w="2726" w:type="dxa"/>
          </w:tcPr>
          <w:p w14:paraId="68F12536"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Endorsement</w:t>
            </w:r>
          </w:p>
        </w:tc>
        <w:tc>
          <w:tcPr>
            <w:tcW w:w="1985" w:type="dxa"/>
          </w:tcPr>
          <w:p w14:paraId="062D6CF3"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MTR</w:t>
            </w:r>
          </w:p>
        </w:tc>
        <w:tc>
          <w:tcPr>
            <w:tcW w:w="3358" w:type="dxa"/>
          </w:tcPr>
          <w:p w14:paraId="17B96213"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TE</w:t>
            </w:r>
          </w:p>
        </w:tc>
      </w:tr>
      <w:tr w:rsidR="004E7FA9" w:rsidRPr="003B6A69" w14:paraId="2B961177" w14:textId="77777777" w:rsidTr="00AE6C8E">
        <w:tc>
          <w:tcPr>
            <w:tcW w:w="1298" w:type="dxa"/>
          </w:tcPr>
          <w:p w14:paraId="5A266C45" w14:textId="77777777" w:rsidR="004E7FA9" w:rsidRPr="003B6A69" w:rsidRDefault="004E7FA9" w:rsidP="00AE6C8E">
            <w:pPr>
              <w:jc w:val="right"/>
              <w:rPr>
                <w:rFonts w:asciiTheme="minorHAnsi" w:hAnsiTheme="minorHAnsi" w:cstheme="minorHAnsi"/>
                <w:sz w:val="18"/>
                <w:szCs w:val="18"/>
              </w:rPr>
            </w:pPr>
            <w:proofErr w:type="spellStart"/>
            <w:r w:rsidRPr="003B6A69">
              <w:rPr>
                <w:rFonts w:asciiTheme="minorHAnsi" w:hAnsiTheme="minorHAnsi" w:cstheme="minorHAnsi"/>
                <w:i/>
                <w:color w:val="000000"/>
                <w:sz w:val="18"/>
                <w:szCs w:val="18"/>
              </w:rPr>
              <w:t>Durmitor</w:t>
            </w:r>
            <w:proofErr w:type="spellEnd"/>
            <w:r w:rsidRPr="003B6A69">
              <w:rPr>
                <w:rFonts w:asciiTheme="minorHAnsi" w:hAnsiTheme="minorHAnsi" w:cstheme="minorHAnsi"/>
                <w:i/>
                <w:color w:val="000000"/>
                <w:sz w:val="18"/>
                <w:szCs w:val="18"/>
              </w:rPr>
              <w:t xml:space="preserve"> National park</w:t>
            </w:r>
          </w:p>
        </w:tc>
        <w:tc>
          <w:tcPr>
            <w:tcW w:w="933" w:type="dxa"/>
          </w:tcPr>
          <w:p w14:paraId="0F148AE1" w14:textId="77777777" w:rsidR="004E7FA9" w:rsidRPr="003B6A69" w:rsidRDefault="004E7FA9" w:rsidP="00AE6C8E">
            <w:pPr>
              <w:jc w:val="right"/>
              <w:rPr>
                <w:rFonts w:asciiTheme="minorHAnsi" w:hAnsiTheme="minorHAnsi" w:cstheme="minorHAnsi"/>
                <w:i/>
                <w:color w:val="000000"/>
                <w:sz w:val="18"/>
                <w:szCs w:val="18"/>
              </w:rPr>
            </w:pPr>
            <w:r w:rsidRPr="003B6A69">
              <w:rPr>
                <w:rFonts w:asciiTheme="minorHAnsi" w:hAnsiTheme="minorHAnsi" w:cstheme="minorHAnsi"/>
                <w:i/>
                <w:color w:val="000000"/>
                <w:sz w:val="18"/>
                <w:szCs w:val="18"/>
              </w:rPr>
              <w:t>1051</w:t>
            </w:r>
          </w:p>
          <w:p w14:paraId="22209E3A" w14:textId="77777777" w:rsidR="004E7FA9" w:rsidRPr="003B6A69" w:rsidRDefault="004E7FA9" w:rsidP="00AE6C8E">
            <w:pPr>
              <w:jc w:val="right"/>
              <w:rPr>
                <w:rFonts w:asciiTheme="minorHAnsi" w:hAnsiTheme="minorHAnsi" w:cstheme="minorHAnsi"/>
                <w:sz w:val="18"/>
                <w:szCs w:val="18"/>
              </w:rPr>
            </w:pPr>
          </w:p>
        </w:tc>
        <w:tc>
          <w:tcPr>
            <w:tcW w:w="1025" w:type="dxa"/>
          </w:tcPr>
          <w:p w14:paraId="5862CB4B"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color w:val="000000"/>
                <w:sz w:val="18"/>
                <w:szCs w:val="18"/>
              </w:rPr>
              <w:t xml:space="preserve">II National Park  </w:t>
            </w:r>
          </w:p>
        </w:tc>
        <w:tc>
          <w:tcPr>
            <w:tcW w:w="1417" w:type="dxa"/>
          </w:tcPr>
          <w:p w14:paraId="611DED3C"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t>32,519</w:t>
            </w:r>
          </w:p>
        </w:tc>
        <w:tc>
          <w:tcPr>
            <w:tcW w:w="1712" w:type="dxa"/>
          </w:tcPr>
          <w:p w14:paraId="542313B4" w14:textId="77777777" w:rsidR="004E7FA9" w:rsidRPr="003B6A69" w:rsidRDefault="004E7FA9" w:rsidP="00AE6C8E">
            <w:pPr>
              <w:jc w:val="right"/>
              <w:rPr>
                <w:rFonts w:asciiTheme="minorHAnsi" w:hAnsiTheme="minorHAnsi" w:cstheme="minorHAnsi"/>
                <w:sz w:val="18"/>
                <w:szCs w:val="18"/>
              </w:rPr>
            </w:pPr>
          </w:p>
        </w:tc>
        <w:tc>
          <w:tcPr>
            <w:tcW w:w="2726" w:type="dxa"/>
          </w:tcPr>
          <w:p w14:paraId="60B7B25C"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t>64</w:t>
            </w:r>
          </w:p>
        </w:tc>
        <w:tc>
          <w:tcPr>
            <w:tcW w:w="1985" w:type="dxa"/>
          </w:tcPr>
          <w:p w14:paraId="024268B0" w14:textId="77777777" w:rsidR="004E7FA9" w:rsidRPr="003B6A69" w:rsidRDefault="004E7FA9" w:rsidP="00AE6C8E">
            <w:pPr>
              <w:jc w:val="right"/>
              <w:rPr>
                <w:rFonts w:asciiTheme="minorHAnsi" w:hAnsiTheme="minorHAnsi" w:cstheme="minorHAnsi"/>
                <w:sz w:val="18"/>
                <w:szCs w:val="18"/>
              </w:rPr>
            </w:pPr>
          </w:p>
        </w:tc>
        <w:tc>
          <w:tcPr>
            <w:tcW w:w="3358" w:type="dxa"/>
          </w:tcPr>
          <w:p w14:paraId="48B6E5AE"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t>70</w:t>
            </w:r>
          </w:p>
        </w:tc>
      </w:tr>
      <w:tr w:rsidR="004E7FA9" w:rsidRPr="003B6A69" w14:paraId="246AB1CB" w14:textId="77777777" w:rsidTr="00AE6C8E">
        <w:tc>
          <w:tcPr>
            <w:tcW w:w="1298" w:type="dxa"/>
          </w:tcPr>
          <w:p w14:paraId="3728D720" w14:textId="77777777" w:rsidR="004E7FA9" w:rsidRPr="003B6A69" w:rsidRDefault="004E7FA9" w:rsidP="00AE6C8E">
            <w:pPr>
              <w:jc w:val="right"/>
              <w:rPr>
                <w:rFonts w:asciiTheme="minorHAnsi" w:hAnsiTheme="minorHAnsi" w:cstheme="minorHAnsi"/>
                <w:sz w:val="18"/>
                <w:szCs w:val="18"/>
              </w:rPr>
            </w:pPr>
            <w:proofErr w:type="spellStart"/>
            <w:r w:rsidRPr="003B6A69">
              <w:rPr>
                <w:rFonts w:asciiTheme="minorHAnsi" w:hAnsiTheme="minorHAnsi" w:cstheme="minorHAnsi"/>
                <w:i/>
                <w:color w:val="000000"/>
                <w:sz w:val="18"/>
                <w:szCs w:val="18"/>
              </w:rPr>
              <w:t>Biogradska</w:t>
            </w:r>
            <w:proofErr w:type="spellEnd"/>
            <w:r w:rsidRPr="003B6A69">
              <w:rPr>
                <w:rFonts w:asciiTheme="minorHAnsi" w:hAnsiTheme="minorHAnsi" w:cstheme="minorHAnsi"/>
                <w:i/>
                <w:color w:val="000000"/>
                <w:sz w:val="18"/>
                <w:szCs w:val="18"/>
              </w:rPr>
              <w:t xml:space="preserve"> Gora National park</w:t>
            </w:r>
          </w:p>
        </w:tc>
        <w:tc>
          <w:tcPr>
            <w:tcW w:w="933" w:type="dxa"/>
          </w:tcPr>
          <w:p w14:paraId="34D1B8BF" w14:textId="77777777" w:rsidR="004E7FA9" w:rsidRPr="003B6A69" w:rsidRDefault="004E7FA9" w:rsidP="00AE6C8E">
            <w:pPr>
              <w:jc w:val="right"/>
              <w:rPr>
                <w:rFonts w:asciiTheme="minorHAnsi" w:hAnsiTheme="minorHAnsi" w:cstheme="minorHAnsi"/>
                <w:i/>
                <w:color w:val="000000"/>
                <w:sz w:val="18"/>
                <w:szCs w:val="18"/>
              </w:rPr>
            </w:pPr>
            <w:r w:rsidRPr="003B6A69">
              <w:rPr>
                <w:rFonts w:asciiTheme="minorHAnsi" w:hAnsiTheme="minorHAnsi" w:cstheme="minorHAnsi"/>
                <w:i/>
                <w:color w:val="000000"/>
                <w:sz w:val="18"/>
                <w:szCs w:val="18"/>
              </w:rPr>
              <w:t>1059</w:t>
            </w:r>
          </w:p>
          <w:p w14:paraId="6CA95438" w14:textId="77777777" w:rsidR="004E7FA9" w:rsidRPr="003B6A69" w:rsidRDefault="004E7FA9" w:rsidP="00AE6C8E">
            <w:pPr>
              <w:jc w:val="right"/>
              <w:rPr>
                <w:rFonts w:asciiTheme="minorHAnsi" w:hAnsiTheme="minorHAnsi" w:cstheme="minorHAnsi"/>
                <w:sz w:val="18"/>
                <w:szCs w:val="18"/>
              </w:rPr>
            </w:pPr>
          </w:p>
        </w:tc>
        <w:tc>
          <w:tcPr>
            <w:tcW w:w="1025" w:type="dxa"/>
          </w:tcPr>
          <w:p w14:paraId="3710EA92"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color w:val="000000"/>
                <w:sz w:val="18"/>
                <w:szCs w:val="18"/>
              </w:rPr>
              <w:t xml:space="preserve">II National Park </w:t>
            </w:r>
          </w:p>
        </w:tc>
        <w:tc>
          <w:tcPr>
            <w:tcW w:w="1417" w:type="dxa"/>
          </w:tcPr>
          <w:p w14:paraId="1F03B131"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t>5,650</w:t>
            </w:r>
          </w:p>
        </w:tc>
        <w:tc>
          <w:tcPr>
            <w:tcW w:w="1712" w:type="dxa"/>
          </w:tcPr>
          <w:p w14:paraId="6BB16995" w14:textId="77777777" w:rsidR="004E7FA9" w:rsidRPr="003B6A69" w:rsidRDefault="004E7FA9" w:rsidP="00AE6C8E">
            <w:pPr>
              <w:jc w:val="right"/>
              <w:rPr>
                <w:rFonts w:asciiTheme="minorHAnsi" w:hAnsiTheme="minorHAnsi" w:cstheme="minorHAnsi"/>
                <w:sz w:val="18"/>
                <w:szCs w:val="18"/>
              </w:rPr>
            </w:pPr>
          </w:p>
        </w:tc>
        <w:tc>
          <w:tcPr>
            <w:tcW w:w="2726" w:type="dxa"/>
          </w:tcPr>
          <w:p w14:paraId="102C6F98"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t>66</w:t>
            </w:r>
          </w:p>
        </w:tc>
        <w:tc>
          <w:tcPr>
            <w:tcW w:w="1985" w:type="dxa"/>
          </w:tcPr>
          <w:p w14:paraId="13C1D471" w14:textId="77777777" w:rsidR="004E7FA9" w:rsidRPr="003B6A69" w:rsidRDefault="004E7FA9" w:rsidP="00AE6C8E">
            <w:pPr>
              <w:jc w:val="right"/>
              <w:rPr>
                <w:rFonts w:asciiTheme="minorHAnsi" w:hAnsiTheme="minorHAnsi" w:cstheme="minorHAnsi"/>
                <w:sz w:val="18"/>
                <w:szCs w:val="18"/>
              </w:rPr>
            </w:pPr>
          </w:p>
        </w:tc>
        <w:tc>
          <w:tcPr>
            <w:tcW w:w="3358" w:type="dxa"/>
          </w:tcPr>
          <w:p w14:paraId="0DFFABB3"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t>72</w:t>
            </w:r>
          </w:p>
        </w:tc>
      </w:tr>
      <w:tr w:rsidR="004E7FA9" w:rsidRPr="003B6A69" w14:paraId="33FE169E" w14:textId="77777777" w:rsidTr="00AE6C8E">
        <w:tc>
          <w:tcPr>
            <w:tcW w:w="1298" w:type="dxa"/>
          </w:tcPr>
          <w:p w14:paraId="2C338254" w14:textId="77777777" w:rsidR="004E7FA9" w:rsidRPr="003B6A69" w:rsidRDefault="004E7FA9" w:rsidP="00AE6C8E">
            <w:pPr>
              <w:jc w:val="right"/>
              <w:rPr>
                <w:rFonts w:asciiTheme="minorHAnsi" w:hAnsiTheme="minorHAnsi" w:cstheme="minorHAnsi"/>
                <w:sz w:val="18"/>
                <w:szCs w:val="18"/>
              </w:rPr>
            </w:pPr>
            <w:proofErr w:type="spellStart"/>
            <w:r w:rsidRPr="003B6A69">
              <w:rPr>
                <w:rFonts w:asciiTheme="minorHAnsi" w:hAnsiTheme="minorHAnsi" w:cstheme="minorHAnsi"/>
                <w:i/>
                <w:color w:val="000000"/>
                <w:sz w:val="18"/>
                <w:szCs w:val="18"/>
              </w:rPr>
              <w:t>Skadar</w:t>
            </w:r>
            <w:proofErr w:type="spellEnd"/>
            <w:r w:rsidRPr="003B6A69">
              <w:rPr>
                <w:rFonts w:asciiTheme="minorHAnsi" w:hAnsiTheme="minorHAnsi" w:cstheme="minorHAnsi"/>
                <w:i/>
                <w:color w:val="000000"/>
                <w:sz w:val="18"/>
                <w:szCs w:val="18"/>
              </w:rPr>
              <w:t xml:space="preserve"> Lake National Park</w:t>
            </w:r>
          </w:p>
        </w:tc>
        <w:tc>
          <w:tcPr>
            <w:tcW w:w="933" w:type="dxa"/>
          </w:tcPr>
          <w:p w14:paraId="4F1B923A" w14:textId="77777777" w:rsidR="004E7FA9" w:rsidRPr="003B6A69" w:rsidRDefault="004E7FA9" w:rsidP="00AE6C8E">
            <w:pPr>
              <w:jc w:val="right"/>
              <w:rPr>
                <w:rFonts w:asciiTheme="minorHAnsi" w:hAnsiTheme="minorHAnsi" w:cstheme="minorHAnsi"/>
                <w:i/>
                <w:color w:val="000000"/>
                <w:sz w:val="18"/>
                <w:szCs w:val="18"/>
              </w:rPr>
            </w:pPr>
            <w:r w:rsidRPr="003B6A69">
              <w:rPr>
                <w:rFonts w:asciiTheme="minorHAnsi" w:hAnsiTheme="minorHAnsi" w:cstheme="minorHAnsi"/>
                <w:i/>
                <w:color w:val="000000"/>
                <w:sz w:val="18"/>
                <w:szCs w:val="18"/>
              </w:rPr>
              <w:t>16385</w:t>
            </w:r>
          </w:p>
          <w:p w14:paraId="6FC5A05F" w14:textId="77777777" w:rsidR="004E7FA9" w:rsidRPr="003B6A69" w:rsidRDefault="004E7FA9" w:rsidP="00AE6C8E">
            <w:pPr>
              <w:jc w:val="right"/>
              <w:rPr>
                <w:rFonts w:asciiTheme="minorHAnsi" w:hAnsiTheme="minorHAnsi" w:cstheme="minorHAnsi"/>
                <w:sz w:val="18"/>
                <w:szCs w:val="18"/>
              </w:rPr>
            </w:pPr>
          </w:p>
        </w:tc>
        <w:tc>
          <w:tcPr>
            <w:tcW w:w="1025" w:type="dxa"/>
          </w:tcPr>
          <w:p w14:paraId="0BA64C88"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color w:val="000000"/>
                <w:sz w:val="18"/>
                <w:szCs w:val="18"/>
              </w:rPr>
              <w:t>II National Park</w:t>
            </w:r>
          </w:p>
        </w:tc>
        <w:tc>
          <w:tcPr>
            <w:tcW w:w="1417" w:type="dxa"/>
          </w:tcPr>
          <w:p w14:paraId="05D2C62A" w14:textId="77777777" w:rsidR="004E7FA9" w:rsidRPr="003B6A69" w:rsidRDefault="004E7FA9" w:rsidP="00AE6C8E">
            <w:pPr>
              <w:jc w:val="right"/>
              <w:rPr>
                <w:rFonts w:asciiTheme="minorHAnsi" w:hAnsiTheme="minorHAnsi" w:cstheme="minorHAnsi"/>
                <w:i/>
                <w:color w:val="000000"/>
                <w:sz w:val="18"/>
                <w:szCs w:val="18"/>
              </w:rPr>
            </w:pPr>
            <w:r w:rsidRPr="003B6A69">
              <w:rPr>
                <w:rFonts w:asciiTheme="minorHAnsi" w:hAnsiTheme="minorHAnsi" w:cstheme="minorHAnsi"/>
                <w:i/>
                <w:color w:val="000000"/>
                <w:sz w:val="18"/>
                <w:szCs w:val="18"/>
              </w:rPr>
              <w:t>40,000</w:t>
            </w:r>
          </w:p>
          <w:p w14:paraId="0208FB0D" w14:textId="77777777" w:rsidR="004E7FA9" w:rsidRPr="003B6A69" w:rsidRDefault="004E7FA9" w:rsidP="00AE6C8E">
            <w:pPr>
              <w:jc w:val="right"/>
              <w:rPr>
                <w:rFonts w:asciiTheme="minorHAnsi" w:hAnsiTheme="minorHAnsi" w:cstheme="minorHAnsi"/>
                <w:sz w:val="18"/>
                <w:szCs w:val="18"/>
              </w:rPr>
            </w:pPr>
          </w:p>
        </w:tc>
        <w:tc>
          <w:tcPr>
            <w:tcW w:w="1712" w:type="dxa"/>
          </w:tcPr>
          <w:p w14:paraId="2D93C145" w14:textId="77777777" w:rsidR="004E7FA9" w:rsidRPr="003B6A69" w:rsidRDefault="004E7FA9" w:rsidP="00AE6C8E">
            <w:pPr>
              <w:jc w:val="right"/>
              <w:rPr>
                <w:rFonts w:asciiTheme="minorHAnsi" w:hAnsiTheme="minorHAnsi" w:cstheme="minorHAnsi"/>
                <w:sz w:val="18"/>
                <w:szCs w:val="18"/>
              </w:rPr>
            </w:pPr>
          </w:p>
        </w:tc>
        <w:tc>
          <w:tcPr>
            <w:tcW w:w="2726" w:type="dxa"/>
          </w:tcPr>
          <w:p w14:paraId="186A399B"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t>57</w:t>
            </w:r>
          </w:p>
        </w:tc>
        <w:tc>
          <w:tcPr>
            <w:tcW w:w="1985" w:type="dxa"/>
          </w:tcPr>
          <w:p w14:paraId="3E30A901" w14:textId="77777777" w:rsidR="004E7FA9" w:rsidRPr="003B6A69" w:rsidRDefault="004E7FA9" w:rsidP="00AE6C8E">
            <w:pPr>
              <w:jc w:val="right"/>
              <w:rPr>
                <w:rFonts w:asciiTheme="minorHAnsi" w:hAnsiTheme="minorHAnsi" w:cstheme="minorHAnsi"/>
                <w:sz w:val="18"/>
                <w:szCs w:val="18"/>
              </w:rPr>
            </w:pPr>
          </w:p>
        </w:tc>
        <w:tc>
          <w:tcPr>
            <w:tcW w:w="3358" w:type="dxa"/>
          </w:tcPr>
          <w:p w14:paraId="6BD05FF4"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t>62</w:t>
            </w:r>
          </w:p>
        </w:tc>
      </w:tr>
      <w:tr w:rsidR="004E7FA9" w:rsidRPr="003B6A69" w14:paraId="45A53A75" w14:textId="77777777" w:rsidTr="00AE6C8E">
        <w:tc>
          <w:tcPr>
            <w:tcW w:w="1298" w:type="dxa"/>
          </w:tcPr>
          <w:p w14:paraId="35B6725B" w14:textId="77777777" w:rsidR="004E7FA9" w:rsidRPr="003B6A69" w:rsidRDefault="004E7FA9" w:rsidP="00AE6C8E">
            <w:pPr>
              <w:jc w:val="right"/>
              <w:rPr>
                <w:rFonts w:asciiTheme="minorHAnsi" w:hAnsiTheme="minorHAnsi" w:cstheme="minorHAnsi"/>
                <w:sz w:val="18"/>
                <w:szCs w:val="18"/>
              </w:rPr>
            </w:pPr>
            <w:proofErr w:type="spellStart"/>
            <w:r w:rsidRPr="003B6A69">
              <w:rPr>
                <w:rFonts w:asciiTheme="minorHAnsi" w:hAnsiTheme="minorHAnsi" w:cstheme="minorHAnsi"/>
                <w:i/>
                <w:color w:val="000000"/>
                <w:sz w:val="18"/>
                <w:szCs w:val="18"/>
              </w:rPr>
              <w:t>Orjen</w:t>
            </w:r>
            <w:proofErr w:type="spellEnd"/>
            <w:r w:rsidRPr="003B6A69">
              <w:rPr>
                <w:rFonts w:asciiTheme="minorHAnsi" w:hAnsiTheme="minorHAnsi" w:cstheme="minorHAnsi"/>
                <w:i/>
                <w:color w:val="000000"/>
                <w:sz w:val="18"/>
                <w:szCs w:val="18"/>
              </w:rPr>
              <w:t xml:space="preserve"> Nature Park</w:t>
            </w:r>
          </w:p>
        </w:tc>
        <w:tc>
          <w:tcPr>
            <w:tcW w:w="933" w:type="dxa"/>
          </w:tcPr>
          <w:p w14:paraId="334DE76C" w14:textId="77777777" w:rsidR="004E7FA9" w:rsidRPr="003B6A69" w:rsidRDefault="004E7FA9" w:rsidP="00AE6C8E">
            <w:pPr>
              <w:jc w:val="right"/>
              <w:rPr>
                <w:rFonts w:asciiTheme="minorHAnsi" w:hAnsiTheme="minorHAnsi" w:cstheme="minorHAnsi"/>
                <w:i/>
                <w:color w:val="000000"/>
                <w:sz w:val="18"/>
                <w:szCs w:val="18"/>
              </w:rPr>
            </w:pPr>
            <w:r w:rsidRPr="003B6A69">
              <w:rPr>
                <w:rFonts w:asciiTheme="minorHAnsi" w:hAnsiTheme="minorHAnsi" w:cstheme="minorHAnsi"/>
                <w:i/>
                <w:color w:val="000000"/>
                <w:sz w:val="18"/>
                <w:szCs w:val="18"/>
              </w:rPr>
              <w:t>555692093</w:t>
            </w:r>
          </w:p>
          <w:p w14:paraId="4EB3F652" w14:textId="77777777" w:rsidR="004E7FA9" w:rsidRPr="003B6A69" w:rsidRDefault="004E7FA9" w:rsidP="00AE6C8E">
            <w:pPr>
              <w:jc w:val="right"/>
              <w:rPr>
                <w:rFonts w:asciiTheme="minorHAnsi" w:hAnsiTheme="minorHAnsi" w:cstheme="minorHAnsi"/>
                <w:sz w:val="18"/>
                <w:szCs w:val="18"/>
              </w:rPr>
            </w:pPr>
          </w:p>
        </w:tc>
        <w:tc>
          <w:tcPr>
            <w:tcW w:w="1025" w:type="dxa"/>
          </w:tcPr>
          <w:p w14:paraId="68FD8AB1" w14:textId="77777777" w:rsidR="004E7FA9" w:rsidRPr="003B6A69" w:rsidRDefault="004E7FA9" w:rsidP="00AE6C8E">
            <w:pPr>
              <w:rPr>
                <w:rFonts w:asciiTheme="minorHAnsi" w:hAnsiTheme="minorHAnsi" w:cstheme="minorHAnsi"/>
                <w:sz w:val="18"/>
                <w:szCs w:val="18"/>
              </w:rPr>
            </w:pPr>
            <w:r w:rsidRPr="003B6A69">
              <w:rPr>
                <w:rFonts w:asciiTheme="minorHAnsi" w:hAnsiTheme="minorHAnsi" w:cstheme="minorHAnsi"/>
                <w:color w:val="000000"/>
                <w:sz w:val="18"/>
                <w:szCs w:val="18"/>
              </w:rPr>
              <w:t xml:space="preserve">V Protected Landscape  </w:t>
            </w:r>
          </w:p>
        </w:tc>
        <w:tc>
          <w:tcPr>
            <w:tcW w:w="1417" w:type="dxa"/>
          </w:tcPr>
          <w:p w14:paraId="61BE9F83" w14:textId="77777777" w:rsidR="004E7FA9" w:rsidRPr="003B6A69" w:rsidRDefault="004E7FA9" w:rsidP="00AE6C8E">
            <w:pPr>
              <w:jc w:val="right"/>
              <w:rPr>
                <w:rFonts w:asciiTheme="minorHAnsi" w:hAnsiTheme="minorHAnsi" w:cstheme="minorHAnsi"/>
                <w:i/>
                <w:color w:val="000000"/>
                <w:sz w:val="18"/>
                <w:szCs w:val="18"/>
              </w:rPr>
            </w:pPr>
            <w:r w:rsidRPr="003B6A69">
              <w:rPr>
                <w:rFonts w:asciiTheme="minorHAnsi" w:hAnsiTheme="minorHAnsi" w:cstheme="minorHAnsi"/>
                <w:i/>
                <w:color w:val="000000"/>
                <w:sz w:val="18"/>
                <w:szCs w:val="18"/>
              </w:rPr>
              <w:t>8,797</w:t>
            </w:r>
          </w:p>
          <w:p w14:paraId="68FA3E0D" w14:textId="77777777" w:rsidR="004E7FA9" w:rsidRPr="003B6A69" w:rsidRDefault="004E7FA9" w:rsidP="00AE6C8E">
            <w:pPr>
              <w:jc w:val="right"/>
              <w:rPr>
                <w:rFonts w:asciiTheme="minorHAnsi" w:hAnsiTheme="minorHAnsi" w:cstheme="minorHAnsi"/>
                <w:sz w:val="18"/>
                <w:szCs w:val="18"/>
              </w:rPr>
            </w:pPr>
          </w:p>
        </w:tc>
        <w:tc>
          <w:tcPr>
            <w:tcW w:w="1712" w:type="dxa"/>
          </w:tcPr>
          <w:p w14:paraId="632B7447" w14:textId="77777777" w:rsidR="004E7FA9" w:rsidRPr="003B6A69" w:rsidRDefault="004E7FA9" w:rsidP="00AE6C8E">
            <w:pPr>
              <w:jc w:val="right"/>
              <w:rPr>
                <w:rFonts w:asciiTheme="minorHAnsi" w:hAnsiTheme="minorHAnsi" w:cstheme="minorHAnsi"/>
                <w:sz w:val="18"/>
                <w:szCs w:val="18"/>
              </w:rPr>
            </w:pPr>
          </w:p>
        </w:tc>
        <w:tc>
          <w:tcPr>
            <w:tcW w:w="2726" w:type="dxa"/>
          </w:tcPr>
          <w:p w14:paraId="1518B5CA"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t>43</w:t>
            </w:r>
          </w:p>
        </w:tc>
        <w:tc>
          <w:tcPr>
            <w:tcW w:w="1985" w:type="dxa"/>
          </w:tcPr>
          <w:p w14:paraId="7002D2BB" w14:textId="77777777" w:rsidR="004E7FA9" w:rsidRPr="003B6A69" w:rsidRDefault="004E7FA9" w:rsidP="00AE6C8E">
            <w:pPr>
              <w:jc w:val="right"/>
              <w:rPr>
                <w:rFonts w:asciiTheme="minorHAnsi" w:hAnsiTheme="minorHAnsi" w:cstheme="minorHAnsi"/>
                <w:sz w:val="18"/>
                <w:szCs w:val="18"/>
              </w:rPr>
            </w:pPr>
          </w:p>
        </w:tc>
        <w:tc>
          <w:tcPr>
            <w:tcW w:w="3358" w:type="dxa"/>
          </w:tcPr>
          <w:p w14:paraId="375B53A9"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t>46</w:t>
            </w:r>
          </w:p>
        </w:tc>
      </w:tr>
      <w:tr w:rsidR="004E7FA9" w:rsidRPr="003B6A69" w14:paraId="3A490EC6" w14:textId="77777777" w:rsidTr="00AE6C8E">
        <w:tc>
          <w:tcPr>
            <w:tcW w:w="1298" w:type="dxa"/>
          </w:tcPr>
          <w:p w14:paraId="6EC07FF4" w14:textId="77777777" w:rsidR="004E7FA9" w:rsidRPr="003B6A69" w:rsidRDefault="004E7FA9" w:rsidP="00AE6C8E">
            <w:pPr>
              <w:jc w:val="right"/>
              <w:rPr>
                <w:rFonts w:asciiTheme="minorHAnsi" w:hAnsiTheme="minorHAnsi" w:cstheme="minorHAnsi"/>
                <w:sz w:val="18"/>
                <w:szCs w:val="18"/>
              </w:rPr>
            </w:pPr>
            <w:proofErr w:type="spellStart"/>
            <w:r w:rsidRPr="003B6A69">
              <w:rPr>
                <w:rFonts w:asciiTheme="minorHAnsi" w:hAnsiTheme="minorHAnsi" w:cstheme="minorHAnsi"/>
                <w:i/>
                <w:color w:val="000000"/>
                <w:sz w:val="18"/>
                <w:szCs w:val="18"/>
              </w:rPr>
              <w:t>Dragisnica-Komarnica</w:t>
            </w:r>
            <w:proofErr w:type="spellEnd"/>
            <w:r w:rsidRPr="003B6A69">
              <w:rPr>
                <w:rFonts w:asciiTheme="minorHAnsi" w:hAnsiTheme="minorHAnsi" w:cstheme="minorHAnsi"/>
                <w:i/>
                <w:color w:val="000000"/>
                <w:sz w:val="18"/>
                <w:szCs w:val="18"/>
              </w:rPr>
              <w:t xml:space="preserve"> Nature Park</w:t>
            </w:r>
          </w:p>
        </w:tc>
        <w:tc>
          <w:tcPr>
            <w:tcW w:w="933" w:type="dxa"/>
          </w:tcPr>
          <w:p w14:paraId="69F9B198" w14:textId="77777777" w:rsidR="004E7FA9" w:rsidRPr="003B6A69" w:rsidRDefault="004E7FA9" w:rsidP="00AE6C8E">
            <w:pPr>
              <w:jc w:val="right"/>
              <w:rPr>
                <w:rFonts w:asciiTheme="minorHAnsi" w:hAnsiTheme="minorHAnsi" w:cstheme="minorHAnsi"/>
                <w:i/>
                <w:color w:val="000000"/>
                <w:sz w:val="18"/>
                <w:szCs w:val="18"/>
              </w:rPr>
            </w:pPr>
            <w:r w:rsidRPr="003B6A69">
              <w:rPr>
                <w:rFonts w:asciiTheme="minorHAnsi" w:hAnsiTheme="minorHAnsi" w:cstheme="minorHAnsi"/>
                <w:i/>
                <w:color w:val="000000"/>
                <w:sz w:val="18"/>
                <w:szCs w:val="18"/>
              </w:rPr>
              <w:t>555634462</w:t>
            </w:r>
          </w:p>
          <w:p w14:paraId="2B1EFB19" w14:textId="77777777" w:rsidR="004E7FA9" w:rsidRPr="003B6A69" w:rsidRDefault="004E7FA9" w:rsidP="00AE6C8E">
            <w:pPr>
              <w:jc w:val="right"/>
              <w:rPr>
                <w:rFonts w:asciiTheme="minorHAnsi" w:hAnsiTheme="minorHAnsi" w:cstheme="minorHAnsi"/>
                <w:sz w:val="18"/>
                <w:szCs w:val="18"/>
              </w:rPr>
            </w:pPr>
          </w:p>
        </w:tc>
        <w:tc>
          <w:tcPr>
            <w:tcW w:w="1025" w:type="dxa"/>
          </w:tcPr>
          <w:p w14:paraId="5E93B09E"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color w:val="000000"/>
                <w:sz w:val="18"/>
                <w:szCs w:val="18"/>
              </w:rPr>
              <w:t xml:space="preserve">V Protected Landscape  </w:t>
            </w:r>
          </w:p>
        </w:tc>
        <w:tc>
          <w:tcPr>
            <w:tcW w:w="1417" w:type="dxa"/>
          </w:tcPr>
          <w:p w14:paraId="62EB82A0" w14:textId="77777777" w:rsidR="004E7FA9" w:rsidRPr="003B6A69" w:rsidRDefault="004E7FA9" w:rsidP="00AE6C8E">
            <w:pPr>
              <w:jc w:val="right"/>
              <w:rPr>
                <w:rFonts w:asciiTheme="minorHAnsi" w:hAnsiTheme="minorHAnsi" w:cstheme="minorHAnsi"/>
                <w:i/>
                <w:color w:val="000000"/>
                <w:sz w:val="18"/>
                <w:szCs w:val="18"/>
              </w:rPr>
            </w:pPr>
            <w:r w:rsidRPr="003B6A69">
              <w:rPr>
                <w:rFonts w:asciiTheme="minorHAnsi" w:hAnsiTheme="minorHAnsi" w:cstheme="minorHAnsi"/>
                <w:i/>
                <w:color w:val="000000"/>
                <w:sz w:val="18"/>
                <w:szCs w:val="18"/>
              </w:rPr>
              <w:t>2,994</w:t>
            </w:r>
          </w:p>
          <w:p w14:paraId="7FFF1D2C" w14:textId="77777777" w:rsidR="004E7FA9" w:rsidRPr="003B6A69" w:rsidRDefault="004E7FA9" w:rsidP="00AE6C8E">
            <w:pPr>
              <w:jc w:val="right"/>
              <w:rPr>
                <w:rFonts w:asciiTheme="minorHAnsi" w:hAnsiTheme="minorHAnsi" w:cstheme="minorHAnsi"/>
                <w:sz w:val="18"/>
                <w:szCs w:val="18"/>
              </w:rPr>
            </w:pPr>
          </w:p>
        </w:tc>
        <w:tc>
          <w:tcPr>
            <w:tcW w:w="1712" w:type="dxa"/>
          </w:tcPr>
          <w:p w14:paraId="790F1425" w14:textId="77777777" w:rsidR="004E7FA9" w:rsidRPr="003B6A69" w:rsidRDefault="004E7FA9" w:rsidP="00AE6C8E">
            <w:pPr>
              <w:jc w:val="right"/>
              <w:rPr>
                <w:rFonts w:asciiTheme="minorHAnsi" w:hAnsiTheme="minorHAnsi" w:cstheme="minorHAnsi"/>
                <w:sz w:val="18"/>
                <w:szCs w:val="18"/>
              </w:rPr>
            </w:pPr>
          </w:p>
        </w:tc>
        <w:tc>
          <w:tcPr>
            <w:tcW w:w="2726" w:type="dxa"/>
          </w:tcPr>
          <w:p w14:paraId="5284D6B0"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t>37</w:t>
            </w:r>
          </w:p>
        </w:tc>
        <w:tc>
          <w:tcPr>
            <w:tcW w:w="1985" w:type="dxa"/>
          </w:tcPr>
          <w:p w14:paraId="4D2CF288" w14:textId="77777777" w:rsidR="004E7FA9" w:rsidRPr="003B6A69" w:rsidRDefault="004E7FA9" w:rsidP="00AE6C8E">
            <w:pPr>
              <w:jc w:val="right"/>
              <w:rPr>
                <w:rFonts w:asciiTheme="minorHAnsi" w:hAnsiTheme="minorHAnsi" w:cstheme="minorHAnsi"/>
                <w:sz w:val="18"/>
                <w:szCs w:val="18"/>
              </w:rPr>
            </w:pPr>
          </w:p>
        </w:tc>
        <w:tc>
          <w:tcPr>
            <w:tcW w:w="3358" w:type="dxa"/>
          </w:tcPr>
          <w:p w14:paraId="50612804"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t>42</w:t>
            </w:r>
          </w:p>
        </w:tc>
      </w:tr>
      <w:tr w:rsidR="004E7FA9" w:rsidRPr="003B6A69" w14:paraId="20CE16EE" w14:textId="77777777" w:rsidTr="00AE6C8E">
        <w:tc>
          <w:tcPr>
            <w:tcW w:w="1298" w:type="dxa"/>
          </w:tcPr>
          <w:p w14:paraId="1FC89C4C" w14:textId="77777777" w:rsidR="004E7FA9" w:rsidRPr="003B6A69" w:rsidRDefault="004E7FA9" w:rsidP="00AE6C8E">
            <w:pPr>
              <w:jc w:val="right"/>
              <w:rPr>
                <w:rFonts w:asciiTheme="minorHAnsi" w:hAnsiTheme="minorHAnsi" w:cstheme="minorHAnsi"/>
                <w:sz w:val="18"/>
                <w:szCs w:val="18"/>
              </w:rPr>
            </w:pPr>
            <w:proofErr w:type="spellStart"/>
            <w:r w:rsidRPr="003B6A69">
              <w:rPr>
                <w:rFonts w:asciiTheme="minorHAnsi" w:hAnsiTheme="minorHAnsi" w:cstheme="minorHAnsi"/>
                <w:i/>
                <w:color w:val="000000"/>
                <w:sz w:val="18"/>
                <w:szCs w:val="18"/>
              </w:rPr>
              <w:t>Piva</w:t>
            </w:r>
            <w:proofErr w:type="spellEnd"/>
            <w:r w:rsidRPr="003B6A69">
              <w:rPr>
                <w:rFonts w:asciiTheme="minorHAnsi" w:hAnsiTheme="minorHAnsi" w:cstheme="minorHAnsi"/>
                <w:i/>
                <w:color w:val="000000"/>
                <w:sz w:val="18"/>
                <w:szCs w:val="18"/>
              </w:rPr>
              <w:t xml:space="preserve"> Nature Park</w:t>
            </w:r>
          </w:p>
        </w:tc>
        <w:tc>
          <w:tcPr>
            <w:tcW w:w="933" w:type="dxa"/>
          </w:tcPr>
          <w:p w14:paraId="6E20C555" w14:textId="77777777" w:rsidR="004E7FA9" w:rsidRPr="003B6A69" w:rsidRDefault="004E7FA9" w:rsidP="00AE6C8E">
            <w:pPr>
              <w:jc w:val="right"/>
              <w:rPr>
                <w:rFonts w:asciiTheme="minorHAnsi" w:hAnsiTheme="minorHAnsi" w:cstheme="minorHAnsi"/>
                <w:i/>
                <w:color w:val="000000"/>
                <w:sz w:val="18"/>
                <w:szCs w:val="18"/>
              </w:rPr>
            </w:pPr>
            <w:r w:rsidRPr="003B6A69">
              <w:rPr>
                <w:rFonts w:asciiTheme="minorHAnsi" w:hAnsiTheme="minorHAnsi" w:cstheme="minorHAnsi"/>
                <w:i/>
                <w:color w:val="000000"/>
                <w:sz w:val="18"/>
                <w:szCs w:val="18"/>
              </w:rPr>
              <w:t>555589636</w:t>
            </w:r>
          </w:p>
          <w:p w14:paraId="7A3F30C8" w14:textId="77777777" w:rsidR="004E7FA9" w:rsidRPr="003B6A69" w:rsidRDefault="004E7FA9" w:rsidP="00AE6C8E">
            <w:pPr>
              <w:jc w:val="right"/>
              <w:rPr>
                <w:rFonts w:asciiTheme="minorHAnsi" w:hAnsiTheme="minorHAnsi" w:cstheme="minorHAnsi"/>
                <w:sz w:val="18"/>
                <w:szCs w:val="18"/>
              </w:rPr>
            </w:pPr>
          </w:p>
        </w:tc>
        <w:tc>
          <w:tcPr>
            <w:tcW w:w="1025" w:type="dxa"/>
          </w:tcPr>
          <w:p w14:paraId="653F5FDD"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color w:val="000000"/>
                <w:sz w:val="18"/>
                <w:szCs w:val="18"/>
              </w:rPr>
              <w:t xml:space="preserve">V Protected Landscape  </w:t>
            </w:r>
          </w:p>
        </w:tc>
        <w:tc>
          <w:tcPr>
            <w:tcW w:w="1417" w:type="dxa"/>
          </w:tcPr>
          <w:p w14:paraId="4B4DA130" w14:textId="77777777" w:rsidR="004E7FA9" w:rsidRPr="003B6A69" w:rsidRDefault="004E7FA9" w:rsidP="00AE6C8E">
            <w:pPr>
              <w:jc w:val="right"/>
              <w:rPr>
                <w:rFonts w:asciiTheme="minorHAnsi" w:hAnsiTheme="minorHAnsi" w:cstheme="minorHAnsi"/>
                <w:i/>
                <w:color w:val="000000"/>
                <w:sz w:val="18"/>
                <w:szCs w:val="18"/>
              </w:rPr>
            </w:pPr>
            <w:r w:rsidRPr="003B6A69">
              <w:rPr>
                <w:rFonts w:asciiTheme="minorHAnsi" w:hAnsiTheme="minorHAnsi" w:cstheme="minorHAnsi"/>
                <w:i/>
                <w:color w:val="000000"/>
                <w:sz w:val="18"/>
                <w:szCs w:val="18"/>
              </w:rPr>
              <w:t>32,478</w:t>
            </w:r>
          </w:p>
          <w:p w14:paraId="7C2D8A99" w14:textId="77777777" w:rsidR="004E7FA9" w:rsidRPr="003B6A69" w:rsidRDefault="004E7FA9" w:rsidP="00AE6C8E">
            <w:pPr>
              <w:jc w:val="right"/>
              <w:rPr>
                <w:rFonts w:asciiTheme="minorHAnsi" w:hAnsiTheme="minorHAnsi" w:cstheme="minorHAnsi"/>
                <w:sz w:val="18"/>
                <w:szCs w:val="18"/>
              </w:rPr>
            </w:pPr>
          </w:p>
        </w:tc>
        <w:tc>
          <w:tcPr>
            <w:tcW w:w="1712" w:type="dxa"/>
          </w:tcPr>
          <w:p w14:paraId="7A2AF974" w14:textId="77777777" w:rsidR="004E7FA9" w:rsidRPr="003B6A69" w:rsidRDefault="004E7FA9" w:rsidP="00AE6C8E">
            <w:pPr>
              <w:jc w:val="right"/>
              <w:rPr>
                <w:rFonts w:asciiTheme="minorHAnsi" w:hAnsiTheme="minorHAnsi" w:cstheme="minorHAnsi"/>
                <w:sz w:val="18"/>
                <w:szCs w:val="18"/>
              </w:rPr>
            </w:pPr>
          </w:p>
        </w:tc>
        <w:tc>
          <w:tcPr>
            <w:tcW w:w="2726" w:type="dxa"/>
          </w:tcPr>
          <w:p w14:paraId="5DB0CA4E"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t>60</w:t>
            </w:r>
          </w:p>
        </w:tc>
        <w:tc>
          <w:tcPr>
            <w:tcW w:w="1985" w:type="dxa"/>
          </w:tcPr>
          <w:p w14:paraId="624DF337" w14:textId="77777777" w:rsidR="004E7FA9" w:rsidRPr="003B6A69" w:rsidRDefault="004E7FA9" w:rsidP="00AE6C8E">
            <w:pPr>
              <w:jc w:val="right"/>
              <w:rPr>
                <w:rFonts w:asciiTheme="minorHAnsi" w:hAnsiTheme="minorHAnsi" w:cstheme="minorHAnsi"/>
                <w:sz w:val="18"/>
                <w:szCs w:val="18"/>
              </w:rPr>
            </w:pPr>
          </w:p>
        </w:tc>
        <w:tc>
          <w:tcPr>
            <w:tcW w:w="3358" w:type="dxa"/>
          </w:tcPr>
          <w:p w14:paraId="63787FDC"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t>65</w:t>
            </w:r>
          </w:p>
        </w:tc>
      </w:tr>
      <w:tr w:rsidR="004E7FA9" w:rsidRPr="003B6A69" w14:paraId="5B767E59" w14:textId="77777777" w:rsidTr="00AE6C8E">
        <w:tc>
          <w:tcPr>
            <w:tcW w:w="1298" w:type="dxa"/>
          </w:tcPr>
          <w:p w14:paraId="1D52738B" w14:textId="77777777" w:rsidR="004E7FA9" w:rsidRPr="003B6A69" w:rsidRDefault="004E7FA9" w:rsidP="00AE6C8E">
            <w:pPr>
              <w:jc w:val="right"/>
              <w:rPr>
                <w:rFonts w:asciiTheme="minorHAnsi" w:hAnsiTheme="minorHAnsi" w:cstheme="minorHAnsi"/>
                <w:sz w:val="18"/>
                <w:szCs w:val="18"/>
              </w:rPr>
            </w:pPr>
            <w:proofErr w:type="spellStart"/>
            <w:r w:rsidRPr="003B6A69">
              <w:rPr>
                <w:rFonts w:asciiTheme="minorHAnsi" w:hAnsiTheme="minorHAnsi" w:cstheme="minorHAnsi"/>
                <w:i/>
                <w:color w:val="000000"/>
                <w:sz w:val="18"/>
                <w:szCs w:val="18"/>
              </w:rPr>
              <w:lastRenderedPageBreak/>
              <w:t>Komovi</w:t>
            </w:r>
            <w:proofErr w:type="spellEnd"/>
            <w:r w:rsidRPr="003B6A69">
              <w:rPr>
                <w:rFonts w:asciiTheme="minorHAnsi" w:hAnsiTheme="minorHAnsi" w:cstheme="minorHAnsi"/>
                <w:i/>
                <w:color w:val="000000"/>
                <w:sz w:val="18"/>
                <w:szCs w:val="18"/>
              </w:rPr>
              <w:t xml:space="preserve"> Nature Park</w:t>
            </w:r>
          </w:p>
        </w:tc>
        <w:tc>
          <w:tcPr>
            <w:tcW w:w="933" w:type="dxa"/>
          </w:tcPr>
          <w:p w14:paraId="7F274F1E" w14:textId="77777777" w:rsidR="004E7FA9" w:rsidRPr="003B6A69" w:rsidRDefault="004E7FA9" w:rsidP="00AE6C8E">
            <w:pPr>
              <w:jc w:val="right"/>
              <w:rPr>
                <w:rFonts w:asciiTheme="minorHAnsi" w:hAnsiTheme="minorHAnsi" w:cstheme="minorHAnsi"/>
                <w:i/>
                <w:color w:val="000000"/>
                <w:sz w:val="18"/>
                <w:szCs w:val="18"/>
              </w:rPr>
            </w:pPr>
            <w:r w:rsidRPr="003B6A69">
              <w:rPr>
                <w:rFonts w:asciiTheme="minorHAnsi" w:hAnsiTheme="minorHAnsi" w:cstheme="minorHAnsi"/>
                <w:i/>
                <w:color w:val="000000"/>
                <w:sz w:val="18"/>
                <w:szCs w:val="18"/>
              </w:rPr>
              <w:t>555562755</w:t>
            </w:r>
          </w:p>
          <w:p w14:paraId="221337DF" w14:textId="77777777" w:rsidR="004E7FA9" w:rsidRPr="003B6A69" w:rsidRDefault="004E7FA9" w:rsidP="00AE6C8E">
            <w:pPr>
              <w:jc w:val="right"/>
              <w:rPr>
                <w:rFonts w:asciiTheme="minorHAnsi" w:hAnsiTheme="minorHAnsi" w:cstheme="minorHAnsi"/>
                <w:sz w:val="18"/>
                <w:szCs w:val="18"/>
              </w:rPr>
            </w:pPr>
          </w:p>
        </w:tc>
        <w:tc>
          <w:tcPr>
            <w:tcW w:w="1025" w:type="dxa"/>
          </w:tcPr>
          <w:p w14:paraId="56533728"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color w:val="000000"/>
                <w:sz w:val="18"/>
                <w:szCs w:val="18"/>
              </w:rPr>
              <w:t xml:space="preserve">V Protected Landscape  </w:t>
            </w:r>
          </w:p>
        </w:tc>
        <w:tc>
          <w:tcPr>
            <w:tcW w:w="1417" w:type="dxa"/>
          </w:tcPr>
          <w:p w14:paraId="5177EEDE" w14:textId="77777777" w:rsidR="004E7FA9" w:rsidRPr="003B6A69" w:rsidRDefault="004E7FA9" w:rsidP="00AE6C8E">
            <w:pPr>
              <w:jc w:val="right"/>
              <w:rPr>
                <w:rFonts w:asciiTheme="minorHAnsi" w:hAnsiTheme="minorHAnsi" w:cstheme="minorHAnsi"/>
                <w:i/>
                <w:color w:val="000000"/>
                <w:sz w:val="18"/>
                <w:szCs w:val="18"/>
              </w:rPr>
            </w:pPr>
            <w:r w:rsidRPr="003B6A69">
              <w:rPr>
                <w:rFonts w:asciiTheme="minorHAnsi" w:hAnsiTheme="minorHAnsi" w:cstheme="minorHAnsi"/>
                <w:i/>
                <w:color w:val="000000"/>
                <w:sz w:val="18"/>
                <w:szCs w:val="18"/>
              </w:rPr>
              <w:t>21,852</w:t>
            </w:r>
          </w:p>
          <w:p w14:paraId="0113A5BA" w14:textId="77777777" w:rsidR="004E7FA9" w:rsidRPr="003B6A69" w:rsidRDefault="004E7FA9" w:rsidP="00AE6C8E">
            <w:pPr>
              <w:jc w:val="right"/>
              <w:rPr>
                <w:rFonts w:asciiTheme="minorHAnsi" w:hAnsiTheme="minorHAnsi" w:cstheme="minorHAnsi"/>
                <w:sz w:val="18"/>
                <w:szCs w:val="18"/>
              </w:rPr>
            </w:pPr>
          </w:p>
        </w:tc>
        <w:tc>
          <w:tcPr>
            <w:tcW w:w="1712" w:type="dxa"/>
          </w:tcPr>
          <w:p w14:paraId="69C97356" w14:textId="77777777" w:rsidR="004E7FA9" w:rsidRPr="003B6A69" w:rsidRDefault="004E7FA9" w:rsidP="00AE6C8E">
            <w:pPr>
              <w:jc w:val="right"/>
              <w:rPr>
                <w:rFonts w:asciiTheme="minorHAnsi" w:hAnsiTheme="minorHAnsi" w:cstheme="minorHAnsi"/>
                <w:sz w:val="18"/>
                <w:szCs w:val="18"/>
              </w:rPr>
            </w:pPr>
          </w:p>
        </w:tc>
        <w:tc>
          <w:tcPr>
            <w:tcW w:w="2726" w:type="dxa"/>
          </w:tcPr>
          <w:p w14:paraId="705A8EDF"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t>21</w:t>
            </w:r>
          </w:p>
        </w:tc>
        <w:tc>
          <w:tcPr>
            <w:tcW w:w="1985" w:type="dxa"/>
          </w:tcPr>
          <w:p w14:paraId="5D27E424" w14:textId="77777777" w:rsidR="004E7FA9" w:rsidRPr="003B6A69" w:rsidRDefault="004E7FA9" w:rsidP="00AE6C8E">
            <w:pPr>
              <w:jc w:val="right"/>
              <w:rPr>
                <w:rFonts w:asciiTheme="minorHAnsi" w:hAnsiTheme="minorHAnsi" w:cstheme="minorHAnsi"/>
                <w:sz w:val="18"/>
                <w:szCs w:val="18"/>
              </w:rPr>
            </w:pPr>
          </w:p>
        </w:tc>
        <w:tc>
          <w:tcPr>
            <w:tcW w:w="3358" w:type="dxa"/>
          </w:tcPr>
          <w:p w14:paraId="5E681EE7"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t>22</w:t>
            </w:r>
          </w:p>
        </w:tc>
      </w:tr>
      <w:tr w:rsidR="004E7FA9" w:rsidRPr="003B6A69" w14:paraId="3318ADAE" w14:textId="77777777" w:rsidTr="00AE6C8E">
        <w:tc>
          <w:tcPr>
            <w:tcW w:w="1298" w:type="dxa"/>
          </w:tcPr>
          <w:p w14:paraId="6BDA14E4" w14:textId="77777777" w:rsidR="004E7FA9" w:rsidRPr="003B6A69" w:rsidRDefault="004E7FA9" w:rsidP="00AE6C8E">
            <w:pPr>
              <w:jc w:val="right"/>
              <w:rPr>
                <w:rFonts w:asciiTheme="minorHAnsi" w:hAnsiTheme="minorHAnsi" w:cstheme="minorHAnsi"/>
                <w:sz w:val="18"/>
                <w:szCs w:val="18"/>
              </w:rPr>
            </w:pPr>
            <w:proofErr w:type="spellStart"/>
            <w:r w:rsidRPr="003B6A69">
              <w:rPr>
                <w:rFonts w:asciiTheme="minorHAnsi" w:hAnsiTheme="minorHAnsi" w:cstheme="minorHAnsi"/>
                <w:i/>
                <w:color w:val="000000"/>
                <w:sz w:val="18"/>
                <w:szCs w:val="18"/>
              </w:rPr>
              <w:t>Ulcinjska</w:t>
            </w:r>
            <w:proofErr w:type="spellEnd"/>
            <w:r w:rsidRPr="003B6A69">
              <w:rPr>
                <w:rFonts w:asciiTheme="minorHAnsi" w:hAnsiTheme="minorHAnsi" w:cstheme="minorHAnsi"/>
                <w:i/>
                <w:color w:val="000000"/>
                <w:sz w:val="18"/>
                <w:szCs w:val="18"/>
              </w:rPr>
              <w:t xml:space="preserve"> Solana Nature Park</w:t>
            </w:r>
          </w:p>
        </w:tc>
        <w:tc>
          <w:tcPr>
            <w:tcW w:w="933" w:type="dxa"/>
          </w:tcPr>
          <w:p w14:paraId="286052A2" w14:textId="77777777" w:rsidR="004E7FA9" w:rsidRPr="003B6A69" w:rsidRDefault="004E7FA9" w:rsidP="00AE6C8E">
            <w:pPr>
              <w:jc w:val="right"/>
              <w:rPr>
                <w:rFonts w:asciiTheme="minorHAnsi" w:hAnsiTheme="minorHAnsi" w:cstheme="minorHAnsi"/>
                <w:i/>
                <w:color w:val="000000"/>
                <w:sz w:val="18"/>
                <w:szCs w:val="18"/>
              </w:rPr>
            </w:pPr>
            <w:r w:rsidRPr="003B6A69">
              <w:rPr>
                <w:rFonts w:asciiTheme="minorHAnsi" w:hAnsiTheme="minorHAnsi" w:cstheme="minorHAnsi"/>
                <w:i/>
                <w:color w:val="000000"/>
                <w:sz w:val="18"/>
                <w:szCs w:val="18"/>
              </w:rPr>
              <w:t>555691976</w:t>
            </w:r>
          </w:p>
          <w:p w14:paraId="124EE899" w14:textId="77777777" w:rsidR="004E7FA9" w:rsidRPr="003B6A69" w:rsidRDefault="004E7FA9" w:rsidP="00AE6C8E">
            <w:pPr>
              <w:jc w:val="right"/>
              <w:rPr>
                <w:rFonts w:asciiTheme="minorHAnsi" w:hAnsiTheme="minorHAnsi" w:cstheme="minorHAnsi"/>
                <w:sz w:val="18"/>
                <w:szCs w:val="18"/>
              </w:rPr>
            </w:pPr>
          </w:p>
        </w:tc>
        <w:tc>
          <w:tcPr>
            <w:tcW w:w="1025" w:type="dxa"/>
          </w:tcPr>
          <w:p w14:paraId="783DDD97"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color w:val="000000"/>
                <w:sz w:val="18"/>
                <w:szCs w:val="18"/>
              </w:rPr>
              <w:t xml:space="preserve">V Protected Landscape  </w:t>
            </w:r>
          </w:p>
        </w:tc>
        <w:tc>
          <w:tcPr>
            <w:tcW w:w="1417" w:type="dxa"/>
          </w:tcPr>
          <w:p w14:paraId="786AE9E8" w14:textId="77777777" w:rsidR="004E7FA9" w:rsidRPr="003B6A69" w:rsidRDefault="004E7FA9" w:rsidP="00AE6C8E">
            <w:pPr>
              <w:jc w:val="right"/>
              <w:rPr>
                <w:rFonts w:asciiTheme="minorHAnsi" w:hAnsiTheme="minorHAnsi" w:cstheme="minorHAnsi"/>
                <w:i/>
                <w:color w:val="000000"/>
                <w:sz w:val="18"/>
                <w:szCs w:val="18"/>
              </w:rPr>
            </w:pPr>
            <w:r w:rsidRPr="003B6A69">
              <w:rPr>
                <w:rFonts w:asciiTheme="minorHAnsi" w:hAnsiTheme="minorHAnsi" w:cstheme="minorHAnsi"/>
                <w:i/>
                <w:color w:val="000000"/>
                <w:sz w:val="18"/>
                <w:szCs w:val="18"/>
              </w:rPr>
              <w:t>1,477</w:t>
            </w:r>
          </w:p>
          <w:p w14:paraId="389C5375" w14:textId="77777777" w:rsidR="004E7FA9" w:rsidRPr="003B6A69" w:rsidRDefault="004E7FA9" w:rsidP="00AE6C8E">
            <w:pPr>
              <w:jc w:val="right"/>
              <w:rPr>
                <w:rFonts w:asciiTheme="minorHAnsi" w:hAnsiTheme="minorHAnsi" w:cstheme="minorHAnsi"/>
                <w:sz w:val="18"/>
                <w:szCs w:val="18"/>
              </w:rPr>
            </w:pPr>
          </w:p>
        </w:tc>
        <w:tc>
          <w:tcPr>
            <w:tcW w:w="1712" w:type="dxa"/>
          </w:tcPr>
          <w:p w14:paraId="603A71D0" w14:textId="77777777" w:rsidR="004E7FA9" w:rsidRPr="003B6A69" w:rsidRDefault="004E7FA9" w:rsidP="00AE6C8E">
            <w:pPr>
              <w:jc w:val="right"/>
              <w:rPr>
                <w:rFonts w:asciiTheme="minorHAnsi" w:hAnsiTheme="minorHAnsi" w:cstheme="minorHAnsi"/>
                <w:sz w:val="18"/>
                <w:szCs w:val="18"/>
              </w:rPr>
            </w:pPr>
          </w:p>
        </w:tc>
        <w:tc>
          <w:tcPr>
            <w:tcW w:w="2726" w:type="dxa"/>
          </w:tcPr>
          <w:p w14:paraId="3D2D2F40"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t>38</w:t>
            </w:r>
          </w:p>
        </w:tc>
        <w:tc>
          <w:tcPr>
            <w:tcW w:w="1985" w:type="dxa"/>
          </w:tcPr>
          <w:p w14:paraId="097A794E" w14:textId="77777777" w:rsidR="004E7FA9" w:rsidRPr="003B6A69" w:rsidRDefault="004E7FA9" w:rsidP="00AE6C8E">
            <w:pPr>
              <w:jc w:val="right"/>
              <w:rPr>
                <w:rFonts w:asciiTheme="minorHAnsi" w:hAnsiTheme="minorHAnsi" w:cstheme="minorHAnsi"/>
                <w:sz w:val="18"/>
                <w:szCs w:val="18"/>
              </w:rPr>
            </w:pPr>
          </w:p>
        </w:tc>
        <w:tc>
          <w:tcPr>
            <w:tcW w:w="3358" w:type="dxa"/>
          </w:tcPr>
          <w:p w14:paraId="3A8C4AA7"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t>40</w:t>
            </w:r>
          </w:p>
        </w:tc>
      </w:tr>
      <w:tr w:rsidR="004E7FA9" w:rsidRPr="003B6A69" w14:paraId="64297404" w14:textId="77777777" w:rsidTr="00AE6C8E">
        <w:tc>
          <w:tcPr>
            <w:tcW w:w="1298" w:type="dxa"/>
          </w:tcPr>
          <w:p w14:paraId="54CBAADA" w14:textId="77777777" w:rsidR="004E7FA9" w:rsidRPr="003B6A69" w:rsidRDefault="004E7FA9" w:rsidP="00AE6C8E">
            <w:pPr>
              <w:rPr>
                <w:rFonts w:asciiTheme="minorHAnsi" w:hAnsiTheme="minorHAnsi" w:cstheme="minorHAnsi"/>
                <w:sz w:val="18"/>
                <w:szCs w:val="18"/>
              </w:rPr>
            </w:pPr>
          </w:p>
        </w:tc>
        <w:tc>
          <w:tcPr>
            <w:tcW w:w="933" w:type="dxa"/>
          </w:tcPr>
          <w:p w14:paraId="24664157" w14:textId="77777777" w:rsidR="004E7FA9" w:rsidRPr="003B6A69" w:rsidRDefault="004E7FA9" w:rsidP="00AE6C8E">
            <w:pPr>
              <w:rPr>
                <w:rFonts w:asciiTheme="minorHAnsi" w:hAnsiTheme="minorHAnsi" w:cstheme="minorHAnsi"/>
                <w:sz w:val="18"/>
                <w:szCs w:val="18"/>
              </w:rPr>
            </w:pPr>
          </w:p>
        </w:tc>
        <w:tc>
          <w:tcPr>
            <w:tcW w:w="1025" w:type="dxa"/>
          </w:tcPr>
          <w:p w14:paraId="01E57FC6" w14:textId="77777777" w:rsidR="004E7FA9" w:rsidRPr="003B6A69" w:rsidRDefault="004E7FA9" w:rsidP="00AE6C8E">
            <w:pPr>
              <w:rPr>
                <w:rFonts w:asciiTheme="minorHAnsi" w:hAnsiTheme="minorHAnsi" w:cstheme="minorHAnsi"/>
                <w:sz w:val="18"/>
                <w:szCs w:val="18"/>
              </w:rPr>
            </w:pPr>
            <w:r w:rsidRPr="003B6A69">
              <w:rPr>
                <w:rFonts w:asciiTheme="minorHAnsi" w:hAnsiTheme="minorHAnsi" w:cstheme="minorHAnsi"/>
                <w:sz w:val="18"/>
                <w:szCs w:val="18"/>
              </w:rPr>
              <w:t>Sum</w:t>
            </w:r>
          </w:p>
        </w:tc>
        <w:tc>
          <w:tcPr>
            <w:tcW w:w="1417" w:type="dxa"/>
          </w:tcPr>
          <w:p w14:paraId="5C638840"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t>145,767</w:t>
            </w:r>
          </w:p>
        </w:tc>
        <w:tc>
          <w:tcPr>
            <w:tcW w:w="1712" w:type="dxa"/>
          </w:tcPr>
          <w:p w14:paraId="716ED75E" w14:textId="77777777" w:rsidR="004E7FA9" w:rsidRPr="003B6A69" w:rsidRDefault="004E7FA9" w:rsidP="00AE6C8E">
            <w:pPr>
              <w:jc w:val="right"/>
              <w:rPr>
                <w:rFonts w:asciiTheme="minorHAnsi" w:hAnsiTheme="minorHAnsi" w:cstheme="minorHAnsi"/>
                <w:sz w:val="18"/>
                <w:szCs w:val="18"/>
              </w:rPr>
            </w:pPr>
          </w:p>
        </w:tc>
        <w:tc>
          <w:tcPr>
            <w:tcW w:w="2726" w:type="dxa"/>
          </w:tcPr>
          <w:p w14:paraId="44491301" w14:textId="77777777" w:rsidR="004E7FA9" w:rsidRPr="003B6A69" w:rsidRDefault="004E7FA9" w:rsidP="00AE6C8E">
            <w:pPr>
              <w:jc w:val="right"/>
              <w:rPr>
                <w:rFonts w:asciiTheme="minorHAnsi" w:hAnsiTheme="minorHAnsi" w:cstheme="minorHAnsi"/>
                <w:sz w:val="18"/>
                <w:szCs w:val="18"/>
              </w:rPr>
            </w:pPr>
          </w:p>
        </w:tc>
        <w:tc>
          <w:tcPr>
            <w:tcW w:w="1985" w:type="dxa"/>
          </w:tcPr>
          <w:p w14:paraId="426AEFE5" w14:textId="77777777" w:rsidR="004E7FA9" w:rsidRPr="003B6A69" w:rsidRDefault="004E7FA9" w:rsidP="00AE6C8E">
            <w:pPr>
              <w:jc w:val="right"/>
              <w:rPr>
                <w:rFonts w:asciiTheme="minorHAnsi" w:hAnsiTheme="minorHAnsi" w:cstheme="minorHAnsi"/>
                <w:sz w:val="18"/>
                <w:szCs w:val="18"/>
              </w:rPr>
            </w:pPr>
          </w:p>
        </w:tc>
        <w:tc>
          <w:tcPr>
            <w:tcW w:w="3358" w:type="dxa"/>
          </w:tcPr>
          <w:p w14:paraId="1B81F890" w14:textId="77777777" w:rsidR="004E7FA9" w:rsidRPr="003B6A69" w:rsidRDefault="004E7FA9" w:rsidP="00AE6C8E">
            <w:pPr>
              <w:jc w:val="right"/>
              <w:rPr>
                <w:rFonts w:asciiTheme="minorHAnsi" w:hAnsiTheme="minorHAnsi" w:cstheme="minorHAnsi"/>
                <w:sz w:val="18"/>
                <w:szCs w:val="18"/>
              </w:rPr>
            </w:pPr>
          </w:p>
        </w:tc>
      </w:tr>
      <w:tr w:rsidR="004E7FA9" w:rsidRPr="003B6A69" w14:paraId="5788EE3D" w14:textId="77777777" w:rsidTr="00AE6C8E">
        <w:tc>
          <w:tcPr>
            <w:tcW w:w="1298" w:type="dxa"/>
            <w:shd w:val="clear" w:color="auto" w:fill="D9D9D9" w:themeFill="background1" w:themeFillShade="D9"/>
          </w:tcPr>
          <w:p w14:paraId="2554B723" w14:textId="77777777" w:rsidR="004E7FA9" w:rsidRPr="003B6A69" w:rsidRDefault="004E7FA9" w:rsidP="00AE6C8E">
            <w:pPr>
              <w:rPr>
                <w:rFonts w:asciiTheme="minorHAnsi" w:hAnsiTheme="minorHAnsi" w:cstheme="minorHAnsi"/>
                <w:b/>
                <w:sz w:val="18"/>
                <w:szCs w:val="18"/>
              </w:rPr>
            </w:pPr>
            <w:r w:rsidRPr="003B6A69">
              <w:rPr>
                <w:rFonts w:asciiTheme="minorHAnsi" w:hAnsiTheme="minorHAnsi" w:cstheme="minorHAnsi"/>
                <w:b/>
                <w:sz w:val="18"/>
                <w:szCs w:val="18"/>
              </w:rPr>
              <w:t>Core Indicator 2</w:t>
            </w:r>
          </w:p>
        </w:tc>
        <w:tc>
          <w:tcPr>
            <w:tcW w:w="9798" w:type="dxa"/>
            <w:gridSpan w:val="6"/>
            <w:shd w:val="clear" w:color="auto" w:fill="D9D9D9" w:themeFill="background1" w:themeFillShade="D9"/>
          </w:tcPr>
          <w:p w14:paraId="3E0292F4" w14:textId="77777777" w:rsidR="004E7FA9" w:rsidRPr="003B6A69" w:rsidRDefault="004E7FA9" w:rsidP="00AE6C8E">
            <w:pPr>
              <w:rPr>
                <w:rFonts w:asciiTheme="minorHAnsi" w:hAnsiTheme="minorHAnsi" w:cstheme="minorHAnsi"/>
                <w:b/>
                <w:sz w:val="18"/>
                <w:szCs w:val="18"/>
              </w:rPr>
            </w:pPr>
            <w:r w:rsidRPr="003B6A69">
              <w:rPr>
                <w:rFonts w:asciiTheme="minorHAnsi" w:hAnsiTheme="minorHAnsi" w:cstheme="minorHAnsi"/>
                <w:b/>
                <w:sz w:val="18"/>
                <w:szCs w:val="18"/>
              </w:rPr>
              <w:t>Marine protected areas created or under improved management for conservation and sustainable use</w:t>
            </w:r>
          </w:p>
        </w:tc>
        <w:tc>
          <w:tcPr>
            <w:tcW w:w="3358" w:type="dxa"/>
            <w:shd w:val="clear" w:color="auto" w:fill="D9D9D9" w:themeFill="background1" w:themeFillShade="D9"/>
          </w:tcPr>
          <w:p w14:paraId="03CC814C" w14:textId="77777777" w:rsidR="004E7FA9" w:rsidRPr="003B6A69" w:rsidRDefault="004E7FA9" w:rsidP="00AE6C8E">
            <w:pPr>
              <w:jc w:val="right"/>
              <w:rPr>
                <w:rFonts w:asciiTheme="minorHAnsi" w:hAnsiTheme="minorHAnsi" w:cstheme="minorHAnsi"/>
                <w:b/>
                <w:sz w:val="18"/>
                <w:szCs w:val="18"/>
              </w:rPr>
            </w:pPr>
            <w:r w:rsidRPr="003B6A69">
              <w:rPr>
                <w:rFonts w:asciiTheme="minorHAnsi" w:hAnsiTheme="minorHAnsi" w:cstheme="minorHAnsi"/>
                <w:b/>
                <w:i/>
                <w:color w:val="000000"/>
                <w:sz w:val="18"/>
                <w:szCs w:val="18"/>
              </w:rPr>
              <w:fldChar w:fldCharType="begin">
                <w:ffData>
                  <w:name w:val="F_GEB_BD_target"/>
                  <w:enabled/>
                  <w:calcOnExit w:val="0"/>
                  <w:textInput>
                    <w:default w:val="(Hectares)"/>
                  </w:textInput>
                </w:ffData>
              </w:fldChar>
            </w:r>
            <w:r w:rsidRPr="003B6A69">
              <w:rPr>
                <w:rFonts w:asciiTheme="minorHAnsi" w:hAnsiTheme="minorHAnsi" w:cstheme="minorHAnsi"/>
                <w:b/>
                <w:i/>
                <w:color w:val="000000"/>
                <w:sz w:val="18"/>
                <w:szCs w:val="18"/>
              </w:rPr>
              <w:instrText xml:space="preserve"> FORMTEXT </w:instrText>
            </w:r>
            <w:r w:rsidRPr="003B6A69">
              <w:rPr>
                <w:rFonts w:asciiTheme="minorHAnsi" w:hAnsiTheme="minorHAnsi" w:cstheme="minorHAnsi"/>
                <w:b/>
                <w:i/>
                <w:color w:val="000000"/>
                <w:sz w:val="18"/>
                <w:szCs w:val="18"/>
              </w:rPr>
            </w:r>
            <w:r w:rsidRPr="003B6A69">
              <w:rPr>
                <w:rFonts w:asciiTheme="minorHAnsi" w:hAnsiTheme="minorHAnsi" w:cstheme="minorHAnsi"/>
                <w:b/>
                <w:i/>
                <w:color w:val="000000"/>
                <w:sz w:val="18"/>
                <w:szCs w:val="18"/>
              </w:rPr>
              <w:fldChar w:fldCharType="separate"/>
            </w:r>
            <w:r w:rsidRPr="003B6A69">
              <w:rPr>
                <w:rFonts w:asciiTheme="minorHAnsi" w:hAnsiTheme="minorHAnsi" w:cstheme="minorHAnsi"/>
                <w:b/>
                <w:i/>
                <w:noProof/>
                <w:color w:val="000000"/>
                <w:sz w:val="18"/>
                <w:szCs w:val="18"/>
              </w:rPr>
              <w:t>(Hectares)</w:t>
            </w:r>
            <w:r w:rsidRPr="003B6A69">
              <w:rPr>
                <w:rFonts w:asciiTheme="minorHAnsi" w:hAnsiTheme="minorHAnsi" w:cstheme="minorHAnsi"/>
                <w:b/>
                <w:i/>
                <w:color w:val="000000"/>
                <w:sz w:val="18"/>
                <w:szCs w:val="18"/>
              </w:rPr>
              <w:fldChar w:fldCharType="end"/>
            </w:r>
          </w:p>
        </w:tc>
      </w:tr>
      <w:tr w:rsidR="004E7FA9" w:rsidRPr="003B6A69" w14:paraId="4A16CFE0" w14:textId="77777777" w:rsidTr="00AE6C8E">
        <w:tc>
          <w:tcPr>
            <w:tcW w:w="1298" w:type="dxa"/>
            <w:shd w:val="clear" w:color="auto" w:fill="auto"/>
          </w:tcPr>
          <w:p w14:paraId="3B288BC1" w14:textId="77777777" w:rsidR="004E7FA9" w:rsidRPr="003B6A69" w:rsidRDefault="004E7FA9" w:rsidP="00AE6C8E">
            <w:pPr>
              <w:rPr>
                <w:rFonts w:asciiTheme="minorHAnsi" w:hAnsiTheme="minorHAnsi" w:cstheme="minorHAnsi"/>
                <w:sz w:val="18"/>
                <w:szCs w:val="18"/>
              </w:rPr>
            </w:pPr>
          </w:p>
        </w:tc>
        <w:tc>
          <w:tcPr>
            <w:tcW w:w="3375" w:type="dxa"/>
            <w:gridSpan w:val="3"/>
            <w:shd w:val="clear" w:color="auto" w:fill="auto"/>
          </w:tcPr>
          <w:p w14:paraId="1D862CAE" w14:textId="77777777" w:rsidR="004E7FA9" w:rsidRPr="003B6A69" w:rsidRDefault="004E7FA9" w:rsidP="00AE6C8E">
            <w:pPr>
              <w:rPr>
                <w:rFonts w:asciiTheme="minorHAnsi" w:hAnsiTheme="minorHAnsi" w:cstheme="minorHAnsi"/>
                <w:sz w:val="18"/>
                <w:szCs w:val="18"/>
              </w:rPr>
            </w:pPr>
          </w:p>
        </w:tc>
        <w:tc>
          <w:tcPr>
            <w:tcW w:w="9781" w:type="dxa"/>
            <w:gridSpan w:val="4"/>
            <w:shd w:val="clear" w:color="auto" w:fill="F2F2F2" w:themeFill="background1" w:themeFillShade="F2"/>
          </w:tcPr>
          <w:p w14:paraId="3F6CC037" w14:textId="77777777" w:rsidR="004E7FA9" w:rsidRPr="003B6A69" w:rsidRDefault="004E7FA9" w:rsidP="00AE6C8E">
            <w:pPr>
              <w:jc w:val="center"/>
              <w:rPr>
                <w:rFonts w:asciiTheme="minorHAnsi" w:hAnsiTheme="minorHAnsi" w:cstheme="minorHAnsi"/>
                <w:color w:val="000000"/>
                <w:sz w:val="18"/>
                <w:szCs w:val="18"/>
              </w:rPr>
            </w:pPr>
            <w:r w:rsidRPr="003B6A69">
              <w:rPr>
                <w:rFonts w:asciiTheme="minorHAnsi" w:hAnsiTheme="minorHAnsi" w:cstheme="minorHAnsi"/>
                <w:color w:val="000000"/>
                <w:sz w:val="18"/>
                <w:szCs w:val="18"/>
              </w:rPr>
              <w:t>Hectares (2.1+2.2)</w:t>
            </w:r>
          </w:p>
        </w:tc>
      </w:tr>
      <w:tr w:rsidR="004E7FA9" w:rsidRPr="003B6A69" w14:paraId="43644669" w14:textId="77777777" w:rsidTr="00AE6C8E">
        <w:tc>
          <w:tcPr>
            <w:tcW w:w="1298" w:type="dxa"/>
            <w:shd w:val="clear" w:color="auto" w:fill="auto"/>
          </w:tcPr>
          <w:p w14:paraId="6831B2AB" w14:textId="77777777" w:rsidR="004E7FA9" w:rsidRPr="003B6A69" w:rsidRDefault="004E7FA9" w:rsidP="00AE6C8E">
            <w:pPr>
              <w:rPr>
                <w:rFonts w:asciiTheme="minorHAnsi" w:hAnsiTheme="minorHAnsi" w:cstheme="minorHAnsi"/>
                <w:sz w:val="18"/>
                <w:szCs w:val="18"/>
              </w:rPr>
            </w:pPr>
          </w:p>
        </w:tc>
        <w:tc>
          <w:tcPr>
            <w:tcW w:w="3375" w:type="dxa"/>
            <w:gridSpan w:val="3"/>
            <w:shd w:val="clear" w:color="auto" w:fill="auto"/>
          </w:tcPr>
          <w:p w14:paraId="55A03258" w14:textId="77777777" w:rsidR="004E7FA9" w:rsidRPr="003B6A69" w:rsidRDefault="004E7FA9" w:rsidP="00AE6C8E">
            <w:pPr>
              <w:rPr>
                <w:rFonts w:asciiTheme="minorHAnsi" w:hAnsiTheme="minorHAnsi" w:cstheme="minorHAnsi"/>
                <w:sz w:val="18"/>
                <w:szCs w:val="18"/>
              </w:rPr>
            </w:pPr>
          </w:p>
        </w:tc>
        <w:tc>
          <w:tcPr>
            <w:tcW w:w="4438" w:type="dxa"/>
            <w:gridSpan w:val="2"/>
            <w:shd w:val="clear" w:color="auto" w:fill="F2F2F2" w:themeFill="background1" w:themeFillShade="F2"/>
          </w:tcPr>
          <w:p w14:paraId="7DB84D34"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color w:val="000000"/>
                <w:sz w:val="18"/>
                <w:szCs w:val="18"/>
              </w:rPr>
              <w:t>Expected</w:t>
            </w:r>
          </w:p>
        </w:tc>
        <w:tc>
          <w:tcPr>
            <w:tcW w:w="5343" w:type="dxa"/>
            <w:gridSpan w:val="2"/>
            <w:shd w:val="clear" w:color="auto" w:fill="F2F2F2" w:themeFill="background1" w:themeFillShade="F2"/>
          </w:tcPr>
          <w:p w14:paraId="2276D208" w14:textId="77777777" w:rsidR="004E7FA9" w:rsidRPr="003B6A69" w:rsidRDefault="004E7FA9" w:rsidP="00AE6C8E">
            <w:pPr>
              <w:jc w:val="center"/>
              <w:rPr>
                <w:rFonts w:asciiTheme="minorHAnsi" w:hAnsiTheme="minorHAnsi" w:cstheme="minorHAnsi"/>
                <w:color w:val="000000"/>
                <w:sz w:val="18"/>
                <w:szCs w:val="18"/>
              </w:rPr>
            </w:pPr>
            <w:r w:rsidRPr="003B6A69">
              <w:rPr>
                <w:rFonts w:asciiTheme="minorHAnsi" w:hAnsiTheme="minorHAnsi" w:cstheme="minorHAnsi"/>
                <w:color w:val="000000"/>
                <w:sz w:val="18"/>
                <w:szCs w:val="18"/>
              </w:rPr>
              <w:t>Achieved</w:t>
            </w:r>
          </w:p>
        </w:tc>
      </w:tr>
      <w:tr w:rsidR="004E7FA9" w:rsidRPr="003B6A69" w14:paraId="69BAB213" w14:textId="77777777" w:rsidTr="00AE6C8E">
        <w:tc>
          <w:tcPr>
            <w:tcW w:w="1298" w:type="dxa"/>
            <w:shd w:val="clear" w:color="auto" w:fill="auto"/>
          </w:tcPr>
          <w:p w14:paraId="78EE0B40" w14:textId="77777777" w:rsidR="004E7FA9" w:rsidRPr="003B6A69" w:rsidRDefault="004E7FA9" w:rsidP="00AE6C8E">
            <w:pPr>
              <w:rPr>
                <w:rFonts w:asciiTheme="minorHAnsi" w:hAnsiTheme="minorHAnsi" w:cstheme="minorHAnsi"/>
                <w:sz w:val="18"/>
                <w:szCs w:val="18"/>
              </w:rPr>
            </w:pPr>
          </w:p>
        </w:tc>
        <w:tc>
          <w:tcPr>
            <w:tcW w:w="3375" w:type="dxa"/>
            <w:gridSpan w:val="3"/>
            <w:shd w:val="clear" w:color="auto" w:fill="auto"/>
          </w:tcPr>
          <w:p w14:paraId="5F327FAC" w14:textId="77777777" w:rsidR="004E7FA9" w:rsidRPr="003B6A69" w:rsidRDefault="004E7FA9" w:rsidP="00AE6C8E">
            <w:pPr>
              <w:rPr>
                <w:rFonts w:asciiTheme="minorHAnsi" w:hAnsiTheme="minorHAnsi" w:cstheme="minorHAnsi"/>
                <w:sz w:val="18"/>
                <w:szCs w:val="18"/>
              </w:rPr>
            </w:pPr>
          </w:p>
        </w:tc>
        <w:tc>
          <w:tcPr>
            <w:tcW w:w="1712" w:type="dxa"/>
            <w:shd w:val="clear" w:color="auto" w:fill="F2F2F2" w:themeFill="background1" w:themeFillShade="F2"/>
          </w:tcPr>
          <w:p w14:paraId="2F58D934"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PIF stage</w:t>
            </w:r>
          </w:p>
        </w:tc>
        <w:tc>
          <w:tcPr>
            <w:tcW w:w="2726" w:type="dxa"/>
            <w:shd w:val="clear" w:color="auto" w:fill="F2F2F2" w:themeFill="background1" w:themeFillShade="F2"/>
          </w:tcPr>
          <w:p w14:paraId="7E91730F"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 xml:space="preserve">Endorsement </w:t>
            </w:r>
          </w:p>
        </w:tc>
        <w:tc>
          <w:tcPr>
            <w:tcW w:w="1985" w:type="dxa"/>
            <w:shd w:val="clear" w:color="auto" w:fill="F2F2F2" w:themeFill="background1" w:themeFillShade="F2"/>
          </w:tcPr>
          <w:p w14:paraId="2CF7F81E"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MTR</w:t>
            </w:r>
          </w:p>
        </w:tc>
        <w:tc>
          <w:tcPr>
            <w:tcW w:w="3358" w:type="dxa"/>
            <w:shd w:val="clear" w:color="auto" w:fill="F2F2F2" w:themeFill="background1" w:themeFillShade="F2"/>
          </w:tcPr>
          <w:p w14:paraId="3FF65F81" w14:textId="77777777" w:rsidR="004E7FA9" w:rsidRPr="003B6A69" w:rsidRDefault="004E7FA9" w:rsidP="00AE6C8E">
            <w:pPr>
              <w:jc w:val="center"/>
              <w:rPr>
                <w:rFonts w:asciiTheme="minorHAnsi" w:hAnsiTheme="minorHAnsi" w:cstheme="minorHAnsi"/>
                <w:i/>
                <w:color w:val="000000"/>
                <w:sz w:val="18"/>
                <w:szCs w:val="18"/>
              </w:rPr>
            </w:pPr>
            <w:r w:rsidRPr="003B6A69">
              <w:rPr>
                <w:rFonts w:asciiTheme="minorHAnsi" w:hAnsiTheme="minorHAnsi" w:cstheme="minorHAnsi"/>
                <w:i/>
                <w:color w:val="000000"/>
                <w:sz w:val="18"/>
                <w:szCs w:val="18"/>
              </w:rPr>
              <w:t>TE</w:t>
            </w:r>
          </w:p>
        </w:tc>
      </w:tr>
      <w:tr w:rsidR="004E7FA9" w:rsidRPr="003B6A69" w14:paraId="4BB1FDFD" w14:textId="77777777" w:rsidTr="00AE6C8E">
        <w:tc>
          <w:tcPr>
            <w:tcW w:w="1298" w:type="dxa"/>
            <w:shd w:val="clear" w:color="auto" w:fill="auto"/>
          </w:tcPr>
          <w:p w14:paraId="3A4E776B" w14:textId="77777777" w:rsidR="004E7FA9" w:rsidRPr="003B6A69" w:rsidRDefault="004E7FA9" w:rsidP="00AE6C8E">
            <w:pPr>
              <w:rPr>
                <w:rFonts w:asciiTheme="minorHAnsi" w:hAnsiTheme="minorHAnsi" w:cstheme="minorHAnsi"/>
                <w:sz w:val="18"/>
                <w:szCs w:val="18"/>
              </w:rPr>
            </w:pPr>
          </w:p>
        </w:tc>
        <w:tc>
          <w:tcPr>
            <w:tcW w:w="3375" w:type="dxa"/>
            <w:gridSpan w:val="3"/>
            <w:shd w:val="clear" w:color="auto" w:fill="auto"/>
          </w:tcPr>
          <w:p w14:paraId="6F4808A7" w14:textId="77777777" w:rsidR="004E7FA9" w:rsidRPr="003B6A69" w:rsidRDefault="004E7FA9" w:rsidP="00AE6C8E">
            <w:pPr>
              <w:rPr>
                <w:rFonts w:asciiTheme="minorHAnsi" w:hAnsiTheme="minorHAnsi" w:cstheme="minorHAnsi"/>
                <w:sz w:val="18"/>
                <w:szCs w:val="18"/>
              </w:rPr>
            </w:pPr>
          </w:p>
        </w:tc>
        <w:tc>
          <w:tcPr>
            <w:tcW w:w="1712" w:type="dxa"/>
            <w:shd w:val="clear" w:color="auto" w:fill="F2F2F2" w:themeFill="background1" w:themeFillShade="F2"/>
          </w:tcPr>
          <w:p w14:paraId="3980E521"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2726" w:type="dxa"/>
            <w:shd w:val="clear" w:color="auto" w:fill="F2F2F2" w:themeFill="background1" w:themeFillShade="F2"/>
          </w:tcPr>
          <w:p w14:paraId="20E30393"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1985" w:type="dxa"/>
            <w:shd w:val="clear" w:color="auto" w:fill="F2F2F2" w:themeFill="background1" w:themeFillShade="F2"/>
          </w:tcPr>
          <w:p w14:paraId="400CD70C"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3358" w:type="dxa"/>
            <w:shd w:val="clear" w:color="auto" w:fill="F2F2F2" w:themeFill="background1" w:themeFillShade="F2"/>
          </w:tcPr>
          <w:p w14:paraId="47A2CD7D" w14:textId="77777777" w:rsidR="004E7FA9" w:rsidRPr="003B6A69" w:rsidRDefault="004E7FA9" w:rsidP="00AE6C8E">
            <w:pPr>
              <w:jc w:val="right"/>
              <w:rPr>
                <w:rFonts w:asciiTheme="minorHAnsi" w:hAnsiTheme="minorHAnsi" w:cstheme="minorHAnsi"/>
                <w:i/>
                <w:color w:val="000000"/>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r>
      <w:tr w:rsidR="004E7FA9" w:rsidRPr="003B6A69" w14:paraId="5A1721E0" w14:textId="77777777" w:rsidTr="00AE6C8E">
        <w:tc>
          <w:tcPr>
            <w:tcW w:w="1298" w:type="dxa"/>
            <w:shd w:val="clear" w:color="auto" w:fill="BFBFBF" w:themeFill="background1" w:themeFillShade="BF"/>
          </w:tcPr>
          <w:p w14:paraId="0669BAFD" w14:textId="77777777" w:rsidR="004E7FA9" w:rsidRPr="003B6A69" w:rsidRDefault="004E7FA9" w:rsidP="00AE6C8E">
            <w:pPr>
              <w:rPr>
                <w:rFonts w:asciiTheme="minorHAnsi" w:hAnsiTheme="minorHAnsi" w:cstheme="minorHAnsi"/>
                <w:sz w:val="18"/>
                <w:szCs w:val="18"/>
              </w:rPr>
            </w:pPr>
            <w:r w:rsidRPr="003B6A69">
              <w:rPr>
                <w:rFonts w:asciiTheme="minorHAnsi" w:hAnsiTheme="minorHAnsi" w:cstheme="minorHAnsi"/>
                <w:sz w:val="18"/>
                <w:szCs w:val="18"/>
              </w:rPr>
              <w:t>Indicator 2.1</w:t>
            </w:r>
          </w:p>
        </w:tc>
        <w:tc>
          <w:tcPr>
            <w:tcW w:w="9798" w:type="dxa"/>
            <w:gridSpan w:val="6"/>
            <w:shd w:val="clear" w:color="auto" w:fill="BFBFBF" w:themeFill="background1" w:themeFillShade="BF"/>
          </w:tcPr>
          <w:p w14:paraId="21373ADA" w14:textId="77777777" w:rsidR="004E7FA9" w:rsidRPr="003B6A69" w:rsidRDefault="004E7FA9" w:rsidP="00AE6C8E">
            <w:pPr>
              <w:rPr>
                <w:rFonts w:asciiTheme="minorHAnsi" w:hAnsiTheme="minorHAnsi" w:cstheme="minorHAnsi"/>
                <w:sz w:val="18"/>
                <w:szCs w:val="18"/>
              </w:rPr>
            </w:pPr>
            <w:r w:rsidRPr="003B6A69">
              <w:rPr>
                <w:rFonts w:asciiTheme="minorHAnsi" w:hAnsiTheme="minorHAnsi" w:cstheme="minorHAnsi"/>
                <w:sz w:val="18"/>
                <w:szCs w:val="18"/>
              </w:rPr>
              <w:t>Marine protected areas newly created</w:t>
            </w:r>
          </w:p>
        </w:tc>
        <w:tc>
          <w:tcPr>
            <w:tcW w:w="3358" w:type="dxa"/>
            <w:shd w:val="clear" w:color="auto" w:fill="BFBFBF" w:themeFill="background1" w:themeFillShade="BF"/>
          </w:tcPr>
          <w:p w14:paraId="5ED986D9"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r>
      <w:tr w:rsidR="004E7FA9" w:rsidRPr="003B6A69" w14:paraId="03F4F6C4" w14:textId="77777777" w:rsidTr="00AE6C8E">
        <w:trPr>
          <w:trHeight w:val="125"/>
        </w:trPr>
        <w:tc>
          <w:tcPr>
            <w:tcW w:w="1298" w:type="dxa"/>
            <w:vMerge w:val="restart"/>
            <w:vAlign w:val="center"/>
          </w:tcPr>
          <w:p w14:paraId="447B6F8F" w14:textId="77777777" w:rsidR="004E7FA9" w:rsidRPr="003B6A69" w:rsidRDefault="004E7FA9" w:rsidP="00AE6C8E">
            <w:pPr>
              <w:rPr>
                <w:rFonts w:asciiTheme="minorHAnsi" w:hAnsiTheme="minorHAnsi" w:cstheme="minorHAnsi"/>
                <w:sz w:val="18"/>
                <w:szCs w:val="18"/>
              </w:rPr>
            </w:pPr>
            <w:r w:rsidRPr="003B6A69">
              <w:rPr>
                <w:rFonts w:asciiTheme="minorHAnsi" w:hAnsiTheme="minorHAnsi" w:cstheme="minorHAnsi"/>
                <w:sz w:val="18"/>
                <w:szCs w:val="18"/>
              </w:rPr>
              <w:t>Name of Protected Area</w:t>
            </w:r>
          </w:p>
        </w:tc>
        <w:tc>
          <w:tcPr>
            <w:tcW w:w="933" w:type="dxa"/>
            <w:vMerge w:val="restart"/>
            <w:vAlign w:val="center"/>
          </w:tcPr>
          <w:p w14:paraId="4E738AFA" w14:textId="77777777" w:rsidR="004E7FA9" w:rsidRPr="003B6A69" w:rsidRDefault="004E7FA9" w:rsidP="00AE6C8E">
            <w:pPr>
              <w:rPr>
                <w:rFonts w:asciiTheme="minorHAnsi" w:hAnsiTheme="minorHAnsi" w:cstheme="minorHAnsi"/>
                <w:sz w:val="18"/>
                <w:szCs w:val="18"/>
              </w:rPr>
            </w:pPr>
            <w:r w:rsidRPr="003B6A69">
              <w:rPr>
                <w:rFonts w:asciiTheme="minorHAnsi" w:hAnsiTheme="minorHAnsi" w:cstheme="minorHAnsi"/>
                <w:sz w:val="18"/>
                <w:szCs w:val="18"/>
              </w:rPr>
              <w:t>WDPA ID</w:t>
            </w:r>
          </w:p>
        </w:tc>
        <w:tc>
          <w:tcPr>
            <w:tcW w:w="2442" w:type="dxa"/>
            <w:gridSpan w:val="2"/>
            <w:vMerge w:val="restart"/>
            <w:vAlign w:val="center"/>
          </w:tcPr>
          <w:p w14:paraId="41A78458" w14:textId="77777777" w:rsidR="004E7FA9" w:rsidRPr="003B6A69" w:rsidRDefault="004E7FA9" w:rsidP="00AE6C8E">
            <w:pPr>
              <w:rPr>
                <w:rFonts w:asciiTheme="minorHAnsi" w:hAnsiTheme="minorHAnsi" w:cstheme="minorHAnsi"/>
                <w:sz w:val="18"/>
                <w:szCs w:val="18"/>
              </w:rPr>
            </w:pPr>
            <w:r w:rsidRPr="003B6A69">
              <w:rPr>
                <w:rFonts w:asciiTheme="minorHAnsi" w:hAnsiTheme="minorHAnsi" w:cstheme="minorHAnsi"/>
                <w:sz w:val="18"/>
                <w:szCs w:val="18"/>
              </w:rPr>
              <w:t>IUCN category</w:t>
            </w:r>
          </w:p>
        </w:tc>
        <w:tc>
          <w:tcPr>
            <w:tcW w:w="9781" w:type="dxa"/>
            <w:gridSpan w:val="4"/>
          </w:tcPr>
          <w:p w14:paraId="528CF08B"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Hectares</w:t>
            </w:r>
          </w:p>
        </w:tc>
      </w:tr>
      <w:tr w:rsidR="004E7FA9" w:rsidRPr="003B6A69" w14:paraId="4A7D50FF" w14:textId="77777777" w:rsidTr="00AE6C8E">
        <w:trPr>
          <w:trHeight w:val="58"/>
        </w:trPr>
        <w:tc>
          <w:tcPr>
            <w:tcW w:w="1298" w:type="dxa"/>
            <w:vMerge/>
          </w:tcPr>
          <w:p w14:paraId="67AB70C0" w14:textId="77777777" w:rsidR="004E7FA9" w:rsidRPr="003B6A69" w:rsidRDefault="004E7FA9" w:rsidP="00AE6C8E">
            <w:pPr>
              <w:rPr>
                <w:rFonts w:asciiTheme="minorHAnsi" w:hAnsiTheme="minorHAnsi" w:cstheme="minorHAnsi"/>
                <w:sz w:val="18"/>
                <w:szCs w:val="18"/>
              </w:rPr>
            </w:pPr>
          </w:p>
        </w:tc>
        <w:tc>
          <w:tcPr>
            <w:tcW w:w="933" w:type="dxa"/>
            <w:vMerge/>
          </w:tcPr>
          <w:p w14:paraId="371174C1" w14:textId="77777777" w:rsidR="004E7FA9" w:rsidRPr="003B6A69" w:rsidRDefault="004E7FA9" w:rsidP="00AE6C8E">
            <w:pPr>
              <w:rPr>
                <w:rFonts w:asciiTheme="minorHAnsi" w:hAnsiTheme="minorHAnsi" w:cstheme="minorHAnsi"/>
                <w:sz w:val="18"/>
                <w:szCs w:val="18"/>
              </w:rPr>
            </w:pPr>
          </w:p>
        </w:tc>
        <w:tc>
          <w:tcPr>
            <w:tcW w:w="2442" w:type="dxa"/>
            <w:gridSpan w:val="2"/>
            <w:vMerge/>
          </w:tcPr>
          <w:p w14:paraId="33B8E562" w14:textId="77777777" w:rsidR="004E7FA9" w:rsidRPr="003B6A69" w:rsidRDefault="004E7FA9" w:rsidP="00AE6C8E">
            <w:pPr>
              <w:rPr>
                <w:rFonts w:asciiTheme="minorHAnsi" w:hAnsiTheme="minorHAnsi" w:cstheme="minorHAnsi"/>
                <w:sz w:val="18"/>
                <w:szCs w:val="18"/>
              </w:rPr>
            </w:pPr>
          </w:p>
        </w:tc>
        <w:tc>
          <w:tcPr>
            <w:tcW w:w="4438" w:type="dxa"/>
            <w:gridSpan w:val="2"/>
          </w:tcPr>
          <w:p w14:paraId="5744AF33"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Expected</w:t>
            </w:r>
          </w:p>
        </w:tc>
        <w:tc>
          <w:tcPr>
            <w:tcW w:w="5343" w:type="dxa"/>
            <w:gridSpan w:val="2"/>
          </w:tcPr>
          <w:p w14:paraId="01022620"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Achieved</w:t>
            </w:r>
          </w:p>
        </w:tc>
      </w:tr>
      <w:tr w:rsidR="004E7FA9" w:rsidRPr="003B6A69" w14:paraId="7635B6F8" w14:textId="77777777" w:rsidTr="00AE6C8E">
        <w:trPr>
          <w:trHeight w:val="71"/>
        </w:trPr>
        <w:tc>
          <w:tcPr>
            <w:tcW w:w="1298" w:type="dxa"/>
            <w:vMerge/>
          </w:tcPr>
          <w:p w14:paraId="44992965" w14:textId="77777777" w:rsidR="004E7FA9" w:rsidRPr="003B6A69" w:rsidRDefault="004E7FA9" w:rsidP="00AE6C8E">
            <w:pPr>
              <w:rPr>
                <w:rFonts w:asciiTheme="minorHAnsi" w:hAnsiTheme="minorHAnsi" w:cstheme="minorHAnsi"/>
                <w:sz w:val="18"/>
                <w:szCs w:val="18"/>
              </w:rPr>
            </w:pPr>
          </w:p>
        </w:tc>
        <w:tc>
          <w:tcPr>
            <w:tcW w:w="933" w:type="dxa"/>
            <w:vMerge/>
          </w:tcPr>
          <w:p w14:paraId="42D5D611" w14:textId="77777777" w:rsidR="004E7FA9" w:rsidRPr="003B6A69" w:rsidRDefault="004E7FA9" w:rsidP="00AE6C8E">
            <w:pPr>
              <w:rPr>
                <w:rFonts w:asciiTheme="minorHAnsi" w:hAnsiTheme="minorHAnsi" w:cstheme="minorHAnsi"/>
                <w:sz w:val="18"/>
                <w:szCs w:val="18"/>
              </w:rPr>
            </w:pPr>
          </w:p>
        </w:tc>
        <w:tc>
          <w:tcPr>
            <w:tcW w:w="2442" w:type="dxa"/>
            <w:gridSpan w:val="2"/>
            <w:vMerge/>
          </w:tcPr>
          <w:p w14:paraId="208223DE" w14:textId="77777777" w:rsidR="004E7FA9" w:rsidRPr="003B6A69" w:rsidRDefault="004E7FA9" w:rsidP="00AE6C8E">
            <w:pPr>
              <w:rPr>
                <w:rFonts w:asciiTheme="minorHAnsi" w:hAnsiTheme="minorHAnsi" w:cstheme="minorHAnsi"/>
                <w:sz w:val="18"/>
                <w:szCs w:val="18"/>
              </w:rPr>
            </w:pPr>
          </w:p>
        </w:tc>
        <w:tc>
          <w:tcPr>
            <w:tcW w:w="1712" w:type="dxa"/>
          </w:tcPr>
          <w:p w14:paraId="3BA6BF62"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PIF stage</w:t>
            </w:r>
          </w:p>
        </w:tc>
        <w:tc>
          <w:tcPr>
            <w:tcW w:w="2726" w:type="dxa"/>
          </w:tcPr>
          <w:p w14:paraId="0708F43D"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Endorsement</w:t>
            </w:r>
          </w:p>
        </w:tc>
        <w:tc>
          <w:tcPr>
            <w:tcW w:w="1985" w:type="dxa"/>
          </w:tcPr>
          <w:p w14:paraId="7D8E6F45"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MTR</w:t>
            </w:r>
          </w:p>
        </w:tc>
        <w:tc>
          <w:tcPr>
            <w:tcW w:w="3358" w:type="dxa"/>
          </w:tcPr>
          <w:p w14:paraId="5C4FA339"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TE</w:t>
            </w:r>
          </w:p>
        </w:tc>
      </w:tr>
      <w:tr w:rsidR="004E7FA9" w:rsidRPr="003B6A69" w14:paraId="0E291C78" w14:textId="77777777" w:rsidTr="00AE6C8E">
        <w:tc>
          <w:tcPr>
            <w:tcW w:w="1298" w:type="dxa"/>
          </w:tcPr>
          <w:p w14:paraId="05B92C34"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933" w:type="dxa"/>
          </w:tcPr>
          <w:p w14:paraId="2BE16DC8"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2442" w:type="dxa"/>
            <w:gridSpan w:val="2"/>
          </w:tcPr>
          <w:p w14:paraId="023D4F8D"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color w:val="000000"/>
                <w:sz w:val="18"/>
                <w:szCs w:val="18"/>
              </w:rPr>
              <w:fldChar w:fldCharType="begin">
                <w:ffData>
                  <w:name w:val=""/>
                  <w:enabled/>
                  <w:calcOnExit w:val="0"/>
                  <w:ddList>
                    <w:listEntry w:val="(select)"/>
                    <w:listEntry w:val="Ia Strict Nature Reserve"/>
                    <w:listEntry w:val="Ib Wilderness Area"/>
                    <w:listEntry w:val="II National Park"/>
                    <w:listEntry w:val="III Natural Monument or Feature"/>
                    <w:listEntry w:val="IV Habitat/Species Management Area"/>
                    <w:listEntry w:val="V Protected Landscape/Seascape"/>
                    <w:listEntry w:val="VI PA with sustainable use of natural resources"/>
                    <w:listEntry w:val="Other"/>
                  </w:ddList>
                </w:ffData>
              </w:fldChar>
            </w:r>
            <w:r w:rsidRPr="003B6A69">
              <w:rPr>
                <w:rFonts w:asciiTheme="minorHAnsi" w:hAnsiTheme="minorHAnsi" w:cstheme="minorHAnsi"/>
                <w:color w:val="000000"/>
                <w:sz w:val="18"/>
                <w:szCs w:val="18"/>
              </w:rPr>
              <w:instrText xml:space="preserve"> FORMDROPDOWN </w:instrText>
            </w:r>
            <w:r w:rsidR="00127DDC">
              <w:rPr>
                <w:rFonts w:asciiTheme="minorHAnsi" w:hAnsiTheme="minorHAnsi" w:cstheme="minorHAnsi"/>
                <w:color w:val="000000"/>
                <w:sz w:val="18"/>
                <w:szCs w:val="18"/>
              </w:rPr>
            </w:r>
            <w:r w:rsidR="00127DDC">
              <w:rPr>
                <w:rFonts w:asciiTheme="minorHAnsi" w:hAnsiTheme="minorHAnsi" w:cstheme="minorHAnsi"/>
                <w:color w:val="000000"/>
                <w:sz w:val="18"/>
                <w:szCs w:val="18"/>
              </w:rPr>
              <w:fldChar w:fldCharType="separate"/>
            </w:r>
            <w:r w:rsidRPr="003B6A69">
              <w:rPr>
                <w:rFonts w:asciiTheme="minorHAnsi" w:hAnsiTheme="minorHAnsi" w:cstheme="minorHAnsi"/>
                <w:color w:val="000000"/>
                <w:sz w:val="18"/>
                <w:szCs w:val="18"/>
              </w:rPr>
              <w:fldChar w:fldCharType="end"/>
            </w:r>
            <w:r w:rsidRPr="003B6A69">
              <w:rPr>
                <w:rFonts w:asciiTheme="minorHAnsi" w:hAnsiTheme="minorHAnsi" w:cstheme="minorHAnsi"/>
                <w:color w:val="000000"/>
                <w:sz w:val="18"/>
                <w:szCs w:val="18"/>
              </w:rPr>
              <w:t xml:space="preserve">  </w:t>
            </w:r>
          </w:p>
        </w:tc>
        <w:tc>
          <w:tcPr>
            <w:tcW w:w="1712" w:type="dxa"/>
          </w:tcPr>
          <w:p w14:paraId="0521890D"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2726" w:type="dxa"/>
          </w:tcPr>
          <w:p w14:paraId="72936D5F"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1985" w:type="dxa"/>
          </w:tcPr>
          <w:p w14:paraId="1CD7C872"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3358" w:type="dxa"/>
          </w:tcPr>
          <w:p w14:paraId="1D317A2F"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r>
      <w:tr w:rsidR="004E7FA9" w:rsidRPr="003B6A69" w14:paraId="78257F5B" w14:textId="77777777" w:rsidTr="00AE6C8E">
        <w:tc>
          <w:tcPr>
            <w:tcW w:w="1298" w:type="dxa"/>
          </w:tcPr>
          <w:p w14:paraId="5A35CE55"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933" w:type="dxa"/>
          </w:tcPr>
          <w:p w14:paraId="5D396932"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2442" w:type="dxa"/>
            <w:gridSpan w:val="2"/>
          </w:tcPr>
          <w:p w14:paraId="7E858697"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color w:val="000000"/>
                <w:sz w:val="18"/>
                <w:szCs w:val="18"/>
              </w:rPr>
              <w:fldChar w:fldCharType="begin">
                <w:ffData>
                  <w:name w:val=""/>
                  <w:enabled/>
                  <w:calcOnExit w:val="0"/>
                  <w:ddList>
                    <w:listEntry w:val="(select)"/>
                    <w:listEntry w:val="Ia Strict Nature Reserve"/>
                    <w:listEntry w:val="Ib Wilderness Area"/>
                    <w:listEntry w:val="II National Park"/>
                    <w:listEntry w:val="III Natural Monument or Feature"/>
                    <w:listEntry w:val="IV Habitat/Species Management Area"/>
                    <w:listEntry w:val="V Protected Landscape/Seascape"/>
                    <w:listEntry w:val="VI PA with sustainable use of natural resources"/>
                    <w:listEntry w:val="Other"/>
                  </w:ddList>
                </w:ffData>
              </w:fldChar>
            </w:r>
            <w:r w:rsidRPr="003B6A69">
              <w:rPr>
                <w:rFonts w:asciiTheme="minorHAnsi" w:hAnsiTheme="minorHAnsi" w:cstheme="minorHAnsi"/>
                <w:color w:val="000000"/>
                <w:sz w:val="18"/>
                <w:szCs w:val="18"/>
              </w:rPr>
              <w:instrText xml:space="preserve"> FORMDROPDOWN </w:instrText>
            </w:r>
            <w:r w:rsidR="00127DDC">
              <w:rPr>
                <w:rFonts w:asciiTheme="minorHAnsi" w:hAnsiTheme="minorHAnsi" w:cstheme="minorHAnsi"/>
                <w:color w:val="000000"/>
                <w:sz w:val="18"/>
                <w:szCs w:val="18"/>
              </w:rPr>
            </w:r>
            <w:r w:rsidR="00127DDC">
              <w:rPr>
                <w:rFonts w:asciiTheme="minorHAnsi" w:hAnsiTheme="minorHAnsi" w:cstheme="minorHAnsi"/>
                <w:color w:val="000000"/>
                <w:sz w:val="18"/>
                <w:szCs w:val="18"/>
              </w:rPr>
              <w:fldChar w:fldCharType="separate"/>
            </w:r>
            <w:r w:rsidRPr="003B6A69">
              <w:rPr>
                <w:rFonts w:asciiTheme="minorHAnsi" w:hAnsiTheme="minorHAnsi" w:cstheme="minorHAnsi"/>
                <w:color w:val="000000"/>
                <w:sz w:val="18"/>
                <w:szCs w:val="18"/>
              </w:rPr>
              <w:fldChar w:fldCharType="end"/>
            </w:r>
            <w:r w:rsidRPr="003B6A69">
              <w:rPr>
                <w:rFonts w:asciiTheme="minorHAnsi" w:hAnsiTheme="minorHAnsi" w:cstheme="minorHAnsi"/>
                <w:color w:val="000000"/>
                <w:sz w:val="18"/>
                <w:szCs w:val="18"/>
              </w:rPr>
              <w:t xml:space="preserve">  </w:t>
            </w:r>
          </w:p>
        </w:tc>
        <w:tc>
          <w:tcPr>
            <w:tcW w:w="1712" w:type="dxa"/>
          </w:tcPr>
          <w:p w14:paraId="6389507B"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2726" w:type="dxa"/>
          </w:tcPr>
          <w:p w14:paraId="25E161D1"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1985" w:type="dxa"/>
          </w:tcPr>
          <w:p w14:paraId="52724E50"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3358" w:type="dxa"/>
          </w:tcPr>
          <w:p w14:paraId="06334688"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r>
      <w:tr w:rsidR="004E7FA9" w:rsidRPr="003B6A69" w14:paraId="081BCC84" w14:textId="77777777" w:rsidTr="00AE6C8E">
        <w:tc>
          <w:tcPr>
            <w:tcW w:w="1298" w:type="dxa"/>
          </w:tcPr>
          <w:p w14:paraId="5193CFDA" w14:textId="77777777" w:rsidR="004E7FA9" w:rsidRPr="003B6A69" w:rsidRDefault="004E7FA9" w:rsidP="00AE6C8E">
            <w:pPr>
              <w:jc w:val="right"/>
              <w:rPr>
                <w:rFonts w:asciiTheme="minorHAnsi" w:hAnsiTheme="minorHAnsi" w:cstheme="minorHAnsi"/>
                <w:sz w:val="18"/>
                <w:szCs w:val="18"/>
              </w:rPr>
            </w:pPr>
          </w:p>
        </w:tc>
        <w:tc>
          <w:tcPr>
            <w:tcW w:w="933" w:type="dxa"/>
          </w:tcPr>
          <w:p w14:paraId="2E99B989" w14:textId="77777777" w:rsidR="004E7FA9" w:rsidRPr="003B6A69" w:rsidRDefault="004E7FA9" w:rsidP="00AE6C8E">
            <w:pPr>
              <w:jc w:val="right"/>
              <w:rPr>
                <w:rFonts w:asciiTheme="minorHAnsi" w:hAnsiTheme="minorHAnsi" w:cstheme="minorHAnsi"/>
                <w:sz w:val="18"/>
                <w:szCs w:val="18"/>
              </w:rPr>
            </w:pPr>
          </w:p>
        </w:tc>
        <w:tc>
          <w:tcPr>
            <w:tcW w:w="2442" w:type="dxa"/>
            <w:gridSpan w:val="2"/>
          </w:tcPr>
          <w:p w14:paraId="5A6F805B"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color w:val="000000"/>
                <w:sz w:val="18"/>
                <w:szCs w:val="18"/>
              </w:rPr>
              <w:t xml:space="preserve">Sum  </w:t>
            </w:r>
          </w:p>
        </w:tc>
        <w:tc>
          <w:tcPr>
            <w:tcW w:w="1712" w:type="dxa"/>
          </w:tcPr>
          <w:p w14:paraId="029BF6C2"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2726" w:type="dxa"/>
          </w:tcPr>
          <w:p w14:paraId="34561FD5"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1985" w:type="dxa"/>
          </w:tcPr>
          <w:p w14:paraId="6710006D"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3358" w:type="dxa"/>
          </w:tcPr>
          <w:p w14:paraId="6BED4277"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r>
      <w:tr w:rsidR="004E7FA9" w:rsidRPr="003B6A69" w14:paraId="7A5D81ED" w14:textId="77777777" w:rsidTr="00AE6C8E">
        <w:tc>
          <w:tcPr>
            <w:tcW w:w="1298" w:type="dxa"/>
            <w:shd w:val="clear" w:color="auto" w:fill="BFBFBF" w:themeFill="background1" w:themeFillShade="BF"/>
          </w:tcPr>
          <w:p w14:paraId="2D818C0B" w14:textId="77777777" w:rsidR="004E7FA9" w:rsidRPr="003B6A69" w:rsidRDefault="004E7FA9" w:rsidP="00AE6C8E">
            <w:pPr>
              <w:rPr>
                <w:rFonts w:asciiTheme="minorHAnsi" w:hAnsiTheme="minorHAnsi" w:cstheme="minorHAnsi"/>
                <w:sz w:val="18"/>
                <w:szCs w:val="18"/>
              </w:rPr>
            </w:pPr>
            <w:r w:rsidRPr="003B6A69">
              <w:rPr>
                <w:rFonts w:asciiTheme="minorHAnsi" w:hAnsiTheme="minorHAnsi" w:cstheme="minorHAnsi"/>
                <w:sz w:val="18"/>
                <w:szCs w:val="18"/>
              </w:rPr>
              <w:t>Indicator 2.2</w:t>
            </w:r>
          </w:p>
        </w:tc>
        <w:tc>
          <w:tcPr>
            <w:tcW w:w="9798" w:type="dxa"/>
            <w:gridSpan w:val="6"/>
            <w:shd w:val="clear" w:color="auto" w:fill="BFBFBF" w:themeFill="background1" w:themeFillShade="BF"/>
          </w:tcPr>
          <w:p w14:paraId="5DE63C4A" w14:textId="77777777" w:rsidR="004E7FA9" w:rsidRPr="003B6A69" w:rsidRDefault="004E7FA9" w:rsidP="00AE6C8E">
            <w:pPr>
              <w:rPr>
                <w:rFonts w:asciiTheme="minorHAnsi" w:hAnsiTheme="minorHAnsi" w:cstheme="minorHAnsi"/>
                <w:sz w:val="18"/>
                <w:szCs w:val="18"/>
              </w:rPr>
            </w:pPr>
            <w:r w:rsidRPr="003B6A69">
              <w:rPr>
                <w:rFonts w:asciiTheme="minorHAnsi" w:hAnsiTheme="minorHAnsi" w:cstheme="minorHAnsi"/>
                <w:sz w:val="18"/>
                <w:szCs w:val="18"/>
              </w:rPr>
              <w:t>Marine protected areas under improved management effectiveness</w:t>
            </w:r>
          </w:p>
        </w:tc>
        <w:tc>
          <w:tcPr>
            <w:tcW w:w="3358" w:type="dxa"/>
            <w:shd w:val="clear" w:color="auto" w:fill="BFBFBF" w:themeFill="background1" w:themeFillShade="BF"/>
          </w:tcPr>
          <w:p w14:paraId="64A3C8DC"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r>
      <w:tr w:rsidR="004E7FA9" w:rsidRPr="003B6A69" w14:paraId="29F454B3" w14:textId="77777777" w:rsidTr="00AE6C8E">
        <w:trPr>
          <w:trHeight w:val="125"/>
        </w:trPr>
        <w:tc>
          <w:tcPr>
            <w:tcW w:w="1298" w:type="dxa"/>
            <w:vMerge w:val="restart"/>
            <w:vAlign w:val="center"/>
          </w:tcPr>
          <w:p w14:paraId="704E516A" w14:textId="77777777" w:rsidR="004E7FA9" w:rsidRPr="003B6A69" w:rsidRDefault="004E7FA9" w:rsidP="00AE6C8E">
            <w:pPr>
              <w:rPr>
                <w:rFonts w:asciiTheme="minorHAnsi" w:hAnsiTheme="minorHAnsi" w:cstheme="minorHAnsi"/>
                <w:sz w:val="18"/>
                <w:szCs w:val="18"/>
              </w:rPr>
            </w:pPr>
            <w:r w:rsidRPr="003B6A69">
              <w:rPr>
                <w:rFonts w:asciiTheme="minorHAnsi" w:hAnsiTheme="minorHAnsi" w:cstheme="minorHAnsi"/>
                <w:sz w:val="18"/>
                <w:szCs w:val="18"/>
              </w:rPr>
              <w:t>Name of Protected Area</w:t>
            </w:r>
          </w:p>
        </w:tc>
        <w:tc>
          <w:tcPr>
            <w:tcW w:w="933" w:type="dxa"/>
            <w:vMerge w:val="restart"/>
            <w:vAlign w:val="center"/>
          </w:tcPr>
          <w:p w14:paraId="07963424" w14:textId="77777777" w:rsidR="004E7FA9" w:rsidRPr="003B6A69" w:rsidRDefault="004E7FA9" w:rsidP="00AE6C8E">
            <w:pPr>
              <w:rPr>
                <w:rFonts w:asciiTheme="minorHAnsi" w:hAnsiTheme="minorHAnsi" w:cstheme="minorHAnsi"/>
                <w:sz w:val="18"/>
                <w:szCs w:val="18"/>
              </w:rPr>
            </w:pPr>
            <w:r w:rsidRPr="003B6A69">
              <w:rPr>
                <w:rFonts w:asciiTheme="minorHAnsi" w:hAnsiTheme="minorHAnsi" w:cstheme="minorHAnsi"/>
                <w:sz w:val="18"/>
                <w:szCs w:val="18"/>
              </w:rPr>
              <w:t>WDPA ID</w:t>
            </w:r>
          </w:p>
        </w:tc>
        <w:tc>
          <w:tcPr>
            <w:tcW w:w="1025" w:type="dxa"/>
            <w:vMerge w:val="restart"/>
            <w:vAlign w:val="center"/>
          </w:tcPr>
          <w:p w14:paraId="285AFA75" w14:textId="77777777" w:rsidR="004E7FA9" w:rsidRPr="003B6A69" w:rsidRDefault="004E7FA9" w:rsidP="00AE6C8E">
            <w:pPr>
              <w:rPr>
                <w:rFonts w:asciiTheme="minorHAnsi" w:hAnsiTheme="minorHAnsi" w:cstheme="minorHAnsi"/>
                <w:sz w:val="18"/>
                <w:szCs w:val="18"/>
              </w:rPr>
            </w:pPr>
            <w:r w:rsidRPr="003B6A69">
              <w:rPr>
                <w:rFonts w:asciiTheme="minorHAnsi" w:hAnsiTheme="minorHAnsi" w:cstheme="minorHAnsi"/>
                <w:sz w:val="18"/>
                <w:szCs w:val="18"/>
              </w:rPr>
              <w:t>IUCN category</w:t>
            </w:r>
          </w:p>
        </w:tc>
        <w:tc>
          <w:tcPr>
            <w:tcW w:w="1417" w:type="dxa"/>
            <w:vMerge w:val="restart"/>
            <w:vAlign w:val="center"/>
          </w:tcPr>
          <w:p w14:paraId="454728E1" w14:textId="77777777" w:rsidR="004E7FA9" w:rsidRPr="003B6A69" w:rsidRDefault="004E7FA9" w:rsidP="00AE6C8E">
            <w:pPr>
              <w:rPr>
                <w:rFonts w:asciiTheme="minorHAnsi" w:hAnsiTheme="minorHAnsi" w:cstheme="minorHAnsi"/>
                <w:sz w:val="18"/>
                <w:szCs w:val="18"/>
              </w:rPr>
            </w:pPr>
            <w:r w:rsidRPr="003B6A69">
              <w:rPr>
                <w:rFonts w:asciiTheme="minorHAnsi" w:hAnsiTheme="minorHAnsi" w:cstheme="minorHAnsi"/>
                <w:sz w:val="18"/>
                <w:szCs w:val="18"/>
              </w:rPr>
              <w:t>Hectares</w:t>
            </w:r>
          </w:p>
        </w:tc>
        <w:tc>
          <w:tcPr>
            <w:tcW w:w="9781" w:type="dxa"/>
            <w:gridSpan w:val="4"/>
          </w:tcPr>
          <w:p w14:paraId="55F8196D"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 xml:space="preserve">METT Score </w:t>
            </w:r>
          </w:p>
        </w:tc>
      </w:tr>
      <w:tr w:rsidR="004E7FA9" w:rsidRPr="003B6A69" w14:paraId="7461EEE7" w14:textId="77777777" w:rsidTr="00AE6C8E">
        <w:trPr>
          <w:trHeight w:val="58"/>
        </w:trPr>
        <w:tc>
          <w:tcPr>
            <w:tcW w:w="1298" w:type="dxa"/>
            <w:vMerge/>
          </w:tcPr>
          <w:p w14:paraId="1D62124C" w14:textId="77777777" w:rsidR="004E7FA9" w:rsidRPr="003B6A69" w:rsidRDefault="004E7FA9" w:rsidP="00AE6C8E">
            <w:pPr>
              <w:rPr>
                <w:rFonts w:asciiTheme="minorHAnsi" w:hAnsiTheme="minorHAnsi" w:cstheme="minorHAnsi"/>
                <w:sz w:val="18"/>
                <w:szCs w:val="18"/>
              </w:rPr>
            </w:pPr>
          </w:p>
        </w:tc>
        <w:tc>
          <w:tcPr>
            <w:tcW w:w="933" w:type="dxa"/>
            <w:vMerge/>
          </w:tcPr>
          <w:p w14:paraId="5664BB16" w14:textId="77777777" w:rsidR="004E7FA9" w:rsidRPr="003B6A69" w:rsidRDefault="004E7FA9" w:rsidP="00AE6C8E">
            <w:pPr>
              <w:rPr>
                <w:rFonts w:asciiTheme="minorHAnsi" w:hAnsiTheme="minorHAnsi" w:cstheme="minorHAnsi"/>
                <w:sz w:val="18"/>
                <w:szCs w:val="18"/>
              </w:rPr>
            </w:pPr>
          </w:p>
        </w:tc>
        <w:tc>
          <w:tcPr>
            <w:tcW w:w="1025" w:type="dxa"/>
            <w:vMerge/>
          </w:tcPr>
          <w:p w14:paraId="716A0DC9" w14:textId="77777777" w:rsidR="004E7FA9" w:rsidRPr="003B6A69" w:rsidRDefault="004E7FA9" w:rsidP="00AE6C8E">
            <w:pPr>
              <w:rPr>
                <w:rFonts w:asciiTheme="minorHAnsi" w:hAnsiTheme="minorHAnsi" w:cstheme="minorHAnsi"/>
                <w:sz w:val="18"/>
                <w:szCs w:val="18"/>
              </w:rPr>
            </w:pPr>
          </w:p>
        </w:tc>
        <w:tc>
          <w:tcPr>
            <w:tcW w:w="1417" w:type="dxa"/>
            <w:vMerge/>
          </w:tcPr>
          <w:p w14:paraId="0C9FCD36" w14:textId="77777777" w:rsidR="004E7FA9" w:rsidRPr="003B6A69" w:rsidRDefault="004E7FA9" w:rsidP="00AE6C8E">
            <w:pPr>
              <w:rPr>
                <w:rFonts w:asciiTheme="minorHAnsi" w:hAnsiTheme="minorHAnsi" w:cstheme="minorHAnsi"/>
                <w:sz w:val="18"/>
                <w:szCs w:val="18"/>
              </w:rPr>
            </w:pPr>
          </w:p>
        </w:tc>
        <w:tc>
          <w:tcPr>
            <w:tcW w:w="4438" w:type="dxa"/>
            <w:gridSpan w:val="2"/>
          </w:tcPr>
          <w:p w14:paraId="69904763"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Baseline</w:t>
            </w:r>
          </w:p>
        </w:tc>
        <w:tc>
          <w:tcPr>
            <w:tcW w:w="5343" w:type="dxa"/>
            <w:gridSpan w:val="2"/>
          </w:tcPr>
          <w:p w14:paraId="5F0F98B3"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Achieved</w:t>
            </w:r>
          </w:p>
        </w:tc>
      </w:tr>
      <w:tr w:rsidR="004E7FA9" w:rsidRPr="003B6A69" w14:paraId="4BFAACEF" w14:textId="77777777" w:rsidTr="00AE6C8E">
        <w:trPr>
          <w:trHeight w:val="188"/>
        </w:trPr>
        <w:tc>
          <w:tcPr>
            <w:tcW w:w="1298" w:type="dxa"/>
            <w:vMerge/>
          </w:tcPr>
          <w:p w14:paraId="6C1718FD" w14:textId="77777777" w:rsidR="004E7FA9" w:rsidRPr="003B6A69" w:rsidRDefault="004E7FA9" w:rsidP="00AE6C8E">
            <w:pPr>
              <w:rPr>
                <w:rFonts w:asciiTheme="minorHAnsi" w:hAnsiTheme="minorHAnsi" w:cstheme="minorHAnsi"/>
                <w:sz w:val="18"/>
                <w:szCs w:val="18"/>
              </w:rPr>
            </w:pPr>
          </w:p>
        </w:tc>
        <w:tc>
          <w:tcPr>
            <w:tcW w:w="933" w:type="dxa"/>
            <w:vMerge/>
          </w:tcPr>
          <w:p w14:paraId="4D269287" w14:textId="77777777" w:rsidR="004E7FA9" w:rsidRPr="003B6A69" w:rsidRDefault="004E7FA9" w:rsidP="00AE6C8E">
            <w:pPr>
              <w:rPr>
                <w:rFonts w:asciiTheme="minorHAnsi" w:hAnsiTheme="minorHAnsi" w:cstheme="minorHAnsi"/>
                <w:sz w:val="18"/>
                <w:szCs w:val="18"/>
              </w:rPr>
            </w:pPr>
          </w:p>
        </w:tc>
        <w:tc>
          <w:tcPr>
            <w:tcW w:w="1025" w:type="dxa"/>
            <w:vMerge/>
          </w:tcPr>
          <w:p w14:paraId="5BD01F2E" w14:textId="77777777" w:rsidR="004E7FA9" w:rsidRPr="003B6A69" w:rsidRDefault="004E7FA9" w:rsidP="00AE6C8E">
            <w:pPr>
              <w:rPr>
                <w:rFonts w:asciiTheme="minorHAnsi" w:hAnsiTheme="minorHAnsi" w:cstheme="minorHAnsi"/>
                <w:sz w:val="18"/>
                <w:szCs w:val="18"/>
              </w:rPr>
            </w:pPr>
          </w:p>
        </w:tc>
        <w:tc>
          <w:tcPr>
            <w:tcW w:w="1417" w:type="dxa"/>
            <w:vMerge/>
          </w:tcPr>
          <w:p w14:paraId="5A491541" w14:textId="77777777" w:rsidR="004E7FA9" w:rsidRPr="003B6A69" w:rsidRDefault="004E7FA9" w:rsidP="00AE6C8E">
            <w:pPr>
              <w:rPr>
                <w:rFonts w:asciiTheme="minorHAnsi" w:hAnsiTheme="minorHAnsi" w:cstheme="minorHAnsi"/>
                <w:sz w:val="18"/>
                <w:szCs w:val="18"/>
              </w:rPr>
            </w:pPr>
          </w:p>
        </w:tc>
        <w:tc>
          <w:tcPr>
            <w:tcW w:w="1712" w:type="dxa"/>
          </w:tcPr>
          <w:p w14:paraId="40C14DE2"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PIF stage</w:t>
            </w:r>
          </w:p>
        </w:tc>
        <w:tc>
          <w:tcPr>
            <w:tcW w:w="2726" w:type="dxa"/>
          </w:tcPr>
          <w:p w14:paraId="52D5A6D3"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Endorsement</w:t>
            </w:r>
          </w:p>
        </w:tc>
        <w:tc>
          <w:tcPr>
            <w:tcW w:w="1985" w:type="dxa"/>
          </w:tcPr>
          <w:p w14:paraId="696DD0AE"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MTR</w:t>
            </w:r>
          </w:p>
        </w:tc>
        <w:tc>
          <w:tcPr>
            <w:tcW w:w="3358" w:type="dxa"/>
          </w:tcPr>
          <w:p w14:paraId="34EB8FDC"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TE</w:t>
            </w:r>
          </w:p>
        </w:tc>
      </w:tr>
      <w:tr w:rsidR="004E7FA9" w:rsidRPr="003B6A69" w14:paraId="1B539F9B" w14:textId="77777777" w:rsidTr="00AE6C8E">
        <w:tc>
          <w:tcPr>
            <w:tcW w:w="1298" w:type="dxa"/>
          </w:tcPr>
          <w:p w14:paraId="6AC927A3"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933" w:type="dxa"/>
          </w:tcPr>
          <w:p w14:paraId="420277C0"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1025" w:type="dxa"/>
          </w:tcPr>
          <w:p w14:paraId="73B8CB00"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color w:val="000000"/>
                <w:sz w:val="18"/>
                <w:szCs w:val="18"/>
              </w:rPr>
              <w:fldChar w:fldCharType="begin">
                <w:ffData>
                  <w:name w:val=""/>
                  <w:enabled/>
                  <w:calcOnExit w:val="0"/>
                  <w:ddList>
                    <w:listEntry w:val="(select)"/>
                    <w:listEntry w:val="Ia Strict Nature Reserve"/>
                    <w:listEntry w:val="Ib Wilderness Area"/>
                    <w:listEntry w:val="II National Park"/>
                    <w:listEntry w:val="III Natural Monument or Feature"/>
                    <w:listEntry w:val="IV Habitat/Species Management Area"/>
                    <w:listEntry w:val="V Protected Landscape/Seascape"/>
                    <w:listEntry w:val="VI PA with sustainable use of natural resources"/>
                    <w:listEntry w:val="Other"/>
                  </w:ddList>
                </w:ffData>
              </w:fldChar>
            </w:r>
            <w:r w:rsidRPr="003B6A69">
              <w:rPr>
                <w:rFonts w:asciiTheme="minorHAnsi" w:hAnsiTheme="minorHAnsi" w:cstheme="minorHAnsi"/>
                <w:color w:val="000000"/>
                <w:sz w:val="18"/>
                <w:szCs w:val="18"/>
              </w:rPr>
              <w:instrText xml:space="preserve"> FORMDROPDOWN </w:instrText>
            </w:r>
            <w:r w:rsidR="00127DDC">
              <w:rPr>
                <w:rFonts w:asciiTheme="minorHAnsi" w:hAnsiTheme="minorHAnsi" w:cstheme="minorHAnsi"/>
                <w:color w:val="000000"/>
                <w:sz w:val="18"/>
                <w:szCs w:val="18"/>
              </w:rPr>
            </w:r>
            <w:r w:rsidR="00127DDC">
              <w:rPr>
                <w:rFonts w:asciiTheme="minorHAnsi" w:hAnsiTheme="minorHAnsi" w:cstheme="minorHAnsi"/>
                <w:color w:val="000000"/>
                <w:sz w:val="18"/>
                <w:szCs w:val="18"/>
              </w:rPr>
              <w:fldChar w:fldCharType="separate"/>
            </w:r>
            <w:r w:rsidRPr="003B6A69">
              <w:rPr>
                <w:rFonts w:asciiTheme="minorHAnsi" w:hAnsiTheme="minorHAnsi" w:cstheme="minorHAnsi"/>
                <w:color w:val="000000"/>
                <w:sz w:val="18"/>
                <w:szCs w:val="18"/>
              </w:rPr>
              <w:fldChar w:fldCharType="end"/>
            </w:r>
            <w:r w:rsidRPr="003B6A69">
              <w:rPr>
                <w:rFonts w:asciiTheme="minorHAnsi" w:hAnsiTheme="minorHAnsi" w:cstheme="minorHAnsi"/>
                <w:color w:val="000000"/>
                <w:sz w:val="18"/>
                <w:szCs w:val="18"/>
              </w:rPr>
              <w:t xml:space="preserve">  </w:t>
            </w:r>
          </w:p>
        </w:tc>
        <w:tc>
          <w:tcPr>
            <w:tcW w:w="1417" w:type="dxa"/>
          </w:tcPr>
          <w:p w14:paraId="1350BF6E"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1712" w:type="dxa"/>
          </w:tcPr>
          <w:p w14:paraId="1BCC9F54" w14:textId="77777777" w:rsidR="004E7FA9" w:rsidRPr="003B6A69" w:rsidRDefault="004E7FA9" w:rsidP="00AE6C8E">
            <w:pPr>
              <w:jc w:val="right"/>
              <w:rPr>
                <w:rFonts w:asciiTheme="minorHAnsi" w:hAnsiTheme="minorHAnsi" w:cstheme="minorHAnsi"/>
                <w:sz w:val="18"/>
                <w:szCs w:val="18"/>
              </w:rPr>
            </w:pPr>
          </w:p>
        </w:tc>
        <w:tc>
          <w:tcPr>
            <w:tcW w:w="2726" w:type="dxa"/>
          </w:tcPr>
          <w:p w14:paraId="14090E1E"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1985" w:type="dxa"/>
          </w:tcPr>
          <w:p w14:paraId="3A6F5C02"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3358" w:type="dxa"/>
          </w:tcPr>
          <w:p w14:paraId="5D297AA9"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r>
      <w:tr w:rsidR="004E7FA9" w:rsidRPr="003B6A69" w14:paraId="5800E281" w14:textId="77777777" w:rsidTr="00AE6C8E">
        <w:tc>
          <w:tcPr>
            <w:tcW w:w="1298" w:type="dxa"/>
          </w:tcPr>
          <w:p w14:paraId="721EBA99"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933" w:type="dxa"/>
          </w:tcPr>
          <w:p w14:paraId="1FE96FC1"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1025" w:type="dxa"/>
          </w:tcPr>
          <w:p w14:paraId="5970EF71"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color w:val="000000"/>
                <w:sz w:val="18"/>
                <w:szCs w:val="18"/>
              </w:rPr>
              <w:fldChar w:fldCharType="begin">
                <w:ffData>
                  <w:name w:val=""/>
                  <w:enabled/>
                  <w:calcOnExit w:val="0"/>
                  <w:ddList>
                    <w:listEntry w:val="(select)"/>
                    <w:listEntry w:val="Ia Strict Nature Reserve"/>
                    <w:listEntry w:val="Ib Wilderness Area"/>
                    <w:listEntry w:val="II National Park"/>
                    <w:listEntry w:val="III Natural Monument or Feature"/>
                    <w:listEntry w:val="IV Habitat/Species Management Area"/>
                    <w:listEntry w:val="V Protected Landscape/Seascape"/>
                    <w:listEntry w:val="VI PA with sustainable use of natural resources"/>
                    <w:listEntry w:val="Other"/>
                  </w:ddList>
                </w:ffData>
              </w:fldChar>
            </w:r>
            <w:r w:rsidRPr="003B6A69">
              <w:rPr>
                <w:rFonts w:asciiTheme="minorHAnsi" w:hAnsiTheme="minorHAnsi" w:cstheme="minorHAnsi"/>
                <w:color w:val="000000"/>
                <w:sz w:val="18"/>
                <w:szCs w:val="18"/>
              </w:rPr>
              <w:instrText xml:space="preserve"> FORMDROPDOWN </w:instrText>
            </w:r>
            <w:r w:rsidR="00127DDC">
              <w:rPr>
                <w:rFonts w:asciiTheme="minorHAnsi" w:hAnsiTheme="minorHAnsi" w:cstheme="minorHAnsi"/>
                <w:color w:val="000000"/>
                <w:sz w:val="18"/>
                <w:szCs w:val="18"/>
              </w:rPr>
            </w:r>
            <w:r w:rsidR="00127DDC">
              <w:rPr>
                <w:rFonts w:asciiTheme="minorHAnsi" w:hAnsiTheme="minorHAnsi" w:cstheme="minorHAnsi"/>
                <w:color w:val="000000"/>
                <w:sz w:val="18"/>
                <w:szCs w:val="18"/>
              </w:rPr>
              <w:fldChar w:fldCharType="separate"/>
            </w:r>
            <w:r w:rsidRPr="003B6A69">
              <w:rPr>
                <w:rFonts w:asciiTheme="minorHAnsi" w:hAnsiTheme="minorHAnsi" w:cstheme="minorHAnsi"/>
                <w:color w:val="000000"/>
                <w:sz w:val="18"/>
                <w:szCs w:val="18"/>
              </w:rPr>
              <w:fldChar w:fldCharType="end"/>
            </w:r>
            <w:r w:rsidRPr="003B6A69">
              <w:rPr>
                <w:rFonts w:asciiTheme="minorHAnsi" w:hAnsiTheme="minorHAnsi" w:cstheme="minorHAnsi"/>
                <w:color w:val="000000"/>
                <w:sz w:val="18"/>
                <w:szCs w:val="18"/>
              </w:rPr>
              <w:t xml:space="preserve">  </w:t>
            </w:r>
          </w:p>
        </w:tc>
        <w:tc>
          <w:tcPr>
            <w:tcW w:w="1417" w:type="dxa"/>
          </w:tcPr>
          <w:p w14:paraId="5C9EA1F5"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1712" w:type="dxa"/>
          </w:tcPr>
          <w:p w14:paraId="4CB82106" w14:textId="77777777" w:rsidR="004E7FA9" w:rsidRPr="003B6A69" w:rsidRDefault="004E7FA9" w:rsidP="00AE6C8E">
            <w:pPr>
              <w:jc w:val="right"/>
              <w:rPr>
                <w:rFonts w:asciiTheme="minorHAnsi" w:hAnsiTheme="minorHAnsi" w:cstheme="minorHAnsi"/>
                <w:sz w:val="18"/>
                <w:szCs w:val="18"/>
              </w:rPr>
            </w:pPr>
          </w:p>
        </w:tc>
        <w:tc>
          <w:tcPr>
            <w:tcW w:w="2726" w:type="dxa"/>
          </w:tcPr>
          <w:p w14:paraId="4ED7C808"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1985" w:type="dxa"/>
          </w:tcPr>
          <w:p w14:paraId="4721C77A"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3358" w:type="dxa"/>
          </w:tcPr>
          <w:p w14:paraId="75EE74B9"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r>
      <w:tr w:rsidR="004E7FA9" w:rsidRPr="003B6A69" w14:paraId="3C02FF12" w14:textId="77777777" w:rsidTr="00AE6C8E">
        <w:tc>
          <w:tcPr>
            <w:tcW w:w="1298" w:type="dxa"/>
          </w:tcPr>
          <w:p w14:paraId="34FE4E19" w14:textId="77777777" w:rsidR="004E7FA9" w:rsidRPr="003B6A69" w:rsidRDefault="004E7FA9" w:rsidP="00AE6C8E">
            <w:pPr>
              <w:jc w:val="right"/>
              <w:rPr>
                <w:rFonts w:asciiTheme="minorHAnsi" w:hAnsiTheme="minorHAnsi" w:cstheme="minorHAnsi"/>
                <w:i/>
                <w:color w:val="000000"/>
                <w:sz w:val="18"/>
                <w:szCs w:val="18"/>
              </w:rPr>
            </w:pPr>
          </w:p>
        </w:tc>
        <w:tc>
          <w:tcPr>
            <w:tcW w:w="933" w:type="dxa"/>
          </w:tcPr>
          <w:p w14:paraId="1B06E9C1" w14:textId="77777777" w:rsidR="004E7FA9" w:rsidRPr="003B6A69" w:rsidRDefault="004E7FA9" w:rsidP="00AE6C8E">
            <w:pPr>
              <w:jc w:val="right"/>
              <w:rPr>
                <w:rFonts w:asciiTheme="minorHAnsi" w:hAnsiTheme="minorHAnsi" w:cstheme="minorHAnsi"/>
                <w:i/>
                <w:color w:val="000000"/>
                <w:sz w:val="18"/>
                <w:szCs w:val="18"/>
              </w:rPr>
            </w:pPr>
          </w:p>
        </w:tc>
        <w:tc>
          <w:tcPr>
            <w:tcW w:w="1025" w:type="dxa"/>
          </w:tcPr>
          <w:p w14:paraId="73424E54" w14:textId="77777777" w:rsidR="004E7FA9" w:rsidRPr="003B6A69" w:rsidRDefault="004E7FA9" w:rsidP="00AE6C8E">
            <w:pPr>
              <w:jc w:val="right"/>
              <w:rPr>
                <w:rFonts w:asciiTheme="minorHAnsi" w:hAnsiTheme="minorHAnsi" w:cstheme="minorHAnsi"/>
                <w:color w:val="000000"/>
                <w:sz w:val="18"/>
                <w:szCs w:val="18"/>
              </w:rPr>
            </w:pPr>
            <w:r w:rsidRPr="003B6A69">
              <w:rPr>
                <w:rFonts w:asciiTheme="minorHAnsi" w:hAnsiTheme="minorHAnsi" w:cstheme="minorHAnsi"/>
                <w:color w:val="000000"/>
                <w:sz w:val="18"/>
                <w:szCs w:val="18"/>
              </w:rPr>
              <w:t>Sum</w:t>
            </w:r>
          </w:p>
        </w:tc>
        <w:tc>
          <w:tcPr>
            <w:tcW w:w="1417" w:type="dxa"/>
          </w:tcPr>
          <w:p w14:paraId="51C3D5B7" w14:textId="77777777" w:rsidR="004E7FA9" w:rsidRPr="003B6A69" w:rsidRDefault="004E7FA9" w:rsidP="00AE6C8E">
            <w:pPr>
              <w:jc w:val="right"/>
              <w:rPr>
                <w:rFonts w:asciiTheme="minorHAnsi" w:hAnsiTheme="minorHAnsi" w:cstheme="minorHAnsi"/>
                <w:color w:val="000000"/>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1712" w:type="dxa"/>
          </w:tcPr>
          <w:p w14:paraId="60EAA838" w14:textId="77777777" w:rsidR="004E7FA9" w:rsidRPr="003B6A69" w:rsidRDefault="004E7FA9" w:rsidP="00AE6C8E">
            <w:pPr>
              <w:jc w:val="right"/>
              <w:rPr>
                <w:rFonts w:asciiTheme="minorHAnsi" w:hAnsiTheme="minorHAnsi" w:cstheme="minorHAnsi"/>
                <w:i/>
                <w:color w:val="000000"/>
                <w:sz w:val="18"/>
                <w:szCs w:val="18"/>
              </w:rPr>
            </w:pPr>
          </w:p>
        </w:tc>
        <w:tc>
          <w:tcPr>
            <w:tcW w:w="2726" w:type="dxa"/>
          </w:tcPr>
          <w:p w14:paraId="254444E9" w14:textId="77777777" w:rsidR="004E7FA9" w:rsidRPr="003B6A69" w:rsidRDefault="004E7FA9" w:rsidP="00AE6C8E">
            <w:pPr>
              <w:jc w:val="right"/>
              <w:rPr>
                <w:rFonts w:asciiTheme="minorHAnsi" w:hAnsiTheme="minorHAnsi" w:cstheme="minorHAnsi"/>
                <w:i/>
                <w:color w:val="000000"/>
                <w:sz w:val="18"/>
                <w:szCs w:val="18"/>
              </w:rPr>
            </w:pPr>
          </w:p>
        </w:tc>
        <w:tc>
          <w:tcPr>
            <w:tcW w:w="1985" w:type="dxa"/>
          </w:tcPr>
          <w:p w14:paraId="47146CF2" w14:textId="77777777" w:rsidR="004E7FA9" w:rsidRPr="003B6A69" w:rsidRDefault="004E7FA9" w:rsidP="00AE6C8E">
            <w:pPr>
              <w:jc w:val="right"/>
              <w:rPr>
                <w:rFonts w:asciiTheme="minorHAnsi" w:hAnsiTheme="minorHAnsi" w:cstheme="minorHAnsi"/>
                <w:i/>
                <w:color w:val="000000"/>
                <w:sz w:val="18"/>
                <w:szCs w:val="18"/>
              </w:rPr>
            </w:pPr>
          </w:p>
        </w:tc>
        <w:tc>
          <w:tcPr>
            <w:tcW w:w="3358" w:type="dxa"/>
          </w:tcPr>
          <w:p w14:paraId="75A452A2" w14:textId="77777777" w:rsidR="004E7FA9" w:rsidRPr="003B6A69" w:rsidRDefault="004E7FA9" w:rsidP="00AE6C8E">
            <w:pPr>
              <w:jc w:val="right"/>
              <w:rPr>
                <w:rFonts w:asciiTheme="minorHAnsi" w:hAnsiTheme="minorHAnsi" w:cstheme="minorHAnsi"/>
                <w:i/>
                <w:color w:val="000000"/>
                <w:sz w:val="18"/>
                <w:szCs w:val="18"/>
              </w:rPr>
            </w:pPr>
          </w:p>
        </w:tc>
      </w:tr>
      <w:tr w:rsidR="004E7FA9" w:rsidRPr="003B6A69" w14:paraId="1FF444C6" w14:textId="77777777" w:rsidTr="00AE6C8E">
        <w:tc>
          <w:tcPr>
            <w:tcW w:w="1298" w:type="dxa"/>
            <w:shd w:val="clear" w:color="auto" w:fill="D9D9D9" w:themeFill="background1" w:themeFillShade="D9"/>
          </w:tcPr>
          <w:p w14:paraId="5A0036DF" w14:textId="77777777" w:rsidR="004E7FA9" w:rsidRPr="003B6A69" w:rsidRDefault="004E7FA9" w:rsidP="00AE6C8E">
            <w:pPr>
              <w:rPr>
                <w:rFonts w:asciiTheme="minorHAnsi" w:hAnsiTheme="minorHAnsi" w:cstheme="minorHAnsi"/>
                <w:b/>
                <w:sz w:val="18"/>
                <w:szCs w:val="18"/>
              </w:rPr>
            </w:pPr>
            <w:r w:rsidRPr="003B6A69">
              <w:rPr>
                <w:rFonts w:asciiTheme="minorHAnsi" w:hAnsiTheme="minorHAnsi" w:cstheme="minorHAnsi"/>
                <w:b/>
                <w:sz w:val="18"/>
                <w:szCs w:val="18"/>
              </w:rPr>
              <w:t>Core Indicator 3</w:t>
            </w:r>
          </w:p>
        </w:tc>
        <w:tc>
          <w:tcPr>
            <w:tcW w:w="9798" w:type="dxa"/>
            <w:gridSpan w:val="6"/>
            <w:shd w:val="clear" w:color="auto" w:fill="D9D9D9" w:themeFill="background1" w:themeFillShade="D9"/>
          </w:tcPr>
          <w:p w14:paraId="5545E0FA" w14:textId="77777777" w:rsidR="004E7FA9" w:rsidRPr="003B6A69" w:rsidRDefault="004E7FA9" w:rsidP="00AE6C8E">
            <w:pPr>
              <w:rPr>
                <w:rFonts w:asciiTheme="minorHAnsi" w:hAnsiTheme="minorHAnsi" w:cstheme="minorHAnsi"/>
                <w:b/>
                <w:sz w:val="18"/>
                <w:szCs w:val="18"/>
              </w:rPr>
            </w:pPr>
            <w:r w:rsidRPr="003B6A69">
              <w:rPr>
                <w:rFonts w:asciiTheme="minorHAnsi" w:hAnsiTheme="minorHAnsi" w:cstheme="minorHAnsi"/>
                <w:b/>
                <w:sz w:val="18"/>
                <w:szCs w:val="18"/>
              </w:rPr>
              <w:t>Area of land restored</w:t>
            </w:r>
          </w:p>
        </w:tc>
        <w:tc>
          <w:tcPr>
            <w:tcW w:w="3358" w:type="dxa"/>
            <w:shd w:val="clear" w:color="auto" w:fill="D9D9D9" w:themeFill="background1" w:themeFillShade="D9"/>
          </w:tcPr>
          <w:p w14:paraId="74D4BA19" w14:textId="77777777" w:rsidR="004E7FA9" w:rsidRPr="003B6A69" w:rsidRDefault="004E7FA9" w:rsidP="00AE6C8E">
            <w:pPr>
              <w:jc w:val="right"/>
              <w:rPr>
                <w:rFonts w:asciiTheme="minorHAnsi" w:hAnsiTheme="minorHAnsi" w:cstheme="minorHAnsi"/>
                <w:b/>
                <w:sz w:val="18"/>
                <w:szCs w:val="18"/>
              </w:rPr>
            </w:pPr>
            <w:r w:rsidRPr="003B6A69">
              <w:rPr>
                <w:rFonts w:asciiTheme="minorHAnsi" w:hAnsiTheme="minorHAnsi" w:cstheme="minorHAnsi"/>
                <w:b/>
                <w:i/>
                <w:color w:val="000000"/>
                <w:sz w:val="18"/>
                <w:szCs w:val="18"/>
              </w:rPr>
              <w:fldChar w:fldCharType="begin">
                <w:ffData>
                  <w:name w:val="F_GEB_BD_target"/>
                  <w:enabled/>
                  <w:calcOnExit w:val="0"/>
                  <w:textInput>
                    <w:default w:val="(Hectares)"/>
                  </w:textInput>
                </w:ffData>
              </w:fldChar>
            </w:r>
            <w:r w:rsidRPr="003B6A69">
              <w:rPr>
                <w:rFonts w:asciiTheme="minorHAnsi" w:hAnsiTheme="minorHAnsi" w:cstheme="minorHAnsi"/>
                <w:b/>
                <w:i/>
                <w:color w:val="000000"/>
                <w:sz w:val="18"/>
                <w:szCs w:val="18"/>
              </w:rPr>
              <w:instrText xml:space="preserve"> FORMTEXT </w:instrText>
            </w:r>
            <w:r w:rsidRPr="003B6A69">
              <w:rPr>
                <w:rFonts w:asciiTheme="minorHAnsi" w:hAnsiTheme="minorHAnsi" w:cstheme="minorHAnsi"/>
                <w:b/>
                <w:i/>
                <w:color w:val="000000"/>
                <w:sz w:val="18"/>
                <w:szCs w:val="18"/>
              </w:rPr>
            </w:r>
            <w:r w:rsidRPr="003B6A69">
              <w:rPr>
                <w:rFonts w:asciiTheme="minorHAnsi" w:hAnsiTheme="minorHAnsi" w:cstheme="minorHAnsi"/>
                <w:b/>
                <w:i/>
                <w:color w:val="000000"/>
                <w:sz w:val="18"/>
                <w:szCs w:val="18"/>
              </w:rPr>
              <w:fldChar w:fldCharType="separate"/>
            </w:r>
            <w:r w:rsidRPr="003B6A69">
              <w:rPr>
                <w:rFonts w:asciiTheme="minorHAnsi" w:hAnsiTheme="minorHAnsi" w:cstheme="minorHAnsi"/>
                <w:b/>
                <w:i/>
                <w:noProof/>
                <w:color w:val="000000"/>
                <w:sz w:val="18"/>
                <w:szCs w:val="18"/>
              </w:rPr>
              <w:t>(Hectares)</w:t>
            </w:r>
            <w:r w:rsidRPr="003B6A69">
              <w:rPr>
                <w:rFonts w:asciiTheme="minorHAnsi" w:hAnsiTheme="minorHAnsi" w:cstheme="minorHAnsi"/>
                <w:b/>
                <w:i/>
                <w:color w:val="000000"/>
                <w:sz w:val="18"/>
                <w:szCs w:val="18"/>
              </w:rPr>
              <w:fldChar w:fldCharType="end"/>
            </w:r>
          </w:p>
        </w:tc>
      </w:tr>
      <w:tr w:rsidR="004E7FA9" w:rsidRPr="003B6A69" w14:paraId="56384B7D" w14:textId="77777777" w:rsidTr="00AE6C8E">
        <w:tc>
          <w:tcPr>
            <w:tcW w:w="1298" w:type="dxa"/>
            <w:shd w:val="clear" w:color="auto" w:fill="auto"/>
          </w:tcPr>
          <w:p w14:paraId="78FF24C9" w14:textId="77777777" w:rsidR="004E7FA9" w:rsidRPr="003B6A69" w:rsidRDefault="004E7FA9" w:rsidP="00AE6C8E">
            <w:pPr>
              <w:rPr>
                <w:rFonts w:asciiTheme="minorHAnsi" w:hAnsiTheme="minorHAnsi" w:cstheme="minorHAnsi"/>
                <w:sz w:val="18"/>
                <w:szCs w:val="18"/>
              </w:rPr>
            </w:pPr>
          </w:p>
        </w:tc>
        <w:tc>
          <w:tcPr>
            <w:tcW w:w="3375" w:type="dxa"/>
            <w:gridSpan w:val="3"/>
            <w:shd w:val="clear" w:color="auto" w:fill="auto"/>
          </w:tcPr>
          <w:p w14:paraId="6F333072" w14:textId="77777777" w:rsidR="004E7FA9" w:rsidRPr="003B6A69" w:rsidRDefault="004E7FA9" w:rsidP="00AE6C8E">
            <w:pPr>
              <w:rPr>
                <w:rFonts w:asciiTheme="minorHAnsi" w:hAnsiTheme="minorHAnsi" w:cstheme="minorHAnsi"/>
                <w:sz w:val="18"/>
                <w:szCs w:val="18"/>
              </w:rPr>
            </w:pPr>
          </w:p>
        </w:tc>
        <w:tc>
          <w:tcPr>
            <w:tcW w:w="9781" w:type="dxa"/>
            <w:gridSpan w:val="4"/>
            <w:shd w:val="clear" w:color="auto" w:fill="F2F2F2" w:themeFill="background1" w:themeFillShade="F2"/>
          </w:tcPr>
          <w:p w14:paraId="19D68851" w14:textId="77777777" w:rsidR="004E7FA9" w:rsidRPr="003B6A69" w:rsidRDefault="004E7FA9" w:rsidP="00AE6C8E">
            <w:pPr>
              <w:jc w:val="center"/>
              <w:rPr>
                <w:rFonts w:asciiTheme="minorHAnsi" w:hAnsiTheme="minorHAnsi" w:cstheme="minorHAnsi"/>
                <w:color w:val="000000"/>
                <w:sz w:val="18"/>
                <w:szCs w:val="18"/>
              </w:rPr>
            </w:pPr>
            <w:r w:rsidRPr="003B6A69">
              <w:rPr>
                <w:rFonts w:asciiTheme="minorHAnsi" w:hAnsiTheme="minorHAnsi" w:cstheme="minorHAnsi"/>
                <w:color w:val="000000"/>
                <w:sz w:val="18"/>
                <w:szCs w:val="18"/>
              </w:rPr>
              <w:t>Hectares (3.1+3.2+3.3+3.4)</w:t>
            </w:r>
          </w:p>
        </w:tc>
      </w:tr>
      <w:tr w:rsidR="004E7FA9" w:rsidRPr="003B6A69" w14:paraId="68BDBD24" w14:textId="77777777" w:rsidTr="00AE6C8E">
        <w:tc>
          <w:tcPr>
            <w:tcW w:w="1298" w:type="dxa"/>
            <w:shd w:val="clear" w:color="auto" w:fill="auto"/>
          </w:tcPr>
          <w:p w14:paraId="48B4DFDD" w14:textId="77777777" w:rsidR="004E7FA9" w:rsidRPr="003B6A69" w:rsidRDefault="004E7FA9" w:rsidP="00AE6C8E">
            <w:pPr>
              <w:rPr>
                <w:rFonts w:asciiTheme="minorHAnsi" w:hAnsiTheme="minorHAnsi" w:cstheme="minorHAnsi"/>
                <w:sz w:val="18"/>
                <w:szCs w:val="18"/>
              </w:rPr>
            </w:pPr>
          </w:p>
        </w:tc>
        <w:tc>
          <w:tcPr>
            <w:tcW w:w="3375" w:type="dxa"/>
            <w:gridSpan w:val="3"/>
            <w:shd w:val="clear" w:color="auto" w:fill="auto"/>
          </w:tcPr>
          <w:p w14:paraId="5DFCF8E0" w14:textId="77777777" w:rsidR="004E7FA9" w:rsidRPr="003B6A69" w:rsidRDefault="004E7FA9" w:rsidP="00AE6C8E">
            <w:pPr>
              <w:rPr>
                <w:rFonts w:asciiTheme="minorHAnsi" w:hAnsiTheme="minorHAnsi" w:cstheme="minorHAnsi"/>
                <w:sz w:val="18"/>
                <w:szCs w:val="18"/>
              </w:rPr>
            </w:pPr>
          </w:p>
        </w:tc>
        <w:tc>
          <w:tcPr>
            <w:tcW w:w="4438" w:type="dxa"/>
            <w:gridSpan w:val="2"/>
            <w:shd w:val="clear" w:color="auto" w:fill="F2F2F2" w:themeFill="background1" w:themeFillShade="F2"/>
          </w:tcPr>
          <w:p w14:paraId="4CE4902D"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color w:val="000000"/>
                <w:sz w:val="18"/>
                <w:szCs w:val="18"/>
              </w:rPr>
              <w:t>Expected</w:t>
            </w:r>
          </w:p>
        </w:tc>
        <w:tc>
          <w:tcPr>
            <w:tcW w:w="5343" w:type="dxa"/>
            <w:gridSpan w:val="2"/>
            <w:shd w:val="clear" w:color="auto" w:fill="F2F2F2" w:themeFill="background1" w:themeFillShade="F2"/>
          </w:tcPr>
          <w:p w14:paraId="777BF047" w14:textId="77777777" w:rsidR="004E7FA9" w:rsidRPr="003B6A69" w:rsidRDefault="004E7FA9" w:rsidP="00AE6C8E">
            <w:pPr>
              <w:jc w:val="center"/>
              <w:rPr>
                <w:rFonts w:asciiTheme="minorHAnsi" w:hAnsiTheme="minorHAnsi" w:cstheme="minorHAnsi"/>
                <w:color w:val="000000"/>
                <w:sz w:val="18"/>
                <w:szCs w:val="18"/>
              </w:rPr>
            </w:pPr>
            <w:r w:rsidRPr="003B6A69">
              <w:rPr>
                <w:rFonts w:asciiTheme="minorHAnsi" w:hAnsiTheme="minorHAnsi" w:cstheme="minorHAnsi"/>
                <w:color w:val="000000"/>
                <w:sz w:val="18"/>
                <w:szCs w:val="18"/>
              </w:rPr>
              <w:t>Achieved</w:t>
            </w:r>
          </w:p>
        </w:tc>
      </w:tr>
      <w:tr w:rsidR="004E7FA9" w:rsidRPr="003B6A69" w14:paraId="68370D49" w14:textId="77777777" w:rsidTr="00AE6C8E">
        <w:tc>
          <w:tcPr>
            <w:tcW w:w="1298" w:type="dxa"/>
            <w:shd w:val="clear" w:color="auto" w:fill="auto"/>
          </w:tcPr>
          <w:p w14:paraId="520DF6E7" w14:textId="77777777" w:rsidR="004E7FA9" w:rsidRPr="003B6A69" w:rsidRDefault="004E7FA9" w:rsidP="00AE6C8E">
            <w:pPr>
              <w:rPr>
                <w:rFonts w:asciiTheme="minorHAnsi" w:hAnsiTheme="minorHAnsi" w:cstheme="minorHAnsi"/>
                <w:sz w:val="18"/>
                <w:szCs w:val="18"/>
              </w:rPr>
            </w:pPr>
          </w:p>
        </w:tc>
        <w:tc>
          <w:tcPr>
            <w:tcW w:w="3375" w:type="dxa"/>
            <w:gridSpan w:val="3"/>
            <w:shd w:val="clear" w:color="auto" w:fill="auto"/>
          </w:tcPr>
          <w:p w14:paraId="7CC5DA2D" w14:textId="77777777" w:rsidR="004E7FA9" w:rsidRPr="003B6A69" w:rsidRDefault="004E7FA9" w:rsidP="00AE6C8E">
            <w:pPr>
              <w:rPr>
                <w:rFonts w:asciiTheme="minorHAnsi" w:hAnsiTheme="minorHAnsi" w:cstheme="minorHAnsi"/>
                <w:sz w:val="18"/>
                <w:szCs w:val="18"/>
              </w:rPr>
            </w:pPr>
          </w:p>
        </w:tc>
        <w:tc>
          <w:tcPr>
            <w:tcW w:w="1712" w:type="dxa"/>
            <w:shd w:val="clear" w:color="auto" w:fill="F2F2F2" w:themeFill="background1" w:themeFillShade="F2"/>
          </w:tcPr>
          <w:p w14:paraId="4D4FDD85"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PIF stage</w:t>
            </w:r>
          </w:p>
        </w:tc>
        <w:tc>
          <w:tcPr>
            <w:tcW w:w="2726" w:type="dxa"/>
            <w:shd w:val="clear" w:color="auto" w:fill="F2F2F2" w:themeFill="background1" w:themeFillShade="F2"/>
          </w:tcPr>
          <w:p w14:paraId="0BF203D2"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Endorsement</w:t>
            </w:r>
          </w:p>
        </w:tc>
        <w:tc>
          <w:tcPr>
            <w:tcW w:w="1985" w:type="dxa"/>
            <w:shd w:val="clear" w:color="auto" w:fill="F2F2F2" w:themeFill="background1" w:themeFillShade="F2"/>
          </w:tcPr>
          <w:p w14:paraId="5E895439"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MTR</w:t>
            </w:r>
          </w:p>
        </w:tc>
        <w:tc>
          <w:tcPr>
            <w:tcW w:w="3358" w:type="dxa"/>
            <w:shd w:val="clear" w:color="auto" w:fill="F2F2F2" w:themeFill="background1" w:themeFillShade="F2"/>
          </w:tcPr>
          <w:p w14:paraId="5570ECBE" w14:textId="77777777" w:rsidR="004E7FA9" w:rsidRPr="003B6A69" w:rsidRDefault="004E7FA9" w:rsidP="00AE6C8E">
            <w:pPr>
              <w:jc w:val="center"/>
              <w:rPr>
                <w:rFonts w:asciiTheme="minorHAnsi" w:hAnsiTheme="minorHAnsi" w:cstheme="minorHAnsi"/>
                <w:i/>
                <w:color w:val="000000"/>
                <w:sz w:val="18"/>
                <w:szCs w:val="18"/>
              </w:rPr>
            </w:pPr>
            <w:r w:rsidRPr="003B6A69">
              <w:rPr>
                <w:rFonts w:asciiTheme="minorHAnsi" w:hAnsiTheme="minorHAnsi" w:cstheme="minorHAnsi"/>
                <w:sz w:val="18"/>
                <w:szCs w:val="18"/>
              </w:rPr>
              <w:t>TE</w:t>
            </w:r>
          </w:p>
        </w:tc>
      </w:tr>
      <w:tr w:rsidR="004E7FA9" w:rsidRPr="003B6A69" w14:paraId="0F416927" w14:textId="77777777" w:rsidTr="00AE6C8E">
        <w:tc>
          <w:tcPr>
            <w:tcW w:w="1298" w:type="dxa"/>
            <w:shd w:val="clear" w:color="auto" w:fill="auto"/>
          </w:tcPr>
          <w:p w14:paraId="2305A8AD" w14:textId="77777777" w:rsidR="004E7FA9" w:rsidRPr="003B6A69" w:rsidRDefault="004E7FA9" w:rsidP="00AE6C8E">
            <w:pPr>
              <w:rPr>
                <w:rFonts w:asciiTheme="minorHAnsi" w:hAnsiTheme="minorHAnsi" w:cstheme="minorHAnsi"/>
                <w:sz w:val="18"/>
                <w:szCs w:val="18"/>
              </w:rPr>
            </w:pPr>
          </w:p>
        </w:tc>
        <w:tc>
          <w:tcPr>
            <w:tcW w:w="3375" w:type="dxa"/>
            <w:gridSpan w:val="3"/>
            <w:shd w:val="clear" w:color="auto" w:fill="auto"/>
          </w:tcPr>
          <w:p w14:paraId="2B24B1B1" w14:textId="77777777" w:rsidR="004E7FA9" w:rsidRPr="003B6A69" w:rsidRDefault="004E7FA9" w:rsidP="00AE6C8E">
            <w:pPr>
              <w:rPr>
                <w:rFonts w:asciiTheme="minorHAnsi" w:hAnsiTheme="minorHAnsi" w:cstheme="minorHAnsi"/>
                <w:sz w:val="18"/>
                <w:szCs w:val="18"/>
              </w:rPr>
            </w:pPr>
          </w:p>
        </w:tc>
        <w:tc>
          <w:tcPr>
            <w:tcW w:w="1712" w:type="dxa"/>
            <w:shd w:val="clear" w:color="auto" w:fill="F2F2F2" w:themeFill="background1" w:themeFillShade="F2"/>
          </w:tcPr>
          <w:p w14:paraId="39C199A9"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2726" w:type="dxa"/>
            <w:shd w:val="clear" w:color="auto" w:fill="F2F2F2" w:themeFill="background1" w:themeFillShade="F2"/>
          </w:tcPr>
          <w:p w14:paraId="5330B160"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1985" w:type="dxa"/>
            <w:shd w:val="clear" w:color="auto" w:fill="F2F2F2" w:themeFill="background1" w:themeFillShade="F2"/>
          </w:tcPr>
          <w:p w14:paraId="0E118692"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3358" w:type="dxa"/>
            <w:shd w:val="clear" w:color="auto" w:fill="F2F2F2" w:themeFill="background1" w:themeFillShade="F2"/>
          </w:tcPr>
          <w:p w14:paraId="51644895" w14:textId="77777777" w:rsidR="004E7FA9" w:rsidRPr="003B6A69" w:rsidRDefault="004E7FA9" w:rsidP="00AE6C8E">
            <w:pPr>
              <w:jc w:val="right"/>
              <w:rPr>
                <w:rFonts w:asciiTheme="minorHAnsi" w:hAnsiTheme="minorHAnsi" w:cstheme="minorHAnsi"/>
                <w:i/>
                <w:color w:val="000000"/>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r>
      <w:tr w:rsidR="004E7FA9" w:rsidRPr="003B6A69" w14:paraId="7A19A4A0" w14:textId="77777777" w:rsidTr="00AE6C8E">
        <w:tc>
          <w:tcPr>
            <w:tcW w:w="1298" w:type="dxa"/>
            <w:shd w:val="clear" w:color="auto" w:fill="BFBFBF" w:themeFill="background1" w:themeFillShade="BF"/>
          </w:tcPr>
          <w:p w14:paraId="5B6BBBA8" w14:textId="77777777" w:rsidR="004E7FA9" w:rsidRPr="003B6A69" w:rsidRDefault="004E7FA9" w:rsidP="00AE6C8E">
            <w:pPr>
              <w:rPr>
                <w:rFonts w:asciiTheme="minorHAnsi" w:hAnsiTheme="minorHAnsi" w:cstheme="minorHAnsi"/>
                <w:sz w:val="18"/>
                <w:szCs w:val="18"/>
              </w:rPr>
            </w:pPr>
            <w:r w:rsidRPr="003B6A69">
              <w:rPr>
                <w:rFonts w:asciiTheme="minorHAnsi" w:hAnsiTheme="minorHAnsi" w:cstheme="minorHAnsi"/>
                <w:sz w:val="18"/>
                <w:szCs w:val="18"/>
              </w:rPr>
              <w:t>Indicator 3.1</w:t>
            </w:r>
          </w:p>
        </w:tc>
        <w:tc>
          <w:tcPr>
            <w:tcW w:w="9798" w:type="dxa"/>
            <w:gridSpan w:val="6"/>
            <w:shd w:val="clear" w:color="auto" w:fill="BFBFBF" w:themeFill="background1" w:themeFillShade="BF"/>
          </w:tcPr>
          <w:p w14:paraId="4F0B089A" w14:textId="77777777" w:rsidR="004E7FA9" w:rsidRPr="003B6A69" w:rsidRDefault="004E7FA9" w:rsidP="00AE6C8E">
            <w:pPr>
              <w:rPr>
                <w:rFonts w:asciiTheme="minorHAnsi" w:hAnsiTheme="minorHAnsi" w:cstheme="minorHAnsi"/>
                <w:sz w:val="18"/>
                <w:szCs w:val="18"/>
              </w:rPr>
            </w:pPr>
            <w:r w:rsidRPr="003B6A69">
              <w:rPr>
                <w:rFonts w:asciiTheme="minorHAnsi" w:hAnsiTheme="minorHAnsi" w:cstheme="minorHAnsi"/>
                <w:sz w:val="18"/>
                <w:szCs w:val="18"/>
              </w:rPr>
              <w:t>Area of degraded agricultural land restored</w:t>
            </w:r>
          </w:p>
        </w:tc>
        <w:tc>
          <w:tcPr>
            <w:tcW w:w="3358" w:type="dxa"/>
            <w:shd w:val="clear" w:color="auto" w:fill="BFBFBF" w:themeFill="background1" w:themeFillShade="BF"/>
          </w:tcPr>
          <w:p w14:paraId="7555DD59"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r>
      <w:tr w:rsidR="004E7FA9" w:rsidRPr="003B6A69" w14:paraId="3572301F" w14:textId="77777777" w:rsidTr="00AE6C8E">
        <w:trPr>
          <w:trHeight w:val="125"/>
        </w:trPr>
        <w:tc>
          <w:tcPr>
            <w:tcW w:w="1298" w:type="dxa"/>
            <w:vMerge w:val="restart"/>
          </w:tcPr>
          <w:p w14:paraId="44CD93B9" w14:textId="77777777" w:rsidR="004E7FA9" w:rsidRPr="003B6A69" w:rsidRDefault="004E7FA9" w:rsidP="00AE6C8E">
            <w:pPr>
              <w:rPr>
                <w:rFonts w:asciiTheme="minorHAnsi" w:hAnsiTheme="minorHAnsi" w:cstheme="minorHAnsi"/>
                <w:sz w:val="18"/>
                <w:szCs w:val="18"/>
              </w:rPr>
            </w:pPr>
          </w:p>
        </w:tc>
        <w:tc>
          <w:tcPr>
            <w:tcW w:w="933" w:type="dxa"/>
            <w:vMerge w:val="restart"/>
          </w:tcPr>
          <w:p w14:paraId="1DA8F4F4" w14:textId="77777777" w:rsidR="004E7FA9" w:rsidRPr="003B6A69" w:rsidRDefault="004E7FA9" w:rsidP="00AE6C8E">
            <w:pPr>
              <w:rPr>
                <w:rFonts w:asciiTheme="minorHAnsi" w:hAnsiTheme="minorHAnsi" w:cstheme="minorHAnsi"/>
                <w:sz w:val="18"/>
                <w:szCs w:val="18"/>
              </w:rPr>
            </w:pPr>
          </w:p>
        </w:tc>
        <w:tc>
          <w:tcPr>
            <w:tcW w:w="2442" w:type="dxa"/>
            <w:gridSpan w:val="2"/>
            <w:vMerge w:val="restart"/>
          </w:tcPr>
          <w:p w14:paraId="75C9F8D3" w14:textId="77777777" w:rsidR="004E7FA9" w:rsidRPr="003B6A69" w:rsidRDefault="004E7FA9" w:rsidP="00AE6C8E">
            <w:pPr>
              <w:rPr>
                <w:rFonts w:asciiTheme="minorHAnsi" w:hAnsiTheme="minorHAnsi" w:cstheme="minorHAnsi"/>
                <w:sz w:val="18"/>
                <w:szCs w:val="18"/>
              </w:rPr>
            </w:pPr>
          </w:p>
        </w:tc>
        <w:tc>
          <w:tcPr>
            <w:tcW w:w="9781" w:type="dxa"/>
            <w:gridSpan w:val="4"/>
          </w:tcPr>
          <w:p w14:paraId="605B9BBB"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Hectares</w:t>
            </w:r>
          </w:p>
        </w:tc>
      </w:tr>
      <w:tr w:rsidR="004E7FA9" w:rsidRPr="003B6A69" w14:paraId="699A4CA3" w14:textId="77777777" w:rsidTr="00AE6C8E">
        <w:trPr>
          <w:trHeight w:val="58"/>
        </w:trPr>
        <w:tc>
          <w:tcPr>
            <w:tcW w:w="1298" w:type="dxa"/>
            <w:vMerge/>
          </w:tcPr>
          <w:p w14:paraId="78ACF145" w14:textId="77777777" w:rsidR="004E7FA9" w:rsidRPr="003B6A69" w:rsidRDefault="004E7FA9" w:rsidP="00AE6C8E">
            <w:pPr>
              <w:rPr>
                <w:rFonts w:asciiTheme="minorHAnsi" w:hAnsiTheme="minorHAnsi" w:cstheme="minorHAnsi"/>
                <w:sz w:val="18"/>
                <w:szCs w:val="18"/>
              </w:rPr>
            </w:pPr>
          </w:p>
        </w:tc>
        <w:tc>
          <w:tcPr>
            <w:tcW w:w="933" w:type="dxa"/>
            <w:vMerge/>
          </w:tcPr>
          <w:p w14:paraId="1DB0E65E" w14:textId="77777777" w:rsidR="004E7FA9" w:rsidRPr="003B6A69" w:rsidRDefault="004E7FA9" w:rsidP="00AE6C8E">
            <w:pPr>
              <w:rPr>
                <w:rFonts w:asciiTheme="minorHAnsi" w:hAnsiTheme="minorHAnsi" w:cstheme="minorHAnsi"/>
                <w:sz w:val="18"/>
                <w:szCs w:val="18"/>
              </w:rPr>
            </w:pPr>
          </w:p>
        </w:tc>
        <w:tc>
          <w:tcPr>
            <w:tcW w:w="2442" w:type="dxa"/>
            <w:gridSpan w:val="2"/>
            <w:vMerge/>
          </w:tcPr>
          <w:p w14:paraId="26827932" w14:textId="77777777" w:rsidR="004E7FA9" w:rsidRPr="003B6A69" w:rsidRDefault="004E7FA9" w:rsidP="00AE6C8E">
            <w:pPr>
              <w:rPr>
                <w:rFonts w:asciiTheme="minorHAnsi" w:hAnsiTheme="minorHAnsi" w:cstheme="minorHAnsi"/>
                <w:sz w:val="18"/>
                <w:szCs w:val="18"/>
              </w:rPr>
            </w:pPr>
          </w:p>
        </w:tc>
        <w:tc>
          <w:tcPr>
            <w:tcW w:w="4438" w:type="dxa"/>
            <w:gridSpan w:val="2"/>
          </w:tcPr>
          <w:p w14:paraId="76702CDB"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Expected</w:t>
            </w:r>
          </w:p>
        </w:tc>
        <w:tc>
          <w:tcPr>
            <w:tcW w:w="5343" w:type="dxa"/>
            <w:gridSpan w:val="2"/>
          </w:tcPr>
          <w:p w14:paraId="4875C884"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Achieved</w:t>
            </w:r>
          </w:p>
        </w:tc>
      </w:tr>
      <w:tr w:rsidR="004E7FA9" w:rsidRPr="003B6A69" w14:paraId="60B39168" w14:textId="77777777" w:rsidTr="00AE6C8E">
        <w:trPr>
          <w:trHeight w:val="143"/>
        </w:trPr>
        <w:tc>
          <w:tcPr>
            <w:tcW w:w="1298" w:type="dxa"/>
            <w:vMerge/>
          </w:tcPr>
          <w:p w14:paraId="5F7AFD81" w14:textId="77777777" w:rsidR="004E7FA9" w:rsidRPr="003B6A69" w:rsidRDefault="004E7FA9" w:rsidP="00AE6C8E">
            <w:pPr>
              <w:rPr>
                <w:rFonts w:asciiTheme="minorHAnsi" w:hAnsiTheme="minorHAnsi" w:cstheme="minorHAnsi"/>
                <w:sz w:val="18"/>
                <w:szCs w:val="18"/>
              </w:rPr>
            </w:pPr>
          </w:p>
        </w:tc>
        <w:tc>
          <w:tcPr>
            <w:tcW w:w="933" w:type="dxa"/>
            <w:vMerge/>
          </w:tcPr>
          <w:p w14:paraId="0C5C141C" w14:textId="77777777" w:rsidR="004E7FA9" w:rsidRPr="003B6A69" w:rsidRDefault="004E7FA9" w:rsidP="00AE6C8E">
            <w:pPr>
              <w:rPr>
                <w:rFonts w:asciiTheme="minorHAnsi" w:hAnsiTheme="minorHAnsi" w:cstheme="minorHAnsi"/>
                <w:sz w:val="18"/>
                <w:szCs w:val="18"/>
              </w:rPr>
            </w:pPr>
          </w:p>
        </w:tc>
        <w:tc>
          <w:tcPr>
            <w:tcW w:w="2442" w:type="dxa"/>
            <w:gridSpan w:val="2"/>
            <w:vMerge/>
          </w:tcPr>
          <w:p w14:paraId="437C2C45" w14:textId="77777777" w:rsidR="004E7FA9" w:rsidRPr="003B6A69" w:rsidRDefault="004E7FA9" w:rsidP="00AE6C8E">
            <w:pPr>
              <w:rPr>
                <w:rFonts w:asciiTheme="minorHAnsi" w:hAnsiTheme="minorHAnsi" w:cstheme="minorHAnsi"/>
                <w:sz w:val="18"/>
                <w:szCs w:val="18"/>
              </w:rPr>
            </w:pPr>
          </w:p>
        </w:tc>
        <w:tc>
          <w:tcPr>
            <w:tcW w:w="1712" w:type="dxa"/>
          </w:tcPr>
          <w:p w14:paraId="0DBB3274"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PIF stage</w:t>
            </w:r>
          </w:p>
        </w:tc>
        <w:tc>
          <w:tcPr>
            <w:tcW w:w="2726" w:type="dxa"/>
          </w:tcPr>
          <w:p w14:paraId="618B4862"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Endorsement</w:t>
            </w:r>
          </w:p>
        </w:tc>
        <w:tc>
          <w:tcPr>
            <w:tcW w:w="1985" w:type="dxa"/>
          </w:tcPr>
          <w:p w14:paraId="3764B2F1"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MTR</w:t>
            </w:r>
          </w:p>
        </w:tc>
        <w:tc>
          <w:tcPr>
            <w:tcW w:w="3358" w:type="dxa"/>
          </w:tcPr>
          <w:p w14:paraId="2D318B23"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TE</w:t>
            </w:r>
          </w:p>
        </w:tc>
      </w:tr>
      <w:tr w:rsidR="004E7FA9" w:rsidRPr="003B6A69" w14:paraId="5B79494F" w14:textId="77777777" w:rsidTr="00AE6C8E">
        <w:tc>
          <w:tcPr>
            <w:tcW w:w="1298" w:type="dxa"/>
          </w:tcPr>
          <w:p w14:paraId="63DE3EDC" w14:textId="77777777" w:rsidR="004E7FA9" w:rsidRPr="003B6A69" w:rsidRDefault="004E7FA9" w:rsidP="00AE6C8E">
            <w:pPr>
              <w:jc w:val="right"/>
              <w:rPr>
                <w:rFonts w:asciiTheme="minorHAnsi" w:hAnsiTheme="minorHAnsi" w:cstheme="minorHAnsi"/>
                <w:sz w:val="18"/>
                <w:szCs w:val="18"/>
              </w:rPr>
            </w:pPr>
          </w:p>
        </w:tc>
        <w:tc>
          <w:tcPr>
            <w:tcW w:w="933" w:type="dxa"/>
          </w:tcPr>
          <w:p w14:paraId="601E7654" w14:textId="77777777" w:rsidR="004E7FA9" w:rsidRPr="003B6A69" w:rsidRDefault="004E7FA9" w:rsidP="00AE6C8E">
            <w:pPr>
              <w:jc w:val="right"/>
              <w:rPr>
                <w:rFonts w:asciiTheme="minorHAnsi" w:hAnsiTheme="minorHAnsi" w:cstheme="minorHAnsi"/>
                <w:sz w:val="18"/>
                <w:szCs w:val="18"/>
              </w:rPr>
            </w:pPr>
          </w:p>
        </w:tc>
        <w:tc>
          <w:tcPr>
            <w:tcW w:w="2442" w:type="dxa"/>
            <w:gridSpan w:val="2"/>
          </w:tcPr>
          <w:p w14:paraId="0BAE70C0" w14:textId="77777777" w:rsidR="004E7FA9" w:rsidRPr="003B6A69" w:rsidRDefault="004E7FA9" w:rsidP="00AE6C8E">
            <w:pPr>
              <w:jc w:val="right"/>
              <w:rPr>
                <w:rFonts w:asciiTheme="minorHAnsi" w:hAnsiTheme="minorHAnsi" w:cstheme="minorHAnsi"/>
                <w:sz w:val="18"/>
                <w:szCs w:val="18"/>
              </w:rPr>
            </w:pPr>
          </w:p>
        </w:tc>
        <w:tc>
          <w:tcPr>
            <w:tcW w:w="1712" w:type="dxa"/>
          </w:tcPr>
          <w:p w14:paraId="3E282F5F"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2726" w:type="dxa"/>
          </w:tcPr>
          <w:p w14:paraId="26AE1D24"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1985" w:type="dxa"/>
          </w:tcPr>
          <w:p w14:paraId="00A0A874"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3358" w:type="dxa"/>
          </w:tcPr>
          <w:p w14:paraId="2E6B0A5C"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r>
      <w:tr w:rsidR="004E7FA9" w:rsidRPr="003B6A69" w14:paraId="279FFBA2" w14:textId="77777777" w:rsidTr="00AE6C8E">
        <w:tc>
          <w:tcPr>
            <w:tcW w:w="1298" w:type="dxa"/>
          </w:tcPr>
          <w:p w14:paraId="56FE3187" w14:textId="77777777" w:rsidR="004E7FA9" w:rsidRPr="003B6A69" w:rsidRDefault="004E7FA9" w:rsidP="00AE6C8E">
            <w:pPr>
              <w:jc w:val="right"/>
              <w:rPr>
                <w:rFonts w:asciiTheme="minorHAnsi" w:hAnsiTheme="minorHAnsi" w:cstheme="minorHAnsi"/>
                <w:sz w:val="18"/>
                <w:szCs w:val="18"/>
              </w:rPr>
            </w:pPr>
          </w:p>
        </w:tc>
        <w:tc>
          <w:tcPr>
            <w:tcW w:w="933" w:type="dxa"/>
          </w:tcPr>
          <w:p w14:paraId="70BEF7AF" w14:textId="77777777" w:rsidR="004E7FA9" w:rsidRPr="003B6A69" w:rsidRDefault="004E7FA9" w:rsidP="00AE6C8E">
            <w:pPr>
              <w:jc w:val="right"/>
              <w:rPr>
                <w:rFonts w:asciiTheme="minorHAnsi" w:hAnsiTheme="minorHAnsi" w:cstheme="minorHAnsi"/>
                <w:sz w:val="18"/>
                <w:szCs w:val="18"/>
              </w:rPr>
            </w:pPr>
          </w:p>
        </w:tc>
        <w:tc>
          <w:tcPr>
            <w:tcW w:w="2442" w:type="dxa"/>
            <w:gridSpan w:val="2"/>
          </w:tcPr>
          <w:p w14:paraId="6930E723" w14:textId="77777777" w:rsidR="004E7FA9" w:rsidRPr="003B6A69" w:rsidRDefault="004E7FA9" w:rsidP="00AE6C8E">
            <w:pPr>
              <w:jc w:val="right"/>
              <w:rPr>
                <w:rFonts w:asciiTheme="minorHAnsi" w:hAnsiTheme="minorHAnsi" w:cstheme="minorHAnsi"/>
                <w:sz w:val="18"/>
                <w:szCs w:val="18"/>
              </w:rPr>
            </w:pPr>
          </w:p>
        </w:tc>
        <w:tc>
          <w:tcPr>
            <w:tcW w:w="1712" w:type="dxa"/>
          </w:tcPr>
          <w:p w14:paraId="14201F94"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2726" w:type="dxa"/>
          </w:tcPr>
          <w:p w14:paraId="2F683FE4"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1985" w:type="dxa"/>
          </w:tcPr>
          <w:p w14:paraId="4D67E079"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3358" w:type="dxa"/>
          </w:tcPr>
          <w:p w14:paraId="251B6936"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r>
      <w:tr w:rsidR="004E7FA9" w:rsidRPr="003B6A69" w14:paraId="1F428945" w14:textId="77777777" w:rsidTr="00AE6C8E">
        <w:tc>
          <w:tcPr>
            <w:tcW w:w="1298" w:type="dxa"/>
            <w:shd w:val="clear" w:color="auto" w:fill="BFBFBF" w:themeFill="background1" w:themeFillShade="BF"/>
          </w:tcPr>
          <w:p w14:paraId="3F85467A" w14:textId="77777777" w:rsidR="004E7FA9" w:rsidRPr="003B6A69" w:rsidRDefault="004E7FA9" w:rsidP="00AE6C8E">
            <w:pPr>
              <w:rPr>
                <w:rFonts w:asciiTheme="minorHAnsi" w:hAnsiTheme="minorHAnsi" w:cstheme="minorHAnsi"/>
                <w:sz w:val="18"/>
                <w:szCs w:val="18"/>
              </w:rPr>
            </w:pPr>
            <w:r w:rsidRPr="003B6A69">
              <w:rPr>
                <w:rFonts w:asciiTheme="minorHAnsi" w:hAnsiTheme="minorHAnsi" w:cstheme="minorHAnsi"/>
                <w:sz w:val="18"/>
                <w:szCs w:val="18"/>
              </w:rPr>
              <w:t>Indicator 3.2</w:t>
            </w:r>
          </w:p>
        </w:tc>
        <w:tc>
          <w:tcPr>
            <w:tcW w:w="9798" w:type="dxa"/>
            <w:gridSpan w:val="6"/>
            <w:shd w:val="clear" w:color="auto" w:fill="BFBFBF" w:themeFill="background1" w:themeFillShade="BF"/>
          </w:tcPr>
          <w:p w14:paraId="76ED7AE0" w14:textId="77777777" w:rsidR="004E7FA9" w:rsidRPr="003B6A69" w:rsidRDefault="004E7FA9" w:rsidP="00AE6C8E">
            <w:pPr>
              <w:rPr>
                <w:rFonts w:asciiTheme="minorHAnsi" w:hAnsiTheme="minorHAnsi" w:cstheme="minorHAnsi"/>
                <w:sz w:val="18"/>
                <w:szCs w:val="18"/>
              </w:rPr>
            </w:pPr>
            <w:r w:rsidRPr="003B6A69">
              <w:rPr>
                <w:rFonts w:asciiTheme="minorHAnsi" w:hAnsiTheme="minorHAnsi" w:cstheme="minorHAnsi"/>
                <w:sz w:val="18"/>
                <w:szCs w:val="18"/>
              </w:rPr>
              <w:t>Area of forest and forest land restored</w:t>
            </w:r>
          </w:p>
        </w:tc>
        <w:tc>
          <w:tcPr>
            <w:tcW w:w="3358" w:type="dxa"/>
            <w:shd w:val="clear" w:color="auto" w:fill="BFBFBF" w:themeFill="background1" w:themeFillShade="BF"/>
          </w:tcPr>
          <w:p w14:paraId="0F8FEB4C"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r>
      <w:tr w:rsidR="004E7FA9" w:rsidRPr="003B6A69" w14:paraId="5BD2576B" w14:textId="77777777" w:rsidTr="00AE6C8E">
        <w:trPr>
          <w:trHeight w:val="125"/>
        </w:trPr>
        <w:tc>
          <w:tcPr>
            <w:tcW w:w="1298" w:type="dxa"/>
            <w:vMerge w:val="restart"/>
          </w:tcPr>
          <w:p w14:paraId="5698DA8E" w14:textId="77777777" w:rsidR="004E7FA9" w:rsidRPr="003B6A69" w:rsidRDefault="004E7FA9" w:rsidP="00AE6C8E">
            <w:pPr>
              <w:rPr>
                <w:rFonts w:asciiTheme="minorHAnsi" w:hAnsiTheme="minorHAnsi" w:cstheme="minorHAnsi"/>
                <w:sz w:val="18"/>
                <w:szCs w:val="18"/>
              </w:rPr>
            </w:pPr>
          </w:p>
        </w:tc>
        <w:tc>
          <w:tcPr>
            <w:tcW w:w="933" w:type="dxa"/>
            <w:vMerge w:val="restart"/>
          </w:tcPr>
          <w:p w14:paraId="41056628" w14:textId="77777777" w:rsidR="004E7FA9" w:rsidRPr="003B6A69" w:rsidRDefault="004E7FA9" w:rsidP="00AE6C8E">
            <w:pPr>
              <w:rPr>
                <w:rFonts w:asciiTheme="minorHAnsi" w:hAnsiTheme="minorHAnsi" w:cstheme="minorHAnsi"/>
                <w:sz w:val="18"/>
                <w:szCs w:val="18"/>
              </w:rPr>
            </w:pPr>
          </w:p>
        </w:tc>
        <w:tc>
          <w:tcPr>
            <w:tcW w:w="2442" w:type="dxa"/>
            <w:gridSpan w:val="2"/>
            <w:vMerge w:val="restart"/>
          </w:tcPr>
          <w:p w14:paraId="072CEDF1" w14:textId="77777777" w:rsidR="004E7FA9" w:rsidRPr="003B6A69" w:rsidRDefault="004E7FA9" w:rsidP="00AE6C8E">
            <w:pPr>
              <w:rPr>
                <w:rFonts w:asciiTheme="minorHAnsi" w:hAnsiTheme="minorHAnsi" w:cstheme="minorHAnsi"/>
                <w:sz w:val="18"/>
                <w:szCs w:val="18"/>
              </w:rPr>
            </w:pPr>
          </w:p>
        </w:tc>
        <w:tc>
          <w:tcPr>
            <w:tcW w:w="9781" w:type="dxa"/>
            <w:gridSpan w:val="4"/>
          </w:tcPr>
          <w:p w14:paraId="61B0EF1F"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Hectares</w:t>
            </w:r>
          </w:p>
        </w:tc>
      </w:tr>
      <w:tr w:rsidR="004E7FA9" w:rsidRPr="003B6A69" w14:paraId="085577C1" w14:textId="77777777" w:rsidTr="00AE6C8E">
        <w:trPr>
          <w:trHeight w:val="58"/>
        </w:trPr>
        <w:tc>
          <w:tcPr>
            <w:tcW w:w="1298" w:type="dxa"/>
            <w:vMerge/>
          </w:tcPr>
          <w:p w14:paraId="2F7097F0" w14:textId="77777777" w:rsidR="004E7FA9" w:rsidRPr="003B6A69" w:rsidRDefault="004E7FA9" w:rsidP="00AE6C8E">
            <w:pPr>
              <w:rPr>
                <w:rFonts w:asciiTheme="minorHAnsi" w:hAnsiTheme="minorHAnsi" w:cstheme="minorHAnsi"/>
                <w:sz w:val="18"/>
                <w:szCs w:val="18"/>
              </w:rPr>
            </w:pPr>
          </w:p>
        </w:tc>
        <w:tc>
          <w:tcPr>
            <w:tcW w:w="933" w:type="dxa"/>
            <w:vMerge/>
          </w:tcPr>
          <w:p w14:paraId="0D819387" w14:textId="77777777" w:rsidR="004E7FA9" w:rsidRPr="003B6A69" w:rsidRDefault="004E7FA9" w:rsidP="00AE6C8E">
            <w:pPr>
              <w:rPr>
                <w:rFonts w:asciiTheme="minorHAnsi" w:hAnsiTheme="minorHAnsi" w:cstheme="minorHAnsi"/>
                <w:sz w:val="18"/>
                <w:szCs w:val="18"/>
              </w:rPr>
            </w:pPr>
          </w:p>
        </w:tc>
        <w:tc>
          <w:tcPr>
            <w:tcW w:w="2442" w:type="dxa"/>
            <w:gridSpan w:val="2"/>
            <w:vMerge/>
          </w:tcPr>
          <w:p w14:paraId="3F056481" w14:textId="77777777" w:rsidR="004E7FA9" w:rsidRPr="003B6A69" w:rsidRDefault="004E7FA9" w:rsidP="00AE6C8E">
            <w:pPr>
              <w:rPr>
                <w:rFonts w:asciiTheme="minorHAnsi" w:hAnsiTheme="minorHAnsi" w:cstheme="minorHAnsi"/>
                <w:sz w:val="18"/>
                <w:szCs w:val="18"/>
              </w:rPr>
            </w:pPr>
          </w:p>
        </w:tc>
        <w:tc>
          <w:tcPr>
            <w:tcW w:w="4438" w:type="dxa"/>
            <w:gridSpan w:val="2"/>
          </w:tcPr>
          <w:p w14:paraId="4CED871F"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Expected</w:t>
            </w:r>
          </w:p>
        </w:tc>
        <w:tc>
          <w:tcPr>
            <w:tcW w:w="5343" w:type="dxa"/>
            <w:gridSpan w:val="2"/>
          </w:tcPr>
          <w:p w14:paraId="4F659D6E"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Achieved</w:t>
            </w:r>
          </w:p>
        </w:tc>
      </w:tr>
      <w:tr w:rsidR="004E7FA9" w:rsidRPr="003B6A69" w14:paraId="2CDA05C5" w14:textId="77777777" w:rsidTr="00AE6C8E">
        <w:trPr>
          <w:trHeight w:val="215"/>
        </w:trPr>
        <w:tc>
          <w:tcPr>
            <w:tcW w:w="1298" w:type="dxa"/>
            <w:vMerge/>
          </w:tcPr>
          <w:p w14:paraId="51DFE514" w14:textId="77777777" w:rsidR="004E7FA9" w:rsidRPr="003B6A69" w:rsidRDefault="004E7FA9" w:rsidP="00AE6C8E">
            <w:pPr>
              <w:rPr>
                <w:rFonts w:asciiTheme="minorHAnsi" w:hAnsiTheme="minorHAnsi" w:cstheme="minorHAnsi"/>
                <w:sz w:val="18"/>
                <w:szCs w:val="18"/>
              </w:rPr>
            </w:pPr>
          </w:p>
        </w:tc>
        <w:tc>
          <w:tcPr>
            <w:tcW w:w="933" w:type="dxa"/>
            <w:vMerge/>
          </w:tcPr>
          <w:p w14:paraId="1564126D" w14:textId="77777777" w:rsidR="004E7FA9" w:rsidRPr="003B6A69" w:rsidRDefault="004E7FA9" w:rsidP="00AE6C8E">
            <w:pPr>
              <w:rPr>
                <w:rFonts w:asciiTheme="minorHAnsi" w:hAnsiTheme="minorHAnsi" w:cstheme="minorHAnsi"/>
                <w:sz w:val="18"/>
                <w:szCs w:val="18"/>
              </w:rPr>
            </w:pPr>
          </w:p>
        </w:tc>
        <w:tc>
          <w:tcPr>
            <w:tcW w:w="2442" w:type="dxa"/>
            <w:gridSpan w:val="2"/>
            <w:vMerge/>
          </w:tcPr>
          <w:p w14:paraId="3B239120" w14:textId="77777777" w:rsidR="004E7FA9" w:rsidRPr="003B6A69" w:rsidRDefault="004E7FA9" w:rsidP="00AE6C8E">
            <w:pPr>
              <w:rPr>
                <w:rFonts w:asciiTheme="minorHAnsi" w:hAnsiTheme="minorHAnsi" w:cstheme="minorHAnsi"/>
                <w:sz w:val="18"/>
                <w:szCs w:val="18"/>
              </w:rPr>
            </w:pPr>
          </w:p>
        </w:tc>
        <w:tc>
          <w:tcPr>
            <w:tcW w:w="1712" w:type="dxa"/>
          </w:tcPr>
          <w:p w14:paraId="5E8354EF"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PIF stage</w:t>
            </w:r>
          </w:p>
        </w:tc>
        <w:tc>
          <w:tcPr>
            <w:tcW w:w="2726" w:type="dxa"/>
          </w:tcPr>
          <w:p w14:paraId="6F5E4CA2"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Endorsement</w:t>
            </w:r>
          </w:p>
        </w:tc>
        <w:tc>
          <w:tcPr>
            <w:tcW w:w="1985" w:type="dxa"/>
          </w:tcPr>
          <w:p w14:paraId="0FAECDB4"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MTR</w:t>
            </w:r>
          </w:p>
        </w:tc>
        <w:tc>
          <w:tcPr>
            <w:tcW w:w="3358" w:type="dxa"/>
          </w:tcPr>
          <w:p w14:paraId="401626C4"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TE</w:t>
            </w:r>
          </w:p>
        </w:tc>
      </w:tr>
      <w:tr w:rsidR="004E7FA9" w:rsidRPr="003B6A69" w14:paraId="3108A1AC" w14:textId="77777777" w:rsidTr="00AE6C8E">
        <w:tc>
          <w:tcPr>
            <w:tcW w:w="1298" w:type="dxa"/>
          </w:tcPr>
          <w:p w14:paraId="431C24DE" w14:textId="77777777" w:rsidR="004E7FA9" w:rsidRPr="003B6A69" w:rsidRDefault="004E7FA9" w:rsidP="00AE6C8E">
            <w:pPr>
              <w:jc w:val="right"/>
              <w:rPr>
                <w:rFonts w:asciiTheme="minorHAnsi" w:hAnsiTheme="minorHAnsi" w:cstheme="minorHAnsi"/>
                <w:sz w:val="18"/>
                <w:szCs w:val="18"/>
              </w:rPr>
            </w:pPr>
          </w:p>
        </w:tc>
        <w:tc>
          <w:tcPr>
            <w:tcW w:w="933" w:type="dxa"/>
          </w:tcPr>
          <w:p w14:paraId="29BF2B5F" w14:textId="77777777" w:rsidR="004E7FA9" w:rsidRPr="003B6A69" w:rsidRDefault="004E7FA9" w:rsidP="00AE6C8E">
            <w:pPr>
              <w:jc w:val="right"/>
              <w:rPr>
                <w:rFonts w:asciiTheme="minorHAnsi" w:hAnsiTheme="minorHAnsi" w:cstheme="minorHAnsi"/>
                <w:sz w:val="18"/>
                <w:szCs w:val="18"/>
              </w:rPr>
            </w:pPr>
          </w:p>
        </w:tc>
        <w:tc>
          <w:tcPr>
            <w:tcW w:w="2442" w:type="dxa"/>
            <w:gridSpan w:val="2"/>
          </w:tcPr>
          <w:p w14:paraId="25EFA35F" w14:textId="77777777" w:rsidR="004E7FA9" w:rsidRPr="003B6A69" w:rsidRDefault="004E7FA9" w:rsidP="00AE6C8E">
            <w:pPr>
              <w:jc w:val="right"/>
              <w:rPr>
                <w:rFonts w:asciiTheme="minorHAnsi" w:hAnsiTheme="minorHAnsi" w:cstheme="minorHAnsi"/>
                <w:sz w:val="18"/>
                <w:szCs w:val="18"/>
              </w:rPr>
            </w:pPr>
          </w:p>
        </w:tc>
        <w:tc>
          <w:tcPr>
            <w:tcW w:w="1712" w:type="dxa"/>
          </w:tcPr>
          <w:p w14:paraId="755B2E67"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2726" w:type="dxa"/>
          </w:tcPr>
          <w:p w14:paraId="46101CC7"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1985" w:type="dxa"/>
          </w:tcPr>
          <w:p w14:paraId="732CE5C4"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3358" w:type="dxa"/>
          </w:tcPr>
          <w:p w14:paraId="1C778A7D"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r>
      <w:tr w:rsidR="004E7FA9" w:rsidRPr="003B6A69" w14:paraId="2F2DCE1B" w14:textId="77777777" w:rsidTr="00AE6C8E">
        <w:tc>
          <w:tcPr>
            <w:tcW w:w="1298" w:type="dxa"/>
          </w:tcPr>
          <w:p w14:paraId="332F092B" w14:textId="77777777" w:rsidR="004E7FA9" w:rsidRPr="003B6A69" w:rsidRDefault="004E7FA9" w:rsidP="00AE6C8E">
            <w:pPr>
              <w:jc w:val="right"/>
              <w:rPr>
                <w:rFonts w:asciiTheme="minorHAnsi" w:hAnsiTheme="minorHAnsi" w:cstheme="minorHAnsi"/>
                <w:sz w:val="18"/>
                <w:szCs w:val="18"/>
              </w:rPr>
            </w:pPr>
          </w:p>
        </w:tc>
        <w:tc>
          <w:tcPr>
            <w:tcW w:w="933" w:type="dxa"/>
          </w:tcPr>
          <w:p w14:paraId="2E7F8D9D" w14:textId="77777777" w:rsidR="004E7FA9" w:rsidRPr="003B6A69" w:rsidRDefault="004E7FA9" w:rsidP="00AE6C8E">
            <w:pPr>
              <w:jc w:val="right"/>
              <w:rPr>
                <w:rFonts w:asciiTheme="minorHAnsi" w:hAnsiTheme="minorHAnsi" w:cstheme="minorHAnsi"/>
                <w:sz w:val="18"/>
                <w:szCs w:val="18"/>
              </w:rPr>
            </w:pPr>
          </w:p>
        </w:tc>
        <w:tc>
          <w:tcPr>
            <w:tcW w:w="2442" w:type="dxa"/>
            <w:gridSpan w:val="2"/>
          </w:tcPr>
          <w:p w14:paraId="6E689573" w14:textId="77777777" w:rsidR="004E7FA9" w:rsidRPr="003B6A69" w:rsidRDefault="004E7FA9" w:rsidP="00AE6C8E">
            <w:pPr>
              <w:jc w:val="right"/>
              <w:rPr>
                <w:rFonts w:asciiTheme="minorHAnsi" w:hAnsiTheme="minorHAnsi" w:cstheme="minorHAnsi"/>
                <w:sz w:val="18"/>
                <w:szCs w:val="18"/>
              </w:rPr>
            </w:pPr>
          </w:p>
        </w:tc>
        <w:tc>
          <w:tcPr>
            <w:tcW w:w="1712" w:type="dxa"/>
          </w:tcPr>
          <w:p w14:paraId="3D3A5FAD"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2726" w:type="dxa"/>
          </w:tcPr>
          <w:p w14:paraId="03755647"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1985" w:type="dxa"/>
          </w:tcPr>
          <w:p w14:paraId="477BA0E2"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3358" w:type="dxa"/>
          </w:tcPr>
          <w:p w14:paraId="6CD7D5B1"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r>
      <w:tr w:rsidR="004E7FA9" w:rsidRPr="003B6A69" w14:paraId="1E960401" w14:textId="77777777" w:rsidTr="00AE6C8E">
        <w:tc>
          <w:tcPr>
            <w:tcW w:w="1298" w:type="dxa"/>
            <w:shd w:val="clear" w:color="auto" w:fill="BFBFBF" w:themeFill="background1" w:themeFillShade="BF"/>
          </w:tcPr>
          <w:p w14:paraId="0B489D61" w14:textId="77777777" w:rsidR="004E7FA9" w:rsidRPr="003B6A69" w:rsidRDefault="004E7FA9" w:rsidP="00AE6C8E">
            <w:pPr>
              <w:rPr>
                <w:rFonts w:asciiTheme="minorHAnsi" w:hAnsiTheme="minorHAnsi" w:cstheme="minorHAnsi"/>
                <w:sz w:val="18"/>
                <w:szCs w:val="18"/>
              </w:rPr>
            </w:pPr>
            <w:r w:rsidRPr="003B6A69">
              <w:rPr>
                <w:rFonts w:asciiTheme="minorHAnsi" w:hAnsiTheme="minorHAnsi" w:cstheme="minorHAnsi"/>
                <w:sz w:val="18"/>
                <w:szCs w:val="18"/>
              </w:rPr>
              <w:t>Indicator 3.3</w:t>
            </w:r>
          </w:p>
        </w:tc>
        <w:tc>
          <w:tcPr>
            <w:tcW w:w="9798" w:type="dxa"/>
            <w:gridSpan w:val="6"/>
            <w:shd w:val="clear" w:color="auto" w:fill="BFBFBF" w:themeFill="background1" w:themeFillShade="BF"/>
          </w:tcPr>
          <w:p w14:paraId="7BCA5539" w14:textId="77777777" w:rsidR="004E7FA9" w:rsidRPr="003B6A69" w:rsidRDefault="004E7FA9" w:rsidP="00AE6C8E">
            <w:pPr>
              <w:rPr>
                <w:rFonts w:asciiTheme="minorHAnsi" w:hAnsiTheme="minorHAnsi" w:cstheme="minorHAnsi"/>
                <w:sz w:val="18"/>
                <w:szCs w:val="18"/>
              </w:rPr>
            </w:pPr>
            <w:r w:rsidRPr="003B6A69">
              <w:rPr>
                <w:rFonts w:asciiTheme="minorHAnsi" w:hAnsiTheme="minorHAnsi" w:cstheme="minorHAnsi"/>
                <w:sz w:val="18"/>
                <w:szCs w:val="18"/>
              </w:rPr>
              <w:t>Area of natural grass and shrublands restored</w:t>
            </w:r>
          </w:p>
        </w:tc>
        <w:tc>
          <w:tcPr>
            <w:tcW w:w="3358" w:type="dxa"/>
            <w:shd w:val="clear" w:color="auto" w:fill="BFBFBF" w:themeFill="background1" w:themeFillShade="BF"/>
          </w:tcPr>
          <w:p w14:paraId="1C345462"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r>
      <w:tr w:rsidR="004E7FA9" w:rsidRPr="003B6A69" w14:paraId="7FE4DE4B" w14:textId="77777777" w:rsidTr="00AE6C8E">
        <w:trPr>
          <w:trHeight w:val="125"/>
        </w:trPr>
        <w:tc>
          <w:tcPr>
            <w:tcW w:w="1298" w:type="dxa"/>
            <w:vMerge w:val="restart"/>
          </w:tcPr>
          <w:p w14:paraId="7C244A04" w14:textId="77777777" w:rsidR="004E7FA9" w:rsidRPr="003B6A69" w:rsidRDefault="004E7FA9" w:rsidP="00AE6C8E">
            <w:pPr>
              <w:rPr>
                <w:rFonts w:asciiTheme="minorHAnsi" w:hAnsiTheme="minorHAnsi" w:cstheme="minorHAnsi"/>
                <w:sz w:val="18"/>
                <w:szCs w:val="18"/>
              </w:rPr>
            </w:pPr>
          </w:p>
        </w:tc>
        <w:tc>
          <w:tcPr>
            <w:tcW w:w="933" w:type="dxa"/>
            <w:vMerge w:val="restart"/>
          </w:tcPr>
          <w:p w14:paraId="17386960" w14:textId="77777777" w:rsidR="004E7FA9" w:rsidRPr="003B6A69" w:rsidRDefault="004E7FA9" w:rsidP="00AE6C8E">
            <w:pPr>
              <w:rPr>
                <w:rFonts w:asciiTheme="minorHAnsi" w:hAnsiTheme="minorHAnsi" w:cstheme="minorHAnsi"/>
                <w:sz w:val="18"/>
                <w:szCs w:val="18"/>
              </w:rPr>
            </w:pPr>
          </w:p>
        </w:tc>
        <w:tc>
          <w:tcPr>
            <w:tcW w:w="2442" w:type="dxa"/>
            <w:gridSpan w:val="2"/>
            <w:vMerge w:val="restart"/>
          </w:tcPr>
          <w:p w14:paraId="6A2F4D55" w14:textId="77777777" w:rsidR="004E7FA9" w:rsidRPr="003B6A69" w:rsidRDefault="004E7FA9" w:rsidP="00AE6C8E">
            <w:pPr>
              <w:rPr>
                <w:rFonts w:asciiTheme="minorHAnsi" w:hAnsiTheme="minorHAnsi" w:cstheme="minorHAnsi"/>
                <w:sz w:val="18"/>
                <w:szCs w:val="18"/>
              </w:rPr>
            </w:pPr>
          </w:p>
        </w:tc>
        <w:tc>
          <w:tcPr>
            <w:tcW w:w="9781" w:type="dxa"/>
            <w:gridSpan w:val="4"/>
          </w:tcPr>
          <w:p w14:paraId="33B69E54"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Hectares</w:t>
            </w:r>
          </w:p>
        </w:tc>
      </w:tr>
      <w:tr w:rsidR="004E7FA9" w:rsidRPr="003B6A69" w14:paraId="6F37575F" w14:textId="77777777" w:rsidTr="00AE6C8E">
        <w:trPr>
          <w:trHeight w:val="58"/>
        </w:trPr>
        <w:tc>
          <w:tcPr>
            <w:tcW w:w="1298" w:type="dxa"/>
            <w:vMerge/>
          </w:tcPr>
          <w:p w14:paraId="0A30E507" w14:textId="77777777" w:rsidR="004E7FA9" w:rsidRPr="003B6A69" w:rsidRDefault="004E7FA9" w:rsidP="00AE6C8E">
            <w:pPr>
              <w:rPr>
                <w:rFonts w:asciiTheme="minorHAnsi" w:hAnsiTheme="minorHAnsi" w:cstheme="minorHAnsi"/>
                <w:sz w:val="18"/>
                <w:szCs w:val="18"/>
              </w:rPr>
            </w:pPr>
          </w:p>
        </w:tc>
        <w:tc>
          <w:tcPr>
            <w:tcW w:w="933" w:type="dxa"/>
            <w:vMerge/>
          </w:tcPr>
          <w:p w14:paraId="10CEE1BD" w14:textId="77777777" w:rsidR="004E7FA9" w:rsidRPr="003B6A69" w:rsidRDefault="004E7FA9" w:rsidP="00AE6C8E">
            <w:pPr>
              <w:rPr>
                <w:rFonts w:asciiTheme="minorHAnsi" w:hAnsiTheme="minorHAnsi" w:cstheme="minorHAnsi"/>
                <w:sz w:val="18"/>
                <w:szCs w:val="18"/>
              </w:rPr>
            </w:pPr>
          </w:p>
        </w:tc>
        <w:tc>
          <w:tcPr>
            <w:tcW w:w="2442" w:type="dxa"/>
            <w:gridSpan w:val="2"/>
            <w:vMerge/>
          </w:tcPr>
          <w:p w14:paraId="6BB6B8DE" w14:textId="77777777" w:rsidR="004E7FA9" w:rsidRPr="003B6A69" w:rsidRDefault="004E7FA9" w:rsidP="00AE6C8E">
            <w:pPr>
              <w:rPr>
                <w:rFonts w:asciiTheme="minorHAnsi" w:hAnsiTheme="minorHAnsi" w:cstheme="minorHAnsi"/>
                <w:sz w:val="18"/>
                <w:szCs w:val="18"/>
              </w:rPr>
            </w:pPr>
          </w:p>
        </w:tc>
        <w:tc>
          <w:tcPr>
            <w:tcW w:w="4438" w:type="dxa"/>
            <w:gridSpan w:val="2"/>
          </w:tcPr>
          <w:p w14:paraId="5BDF191A"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Expected</w:t>
            </w:r>
          </w:p>
        </w:tc>
        <w:tc>
          <w:tcPr>
            <w:tcW w:w="5343" w:type="dxa"/>
            <w:gridSpan w:val="2"/>
          </w:tcPr>
          <w:p w14:paraId="18D2EF69"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Achieved</w:t>
            </w:r>
          </w:p>
        </w:tc>
      </w:tr>
      <w:tr w:rsidR="004E7FA9" w:rsidRPr="003B6A69" w14:paraId="41E238B9" w14:textId="77777777" w:rsidTr="00AE6C8E">
        <w:trPr>
          <w:trHeight w:val="107"/>
        </w:trPr>
        <w:tc>
          <w:tcPr>
            <w:tcW w:w="1298" w:type="dxa"/>
            <w:vMerge/>
          </w:tcPr>
          <w:p w14:paraId="391FDB9C" w14:textId="77777777" w:rsidR="004E7FA9" w:rsidRPr="003B6A69" w:rsidRDefault="004E7FA9" w:rsidP="00AE6C8E">
            <w:pPr>
              <w:rPr>
                <w:rFonts w:asciiTheme="minorHAnsi" w:hAnsiTheme="minorHAnsi" w:cstheme="minorHAnsi"/>
                <w:sz w:val="18"/>
                <w:szCs w:val="18"/>
              </w:rPr>
            </w:pPr>
          </w:p>
        </w:tc>
        <w:tc>
          <w:tcPr>
            <w:tcW w:w="933" w:type="dxa"/>
            <w:vMerge/>
          </w:tcPr>
          <w:p w14:paraId="1638D281" w14:textId="77777777" w:rsidR="004E7FA9" w:rsidRPr="003B6A69" w:rsidRDefault="004E7FA9" w:rsidP="00AE6C8E">
            <w:pPr>
              <w:rPr>
                <w:rFonts w:asciiTheme="minorHAnsi" w:hAnsiTheme="minorHAnsi" w:cstheme="minorHAnsi"/>
                <w:sz w:val="18"/>
                <w:szCs w:val="18"/>
              </w:rPr>
            </w:pPr>
          </w:p>
        </w:tc>
        <w:tc>
          <w:tcPr>
            <w:tcW w:w="2442" w:type="dxa"/>
            <w:gridSpan w:val="2"/>
            <w:vMerge/>
          </w:tcPr>
          <w:p w14:paraId="1CF068BF" w14:textId="77777777" w:rsidR="004E7FA9" w:rsidRPr="003B6A69" w:rsidRDefault="004E7FA9" w:rsidP="00AE6C8E">
            <w:pPr>
              <w:rPr>
                <w:rFonts w:asciiTheme="minorHAnsi" w:hAnsiTheme="minorHAnsi" w:cstheme="minorHAnsi"/>
                <w:sz w:val="18"/>
                <w:szCs w:val="18"/>
              </w:rPr>
            </w:pPr>
          </w:p>
        </w:tc>
        <w:tc>
          <w:tcPr>
            <w:tcW w:w="1712" w:type="dxa"/>
          </w:tcPr>
          <w:p w14:paraId="4DEF1E9C"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PIF stage</w:t>
            </w:r>
          </w:p>
        </w:tc>
        <w:tc>
          <w:tcPr>
            <w:tcW w:w="2726" w:type="dxa"/>
          </w:tcPr>
          <w:p w14:paraId="69761B7D"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Endorsement</w:t>
            </w:r>
          </w:p>
        </w:tc>
        <w:tc>
          <w:tcPr>
            <w:tcW w:w="1985" w:type="dxa"/>
          </w:tcPr>
          <w:p w14:paraId="73097BEC"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MTR</w:t>
            </w:r>
          </w:p>
        </w:tc>
        <w:tc>
          <w:tcPr>
            <w:tcW w:w="3358" w:type="dxa"/>
          </w:tcPr>
          <w:p w14:paraId="4DE4140E"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TE</w:t>
            </w:r>
          </w:p>
        </w:tc>
      </w:tr>
      <w:tr w:rsidR="004E7FA9" w:rsidRPr="003B6A69" w14:paraId="4FC1D29F" w14:textId="77777777" w:rsidTr="00AE6C8E">
        <w:tc>
          <w:tcPr>
            <w:tcW w:w="1298" w:type="dxa"/>
          </w:tcPr>
          <w:p w14:paraId="1EA6F0AB" w14:textId="77777777" w:rsidR="004E7FA9" w:rsidRPr="003B6A69" w:rsidRDefault="004E7FA9" w:rsidP="00AE6C8E">
            <w:pPr>
              <w:jc w:val="right"/>
              <w:rPr>
                <w:rFonts w:asciiTheme="minorHAnsi" w:hAnsiTheme="minorHAnsi" w:cstheme="minorHAnsi"/>
                <w:sz w:val="18"/>
                <w:szCs w:val="18"/>
              </w:rPr>
            </w:pPr>
          </w:p>
        </w:tc>
        <w:tc>
          <w:tcPr>
            <w:tcW w:w="933" w:type="dxa"/>
          </w:tcPr>
          <w:p w14:paraId="056B9356" w14:textId="77777777" w:rsidR="004E7FA9" w:rsidRPr="003B6A69" w:rsidRDefault="004E7FA9" w:rsidP="00AE6C8E">
            <w:pPr>
              <w:jc w:val="right"/>
              <w:rPr>
                <w:rFonts w:asciiTheme="minorHAnsi" w:hAnsiTheme="minorHAnsi" w:cstheme="minorHAnsi"/>
                <w:sz w:val="18"/>
                <w:szCs w:val="18"/>
              </w:rPr>
            </w:pPr>
          </w:p>
        </w:tc>
        <w:tc>
          <w:tcPr>
            <w:tcW w:w="2442" w:type="dxa"/>
            <w:gridSpan w:val="2"/>
          </w:tcPr>
          <w:p w14:paraId="0AFFFB19" w14:textId="77777777" w:rsidR="004E7FA9" w:rsidRPr="003B6A69" w:rsidRDefault="004E7FA9" w:rsidP="00AE6C8E">
            <w:pPr>
              <w:jc w:val="right"/>
              <w:rPr>
                <w:rFonts w:asciiTheme="minorHAnsi" w:hAnsiTheme="minorHAnsi" w:cstheme="minorHAnsi"/>
                <w:sz w:val="18"/>
                <w:szCs w:val="18"/>
              </w:rPr>
            </w:pPr>
          </w:p>
        </w:tc>
        <w:tc>
          <w:tcPr>
            <w:tcW w:w="1712" w:type="dxa"/>
          </w:tcPr>
          <w:p w14:paraId="1950B20B"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2726" w:type="dxa"/>
          </w:tcPr>
          <w:p w14:paraId="47CB202B"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1985" w:type="dxa"/>
          </w:tcPr>
          <w:p w14:paraId="569DF919"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3358" w:type="dxa"/>
          </w:tcPr>
          <w:p w14:paraId="056A0801"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r>
      <w:tr w:rsidR="004E7FA9" w:rsidRPr="003B6A69" w14:paraId="53C7778E" w14:textId="77777777" w:rsidTr="00AE6C8E">
        <w:tc>
          <w:tcPr>
            <w:tcW w:w="1298" w:type="dxa"/>
          </w:tcPr>
          <w:p w14:paraId="59BA09CF" w14:textId="77777777" w:rsidR="004E7FA9" w:rsidRPr="003B6A69" w:rsidRDefault="004E7FA9" w:rsidP="00AE6C8E">
            <w:pPr>
              <w:jc w:val="right"/>
              <w:rPr>
                <w:rFonts w:asciiTheme="minorHAnsi" w:hAnsiTheme="minorHAnsi" w:cstheme="minorHAnsi"/>
                <w:sz w:val="18"/>
                <w:szCs w:val="18"/>
              </w:rPr>
            </w:pPr>
          </w:p>
        </w:tc>
        <w:tc>
          <w:tcPr>
            <w:tcW w:w="933" w:type="dxa"/>
          </w:tcPr>
          <w:p w14:paraId="51172131" w14:textId="77777777" w:rsidR="004E7FA9" w:rsidRPr="003B6A69" w:rsidRDefault="004E7FA9" w:rsidP="00AE6C8E">
            <w:pPr>
              <w:jc w:val="right"/>
              <w:rPr>
                <w:rFonts w:asciiTheme="minorHAnsi" w:hAnsiTheme="minorHAnsi" w:cstheme="minorHAnsi"/>
                <w:sz w:val="18"/>
                <w:szCs w:val="18"/>
              </w:rPr>
            </w:pPr>
          </w:p>
        </w:tc>
        <w:tc>
          <w:tcPr>
            <w:tcW w:w="2442" w:type="dxa"/>
            <w:gridSpan w:val="2"/>
          </w:tcPr>
          <w:p w14:paraId="7F612A37" w14:textId="77777777" w:rsidR="004E7FA9" w:rsidRPr="003B6A69" w:rsidRDefault="004E7FA9" w:rsidP="00AE6C8E">
            <w:pPr>
              <w:jc w:val="right"/>
              <w:rPr>
                <w:rFonts w:asciiTheme="minorHAnsi" w:hAnsiTheme="minorHAnsi" w:cstheme="minorHAnsi"/>
                <w:sz w:val="18"/>
                <w:szCs w:val="18"/>
              </w:rPr>
            </w:pPr>
          </w:p>
        </w:tc>
        <w:tc>
          <w:tcPr>
            <w:tcW w:w="1712" w:type="dxa"/>
          </w:tcPr>
          <w:p w14:paraId="4D9D82E1"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2726" w:type="dxa"/>
          </w:tcPr>
          <w:p w14:paraId="2EB2D82B"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1985" w:type="dxa"/>
          </w:tcPr>
          <w:p w14:paraId="1E1BA8B7"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3358" w:type="dxa"/>
          </w:tcPr>
          <w:p w14:paraId="262425B6"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r>
      <w:tr w:rsidR="004E7FA9" w:rsidRPr="003B6A69" w14:paraId="1BB707A1" w14:textId="77777777" w:rsidTr="00AE6C8E">
        <w:tc>
          <w:tcPr>
            <w:tcW w:w="1298" w:type="dxa"/>
            <w:shd w:val="clear" w:color="auto" w:fill="BFBFBF" w:themeFill="background1" w:themeFillShade="BF"/>
          </w:tcPr>
          <w:p w14:paraId="26426485" w14:textId="77777777" w:rsidR="004E7FA9" w:rsidRPr="003B6A69" w:rsidRDefault="004E7FA9" w:rsidP="00AE6C8E">
            <w:pPr>
              <w:rPr>
                <w:rFonts w:asciiTheme="minorHAnsi" w:hAnsiTheme="minorHAnsi" w:cstheme="minorHAnsi"/>
                <w:sz w:val="18"/>
                <w:szCs w:val="18"/>
              </w:rPr>
            </w:pPr>
            <w:r w:rsidRPr="003B6A69">
              <w:rPr>
                <w:rFonts w:asciiTheme="minorHAnsi" w:hAnsiTheme="minorHAnsi" w:cstheme="minorHAnsi"/>
                <w:sz w:val="18"/>
                <w:szCs w:val="18"/>
              </w:rPr>
              <w:t>Indicator 3.4</w:t>
            </w:r>
          </w:p>
        </w:tc>
        <w:tc>
          <w:tcPr>
            <w:tcW w:w="9798" w:type="dxa"/>
            <w:gridSpan w:val="6"/>
            <w:shd w:val="clear" w:color="auto" w:fill="BFBFBF" w:themeFill="background1" w:themeFillShade="BF"/>
          </w:tcPr>
          <w:p w14:paraId="5C17054D" w14:textId="77777777" w:rsidR="004E7FA9" w:rsidRPr="003B6A69" w:rsidRDefault="004E7FA9" w:rsidP="00AE6C8E">
            <w:pPr>
              <w:rPr>
                <w:rFonts w:asciiTheme="minorHAnsi" w:hAnsiTheme="minorHAnsi" w:cstheme="minorHAnsi"/>
                <w:sz w:val="18"/>
                <w:szCs w:val="18"/>
              </w:rPr>
            </w:pPr>
            <w:r w:rsidRPr="003B6A69">
              <w:rPr>
                <w:rFonts w:asciiTheme="minorHAnsi" w:hAnsiTheme="minorHAnsi" w:cstheme="minorHAnsi"/>
                <w:sz w:val="18"/>
                <w:szCs w:val="18"/>
              </w:rPr>
              <w:t>Area of wetlands (including estuaries, mangroves) restored</w:t>
            </w:r>
          </w:p>
        </w:tc>
        <w:tc>
          <w:tcPr>
            <w:tcW w:w="3358" w:type="dxa"/>
            <w:shd w:val="clear" w:color="auto" w:fill="BFBFBF" w:themeFill="background1" w:themeFillShade="BF"/>
          </w:tcPr>
          <w:p w14:paraId="7A3343A5"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r>
      <w:tr w:rsidR="004E7FA9" w:rsidRPr="003B6A69" w14:paraId="17D8CF25" w14:textId="77777777" w:rsidTr="00AE6C8E">
        <w:trPr>
          <w:trHeight w:val="125"/>
        </w:trPr>
        <w:tc>
          <w:tcPr>
            <w:tcW w:w="1298" w:type="dxa"/>
            <w:vMerge w:val="restart"/>
          </w:tcPr>
          <w:p w14:paraId="57AC7A89" w14:textId="77777777" w:rsidR="004E7FA9" w:rsidRPr="003B6A69" w:rsidRDefault="004E7FA9" w:rsidP="00AE6C8E">
            <w:pPr>
              <w:rPr>
                <w:rFonts w:asciiTheme="minorHAnsi" w:hAnsiTheme="minorHAnsi" w:cstheme="minorHAnsi"/>
                <w:sz w:val="18"/>
                <w:szCs w:val="18"/>
              </w:rPr>
            </w:pPr>
          </w:p>
        </w:tc>
        <w:tc>
          <w:tcPr>
            <w:tcW w:w="933" w:type="dxa"/>
            <w:vMerge w:val="restart"/>
          </w:tcPr>
          <w:p w14:paraId="0EE5CBD0" w14:textId="77777777" w:rsidR="004E7FA9" w:rsidRPr="003B6A69" w:rsidRDefault="004E7FA9" w:rsidP="00AE6C8E">
            <w:pPr>
              <w:rPr>
                <w:rFonts w:asciiTheme="minorHAnsi" w:hAnsiTheme="minorHAnsi" w:cstheme="minorHAnsi"/>
                <w:sz w:val="18"/>
                <w:szCs w:val="18"/>
              </w:rPr>
            </w:pPr>
          </w:p>
        </w:tc>
        <w:tc>
          <w:tcPr>
            <w:tcW w:w="2442" w:type="dxa"/>
            <w:gridSpan w:val="2"/>
            <w:vMerge w:val="restart"/>
          </w:tcPr>
          <w:p w14:paraId="20C8AF93" w14:textId="77777777" w:rsidR="004E7FA9" w:rsidRPr="003B6A69" w:rsidRDefault="004E7FA9" w:rsidP="00AE6C8E">
            <w:pPr>
              <w:rPr>
                <w:rFonts w:asciiTheme="minorHAnsi" w:hAnsiTheme="minorHAnsi" w:cstheme="minorHAnsi"/>
                <w:sz w:val="18"/>
                <w:szCs w:val="18"/>
              </w:rPr>
            </w:pPr>
          </w:p>
        </w:tc>
        <w:tc>
          <w:tcPr>
            <w:tcW w:w="9781" w:type="dxa"/>
            <w:gridSpan w:val="4"/>
          </w:tcPr>
          <w:p w14:paraId="4E04590B"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Hectares</w:t>
            </w:r>
          </w:p>
        </w:tc>
      </w:tr>
      <w:tr w:rsidR="004E7FA9" w:rsidRPr="003B6A69" w14:paraId="413EF5AF" w14:textId="77777777" w:rsidTr="00AE6C8E">
        <w:trPr>
          <w:trHeight w:val="58"/>
        </w:trPr>
        <w:tc>
          <w:tcPr>
            <w:tcW w:w="1298" w:type="dxa"/>
            <w:vMerge/>
          </w:tcPr>
          <w:p w14:paraId="738F713D" w14:textId="77777777" w:rsidR="004E7FA9" w:rsidRPr="003B6A69" w:rsidRDefault="004E7FA9" w:rsidP="00AE6C8E">
            <w:pPr>
              <w:rPr>
                <w:rFonts w:asciiTheme="minorHAnsi" w:hAnsiTheme="minorHAnsi" w:cstheme="minorHAnsi"/>
                <w:sz w:val="18"/>
                <w:szCs w:val="18"/>
              </w:rPr>
            </w:pPr>
          </w:p>
        </w:tc>
        <w:tc>
          <w:tcPr>
            <w:tcW w:w="933" w:type="dxa"/>
            <w:vMerge/>
          </w:tcPr>
          <w:p w14:paraId="60F83735" w14:textId="77777777" w:rsidR="004E7FA9" w:rsidRPr="003B6A69" w:rsidRDefault="004E7FA9" w:rsidP="00AE6C8E">
            <w:pPr>
              <w:rPr>
                <w:rFonts w:asciiTheme="minorHAnsi" w:hAnsiTheme="minorHAnsi" w:cstheme="minorHAnsi"/>
                <w:sz w:val="18"/>
                <w:szCs w:val="18"/>
              </w:rPr>
            </w:pPr>
          </w:p>
        </w:tc>
        <w:tc>
          <w:tcPr>
            <w:tcW w:w="2442" w:type="dxa"/>
            <w:gridSpan w:val="2"/>
            <w:vMerge/>
          </w:tcPr>
          <w:p w14:paraId="2D6AC472" w14:textId="77777777" w:rsidR="004E7FA9" w:rsidRPr="003B6A69" w:rsidRDefault="004E7FA9" w:rsidP="00AE6C8E">
            <w:pPr>
              <w:rPr>
                <w:rFonts w:asciiTheme="minorHAnsi" w:hAnsiTheme="minorHAnsi" w:cstheme="minorHAnsi"/>
                <w:sz w:val="18"/>
                <w:szCs w:val="18"/>
              </w:rPr>
            </w:pPr>
          </w:p>
        </w:tc>
        <w:tc>
          <w:tcPr>
            <w:tcW w:w="4438" w:type="dxa"/>
            <w:gridSpan w:val="2"/>
          </w:tcPr>
          <w:p w14:paraId="73FF1B3C"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Expected</w:t>
            </w:r>
          </w:p>
        </w:tc>
        <w:tc>
          <w:tcPr>
            <w:tcW w:w="5343" w:type="dxa"/>
            <w:gridSpan w:val="2"/>
          </w:tcPr>
          <w:p w14:paraId="1CC4B420"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Achieved</w:t>
            </w:r>
          </w:p>
        </w:tc>
      </w:tr>
      <w:tr w:rsidR="004E7FA9" w:rsidRPr="003B6A69" w14:paraId="16CAF96C" w14:textId="77777777" w:rsidTr="00AE6C8E">
        <w:trPr>
          <w:trHeight w:val="197"/>
        </w:trPr>
        <w:tc>
          <w:tcPr>
            <w:tcW w:w="1298" w:type="dxa"/>
            <w:vMerge/>
          </w:tcPr>
          <w:p w14:paraId="27640E0C" w14:textId="77777777" w:rsidR="004E7FA9" w:rsidRPr="003B6A69" w:rsidRDefault="004E7FA9" w:rsidP="00AE6C8E">
            <w:pPr>
              <w:rPr>
                <w:rFonts w:asciiTheme="minorHAnsi" w:hAnsiTheme="minorHAnsi" w:cstheme="minorHAnsi"/>
                <w:sz w:val="18"/>
                <w:szCs w:val="18"/>
              </w:rPr>
            </w:pPr>
          </w:p>
        </w:tc>
        <w:tc>
          <w:tcPr>
            <w:tcW w:w="933" w:type="dxa"/>
            <w:vMerge/>
          </w:tcPr>
          <w:p w14:paraId="447BA32C" w14:textId="77777777" w:rsidR="004E7FA9" w:rsidRPr="003B6A69" w:rsidRDefault="004E7FA9" w:rsidP="00AE6C8E">
            <w:pPr>
              <w:rPr>
                <w:rFonts w:asciiTheme="minorHAnsi" w:hAnsiTheme="minorHAnsi" w:cstheme="minorHAnsi"/>
                <w:sz w:val="18"/>
                <w:szCs w:val="18"/>
              </w:rPr>
            </w:pPr>
          </w:p>
        </w:tc>
        <w:tc>
          <w:tcPr>
            <w:tcW w:w="2442" w:type="dxa"/>
            <w:gridSpan w:val="2"/>
            <w:vMerge/>
          </w:tcPr>
          <w:p w14:paraId="562FAD65" w14:textId="77777777" w:rsidR="004E7FA9" w:rsidRPr="003B6A69" w:rsidRDefault="004E7FA9" w:rsidP="00AE6C8E">
            <w:pPr>
              <w:rPr>
                <w:rFonts w:asciiTheme="minorHAnsi" w:hAnsiTheme="minorHAnsi" w:cstheme="minorHAnsi"/>
                <w:sz w:val="18"/>
                <w:szCs w:val="18"/>
              </w:rPr>
            </w:pPr>
          </w:p>
        </w:tc>
        <w:tc>
          <w:tcPr>
            <w:tcW w:w="1712" w:type="dxa"/>
          </w:tcPr>
          <w:p w14:paraId="7E1BD06F"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PIF stage</w:t>
            </w:r>
          </w:p>
        </w:tc>
        <w:tc>
          <w:tcPr>
            <w:tcW w:w="2726" w:type="dxa"/>
          </w:tcPr>
          <w:p w14:paraId="0C181CE0"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Endorsement</w:t>
            </w:r>
          </w:p>
        </w:tc>
        <w:tc>
          <w:tcPr>
            <w:tcW w:w="1985" w:type="dxa"/>
          </w:tcPr>
          <w:p w14:paraId="14187C3E"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MTR</w:t>
            </w:r>
          </w:p>
        </w:tc>
        <w:tc>
          <w:tcPr>
            <w:tcW w:w="3358" w:type="dxa"/>
          </w:tcPr>
          <w:p w14:paraId="0A631937"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TE</w:t>
            </w:r>
          </w:p>
        </w:tc>
      </w:tr>
      <w:tr w:rsidR="004E7FA9" w:rsidRPr="003B6A69" w14:paraId="5D4AF526" w14:textId="77777777" w:rsidTr="00AE6C8E">
        <w:tc>
          <w:tcPr>
            <w:tcW w:w="1298" w:type="dxa"/>
          </w:tcPr>
          <w:p w14:paraId="03CF5EAF" w14:textId="77777777" w:rsidR="004E7FA9" w:rsidRPr="003B6A69" w:rsidRDefault="004E7FA9" w:rsidP="00AE6C8E">
            <w:pPr>
              <w:jc w:val="right"/>
              <w:rPr>
                <w:rFonts w:asciiTheme="minorHAnsi" w:hAnsiTheme="minorHAnsi" w:cstheme="minorHAnsi"/>
                <w:sz w:val="18"/>
                <w:szCs w:val="18"/>
              </w:rPr>
            </w:pPr>
          </w:p>
        </w:tc>
        <w:tc>
          <w:tcPr>
            <w:tcW w:w="933" w:type="dxa"/>
          </w:tcPr>
          <w:p w14:paraId="457006C3" w14:textId="77777777" w:rsidR="004E7FA9" w:rsidRPr="003B6A69" w:rsidRDefault="004E7FA9" w:rsidP="00AE6C8E">
            <w:pPr>
              <w:jc w:val="right"/>
              <w:rPr>
                <w:rFonts w:asciiTheme="minorHAnsi" w:hAnsiTheme="minorHAnsi" w:cstheme="minorHAnsi"/>
                <w:sz w:val="18"/>
                <w:szCs w:val="18"/>
              </w:rPr>
            </w:pPr>
          </w:p>
        </w:tc>
        <w:tc>
          <w:tcPr>
            <w:tcW w:w="2442" w:type="dxa"/>
            <w:gridSpan w:val="2"/>
          </w:tcPr>
          <w:p w14:paraId="75C0409A" w14:textId="77777777" w:rsidR="004E7FA9" w:rsidRPr="003B6A69" w:rsidRDefault="004E7FA9" w:rsidP="00AE6C8E">
            <w:pPr>
              <w:jc w:val="right"/>
              <w:rPr>
                <w:rFonts w:asciiTheme="minorHAnsi" w:hAnsiTheme="minorHAnsi" w:cstheme="minorHAnsi"/>
                <w:sz w:val="18"/>
                <w:szCs w:val="18"/>
              </w:rPr>
            </w:pPr>
          </w:p>
        </w:tc>
        <w:tc>
          <w:tcPr>
            <w:tcW w:w="1712" w:type="dxa"/>
          </w:tcPr>
          <w:p w14:paraId="6B7B4503"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2726" w:type="dxa"/>
          </w:tcPr>
          <w:p w14:paraId="731361AC"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1985" w:type="dxa"/>
          </w:tcPr>
          <w:p w14:paraId="4996FEBE"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3358" w:type="dxa"/>
          </w:tcPr>
          <w:p w14:paraId="40B79138"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r>
      <w:tr w:rsidR="004E7FA9" w:rsidRPr="003B6A69" w14:paraId="6D32B817" w14:textId="77777777" w:rsidTr="00AE6C8E">
        <w:tc>
          <w:tcPr>
            <w:tcW w:w="1298" w:type="dxa"/>
          </w:tcPr>
          <w:p w14:paraId="1FAB8A8C" w14:textId="77777777" w:rsidR="004E7FA9" w:rsidRPr="003B6A69" w:rsidRDefault="004E7FA9" w:rsidP="00AE6C8E">
            <w:pPr>
              <w:jc w:val="right"/>
              <w:rPr>
                <w:rFonts w:asciiTheme="minorHAnsi" w:hAnsiTheme="minorHAnsi" w:cstheme="minorHAnsi"/>
                <w:sz w:val="18"/>
                <w:szCs w:val="18"/>
              </w:rPr>
            </w:pPr>
          </w:p>
        </w:tc>
        <w:tc>
          <w:tcPr>
            <w:tcW w:w="933" w:type="dxa"/>
          </w:tcPr>
          <w:p w14:paraId="12EEEB3D" w14:textId="77777777" w:rsidR="004E7FA9" w:rsidRPr="003B6A69" w:rsidRDefault="004E7FA9" w:rsidP="00AE6C8E">
            <w:pPr>
              <w:jc w:val="right"/>
              <w:rPr>
                <w:rFonts w:asciiTheme="minorHAnsi" w:hAnsiTheme="minorHAnsi" w:cstheme="minorHAnsi"/>
                <w:sz w:val="18"/>
                <w:szCs w:val="18"/>
              </w:rPr>
            </w:pPr>
          </w:p>
        </w:tc>
        <w:tc>
          <w:tcPr>
            <w:tcW w:w="2442" w:type="dxa"/>
            <w:gridSpan w:val="2"/>
          </w:tcPr>
          <w:p w14:paraId="72C3367C" w14:textId="77777777" w:rsidR="004E7FA9" w:rsidRPr="003B6A69" w:rsidRDefault="004E7FA9" w:rsidP="00AE6C8E">
            <w:pPr>
              <w:jc w:val="right"/>
              <w:rPr>
                <w:rFonts w:asciiTheme="minorHAnsi" w:hAnsiTheme="minorHAnsi" w:cstheme="minorHAnsi"/>
                <w:sz w:val="18"/>
                <w:szCs w:val="18"/>
              </w:rPr>
            </w:pPr>
          </w:p>
        </w:tc>
        <w:tc>
          <w:tcPr>
            <w:tcW w:w="1712" w:type="dxa"/>
          </w:tcPr>
          <w:p w14:paraId="460E1D25"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2726" w:type="dxa"/>
          </w:tcPr>
          <w:p w14:paraId="2680F613"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1985" w:type="dxa"/>
          </w:tcPr>
          <w:p w14:paraId="3C6D0461"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3358" w:type="dxa"/>
          </w:tcPr>
          <w:p w14:paraId="3D4DD009"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r>
      <w:tr w:rsidR="004E7FA9" w:rsidRPr="003B6A69" w14:paraId="64B09B34" w14:textId="77777777" w:rsidTr="00AE6C8E">
        <w:tc>
          <w:tcPr>
            <w:tcW w:w="1298" w:type="dxa"/>
            <w:shd w:val="clear" w:color="auto" w:fill="D9D9D9" w:themeFill="background1" w:themeFillShade="D9"/>
          </w:tcPr>
          <w:p w14:paraId="4DCD4DDB" w14:textId="77777777" w:rsidR="004E7FA9" w:rsidRPr="003B6A69" w:rsidRDefault="004E7FA9" w:rsidP="00AE6C8E">
            <w:pPr>
              <w:rPr>
                <w:rFonts w:asciiTheme="minorHAnsi" w:hAnsiTheme="minorHAnsi" w:cstheme="minorHAnsi"/>
                <w:b/>
                <w:sz w:val="18"/>
                <w:szCs w:val="18"/>
              </w:rPr>
            </w:pPr>
            <w:r w:rsidRPr="003B6A69">
              <w:rPr>
                <w:rFonts w:asciiTheme="minorHAnsi" w:hAnsiTheme="minorHAnsi" w:cstheme="minorHAnsi"/>
                <w:b/>
                <w:sz w:val="18"/>
                <w:szCs w:val="18"/>
              </w:rPr>
              <w:t>Core Indicator 4</w:t>
            </w:r>
          </w:p>
        </w:tc>
        <w:tc>
          <w:tcPr>
            <w:tcW w:w="9798" w:type="dxa"/>
            <w:gridSpan w:val="6"/>
            <w:shd w:val="clear" w:color="auto" w:fill="D9D9D9" w:themeFill="background1" w:themeFillShade="D9"/>
          </w:tcPr>
          <w:p w14:paraId="58309C01" w14:textId="77777777" w:rsidR="004E7FA9" w:rsidRPr="003B6A69" w:rsidRDefault="004E7FA9" w:rsidP="00AE6C8E">
            <w:pPr>
              <w:rPr>
                <w:rFonts w:asciiTheme="minorHAnsi" w:hAnsiTheme="minorHAnsi" w:cstheme="minorHAnsi"/>
                <w:b/>
                <w:sz w:val="18"/>
                <w:szCs w:val="18"/>
              </w:rPr>
            </w:pPr>
            <w:r w:rsidRPr="003B6A69">
              <w:rPr>
                <w:rFonts w:asciiTheme="minorHAnsi" w:hAnsiTheme="minorHAnsi" w:cstheme="minorHAnsi"/>
                <w:b/>
                <w:sz w:val="18"/>
                <w:szCs w:val="18"/>
              </w:rPr>
              <w:t>Area of landscapes under improved practices (hectares; excluding protected areas)</w:t>
            </w:r>
          </w:p>
        </w:tc>
        <w:tc>
          <w:tcPr>
            <w:tcW w:w="3358" w:type="dxa"/>
            <w:shd w:val="clear" w:color="auto" w:fill="D9D9D9" w:themeFill="background1" w:themeFillShade="D9"/>
          </w:tcPr>
          <w:p w14:paraId="5BDDBD36" w14:textId="77777777" w:rsidR="004E7FA9" w:rsidRPr="003B6A69" w:rsidRDefault="004E7FA9" w:rsidP="00AE6C8E">
            <w:pPr>
              <w:jc w:val="right"/>
              <w:rPr>
                <w:rFonts w:asciiTheme="minorHAnsi" w:hAnsiTheme="minorHAnsi" w:cstheme="minorHAnsi"/>
                <w:b/>
                <w:sz w:val="18"/>
                <w:szCs w:val="18"/>
              </w:rPr>
            </w:pPr>
            <w:r w:rsidRPr="003B6A69">
              <w:rPr>
                <w:rFonts w:asciiTheme="minorHAnsi" w:hAnsiTheme="minorHAnsi" w:cstheme="minorHAnsi"/>
                <w:b/>
                <w:i/>
                <w:color w:val="000000"/>
                <w:sz w:val="18"/>
                <w:szCs w:val="18"/>
              </w:rPr>
              <w:fldChar w:fldCharType="begin">
                <w:ffData>
                  <w:name w:val="F_GEB_BD_target"/>
                  <w:enabled/>
                  <w:calcOnExit w:val="0"/>
                  <w:textInput>
                    <w:default w:val="(Hectares)"/>
                  </w:textInput>
                </w:ffData>
              </w:fldChar>
            </w:r>
            <w:r w:rsidRPr="003B6A69">
              <w:rPr>
                <w:rFonts w:asciiTheme="minorHAnsi" w:hAnsiTheme="minorHAnsi" w:cstheme="minorHAnsi"/>
                <w:b/>
                <w:i/>
                <w:color w:val="000000"/>
                <w:sz w:val="18"/>
                <w:szCs w:val="18"/>
              </w:rPr>
              <w:instrText xml:space="preserve"> FORMTEXT </w:instrText>
            </w:r>
            <w:r w:rsidRPr="003B6A69">
              <w:rPr>
                <w:rFonts w:asciiTheme="minorHAnsi" w:hAnsiTheme="minorHAnsi" w:cstheme="minorHAnsi"/>
                <w:b/>
                <w:i/>
                <w:color w:val="000000"/>
                <w:sz w:val="18"/>
                <w:szCs w:val="18"/>
              </w:rPr>
            </w:r>
            <w:r w:rsidRPr="003B6A69">
              <w:rPr>
                <w:rFonts w:asciiTheme="minorHAnsi" w:hAnsiTheme="minorHAnsi" w:cstheme="minorHAnsi"/>
                <w:b/>
                <w:i/>
                <w:color w:val="000000"/>
                <w:sz w:val="18"/>
                <w:szCs w:val="18"/>
              </w:rPr>
              <w:fldChar w:fldCharType="separate"/>
            </w:r>
            <w:r w:rsidRPr="003B6A69">
              <w:rPr>
                <w:rFonts w:asciiTheme="minorHAnsi" w:hAnsiTheme="minorHAnsi" w:cstheme="minorHAnsi"/>
                <w:b/>
                <w:i/>
                <w:noProof/>
                <w:color w:val="000000"/>
                <w:sz w:val="18"/>
                <w:szCs w:val="18"/>
              </w:rPr>
              <w:t>(Hectares)</w:t>
            </w:r>
            <w:r w:rsidRPr="003B6A69">
              <w:rPr>
                <w:rFonts w:asciiTheme="minorHAnsi" w:hAnsiTheme="minorHAnsi" w:cstheme="minorHAnsi"/>
                <w:b/>
                <w:i/>
                <w:color w:val="000000"/>
                <w:sz w:val="18"/>
                <w:szCs w:val="18"/>
              </w:rPr>
              <w:fldChar w:fldCharType="end"/>
            </w:r>
          </w:p>
        </w:tc>
      </w:tr>
      <w:tr w:rsidR="004E7FA9" w:rsidRPr="003B6A69" w14:paraId="260FE4E9" w14:textId="77777777" w:rsidTr="00AE6C8E">
        <w:tc>
          <w:tcPr>
            <w:tcW w:w="1298" w:type="dxa"/>
            <w:shd w:val="clear" w:color="auto" w:fill="auto"/>
          </w:tcPr>
          <w:p w14:paraId="663F0AE1" w14:textId="77777777" w:rsidR="004E7FA9" w:rsidRPr="003B6A69" w:rsidRDefault="004E7FA9" w:rsidP="00AE6C8E">
            <w:pPr>
              <w:rPr>
                <w:rFonts w:asciiTheme="minorHAnsi" w:hAnsiTheme="minorHAnsi" w:cstheme="minorHAnsi"/>
                <w:sz w:val="18"/>
                <w:szCs w:val="18"/>
              </w:rPr>
            </w:pPr>
          </w:p>
        </w:tc>
        <w:tc>
          <w:tcPr>
            <w:tcW w:w="3375" w:type="dxa"/>
            <w:gridSpan w:val="3"/>
            <w:shd w:val="clear" w:color="auto" w:fill="auto"/>
          </w:tcPr>
          <w:p w14:paraId="1B9156A5" w14:textId="77777777" w:rsidR="004E7FA9" w:rsidRPr="003B6A69" w:rsidRDefault="004E7FA9" w:rsidP="00AE6C8E">
            <w:pPr>
              <w:rPr>
                <w:rFonts w:asciiTheme="minorHAnsi" w:hAnsiTheme="minorHAnsi" w:cstheme="minorHAnsi"/>
                <w:sz w:val="18"/>
                <w:szCs w:val="18"/>
              </w:rPr>
            </w:pPr>
          </w:p>
        </w:tc>
        <w:tc>
          <w:tcPr>
            <w:tcW w:w="9781" w:type="dxa"/>
            <w:gridSpan w:val="4"/>
            <w:shd w:val="clear" w:color="auto" w:fill="F2F2F2" w:themeFill="background1" w:themeFillShade="F2"/>
          </w:tcPr>
          <w:p w14:paraId="31B5C9EA" w14:textId="77777777" w:rsidR="004E7FA9" w:rsidRPr="003B6A69" w:rsidRDefault="004E7FA9" w:rsidP="00AE6C8E">
            <w:pPr>
              <w:jc w:val="center"/>
              <w:rPr>
                <w:rFonts w:asciiTheme="minorHAnsi" w:hAnsiTheme="minorHAnsi" w:cstheme="minorHAnsi"/>
                <w:color w:val="000000"/>
                <w:sz w:val="18"/>
                <w:szCs w:val="18"/>
              </w:rPr>
            </w:pPr>
            <w:r w:rsidRPr="003B6A69">
              <w:rPr>
                <w:rFonts w:asciiTheme="minorHAnsi" w:hAnsiTheme="minorHAnsi" w:cstheme="minorHAnsi"/>
                <w:color w:val="000000"/>
                <w:sz w:val="18"/>
                <w:szCs w:val="18"/>
              </w:rPr>
              <w:t>Hectares (4.1+4.2+4.3+4.4)</w:t>
            </w:r>
          </w:p>
        </w:tc>
      </w:tr>
      <w:tr w:rsidR="004E7FA9" w:rsidRPr="003B6A69" w14:paraId="226C3490" w14:textId="77777777" w:rsidTr="00AE6C8E">
        <w:tc>
          <w:tcPr>
            <w:tcW w:w="1298" w:type="dxa"/>
            <w:shd w:val="clear" w:color="auto" w:fill="auto"/>
          </w:tcPr>
          <w:p w14:paraId="4ACD7C63" w14:textId="77777777" w:rsidR="004E7FA9" w:rsidRPr="003B6A69" w:rsidRDefault="004E7FA9" w:rsidP="00AE6C8E">
            <w:pPr>
              <w:rPr>
                <w:rFonts w:asciiTheme="minorHAnsi" w:hAnsiTheme="minorHAnsi" w:cstheme="minorHAnsi"/>
                <w:sz w:val="18"/>
                <w:szCs w:val="18"/>
              </w:rPr>
            </w:pPr>
          </w:p>
        </w:tc>
        <w:tc>
          <w:tcPr>
            <w:tcW w:w="3375" w:type="dxa"/>
            <w:gridSpan w:val="3"/>
            <w:shd w:val="clear" w:color="auto" w:fill="auto"/>
          </w:tcPr>
          <w:p w14:paraId="4829AF37" w14:textId="77777777" w:rsidR="004E7FA9" w:rsidRPr="003B6A69" w:rsidRDefault="004E7FA9" w:rsidP="00AE6C8E">
            <w:pPr>
              <w:rPr>
                <w:rFonts w:asciiTheme="minorHAnsi" w:hAnsiTheme="minorHAnsi" w:cstheme="minorHAnsi"/>
                <w:sz w:val="18"/>
                <w:szCs w:val="18"/>
              </w:rPr>
            </w:pPr>
          </w:p>
        </w:tc>
        <w:tc>
          <w:tcPr>
            <w:tcW w:w="4438" w:type="dxa"/>
            <w:gridSpan w:val="2"/>
            <w:shd w:val="clear" w:color="auto" w:fill="F2F2F2" w:themeFill="background1" w:themeFillShade="F2"/>
          </w:tcPr>
          <w:p w14:paraId="0233B53D"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color w:val="000000"/>
                <w:sz w:val="18"/>
                <w:szCs w:val="18"/>
              </w:rPr>
              <w:t>Expected</w:t>
            </w:r>
          </w:p>
        </w:tc>
        <w:tc>
          <w:tcPr>
            <w:tcW w:w="5343" w:type="dxa"/>
            <w:gridSpan w:val="2"/>
            <w:shd w:val="clear" w:color="auto" w:fill="F2F2F2" w:themeFill="background1" w:themeFillShade="F2"/>
          </w:tcPr>
          <w:p w14:paraId="14BC99FD" w14:textId="77777777" w:rsidR="004E7FA9" w:rsidRPr="003B6A69" w:rsidRDefault="004E7FA9" w:rsidP="00AE6C8E">
            <w:pPr>
              <w:jc w:val="center"/>
              <w:rPr>
                <w:rFonts w:asciiTheme="minorHAnsi" w:hAnsiTheme="minorHAnsi" w:cstheme="minorHAnsi"/>
                <w:color w:val="000000"/>
                <w:sz w:val="18"/>
                <w:szCs w:val="18"/>
              </w:rPr>
            </w:pPr>
            <w:r w:rsidRPr="003B6A69">
              <w:rPr>
                <w:rFonts w:asciiTheme="minorHAnsi" w:hAnsiTheme="minorHAnsi" w:cstheme="minorHAnsi"/>
                <w:color w:val="000000"/>
                <w:sz w:val="18"/>
                <w:szCs w:val="18"/>
              </w:rPr>
              <w:t>Expected</w:t>
            </w:r>
          </w:p>
        </w:tc>
      </w:tr>
      <w:tr w:rsidR="004E7FA9" w:rsidRPr="003B6A69" w14:paraId="3785E2B7" w14:textId="77777777" w:rsidTr="00AE6C8E">
        <w:tc>
          <w:tcPr>
            <w:tcW w:w="1298" w:type="dxa"/>
            <w:shd w:val="clear" w:color="auto" w:fill="auto"/>
          </w:tcPr>
          <w:p w14:paraId="2C2944E4" w14:textId="77777777" w:rsidR="004E7FA9" w:rsidRPr="003B6A69" w:rsidRDefault="004E7FA9" w:rsidP="00AE6C8E">
            <w:pPr>
              <w:rPr>
                <w:rFonts w:asciiTheme="minorHAnsi" w:hAnsiTheme="minorHAnsi" w:cstheme="minorHAnsi"/>
                <w:sz w:val="18"/>
                <w:szCs w:val="18"/>
              </w:rPr>
            </w:pPr>
          </w:p>
        </w:tc>
        <w:tc>
          <w:tcPr>
            <w:tcW w:w="3375" w:type="dxa"/>
            <w:gridSpan w:val="3"/>
            <w:shd w:val="clear" w:color="auto" w:fill="auto"/>
          </w:tcPr>
          <w:p w14:paraId="4644AABB" w14:textId="77777777" w:rsidR="004E7FA9" w:rsidRPr="003B6A69" w:rsidRDefault="004E7FA9" w:rsidP="00AE6C8E">
            <w:pPr>
              <w:rPr>
                <w:rFonts w:asciiTheme="minorHAnsi" w:hAnsiTheme="minorHAnsi" w:cstheme="minorHAnsi"/>
                <w:sz w:val="18"/>
                <w:szCs w:val="18"/>
              </w:rPr>
            </w:pPr>
          </w:p>
        </w:tc>
        <w:tc>
          <w:tcPr>
            <w:tcW w:w="1712" w:type="dxa"/>
            <w:shd w:val="clear" w:color="auto" w:fill="F2F2F2" w:themeFill="background1" w:themeFillShade="F2"/>
          </w:tcPr>
          <w:p w14:paraId="5356A1D9"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PIF stage</w:t>
            </w:r>
          </w:p>
        </w:tc>
        <w:tc>
          <w:tcPr>
            <w:tcW w:w="2726" w:type="dxa"/>
            <w:shd w:val="clear" w:color="auto" w:fill="F2F2F2" w:themeFill="background1" w:themeFillShade="F2"/>
          </w:tcPr>
          <w:p w14:paraId="3D8BDA79"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Endorsement</w:t>
            </w:r>
          </w:p>
        </w:tc>
        <w:tc>
          <w:tcPr>
            <w:tcW w:w="1985" w:type="dxa"/>
            <w:shd w:val="clear" w:color="auto" w:fill="F2F2F2" w:themeFill="background1" w:themeFillShade="F2"/>
          </w:tcPr>
          <w:p w14:paraId="3949293A"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MTR</w:t>
            </w:r>
          </w:p>
        </w:tc>
        <w:tc>
          <w:tcPr>
            <w:tcW w:w="3358" w:type="dxa"/>
            <w:shd w:val="clear" w:color="auto" w:fill="F2F2F2" w:themeFill="background1" w:themeFillShade="F2"/>
          </w:tcPr>
          <w:p w14:paraId="46BF64AC" w14:textId="77777777" w:rsidR="004E7FA9" w:rsidRPr="003B6A69" w:rsidRDefault="004E7FA9" w:rsidP="00AE6C8E">
            <w:pPr>
              <w:jc w:val="center"/>
              <w:rPr>
                <w:rFonts w:asciiTheme="minorHAnsi" w:hAnsiTheme="minorHAnsi" w:cstheme="minorHAnsi"/>
                <w:i/>
                <w:color w:val="000000"/>
                <w:sz w:val="18"/>
                <w:szCs w:val="18"/>
              </w:rPr>
            </w:pPr>
            <w:r w:rsidRPr="003B6A69">
              <w:rPr>
                <w:rFonts w:asciiTheme="minorHAnsi" w:hAnsiTheme="minorHAnsi" w:cstheme="minorHAnsi"/>
                <w:sz w:val="18"/>
                <w:szCs w:val="18"/>
              </w:rPr>
              <w:t>TE</w:t>
            </w:r>
          </w:p>
        </w:tc>
      </w:tr>
      <w:tr w:rsidR="004E7FA9" w:rsidRPr="003B6A69" w14:paraId="09E014B9" w14:textId="77777777" w:rsidTr="00AE6C8E">
        <w:tc>
          <w:tcPr>
            <w:tcW w:w="1298" w:type="dxa"/>
            <w:shd w:val="clear" w:color="auto" w:fill="auto"/>
          </w:tcPr>
          <w:p w14:paraId="26576438" w14:textId="77777777" w:rsidR="004E7FA9" w:rsidRPr="003B6A69" w:rsidRDefault="004E7FA9" w:rsidP="00AE6C8E">
            <w:pPr>
              <w:rPr>
                <w:rFonts w:asciiTheme="minorHAnsi" w:hAnsiTheme="minorHAnsi" w:cstheme="minorHAnsi"/>
                <w:sz w:val="18"/>
                <w:szCs w:val="18"/>
              </w:rPr>
            </w:pPr>
          </w:p>
        </w:tc>
        <w:tc>
          <w:tcPr>
            <w:tcW w:w="3375" w:type="dxa"/>
            <w:gridSpan w:val="3"/>
            <w:shd w:val="clear" w:color="auto" w:fill="auto"/>
          </w:tcPr>
          <w:p w14:paraId="01AC74BD" w14:textId="77777777" w:rsidR="004E7FA9" w:rsidRPr="003B6A69" w:rsidRDefault="004E7FA9" w:rsidP="00AE6C8E">
            <w:pPr>
              <w:rPr>
                <w:rFonts w:asciiTheme="minorHAnsi" w:hAnsiTheme="minorHAnsi" w:cstheme="minorHAnsi"/>
                <w:sz w:val="18"/>
                <w:szCs w:val="18"/>
              </w:rPr>
            </w:pPr>
          </w:p>
        </w:tc>
        <w:tc>
          <w:tcPr>
            <w:tcW w:w="1712" w:type="dxa"/>
            <w:shd w:val="clear" w:color="auto" w:fill="F2F2F2" w:themeFill="background1" w:themeFillShade="F2"/>
          </w:tcPr>
          <w:p w14:paraId="50073992" w14:textId="77777777" w:rsidR="004E7FA9" w:rsidRPr="003B6A69" w:rsidRDefault="004E7FA9" w:rsidP="00AE6C8E">
            <w:pPr>
              <w:jc w:val="right"/>
              <w:rPr>
                <w:rFonts w:asciiTheme="minorHAnsi" w:hAnsiTheme="minorHAnsi" w:cstheme="minorHAnsi"/>
                <w:sz w:val="18"/>
                <w:szCs w:val="18"/>
              </w:rPr>
            </w:pPr>
            <w:r w:rsidRPr="003B6A69">
              <w:rPr>
                <w:i/>
                <w:color w:val="000000"/>
                <w:sz w:val="18"/>
                <w:szCs w:val="18"/>
              </w:rPr>
              <w:t>80,000</w:t>
            </w:r>
          </w:p>
        </w:tc>
        <w:tc>
          <w:tcPr>
            <w:tcW w:w="2726" w:type="dxa"/>
            <w:shd w:val="clear" w:color="auto" w:fill="F2F2F2" w:themeFill="background1" w:themeFillShade="F2"/>
          </w:tcPr>
          <w:p w14:paraId="403877C0" w14:textId="13AAA348" w:rsidR="004E7FA9" w:rsidRPr="003B6A69" w:rsidRDefault="00AE2022" w:rsidP="00AE6C8E">
            <w:pPr>
              <w:jc w:val="right"/>
              <w:rPr>
                <w:rFonts w:asciiTheme="minorHAnsi" w:hAnsiTheme="minorHAnsi" w:cstheme="minorHAnsi"/>
                <w:sz w:val="18"/>
                <w:szCs w:val="18"/>
              </w:rPr>
            </w:pPr>
            <w:r>
              <w:rPr>
                <w:i/>
                <w:color w:val="000000"/>
                <w:sz w:val="18"/>
                <w:szCs w:val="18"/>
              </w:rPr>
              <w:t>8</w:t>
            </w:r>
            <w:r w:rsidR="004E7FA9" w:rsidRPr="003B6A69">
              <w:rPr>
                <w:i/>
                <w:color w:val="000000"/>
                <w:sz w:val="18"/>
                <w:szCs w:val="18"/>
              </w:rPr>
              <w:t>0,000</w:t>
            </w:r>
          </w:p>
        </w:tc>
        <w:tc>
          <w:tcPr>
            <w:tcW w:w="1985" w:type="dxa"/>
            <w:shd w:val="clear" w:color="auto" w:fill="F2F2F2" w:themeFill="background1" w:themeFillShade="F2"/>
          </w:tcPr>
          <w:p w14:paraId="5156C5D5"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3358" w:type="dxa"/>
            <w:shd w:val="clear" w:color="auto" w:fill="F2F2F2" w:themeFill="background1" w:themeFillShade="F2"/>
          </w:tcPr>
          <w:p w14:paraId="08F0685B" w14:textId="77777777" w:rsidR="004E7FA9" w:rsidRPr="003B6A69" w:rsidRDefault="004E7FA9" w:rsidP="00AE6C8E">
            <w:pPr>
              <w:jc w:val="right"/>
              <w:rPr>
                <w:rFonts w:asciiTheme="minorHAnsi" w:hAnsiTheme="minorHAnsi" w:cstheme="minorHAnsi"/>
                <w:i/>
                <w:color w:val="000000"/>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r>
      <w:tr w:rsidR="004E7FA9" w:rsidRPr="003B6A69" w14:paraId="65EDE5F2" w14:textId="77777777" w:rsidTr="00AE6C8E">
        <w:tc>
          <w:tcPr>
            <w:tcW w:w="1298" w:type="dxa"/>
            <w:shd w:val="clear" w:color="auto" w:fill="BFBFBF" w:themeFill="background1" w:themeFillShade="BF"/>
          </w:tcPr>
          <w:p w14:paraId="7487B061" w14:textId="77777777" w:rsidR="004E7FA9" w:rsidRPr="003B6A69" w:rsidRDefault="004E7FA9" w:rsidP="00AE6C8E">
            <w:pPr>
              <w:rPr>
                <w:rFonts w:asciiTheme="minorHAnsi" w:hAnsiTheme="minorHAnsi" w:cstheme="minorHAnsi"/>
                <w:sz w:val="18"/>
                <w:szCs w:val="18"/>
              </w:rPr>
            </w:pPr>
            <w:r w:rsidRPr="003B6A69">
              <w:rPr>
                <w:rFonts w:asciiTheme="minorHAnsi" w:hAnsiTheme="minorHAnsi" w:cstheme="minorHAnsi"/>
                <w:sz w:val="18"/>
                <w:szCs w:val="18"/>
              </w:rPr>
              <w:t>Indicator 4.1</w:t>
            </w:r>
          </w:p>
        </w:tc>
        <w:tc>
          <w:tcPr>
            <w:tcW w:w="9798" w:type="dxa"/>
            <w:gridSpan w:val="6"/>
            <w:shd w:val="clear" w:color="auto" w:fill="BFBFBF" w:themeFill="background1" w:themeFillShade="BF"/>
          </w:tcPr>
          <w:p w14:paraId="14867BC4" w14:textId="77777777" w:rsidR="004E7FA9" w:rsidRPr="003B6A69" w:rsidRDefault="004E7FA9" w:rsidP="00AE6C8E">
            <w:pPr>
              <w:rPr>
                <w:rFonts w:asciiTheme="minorHAnsi" w:hAnsiTheme="minorHAnsi" w:cstheme="minorHAnsi"/>
                <w:sz w:val="18"/>
                <w:szCs w:val="18"/>
              </w:rPr>
            </w:pPr>
            <w:r w:rsidRPr="003B6A69">
              <w:rPr>
                <w:rFonts w:asciiTheme="minorHAnsi" w:hAnsiTheme="minorHAnsi" w:cstheme="minorHAnsi"/>
                <w:sz w:val="18"/>
                <w:szCs w:val="18"/>
              </w:rPr>
              <w:t>Area of landscapes under improved management to benefit biodiversity</w:t>
            </w:r>
          </w:p>
        </w:tc>
        <w:tc>
          <w:tcPr>
            <w:tcW w:w="3358" w:type="dxa"/>
            <w:shd w:val="clear" w:color="auto" w:fill="BFBFBF" w:themeFill="background1" w:themeFillShade="BF"/>
          </w:tcPr>
          <w:p w14:paraId="0646D1DE"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r>
      <w:tr w:rsidR="004E7FA9" w:rsidRPr="003B6A69" w14:paraId="67017399" w14:textId="77777777" w:rsidTr="00AE6C8E">
        <w:trPr>
          <w:trHeight w:val="125"/>
        </w:trPr>
        <w:tc>
          <w:tcPr>
            <w:tcW w:w="1298" w:type="dxa"/>
            <w:vMerge w:val="restart"/>
          </w:tcPr>
          <w:p w14:paraId="729B6CDF" w14:textId="77777777" w:rsidR="004E7FA9" w:rsidRPr="003B6A69" w:rsidRDefault="004E7FA9" w:rsidP="00AE6C8E">
            <w:pPr>
              <w:rPr>
                <w:rFonts w:asciiTheme="minorHAnsi" w:hAnsiTheme="minorHAnsi" w:cstheme="minorHAnsi"/>
                <w:sz w:val="18"/>
                <w:szCs w:val="18"/>
              </w:rPr>
            </w:pPr>
          </w:p>
        </w:tc>
        <w:tc>
          <w:tcPr>
            <w:tcW w:w="933" w:type="dxa"/>
            <w:vMerge w:val="restart"/>
          </w:tcPr>
          <w:p w14:paraId="4FAC9FCC" w14:textId="77777777" w:rsidR="004E7FA9" w:rsidRPr="003B6A69" w:rsidRDefault="004E7FA9" w:rsidP="00AE6C8E">
            <w:pPr>
              <w:rPr>
                <w:rFonts w:asciiTheme="minorHAnsi" w:hAnsiTheme="minorHAnsi" w:cstheme="minorHAnsi"/>
                <w:sz w:val="18"/>
                <w:szCs w:val="18"/>
              </w:rPr>
            </w:pPr>
          </w:p>
        </w:tc>
        <w:tc>
          <w:tcPr>
            <w:tcW w:w="2442" w:type="dxa"/>
            <w:gridSpan w:val="2"/>
            <w:vMerge w:val="restart"/>
          </w:tcPr>
          <w:p w14:paraId="2C7B2775" w14:textId="77777777" w:rsidR="004E7FA9" w:rsidRPr="003B6A69" w:rsidRDefault="004E7FA9" w:rsidP="00AE6C8E">
            <w:pPr>
              <w:rPr>
                <w:rFonts w:asciiTheme="minorHAnsi" w:hAnsiTheme="minorHAnsi" w:cstheme="minorHAnsi"/>
                <w:sz w:val="18"/>
                <w:szCs w:val="18"/>
              </w:rPr>
            </w:pPr>
          </w:p>
        </w:tc>
        <w:tc>
          <w:tcPr>
            <w:tcW w:w="9781" w:type="dxa"/>
            <w:gridSpan w:val="4"/>
          </w:tcPr>
          <w:p w14:paraId="0BA57EE3"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Hectares</w:t>
            </w:r>
          </w:p>
        </w:tc>
      </w:tr>
      <w:tr w:rsidR="004E7FA9" w:rsidRPr="003B6A69" w14:paraId="12518F78" w14:textId="77777777" w:rsidTr="00AE6C8E">
        <w:trPr>
          <w:trHeight w:val="125"/>
        </w:trPr>
        <w:tc>
          <w:tcPr>
            <w:tcW w:w="1298" w:type="dxa"/>
            <w:vMerge/>
          </w:tcPr>
          <w:p w14:paraId="3DBCAA12" w14:textId="77777777" w:rsidR="004E7FA9" w:rsidRPr="003B6A69" w:rsidRDefault="004E7FA9" w:rsidP="00AE6C8E">
            <w:pPr>
              <w:rPr>
                <w:rFonts w:asciiTheme="minorHAnsi" w:hAnsiTheme="minorHAnsi" w:cstheme="minorHAnsi"/>
                <w:sz w:val="18"/>
                <w:szCs w:val="18"/>
              </w:rPr>
            </w:pPr>
          </w:p>
        </w:tc>
        <w:tc>
          <w:tcPr>
            <w:tcW w:w="933" w:type="dxa"/>
            <w:vMerge/>
          </w:tcPr>
          <w:p w14:paraId="09D54730" w14:textId="77777777" w:rsidR="004E7FA9" w:rsidRPr="003B6A69" w:rsidRDefault="004E7FA9" w:rsidP="00AE6C8E">
            <w:pPr>
              <w:rPr>
                <w:rFonts w:asciiTheme="minorHAnsi" w:hAnsiTheme="minorHAnsi" w:cstheme="minorHAnsi"/>
                <w:sz w:val="18"/>
                <w:szCs w:val="18"/>
              </w:rPr>
            </w:pPr>
          </w:p>
        </w:tc>
        <w:tc>
          <w:tcPr>
            <w:tcW w:w="2442" w:type="dxa"/>
            <w:gridSpan w:val="2"/>
            <w:vMerge/>
          </w:tcPr>
          <w:p w14:paraId="5618BD53" w14:textId="77777777" w:rsidR="004E7FA9" w:rsidRPr="003B6A69" w:rsidRDefault="004E7FA9" w:rsidP="00AE6C8E">
            <w:pPr>
              <w:rPr>
                <w:rFonts w:asciiTheme="minorHAnsi" w:hAnsiTheme="minorHAnsi" w:cstheme="minorHAnsi"/>
                <w:sz w:val="18"/>
                <w:szCs w:val="18"/>
              </w:rPr>
            </w:pPr>
          </w:p>
        </w:tc>
        <w:tc>
          <w:tcPr>
            <w:tcW w:w="4438" w:type="dxa"/>
            <w:gridSpan w:val="2"/>
          </w:tcPr>
          <w:p w14:paraId="0E23FE89"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Expected</w:t>
            </w:r>
          </w:p>
        </w:tc>
        <w:tc>
          <w:tcPr>
            <w:tcW w:w="5343" w:type="dxa"/>
            <w:gridSpan w:val="2"/>
          </w:tcPr>
          <w:p w14:paraId="15E87808"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Achieved</w:t>
            </w:r>
          </w:p>
        </w:tc>
      </w:tr>
      <w:tr w:rsidR="004E7FA9" w:rsidRPr="003B6A69" w14:paraId="134C4D9E" w14:textId="77777777" w:rsidTr="00AE6C8E">
        <w:trPr>
          <w:trHeight w:val="80"/>
        </w:trPr>
        <w:tc>
          <w:tcPr>
            <w:tcW w:w="1298" w:type="dxa"/>
            <w:vMerge/>
          </w:tcPr>
          <w:p w14:paraId="5DF9A9C9" w14:textId="77777777" w:rsidR="004E7FA9" w:rsidRPr="003B6A69" w:rsidRDefault="004E7FA9" w:rsidP="00AE6C8E">
            <w:pPr>
              <w:rPr>
                <w:rFonts w:asciiTheme="minorHAnsi" w:hAnsiTheme="minorHAnsi" w:cstheme="minorHAnsi"/>
                <w:sz w:val="18"/>
                <w:szCs w:val="18"/>
              </w:rPr>
            </w:pPr>
          </w:p>
        </w:tc>
        <w:tc>
          <w:tcPr>
            <w:tcW w:w="933" w:type="dxa"/>
            <w:vMerge/>
          </w:tcPr>
          <w:p w14:paraId="4DF370E4" w14:textId="77777777" w:rsidR="004E7FA9" w:rsidRPr="003B6A69" w:rsidRDefault="004E7FA9" w:rsidP="00AE6C8E">
            <w:pPr>
              <w:rPr>
                <w:rFonts w:asciiTheme="minorHAnsi" w:hAnsiTheme="minorHAnsi" w:cstheme="minorHAnsi"/>
                <w:sz w:val="18"/>
                <w:szCs w:val="18"/>
              </w:rPr>
            </w:pPr>
          </w:p>
        </w:tc>
        <w:tc>
          <w:tcPr>
            <w:tcW w:w="2442" w:type="dxa"/>
            <w:gridSpan w:val="2"/>
            <w:vMerge/>
          </w:tcPr>
          <w:p w14:paraId="0F3EB1C0" w14:textId="77777777" w:rsidR="004E7FA9" w:rsidRPr="003B6A69" w:rsidRDefault="004E7FA9" w:rsidP="00AE6C8E">
            <w:pPr>
              <w:rPr>
                <w:rFonts w:asciiTheme="minorHAnsi" w:hAnsiTheme="minorHAnsi" w:cstheme="minorHAnsi"/>
                <w:sz w:val="18"/>
                <w:szCs w:val="18"/>
              </w:rPr>
            </w:pPr>
          </w:p>
        </w:tc>
        <w:tc>
          <w:tcPr>
            <w:tcW w:w="1712" w:type="dxa"/>
          </w:tcPr>
          <w:p w14:paraId="7335BAD5"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PIF stage</w:t>
            </w:r>
          </w:p>
        </w:tc>
        <w:tc>
          <w:tcPr>
            <w:tcW w:w="2726" w:type="dxa"/>
          </w:tcPr>
          <w:p w14:paraId="6F4D8466"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Endorsement</w:t>
            </w:r>
          </w:p>
        </w:tc>
        <w:tc>
          <w:tcPr>
            <w:tcW w:w="1985" w:type="dxa"/>
          </w:tcPr>
          <w:p w14:paraId="0BDD232F"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MTR</w:t>
            </w:r>
          </w:p>
        </w:tc>
        <w:tc>
          <w:tcPr>
            <w:tcW w:w="3358" w:type="dxa"/>
          </w:tcPr>
          <w:p w14:paraId="3D9B8BBB"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TE</w:t>
            </w:r>
          </w:p>
        </w:tc>
      </w:tr>
      <w:tr w:rsidR="004E7FA9" w:rsidRPr="003B6A69" w14:paraId="110C4924" w14:textId="77777777" w:rsidTr="00AE6C8E">
        <w:tc>
          <w:tcPr>
            <w:tcW w:w="1298" w:type="dxa"/>
          </w:tcPr>
          <w:p w14:paraId="714A6137" w14:textId="77777777" w:rsidR="004E7FA9" w:rsidRPr="003B6A69" w:rsidRDefault="004E7FA9" w:rsidP="00AE6C8E">
            <w:pPr>
              <w:jc w:val="right"/>
              <w:rPr>
                <w:rFonts w:asciiTheme="minorHAnsi" w:hAnsiTheme="minorHAnsi" w:cstheme="minorHAnsi"/>
                <w:sz w:val="18"/>
                <w:szCs w:val="18"/>
              </w:rPr>
            </w:pPr>
          </w:p>
        </w:tc>
        <w:tc>
          <w:tcPr>
            <w:tcW w:w="933" w:type="dxa"/>
          </w:tcPr>
          <w:p w14:paraId="4D806B5F" w14:textId="77777777" w:rsidR="004E7FA9" w:rsidRPr="003B6A69" w:rsidRDefault="004E7FA9" w:rsidP="00AE6C8E">
            <w:pPr>
              <w:jc w:val="right"/>
              <w:rPr>
                <w:rFonts w:asciiTheme="minorHAnsi" w:hAnsiTheme="minorHAnsi" w:cstheme="minorHAnsi"/>
                <w:sz w:val="18"/>
                <w:szCs w:val="18"/>
              </w:rPr>
            </w:pPr>
          </w:p>
        </w:tc>
        <w:tc>
          <w:tcPr>
            <w:tcW w:w="2442" w:type="dxa"/>
            <w:gridSpan w:val="2"/>
          </w:tcPr>
          <w:p w14:paraId="52A40708" w14:textId="77777777" w:rsidR="004E7FA9" w:rsidRPr="003B6A69" w:rsidRDefault="004E7FA9" w:rsidP="00AE6C8E">
            <w:pPr>
              <w:jc w:val="right"/>
              <w:rPr>
                <w:rFonts w:asciiTheme="minorHAnsi" w:hAnsiTheme="minorHAnsi" w:cstheme="minorHAnsi"/>
                <w:sz w:val="18"/>
                <w:szCs w:val="18"/>
              </w:rPr>
            </w:pPr>
          </w:p>
        </w:tc>
        <w:tc>
          <w:tcPr>
            <w:tcW w:w="1712" w:type="dxa"/>
          </w:tcPr>
          <w:p w14:paraId="79AEB0D8" w14:textId="77777777" w:rsidR="004E7FA9" w:rsidRPr="003B6A69" w:rsidRDefault="004E7FA9" w:rsidP="00AE6C8E">
            <w:pPr>
              <w:jc w:val="right"/>
              <w:rPr>
                <w:rFonts w:asciiTheme="minorHAnsi" w:hAnsiTheme="minorHAnsi" w:cstheme="minorHAnsi"/>
                <w:sz w:val="18"/>
                <w:szCs w:val="18"/>
              </w:rPr>
            </w:pPr>
            <w:r w:rsidRPr="003B6A69">
              <w:rPr>
                <w:i/>
                <w:color w:val="000000"/>
                <w:sz w:val="18"/>
                <w:szCs w:val="18"/>
              </w:rPr>
              <w:t>10,000</w:t>
            </w:r>
          </w:p>
        </w:tc>
        <w:tc>
          <w:tcPr>
            <w:tcW w:w="2726" w:type="dxa"/>
          </w:tcPr>
          <w:p w14:paraId="3DC340BC" w14:textId="58690DB5" w:rsidR="004E7FA9" w:rsidRPr="003B6A69" w:rsidRDefault="00AE2022" w:rsidP="00AE6C8E">
            <w:pPr>
              <w:jc w:val="right"/>
              <w:rPr>
                <w:rFonts w:asciiTheme="minorHAnsi" w:hAnsiTheme="minorHAnsi" w:cstheme="minorHAnsi"/>
                <w:sz w:val="18"/>
                <w:szCs w:val="18"/>
              </w:rPr>
            </w:pPr>
            <w:r>
              <w:rPr>
                <w:i/>
                <w:color w:val="000000"/>
                <w:sz w:val="18"/>
                <w:szCs w:val="18"/>
              </w:rPr>
              <w:t>80,00</w:t>
            </w:r>
            <w:r w:rsidR="004E7FA9" w:rsidRPr="003B6A69">
              <w:rPr>
                <w:i/>
                <w:color w:val="000000"/>
                <w:sz w:val="18"/>
                <w:szCs w:val="18"/>
              </w:rPr>
              <w:t>0</w:t>
            </w:r>
          </w:p>
        </w:tc>
        <w:tc>
          <w:tcPr>
            <w:tcW w:w="1985" w:type="dxa"/>
          </w:tcPr>
          <w:p w14:paraId="0697464A"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3358" w:type="dxa"/>
          </w:tcPr>
          <w:p w14:paraId="74703E20"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r>
      <w:tr w:rsidR="004E7FA9" w:rsidRPr="003B6A69" w14:paraId="6B80A720" w14:textId="77777777" w:rsidTr="00AE6C8E">
        <w:tc>
          <w:tcPr>
            <w:tcW w:w="1298" w:type="dxa"/>
          </w:tcPr>
          <w:p w14:paraId="1F5E92C4" w14:textId="77777777" w:rsidR="004E7FA9" w:rsidRPr="003B6A69" w:rsidRDefault="004E7FA9" w:rsidP="00AE6C8E">
            <w:pPr>
              <w:jc w:val="right"/>
              <w:rPr>
                <w:rFonts w:asciiTheme="minorHAnsi" w:hAnsiTheme="minorHAnsi" w:cstheme="minorHAnsi"/>
                <w:sz w:val="18"/>
                <w:szCs w:val="18"/>
              </w:rPr>
            </w:pPr>
          </w:p>
        </w:tc>
        <w:tc>
          <w:tcPr>
            <w:tcW w:w="933" w:type="dxa"/>
          </w:tcPr>
          <w:p w14:paraId="0A3134E2" w14:textId="77777777" w:rsidR="004E7FA9" w:rsidRPr="003B6A69" w:rsidRDefault="004E7FA9" w:rsidP="00AE6C8E">
            <w:pPr>
              <w:jc w:val="right"/>
              <w:rPr>
                <w:rFonts w:asciiTheme="minorHAnsi" w:hAnsiTheme="minorHAnsi" w:cstheme="minorHAnsi"/>
                <w:sz w:val="18"/>
                <w:szCs w:val="18"/>
              </w:rPr>
            </w:pPr>
          </w:p>
        </w:tc>
        <w:tc>
          <w:tcPr>
            <w:tcW w:w="2442" w:type="dxa"/>
            <w:gridSpan w:val="2"/>
          </w:tcPr>
          <w:p w14:paraId="1CC6871D" w14:textId="77777777" w:rsidR="004E7FA9" w:rsidRPr="003B6A69" w:rsidRDefault="004E7FA9" w:rsidP="00AE6C8E">
            <w:pPr>
              <w:jc w:val="right"/>
              <w:rPr>
                <w:rFonts w:asciiTheme="minorHAnsi" w:hAnsiTheme="minorHAnsi" w:cstheme="minorHAnsi"/>
                <w:sz w:val="18"/>
                <w:szCs w:val="18"/>
              </w:rPr>
            </w:pPr>
          </w:p>
        </w:tc>
        <w:tc>
          <w:tcPr>
            <w:tcW w:w="1712" w:type="dxa"/>
          </w:tcPr>
          <w:p w14:paraId="073A222E"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2726" w:type="dxa"/>
          </w:tcPr>
          <w:p w14:paraId="5C3DEC7E"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1985" w:type="dxa"/>
          </w:tcPr>
          <w:p w14:paraId="4EA676F0"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3358" w:type="dxa"/>
          </w:tcPr>
          <w:p w14:paraId="632DB4DE"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r>
      <w:tr w:rsidR="004E7FA9" w:rsidRPr="003B6A69" w14:paraId="7660EF13" w14:textId="77777777" w:rsidTr="00AE6C8E">
        <w:tc>
          <w:tcPr>
            <w:tcW w:w="1298" w:type="dxa"/>
            <w:shd w:val="clear" w:color="auto" w:fill="BFBFBF" w:themeFill="background1" w:themeFillShade="BF"/>
          </w:tcPr>
          <w:p w14:paraId="419867D8" w14:textId="77777777" w:rsidR="004E7FA9" w:rsidRPr="003B6A69" w:rsidRDefault="004E7FA9" w:rsidP="00AE6C8E">
            <w:pPr>
              <w:rPr>
                <w:rFonts w:asciiTheme="minorHAnsi" w:hAnsiTheme="minorHAnsi" w:cstheme="minorHAnsi"/>
                <w:sz w:val="18"/>
                <w:szCs w:val="18"/>
              </w:rPr>
            </w:pPr>
            <w:r w:rsidRPr="003B6A69">
              <w:rPr>
                <w:rFonts w:asciiTheme="minorHAnsi" w:hAnsiTheme="minorHAnsi" w:cstheme="minorHAnsi"/>
                <w:sz w:val="18"/>
                <w:szCs w:val="18"/>
              </w:rPr>
              <w:lastRenderedPageBreak/>
              <w:t>Indicator 4.2</w:t>
            </w:r>
          </w:p>
        </w:tc>
        <w:tc>
          <w:tcPr>
            <w:tcW w:w="9798" w:type="dxa"/>
            <w:gridSpan w:val="6"/>
            <w:shd w:val="clear" w:color="auto" w:fill="BFBFBF" w:themeFill="background1" w:themeFillShade="BF"/>
          </w:tcPr>
          <w:p w14:paraId="0ED48EA2" w14:textId="77777777" w:rsidR="004E7FA9" w:rsidRPr="003B6A69" w:rsidRDefault="004E7FA9" w:rsidP="00AE6C8E">
            <w:pPr>
              <w:rPr>
                <w:rFonts w:asciiTheme="minorHAnsi" w:hAnsiTheme="minorHAnsi" w:cstheme="minorHAnsi"/>
                <w:sz w:val="18"/>
                <w:szCs w:val="18"/>
              </w:rPr>
            </w:pPr>
            <w:r w:rsidRPr="003B6A69">
              <w:rPr>
                <w:rFonts w:asciiTheme="minorHAnsi" w:hAnsiTheme="minorHAnsi" w:cstheme="minorHAnsi"/>
                <w:sz w:val="18"/>
                <w:szCs w:val="18"/>
              </w:rPr>
              <w:t>Area of landscapes that meet national or international third-party certification that incorporates biodiversity considerations</w:t>
            </w:r>
          </w:p>
        </w:tc>
        <w:tc>
          <w:tcPr>
            <w:tcW w:w="3358" w:type="dxa"/>
            <w:shd w:val="clear" w:color="auto" w:fill="BFBFBF" w:themeFill="background1" w:themeFillShade="BF"/>
          </w:tcPr>
          <w:p w14:paraId="0B708312"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r>
      <w:tr w:rsidR="004E7FA9" w:rsidRPr="003B6A69" w14:paraId="2C19DA37" w14:textId="77777777" w:rsidTr="00AE6C8E">
        <w:trPr>
          <w:trHeight w:val="125"/>
        </w:trPr>
        <w:tc>
          <w:tcPr>
            <w:tcW w:w="4673" w:type="dxa"/>
            <w:gridSpan w:val="4"/>
            <w:vMerge w:val="restart"/>
          </w:tcPr>
          <w:p w14:paraId="7FC0AC2D" w14:textId="77777777" w:rsidR="004E7FA9" w:rsidRPr="003B6A69" w:rsidRDefault="004E7FA9" w:rsidP="00AE6C8E">
            <w:pPr>
              <w:rPr>
                <w:rFonts w:asciiTheme="minorHAnsi" w:hAnsiTheme="minorHAnsi" w:cstheme="minorHAnsi"/>
                <w:i/>
                <w:color w:val="000000"/>
                <w:sz w:val="18"/>
                <w:szCs w:val="18"/>
              </w:rPr>
            </w:pPr>
            <w:r w:rsidRPr="003B6A69">
              <w:rPr>
                <w:rFonts w:asciiTheme="minorHAnsi" w:hAnsiTheme="minorHAnsi" w:cstheme="minorHAnsi"/>
                <w:sz w:val="18"/>
                <w:szCs w:val="18"/>
              </w:rPr>
              <w:t xml:space="preserve">Third party certification(s):    </w:t>
            </w: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p w14:paraId="1D9A395B" w14:textId="77777777" w:rsidR="004E7FA9" w:rsidRPr="003B6A69" w:rsidRDefault="004E7FA9" w:rsidP="00AE6C8E">
            <w:pPr>
              <w:rPr>
                <w:rFonts w:asciiTheme="minorHAnsi" w:hAnsiTheme="minorHAnsi" w:cstheme="minorHAnsi"/>
                <w:i/>
                <w:color w:val="000000"/>
                <w:sz w:val="18"/>
                <w:szCs w:val="18"/>
              </w:rPr>
            </w:pPr>
            <w:r w:rsidRPr="003B6A69">
              <w:rPr>
                <w:rFonts w:asciiTheme="minorHAnsi" w:hAnsiTheme="minorHAnsi" w:cstheme="minorHAnsi"/>
                <w:i/>
                <w:color w:val="000000"/>
                <w:sz w:val="18"/>
                <w:szCs w:val="18"/>
              </w:rPr>
              <w:t xml:space="preserve"> </w:t>
            </w:r>
          </w:p>
          <w:p w14:paraId="4097070A" w14:textId="77777777" w:rsidR="004E7FA9" w:rsidRPr="003B6A69" w:rsidRDefault="004E7FA9" w:rsidP="00AE6C8E">
            <w:pPr>
              <w:ind w:left="1782" w:firstLine="378"/>
              <w:rPr>
                <w:rFonts w:asciiTheme="minorHAnsi" w:hAnsiTheme="minorHAnsi" w:cstheme="minorHAnsi"/>
                <w:i/>
                <w:color w:val="000000"/>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r w:rsidRPr="003B6A69">
              <w:rPr>
                <w:rFonts w:asciiTheme="minorHAnsi" w:hAnsiTheme="minorHAnsi" w:cstheme="minorHAnsi"/>
                <w:i/>
                <w:color w:val="000000"/>
                <w:sz w:val="18"/>
                <w:szCs w:val="18"/>
              </w:rPr>
              <w:t xml:space="preserve"> </w:t>
            </w:r>
          </w:p>
          <w:p w14:paraId="7CF5E033" w14:textId="77777777" w:rsidR="004E7FA9" w:rsidRPr="003B6A69" w:rsidRDefault="004E7FA9" w:rsidP="00AE6C8E">
            <w:pPr>
              <w:ind w:left="1782" w:firstLine="378"/>
              <w:rPr>
                <w:rFonts w:asciiTheme="minorHAnsi" w:hAnsiTheme="minorHAnsi" w:cstheme="minorHAnsi"/>
                <w:i/>
                <w:color w:val="000000"/>
                <w:sz w:val="18"/>
                <w:szCs w:val="18"/>
              </w:rPr>
            </w:pPr>
          </w:p>
          <w:p w14:paraId="7FA6EEFF" w14:textId="77777777" w:rsidR="004E7FA9" w:rsidRPr="003B6A69" w:rsidRDefault="004E7FA9" w:rsidP="00AE6C8E">
            <w:pPr>
              <w:ind w:left="1782" w:firstLine="378"/>
              <w:rPr>
                <w:rFonts w:asciiTheme="minorHAnsi" w:hAnsiTheme="minorHAnsi" w:cstheme="minorHAnsi"/>
                <w:i/>
                <w:color w:val="000000"/>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p w14:paraId="422BB12F" w14:textId="77777777" w:rsidR="004E7FA9" w:rsidRPr="003B6A69" w:rsidRDefault="004E7FA9" w:rsidP="00AE6C8E">
            <w:pPr>
              <w:rPr>
                <w:rFonts w:asciiTheme="minorHAnsi" w:hAnsiTheme="minorHAnsi" w:cstheme="minorHAnsi"/>
                <w:sz w:val="18"/>
                <w:szCs w:val="18"/>
              </w:rPr>
            </w:pPr>
          </w:p>
        </w:tc>
        <w:tc>
          <w:tcPr>
            <w:tcW w:w="9781" w:type="dxa"/>
            <w:gridSpan w:val="4"/>
          </w:tcPr>
          <w:p w14:paraId="21393E5B"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Hectares</w:t>
            </w:r>
          </w:p>
        </w:tc>
      </w:tr>
      <w:tr w:rsidR="004E7FA9" w:rsidRPr="003B6A69" w14:paraId="695824D9" w14:textId="77777777" w:rsidTr="00AE6C8E">
        <w:trPr>
          <w:trHeight w:val="58"/>
        </w:trPr>
        <w:tc>
          <w:tcPr>
            <w:tcW w:w="4673" w:type="dxa"/>
            <w:gridSpan w:val="4"/>
            <w:vMerge/>
          </w:tcPr>
          <w:p w14:paraId="76D52973" w14:textId="77777777" w:rsidR="004E7FA9" w:rsidRPr="003B6A69" w:rsidRDefault="004E7FA9" w:rsidP="00AE6C8E">
            <w:pPr>
              <w:rPr>
                <w:rFonts w:asciiTheme="minorHAnsi" w:hAnsiTheme="minorHAnsi" w:cstheme="minorHAnsi"/>
                <w:sz w:val="18"/>
                <w:szCs w:val="18"/>
              </w:rPr>
            </w:pPr>
          </w:p>
        </w:tc>
        <w:tc>
          <w:tcPr>
            <w:tcW w:w="4438" w:type="dxa"/>
            <w:gridSpan w:val="2"/>
          </w:tcPr>
          <w:p w14:paraId="6AA406D4"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Expected</w:t>
            </w:r>
          </w:p>
        </w:tc>
        <w:tc>
          <w:tcPr>
            <w:tcW w:w="5343" w:type="dxa"/>
            <w:gridSpan w:val="2"/>
          </w:tcPr>
          <w:p w14:paraId="31A6DC24"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Achieved</w:t>
            </w:r>
          </w:p>
        </w:tc>
      </w:tr>
      <w:tr w:rsidR="004E7FA9" w:rsidRPr="003B6A69" w14:paraId="36D45CAF" w14:textId="77777777" w:rsidTr="00AE6C8E">
        <w:trPr>
          <w:trHeight w:val="197"/>
        </w:trPr>
        <w:tc>
          <w:tcPr>
            <w:tcW w:w="4673" w:type="dxa"/>
            <w:gridSpan w:val="4"/>
            <w:vMerge/>
          </w:tcPr>
          <w:p w14:paraId="758A7584" w14:textId="77777777" w:rsidR="004E7FA9" w:rsidRPr="003B6A69" w:rsidRDefault="004E7FA9" w:rsidP="00AE6C8E">
            <w:pPr>
              <w:rPr>
                <w:rFonts w:asciiTheme="minorHAnsi" w:hAnsiTheme="minorHAnsi" w:cstheme="minorHAnsi"/>
                <w:sz w:val="18"/>
                <w:szCs w:val="18"/>
              </w:rPr>
            </w:pPr>
          </w:p>
        </w:tc>
        <w:tc>
          <w:tcPr>
            <w:tcW w:w="1712" w:type="dxa"/>
          </w:tcPr>
          <w:p w14:paraId="5BCB3D3E"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PIF stage</w:t>
            </w:r>
          </w:p>
        </w:tc>
        <w:tc>
          <w:tcPr>
            <w:tcW w:w="2726" w:type="dxa"/>
          </w:tcPr>
          <w:p w14:paraId="1EF949C5"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Endorsement</w:t>
            </w:r>
          </w:p>
        </w:tc>
        <w:tc>
          <w:tcPr>
            <w:tcW w:w="1985" w:type="dxa"/>
          </w:tcPr>
          <w:p w14:paraId="5C8FC0AA"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MTR</w:t>
            </w:r>
          </w:p>
        </w:tc>
        <w:tc>
          <w:tcPr>
            <w:tcW w:w="3358" w:type="dxa"/>
          </w:tcPr>
          <w:p w14:paraId="11DF1925"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TE</w:t>
            </w:r>
          </w:p>
        </w:tc>
      </w:tr>
      <w:tr w:rsidR="004E7FA9" w:rsidRPr="003B6A69" w14:paraId="2850FC45" w14:textId="77777777" w:rsidTr="00AE6C8E">
        <w:tc>
          <w:tcPr>
            <w:tcW w:w="4673" w:type="dxa"/>
            <w:gridSpan w:val="4"/>
            <w:vMerge/>
          </w:tcPr>
          <w:p w14:paraId="0BF480EA" w14:textId="77777777" w:rsidR="004E7FA9" w:rsidRPr="003B6A69" w:rsidRDefault="004E7FA9" w:rsidP="00AE6C8E">
            <w:pPr>
              <w:jc w:val="right"/>
              <w:rPr>
                <w:rFonts w:asciiTheme="minorHAnsi" w:hAnsiTheme="minorHAnsi" w:cstheme="minorHAnsi"/>
                <w:sz w:val="18"/>
                <w:szCs w:val="18"/>
              </w:rPr>
            </w:pPr>
          </w:p>
        </w:tc>
        <w:tc>
          <w:tcPr>
            <w:tcW w:w="1712" w:type="dxa"/>
          </w:tcPr>
          <w:p w14:paraId="3E025498"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2726" w:type="dxa"/>
          </w:tcPr>
          <w:p w14:paraId="7A741EE9"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1985" w:type="dxa"/>
          </w:tcPr>
          <w:p w14:paraId="53D2CCBA"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3358" w:type="dxa"/>
          </w:tcPr>
          <w:p w14:paraId="5904CD9E"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r>
      <w:tr w:rsidR="004E7FA9" w:rsidRPr="003B6A69" w14:paraId="2C52D605" w14:textId="77777777" w:rsidTr="00AE6C8E">
        <w:trPr>
          <w:trHeight w:val="215"/>
        </w:trPr>
        <w:tc>
          <w:tcPr>
            <w:tcW w:w="4673" w:type="dxa"/>
            <w:gridSpan w:val="4"/>
            <w:vMerge/>
          </w:tcPr>
          <w:p w14:paraId="45EA9CB0" w14:textId="77777777" w:rsidR="004E7FA9" w:rsidRPr="003B6A69" w:rsidRDefault="004E7FA9" w:rsidP="00AE6C8E">
            <w:pPr>
              <w:jc w:val="right"/>
              <w:rPr>
                <w:rFonts w:asciiTheme="minorHAnsi" w:hAnsiTheme="minorHAnsi" w:cstheme="minorHAnsi"/>
                <w:sz w:val="18"/>
                <w:szCs w:val="18"/>
              </w:rPr>
            </w:pPr>
          </w:p>
        </w:tc>
        <w:tc>
          <w:tcPr>
            <w:tcW w:w="1712" w:type="dxa"/>
          </w:tcPr>
          <w:p w14:paraId="5489D990"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2726" w:type="dxa"/>
          </w:tcPr>
          <w:p w14:paraId="476C4A0B"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1985" w:type="dxa"/>
          </w:tcPr>
          <w:p w14:paraId="206174F2"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3358" w:type="dxa"/>
          </w:tcPr>
          <w:p w14:paraId="55D01F6F"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r>
      <w:tr w:rsidR="004E7FA9" w:rsidRPr="003B6A69" w14:paraId="6AACE908" w14:textId="77777777" w:rsidTr="00AE6C8E">
        <w:tc>
          <w:tcPr>
            <w:tcW w:w="1298" w:type="dxa"/>
            <w:shd w:val="clear" w:color="auto" w:fill="BFBFBF" w:themeFill="background1" w:themeFillShade="BF"/>
          </w:tcPr>
          <w:p w14:paraId="00E9387D" w14:textId="77777777" w:rsidR="004E7FA9" w:rsidRPr="003B6A69" w:rsidRDefault="004E7FA9" w:rsidP="00AE6C8E">
            <w:pPr>
              <w:rPr>
                <w:rFonts w:asciiTheme="minorHAnsi" w:hAnsiTheme="minorHAnsi" w:cstheme="minorHAnsi"/>
                <w:sz w:val="18"/>
                <w:szCs w:val="18"/>
              </w:rPr>
            </w:pPr>
            <w:r w:rsidRPr="003B6A69">
              <w:rPr>
                <w:rFonts w:asciiTheme="minorHAnsi" w:hAnsiTheme="minorHAnsi" w:cstheme="minorHAnsi"/>
                <w:sz w:val="18"/>
                <w:szCs w:val="18"/>
              </w:rPr>
              <w:t>Indicator 4.3</w:t>
            </w:r>
          </w:p>
        </w:tc>
        <w:tc>
          <w:tcPr>
            <w:tcW w:w="9798" w:type="dxa"/>
            <w:gridSpan w:val="6"/>
            <w:shd w:val="clear" w:color="auto" w:fill="BFBFBF" w:themeFill="background1" w:themeFillShade="BF"/>
          </w:tcPr>
          <w:p w14:paraId="0E28CF82" w14:textId="77777777" w:rsidR="004E7FA9" w:rsidRPr="003B6A69" w:rsidRDefault="004E7FA9" w:rsidP="00AE6C8E">
            <w:pPr>
              <w:rPr>
                <w:rFonts w:asciiTheme="minorHAnsi" w:hAnsiTheme="minorHAnsi" w:cstheme="minorHAnsi"/>
                <w:sz w:val="18"/>
                <w:szCs w:val="18"/>
              </w:rPr>
            </w:pPr>
            <w:r w:rsidRPr="003B6A69">
              <w:rPr>
                <w:rFonts w:asciiTheme="minorHAnsi" w:hAnsiTheme="minorHAnsi" w:cstheme="minorHAnsi"/>
                <w:sz w:val="18"/>
                <w:szCs w:val="18"/>
              </w:rPr>
              <w:t>Area of landscapes under sustainable land management in production systems</w:t>
            </w:r>
          </w:p>
        </w:tc>
        <w:tc>
          <w:tcPr>
            <w:tcW w:w="3358" w:type="dxa"/>
            <w:shd w:val="clear" w:color="auto" w:fill="BFBFBF" w:themeFill="background1" w:themeFillShade="BF"/>
          </w:tcPr>
          <w:p w14:paraId="4EAD5544"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r>
      <w:tr w:rsidR="004E7FA9" w:rsidRPr="003B6A69" w14:paraId="0333EBA4" w14:textId="77777777" w:rsidTr="00AE6C8E">
        <w:trPr>
          <w:trHeight w:val="125"/>
        </w:trPr>
        <w:tc>
          <w:tcPr>
            <w:tcW w:w="1298" w:type="dxa"/>
            <w:vMerge w:val="restart"/>
          </w:tcPr>
          <w:p w14:paraId="0674B977" w14:textId="77777777" w:rsidR="004E7FA9" w:rsidRPr="003B6A69" w:rsidRDefault="004E7FA9" w:rsidP="00AE6C8E">
            <w:pPr>
              <w:rPr>
                <w:rFonts w:asciiTheme="minorHAnsi" w:hAnsiTheme="minorHAnsi" w:cstheme="minorHAnsi"/>
                <w:sz w:val="18"/>
                <w:szCs w:val="18"/>
              </w:rPr>
            </w:pPr>
          </w:p>
        </w:tc>
        <w:tc>
          <w:tcPr>
            <w:tcW w:w="933" w:type="dxa"/>
            <w:vMerge w:val="restart"/>
          </w:tcPr>
          <w:p w14:paraId="46FBD0BD" w14:textId="77777777" w:rsidR="004E7FA9" w:rsidRPr="003B6A69" w:rsidRDefault="004E7FA9" w:rsidP="00AE6C8E">
            <w:pPr>
              <w:rPr>
                <w:rFonts w:asciiTheme="minorHAnsi" w:hAnsiTheme="minorHAnsi" w:cstheme="minorHAnsi"/>
                <w:sz w:val="18"/>
                <w:szCs w:val="18"/>
              </w:rPr>
            </w:pPr>
          </w:p>
        </w:tc>
        <w:tc>
          <w:tcPr>
            <w:tcW w:w="2442" w:type="dxa"/>
            <w:gridSpan w:val="2"/>
            <w:vMerge w:val="restart"/>
          </w:tcPr>
          <w:p w14:paraId="4583B994" w14:textId="77777777" w:rsidR="004E7FA9" w:rsidRPr="003B6A69" w:rsidRDefault="004E7FA9" w:rsidP="00AE6C8E">
            <w:pPr>
              <w:rPr>
                <w:rFonts w:asciiTheme="minorHAnsi" w:hAnsiTheme="minorHAnsi" w:cstheme="minorHAnsi"/>
                <w:sz w:val="18"/>
                <w:szCs w:val="18"/>
              </w:rPr>
            </w:pPr>
          </w:p>
        </w:tc>
        <w:tc>
          <w:tcPr>
            <w:tcW w:w="9781" w:type="dxa"/>
            <w:gridSpan w:val="4"/>
          </w:tcPr>
          <w:p w14:paraId="69733137"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Hectares</w:t>
            </w:r>
          </w:p>
        </w:tc>
      </w:tr>
      <w:tr w:rsidR="004E7FA9" w:rsidRPr="003B6A69" w14:paraId="1719CD44" w14:textId="77777777" w:rsidTr="00AE6C8E">
        <w:trPr>
          <w:trHeight w:val="58"/>
        </w:trPr>
        <w:tc>
          <w:tcPr>
            <w:tcW w:w="1298" w:type="dxa"/>
            <w:vMerge/>
          </w:tcPr>
          <w:p w14:paraId="79E3B230" w14:textId="77777777" w:rsidR="004E7FA9" w:rsidRPr="003B6A69" w:rsidRDefault="004E7FA9" w:rsidP="00AE6C8E">
            <w:pPr>
              <w:rPr>
                <w:rFonts w:asciiTheme="minorHAnsi" w:hAnsiTheme="minorHAnsi" w:cstheme="minorHAnsi"/>
                <w:sz w:val="18"/>
                <w:szCs w:val="18"/>
              </w:rPr>
            </w:pPr>
          </w:p>
        </w:tc>
        <w:tc>
          <w:tcPr>
            <w:tcW w:w="933" w:type="dxa"/>
            <w:vMerge/>
          </w:tcPr>
          <w:p w14:paraId="2F37E3D0" w14:textId="77777777" w:rsidR="004E7FA9" w:rsidRPr="003B6A69" w:rsidRDefault="004E7FA9" w:rsidP="00AE6C8E">
            <w:pPr>
              <w:rPr>
                <w:rFonts w:asciiTheme="minorHAnsi" w:hAnsiTheme="minorHAnsi" w:cstheme="minorHAnsi"/>
                <w:sz w:val="18"/>
                <w:szCs w:val="18"/>
              </w:rPr>
            </w:pPr>
          </w:p>
        </w:tc>
        <w:tc>
          <w:tcPr>
            <w:tcW w:w="2442" w:type="dxa"/>
            <w:gridSpan w:val="2"/>
            <w:vMerge/>
          </w:tcPr>
          <w:p w14:paraId="0E2B5D3C" w14:textId="77777777" w:rsidR="004E7FA9" w:rsidRPr="003B6A69" w:rsidRDefault="004E7FA9" w:rsidP="00AE6C8E">
            <w:pPr>
              <w:rPr>
                <w:rFonts w:asciiTheme="minorHAnsi" w:hAnsiTheme="minorHAnsi" w:cstheme="minorHAnsi"/>
                <w:sz w:val="18"/>
                <w:szCs w:val="18"/>
              </w:rPr>
            </w:pPr>
          </w:p>
        </w:tc>
        <w:tc>
          <w:tcPr>
            <w:tcW w:w="4438" w:type="dxa"/>
            <w:gridSpan w:val="2"/>
          </w:tcPr>
          <w:p w14:paraId="30A482E4"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Expected</w:t>
            </w:r>
          </w:p>
        </w:tc>
        <w:tc>
          <w:tcPr>
            <w:tcW w:w="5343" w:type="dxa"/>
            <w:gridSpan w:val="2"/>
          </w:tcPr>
          <w:p w14:paraId="323E323B"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Achieved</w:t>
            </w:r>
          </w:p>
        </w:tc>
      </w:tr>
      <w:tr w:rsidR="004E7FA9" w:rsidRPr="003B6A69" w14:paraId="366BB6A0" w14:textId="77777777" w:rsidTr="00AE6C8E">
        <w:trPr>
          <w:trHeight w:val="58"/>
        </w:trPr>
        <w:tc>
          <w:tcPr>
            <w:tcW w:w="1298" w:type="dxa"/>
            <w:vMerge/>
          </w:tcPr>
          <w:p w14:paraId="53E45649" w14:textId="77777777" w:rsidR="004E7FA9" w:rsidRPr="003B6A69" w:rsidRDefault="004E7FA9" w:rsidP="00AE6C8E">
            <w:pPr>
              <w:rPr>
                <w:rFonts w:asciiTheme="minorHAnsi" w:hAnsiTheme="minorHAnsi" w:cstheme="minorHAnsi"/>
                <w:sz w:val="18"/>
                <w:szCs w:val="18"/>
              </w:rPr>
            </w:pPr>
          </w:p>
        </w:tc>
        <w:tc>
          <w:tcPr>
            <w:tcW w:w="933" w:type="dxa"/>
            <w:vMerge/>
          </w:tcPr>
          <w:p w14:paraId="79CF0B47" w14:textId="77777777" w:rsidR="004E7FA9" w:rsidRPr="003B6A69" w:rsidRDefault="004E7FA9" w:rsidP="00AE6C8E">
            <w:pPr>
              <w:rPr>
                <w:rFonts w:asciiTheme="minorHAnsi" w:hAnsiTheme="minorHAnsi" w:cstheme="minorHAnsi"/>
                <w:sz w:val="18"/>
                <w:szCs w:val="18"/>
              </w:rPr>
            </w:pPr>
          </w:p>
        </w:tc>
        <w:tc>
          <w:tcPr>
            <w:tcW w:w="2442" w:type="dxa"/>
            <w:gridSpan w:val="2"/>
            <w:vMerge/>
          </w:tcPr>
          <w:p w14:paraId="16F09E0E" w14:textId="77777777" w:rsidR="004E7FA9" w:rsidRPr="003B6A69" w:rsidRDefault="004E7FA9" w:rsidP="00AE6C8E">
            <w:pPr>
              <w:rPr>
                <w:rFonts w:asciiTheme="minorHAnsi" w:hAnsiTheme="minorHAnsi" w:cstheme="minorHAnsi"/>
                <w:sz w:val="18"/>
                <w:szCs w:val="18"/>
              </w:rPr>
            </w:pPr>
          </w:p>
        </w:tc>
        <w:tc>
          <w:tcPr>
            <w:tcW w:w="1712" w:type="dxa"/>
          </w:tcPr>
          <w:p w14:paraId="27EC2AEC"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PIF stage</w:t>
            </w:r>
          </w:p>
        </w:tc>
        <w:tc>
          <w:tcPr>
            <w:tcW w:w="2726" w:type="dxa"/>
          </w:tcPr>
          <w:p w14:paraId="2A375D2D"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Endorsement</w:t>
            </w:r>
          </w:p>
        </w:tc>
        <w:tc>
          <w:tcPr>
            <w:tcW w:w="1985" w:type="dxa"/>
          </w:tcPr>
          <w:p w14:paraId="28FE5F17"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MTR</w:t>
            </w:r>
          </w:p>
        </w:tc>
        <w:tc>
          <w:tcPr>
            <w:tcW w:w="3358" w:type="dxa"/>
          </w:tcPr>
          <w:p w14:paraId="4192C3BB"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TE</w:t>
            </w:r>
          </w:p>
        </w:tc>
      </w:tr>
      <w:tr w:rsidR="004E7FA9" w:rsidRPr="003B6A69" w14:paraId="6EA9FA4A" w14:textId="77777777" w:rsidTr="00AE6C8E">
        <w:tc>
          <w:tcPr>
            <w:tcW w:w="1298" w:type="dxa"/>
          </w:tcPr>
          <w:p w14:paraId="5D49DBDC" w14:textId="77777777" w:rsidR="004E7FA9" w:rsidRPr="003B6A69" w:rsidRDefault="004E7FA9" w:rsidP="00AE6C8E">
            <w:pPr>
              <w:jc w:val="right"/>
              <w:rPr>
                <w:rFonts w:asciiTheme="minorHAnsi" w:hAnsiTheme="minorHAnsi" w:cstheme="minorHAnsi"/>
                <w:sz w:val="18"/>
                <w:szCs w:val="18"/>
              </w:rPr>
            </w:pPr>
          </w:p>
        </w:tc>
        <w:tc>
          <w:tcPr>
            <w:tcW w:w="933" w:type="dxa"/>
          </w:tcPr>
          <w:p w14:paraId="7584688D" w14:textId="77777777" w:rsidR="004E7FA9" w:rsidRPr="003B6A69" w:rsidRDefault="004E7FA9" w:rsidP="00AE6C8E">
            <w:pPr>
              <w:jc w:val="right"/>
              <w:rPr>
                <w:rFonts w:asciiTheme="minorHAnsi" w:hAnsiTheme="minorHAnsi" w:cstheme="minorHAnsi"/>
                <w:sz w:val="18"/>
                <w:szCs w:val="18"/>
              </w:rPr>
            </w:pPr>
          </w:p>
        </w:tc>
        <w:tc>
          <w:tcPr>
            <w:tcW w:w="2442" w:type="dxa"/>
            <w:gridSpan w:val="2"/>
          </w:tcPr>
          <w:p w14:paraId="73ABDD0F" w14:textId="77777777" w:rsidR="004E7FA9" w:rsidRPr="003B6A69" w:rsidRDefault="004E7FA9" w:rsidP="00AE6C8E">
            <w:pPr>
              <w:jc w:val="right"/>
              <w:rPr>
                <w:rFonts w:asciiTheme="minorHAnsi" w:hAnsiTheme="minorHAnsi" w:cstheme="minorHAnsi"/>
                <w:sz w:val="18"/>
                <w:szCs w:val="18"/>
              </w:rPr>
            </w:pPr>
          </w:p>
        </w:tc>
        <w:tc>
          <w:tcPr>
            <w:tcW w:w="1712" w:type="dxa"/>
          </w:tcPr>
          <w:p w14:paraId="234C81C3" w14:textId="77777777" w:rsidR="004E7FA9" w:rsidRPr="003B6A69" w:rsidRDefault="004E7FA9" w:rsidP="00AE6C8E">
            <w:pPr>
              <w:jc w:val="right"/>
              <w:rPr>
                <w:rFonts w:asciiTheme="minorHAnsi" w:hAnsiTheme="minorHAnsi" w:cstheme="minorHAnsi"/>
                <w:sz w:val="18"/>
                <w:szCs w:val="18"/>
              </w:rPr>
            </w:pPr>
            <w:r w:rsidRPr="003B6A69">
              <w:rPr>
                <w:i/>
                <w:color w:val="000000"/>
                <w:sz w:val="18"/>
                <w:szCs w:val="18"/>
              </w:rPr>
              <w:t>70,000</w:t>
            </w:r>
          </w:p>
        </w:tc>
        <w:tc>
          <w:tcPr>
            <w:tcW w:w="2726" w:type="dxa"/>
          </w:tcPr>
          <w:p w14:paraId="491ACC50" w14:textId="46341DD3" w:rsidR="004E7FA9" w:rsidRPr="003B6A69" w:rsidRDefault="00AE2022" w:rsidP="00AE6C8E">
            <w:pPr>
              <w:jc w:val="right"/>
              <w:rPr>
                <w:rFonts w:asciiTheme="minorHAnsi" w:hAnsiTheme="minorHAnsi" w:cstheme="minorHAnsi"/>
                <w:sz w:val="18"/>
                <w:szCs w:val="18"/>
              </w:rPr>
            </w:pPr>
            <w:r>
              <w:rPr>
                <w:i/>
                <w:color w:val="000000"/>
                <w:sz w:val="18"/>
                <w:szCs w:val="18"/>
              </w:rPr>
              <w:t>0</w:t>
            </w:r>
          </w:p>
        </w:tc>
        <w:tc>
          <w:tcPr>
            <w:tcW w:w="1985" w:type="dxa"/>
          </w:tcPr>
          <w:p w14:paraId="241CF4ED"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3358" w:type="dxa"/>
          </w:tcPr>
          <w:p w14:paraId="05ECF61A"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r>
      <w:tr w:rsidR="004E7FA9" w:rsidRPr="003B6A69" w14:paraId="2F4952EC" w14:textId="77777777" w:rsidTr="00AE6C8E">
        <w:tc>
          <w:tcPr>
            <w:tcW w:w="1298" w:type="dxa"/>
          </w:tcPr>
          <w:p w14:paraId="09F3E797" w14:textId="77777777" w:rsidR="004E7FA9" w:rsidRPr="003B6A69" w:rsidRDefault="004E7FA9" w:rsidP="00AE6C8E">
            <w:pPr>
              <w:jc w:val="right"/>
              <w:rPr>
                <w:rFonts w:asciiTheme="minorHAnsi" w:hAnsiTheme="minorHAnsi" w:cstheme="minorHAnsi"/>
                <w:sz w:val="18"/>
                <w:szCs w:val="18"/>
              </w:rPr>
            </w:pPr>
          </w:p>
        </w:tc>
        <w:tc>
          <w:tcPr>
            <w:tcW w:w="933" w:type="dxa"/>
          </w:tcPr>
          <w:p w14:paraId="6D084553" w14:textId="77777777" w:rsidR="004E7FA9" w:rsidRPr="003B6A69" w:rsidRDefault="004E7FA9" w:rsidP="00AE6C8E">
            <w:pPr>
              <w:jc w:val="right"/>
              <w:rPr>
                <w:rFonts w:asciiTheme="minorHAnsi" w:hAnsiTheme="minorHAnsi" w:cstheme="minorHAnsi"/>
                <w:sz w:val="18"/>
                <w:szCs w:val="18"/>
              </w:rPr>
            </w:pPr>
          </w:p>
        </w:tc>
        <w:tc>
          <w:tcPr>
            <w:tcW w:w="2442" w:type="dxa"/>
            <w:gridSpan w:val="2"/>
          </w:tcPr>
          <w:p w14:paraId="71586734" w14:textId="77777777" w:rsidR="004E7FA9" w:rsidRPr="003B6A69" w:rsidRDefault="004E7FA9" w:rsidP="00AE6C8E">
            <w:pPr>
              <w:jc w:val="right"/>
              <w:rPr>
                <w:rFonts w:asciiTheme="minorHAnsi" w:hAnsiTheme="minorHAnsi" w:cstheme="minorHAnsi"/>
                <w:sz w:val="18"/>
                <w:szCs w:val="18"/>
              </w:rPr>
            </w:pPr>
          </w:p>
        </w:tc>
        <w:tc>
          <w:tcPr>
            <w:tcW w:w="1712" w:type="dxa"/>
          </w:tcPr>
          <w:p w14:paraId="677C1F03"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2726" w:type="dxa"/>
          </w:tcPr>
          <w:p w14:paraId="1FBEB04D"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1985" w:type="dxa"/>
          </w:tcPr>
          <w:p w14:paraId="717E3743"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3358" w:type="dxa"/>
          </w:tcPr>
          <w:p w14:paraId="121AF583"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r>
      <w:tr w:rsidR="004E7FA9" w:rsidRPr="003B6A69" w14:paraId="09111415" w14:textId="77777777" w:rsidTr="00AE6C8E">
        <w:tc>
          <w:tcPr>
            <w:tcW w:w="1298" w:type="dxa"/>
            <w:shd w:val="clear" w:color="auto" w:fill="BFBFBF" w:themeFill="background1" w:themeFillShade="BF"/>
          </w:tcPr>
          <w:p w14:paraId="2AFEE148" w14:textId="77777777" w:rsidR="004E7FA9" w:rsidRPr="003B6A69" w:rsidRDefault="004E7FA9" w:rsidP="00AE6C8E">
            <w:pPr>
              <w:rPr>
                <w:rFonts w:asciiTheme="minorHAnsi" w:hAnsiTheme="minorHAnsi" w:cstheme="minorHAnsi"/>
                <w:sz w:val="18"/>
                <w:szCs w:val="18"/>
              </w:rPr>
            </w:pPr>
            <w:r w:rsidRPr="003B6A69">
              <w:rPr>
                <w:rFonts w:asciiTheme="minorHAnsi" w:hAnsiTheme="minorHAnsi" w:cstheme="minorHAnsi"/>
                <w:sz w:val="18"/>
                <w:szCs w:val="18"/>
              </w:rPr>
              <w:t>Indicator 4.4</w:t>
            </w:r>
          </w:p>
        </w:tc>
        <w:tc>
          <w:tcPr>
            <w:tcW w:w="9798" w:type="dxa"/>
            <w:gridSpan w:val="6"/>
            <w:shd w:val="clear" w:color="auto" w:fill="BFBFBF" w:themeFill="background1" w:themeFillShade="BF"/>
          </w:tcPr>
          <w:p w14:paraId="0F154DD1" w14:textId="77777777" w:rsidR="004E7FA9" w:rsidRPr="003B6A69" w:rsidRDefault="004E7FA9" w:rsidP="00AE6C8E">
            <w:pPr>
              <w:rPr>
                <w:rFonts w:asciiTheme="minorHAnsi" w:hAnsiTheme="minorHAnsi" w:cstheme="minorHAnsi"/>
                <w:sz w:val="18"/>
                <w:szCs w:val="18"/>
              </w:rPr>
            </w:pPr>
            <w:r w:rsidRPr="003B6A69">
              <w:rPr>
                <w:rFonts w:asciiTheme="minorHAnsi" w:hAnsiTheme="minorHAnsi" w:cstheme="minorHAnsi"/>
                <w:sz w:val="18"/>
                <w:szCs w:val="18"/>
              </w:rPr>
              <w:t>Area of High Conservation Value Forest (HCVF) loss avoided</w:t>
            </w:r>
          </w:p>
        </w:tc>
        <w:tc>
          <w:tcPr>
            <w:tcW w:w="3358" w:type="dxa"/>
            <w:shd w:val="clear" w:color="auto" w:fill="BFBFBF" w:themeFill="background1" w:themeFillShade="BF"/>
          </w:tcPr>
          <w:p w14:paraId="3F57096B"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r>
      <w:tr w:rsidR="004E7FA9" w:rsidRPr="003B6A69" w14:paraId="0776698E" w14:textId="77777777" w:rsidTr="00AE6C8E">
        <w:trPr>
          <w:trHeight w:val="125"/>
        </w:trPr>
        <w:tc>
          <w:tcPr>
            <w:tcW w:w="4673" w:type="dxa"/>
            <w:gridSpan w:val="4"/>
            <w:vMerge w:val="restart"/>
          </w:tcPr>
          <w:p w14:paraId="6F3C24AB" w14:textId="77777777" w:rsidR="004E7FA9" w:rsidRPr="003B6A69" w:rsidRDefault="004E7FA9" w:rsidP="00AE6C8E">
            <w:pPr>
              <w:rPr>
                <w:rFonts w:asciiTheme="minorHAnsi" w:hAnsiTheme="minorHAnsi" w:cstheme="minorHAnsi"/>
                <w:sz w:val="18"/>
                <w:szCs w:val="18"/>
              </w:rPr>
            </w:pPr>
            <w:r w:rsidRPr="003B6A69">
              <w:rPr>
                <w:rFonts w:asciiTheme="minorHAnsi" w:hAnsiTheme="minorHAnsi" w:cstheme="minorHAnsi"/>
                <w:sz w:val="18"/>
                <w:szCs w:val="18"/>
              </w:rPr>
              <w:t>Include documentation that justifies HCVF</w:t>
            </w:r>
          </w:p>
          <w:p w14:paraId="7157B96A" w14:textId="77777777" w:rsidR="004E7FA9" w:rsidRPr="003B6A69" w:rsidRDefault="004E7FA9" w:rsidP="00AE6C8E">
            <w:pPr>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9781" w:type="dxa"/>
            <w:gridSpan w:val="4"/>
          </w:tcPr>
          <w:p w14:paraId="4D711D1B"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Hectares</w:t>
            </w:r>
          </w:p>
        </w:tc>
      </w:tr>
      <w:tr w:rsidR="004E7FA9" w:rsidRPr="003B6A69" w14:paraId="53903921" w14:textId="77777777" w:rsidTr="00AE6C8E">
        <w:trPr>
          <w:trHeight w:val="58"/>
        </w:trPr>
        <w:tc>
          <w:tcPr>
            <w:tcW w:w="4673" w:type="dxa"/>
            <w:gridSpan w:val="4"/>
            <w:vMerge/>
          </w:tcPr>
          <w:p w14:paraId="64BC30C5" w14:textId="77777777" w:rsidR="004E7FA9" w:rsidRPr="003B6A69" w:rsidRDefault="004E7FA9" w:rsidP="00AE6C8E">
            <w:pPr>
              <w:rPr>
                <w:rFonts w:asciiTheme="minorHAnsi" w:hAnsiTheme="minorHAnsi" w:cstheme="minorHAnsi"/>
                <w:sz w:val="18"/>
                <w:szCs w:val="18"/>
              </w:rPr>
            </w:pPr>
          </w:p>
        </w:tc>
        <w:tc>
          <w:tcPr>
            <w:tcW w:w="4438" w:type="dxa"/>
            <w:gridSpan w:val="2"/>
          </w:tcPr>
          <w:p w14:paraId="22A7DAA6"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Expected</w:t>
            </w:r>
          </w:p>
        </w:tc>
        <w:tc>
          <w:tcPr>
            <w:tcW w:w="5343" w:type="dxa"/>
            <w:gridSpan w:val="2"/>
          </w:tcPr>
          <w:p w14:paraId="1C7BC70F"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Achieved</w:t>
            </w:r>
          </w:p>
        </w:tc>
      </w:tr>
      <w:tr w:rsidR="004E7FA9" w:rsidRPr="003B6A69" w14:paraId="4A2D7A60" w14:textId="77777777" w:rsidTr="00AE6C8E">
        <w:trPr>
          <w:trHeight w:val="80"/>
        </w:trPr>
        <w:tc>
          <w:tcPr>
            <w:tcW w:w="4673" w:type="dxa"/>
            <w:gridSpan w:val="4"/>
            <w:vMerge/>
          </w:tcPr>
          <w:p w14:paraId="5EEC870B" w14:textId="77777777" w:rsidR="004E7FA9" w:rsidRPr="003B6A69" w:rsidRDefault="004E7FA9" w:rsidP="00AE6C8E">
            <w:pPr>
              <w:rPr>
                <w:rFonts w:asciiTheme="minorHAnsi" w:hAnsiTheme="minorHAnsi" w:cstheme="minorHAnsi"/>
                <w:sz w:val="18"/>
                <w:szCs w:val="18"/>
              </w:rPr>
            </w:pPr>
          </w:p>
        </w:tc>
        <w:tc>
          <w:tcPr>
            <w:tcW w:w="1712" w:type="dxa"/>
          </w:tcPr>
          <w:p w14:paraId="3305ABF4"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PIF stage</w:t>
            </w:r>
          </w:p>
        </w:tc>
        <w:tc>
          <w:tcPr>
            <w:tcW w:w="2726" w:type="dxa"/>
          </w:tcPr>
          <w:p w14:paraId="7BA28C40"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Endorsement</w:t>
            </w:r>
          </w:p>
        </w:tc>
        <w:tc>
          <w:tcPr>
            <w:tcW w:w="1985" w:type="dxa"/>
          </w:tcPr>
          <w:p w14:paraId="25EB6093"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MTR</w:t>
            </w:r>
          </w:p>
        </w:tc>
        <w:tc>
          <w:tcPr>
            <w:tcW w:w="3358" w:type="dxa"/>
          </w:tcPr>
          <w:p w14:paraId="51E49B7A"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TE</w:t>
            </w:r>
          </w:p>
        </w:tc>
      </w:tr>
      <w:tr w:rsidR="004E7FA9" w:rsidRPr="003B6A69" w14:paraId="6F79B83F" w14:textId="77777777" w:rsidTr="00AE6C8E">
        <w:tc>
          <w:tcPr>
            <w:tcW w:w="4673" w:type="dxa"/>
            <w:gridSpan w:val="4"/>
            <w:vMerge/>
          </w:tcPr>
          <w:p w14:paraId="4DBC93A9" w14:textId="77777777" w:rsidR="004E7FA9" w:rsidRPr="003B6A69" w:rsidRDefault="004E7FA9" w:rsidP="00AE6C8E">
            <w:pPr>
              <w:jc w:val="right"/>
              <w:rPr>
                <w:rFonts w:asciiTheme="minorHAnsi" w:hAnsiTheme="minorHAnsi" w:cstheme="minorHAnsi"/>
                <w:sz w:val="18"/>
                <w:szCs w:val="18"/>
              </w:rPr>
            </w:pPr>
          </w:p>
        </w:tc>
        <w:tc>
          <w:tcPr>
            <w:tcW w:w="1712" w:type="dxa"/>
          </w:tcPr>
          <w:p w14:paraId="56798B9E"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2726" w:type="dxa"/>
          </w:tcPr>
          <w:p w14:paraId="0FEE0258"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1985" w:type="dxa"/>
          </w:tcPr>
          <w:p w14:paraId="38DCAA8F"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3358" w:type="dxa"/>
          </w:tcPr>
          <w:p w14:paraId="0487F975"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r>
      <w:tr w:rsidR="004E7FA9" w:rsidRPr="003B6A69" w14:paraId="6AF59AC2" w14:textId="77777777" w:rsidTr="00AE6C8E">
        <w:tc>
          <w:tcPr>
            <w:tcW w:w="4673" w:type="dxa"/>
            <w:gridSpan w:val="4"/>
            <w:vMerge/>
          </w:tcPr>
          <w:p w14:paraId="2B9E3250" w14:textId="77777777" w:rsidR="004E7FA9" w:rsidRPr="003B6A69" w:rsidRDefault="004E7FA9" w:rsidP="00AE6C8E">
            <w:pPr>
              <w:jc w:val="right"/>
              <w:rPr>
                <w:rFonts w:asciiTheme="minorHAnsi" w:hAnsiTheme="minorHAnsi" w:cstheme="minorHAnsi"/>
                <w:sz w:val="18"/>
                <w:szCs w:val="18"/>
              </w:rPr>
            </w:pPr>
          </w:p>
        </w:tc>
        <w:tc>
          <w:tcPr>
            <w:tcW w:w="1712" w:type="dxa"/>
          </w:tcPr>
          <w:p w14:paraId="6EFCF06A"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2726" w:type="dxa"/>
          </w:tcPr>
          <w:p w14:paraId="78A00C0A"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1985" w:type="dxa"/>
          </w:tcPr>
          <w:p w14:paraId="2EFACD73"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3358" w:type="dxa"/>
          </w:tcPr>
          <w:p w14:paraId="66A88B51"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r>
      <w:tr w:rsidR="004E7FA9" w:rsidRPr="003B6A69" w14:paraId="3A3DCF28" w14:textId="77777777" w:rsidTr="00AE6C8E">
        <w:tc>
          <w:tcPr>
            <w:tcW w:w="1298" w:type="dxa"/>
            <w:shd w:val="clear" w:color="auto" w:fill="D9D9D9" w:themeFill="background1" w:themeFillShade="D9"/>
          </w:tcPr>
          <w:p w14:paraId="6B3EF9BD" w14:textId="77777777" w:rsidR="004E7FA9" w:rsidRPr="003B6A69" w:rsidRDefault="004E7FA9" w:rsidP="00AE6C8E">
            <w:pPr>
              <w:rPr>
                <w:rFonts w:asciiTheme="minorHAnsi" w:hAnsiTheme="minorHAnsi" w:cstheme="minorHAnsi"/>
                <w:b/>
                <w:sz w:val="18"/>
                <w:szCs w:val="18"/>
              </w:rPr>
            </w:pPr>
            <w:r w:rsidRPr="003B6A69">
              <w:rPr>
                <w:rFonts w:asciiTheme="minorHAnsi" w:hAnsiTheme="minorHAnsi" w:cstheme="minorHAnsi"/>
                <w:b/>
                <w:sz w:val="18"/>
                <w:szCs w:val="18"/>
              </w:rPr>
              <w:t>Core Indicator 5</w:t>
            </w:r>
          </w:p>
        </w:tc>
        <w:tc>
          <w:tcPr>
            <w:tcW w:w="9798" w:type="dxa"/>
            <w:gridSpan w:val="6"/>
            <w:shd w:val="clear" w:color="auto" w:fill="D9D9D9" w:themeFill="background1" w:themeFillShade="D9"/>
          </w:tcPr>
          <w:p w14:paraId="69FFABD6" w14:textId="77777777" w:rsidR="004E7FA9" w:rsidRPr="003B6A69" w:rsidRDefault="004E7FA9" w:rsidP="00AE6C8E">
            <w:pPr>
              <w:rPr>
                <w:rFonts w:asciiTheme="minorHAnsi" w:hAnsiTheme="minorHAnsi" w:cstheme="minorHAnsi"/>
                <w:b/>
                <w:sz w:val="18"/>
                <w:szCs w:val="18"/>
              </w:rPr>
            </w:pPr>
            <w:r w:rsidRPr="003B6A69">
              <w:rPr>
                <w:rFonts w:asciiTheme="minorHAnsi" w:hAnsiTheme="minorHAnsi" w:cstheme="minorHAnsi"/>
                <w:b/>
                <w:sz w:val="18"/>
                <w:szCs w:val="18"/>
              </w:rPr>
              <w:t>Area of marine habitat under improved practices to benefit biodiversity</w:t>
            </w:r>
          </w:p>
        </w:tc>
        <w:tc>
          <w:tcPr>
            <w:tcW w:w="3358" w:type="dxa"/>
            <w:shd w:val="clear" w:color="auto" w:fill="D9D9D9" w:themeFill="background1" w:themeFillShade="D9"/>
          </w:tcPr>
          <w:p w14:paraId="10702B67" w14:textId="77777777" w:rsidR="004E7FA9" w:rsidRPr="003B6A69" w:rsidRDefault="004E7FA9" w:rsidP="00AE6C8E">
            <w:pPr>
              <w:jc w:val="right"/>
              <w:rPr>
                <w:rFonts w:asciiTheme="minorHAnsi" w:hAnsiTheme="minorHAnsi" w:cstheme="minorHAnsi"/>
                <w:b/>
                <w:sz w:val="18"/>
                <w:szCs w:val="18"/>
              </w:rPr>
            </w:pPr>
            <w:r w:rsidRPr="003B6A69">
              <w:rPr>
                <w:rFonts w:asciiTheme="minorHAnsi" w:hAnsiTheme="minorHAnsi" w:cstheme="minorHAnsi"/>
                <w:b/>
                <w:i/>
                <w:color w:val="000000"/>
                <w:sz w:val="18"/>
                <w:szCs w:val="18"/>
              </w:rPr>
              <w:fldChar w:fldCharType="begin">
                <w:ffData>
                  <w:name w:val="F_GEB_BD_target"/>
                  <w:enabled/>
                  <w:calcOnExit w:val="0"/>
                  <w:textInput>
                    <w:default w:val="(Hectares)"/>
                  </w:textInput>
                </w:ffData>
              </w:fldChar>
            </w:r>
            <w:r w:rsidRPr="003B6A69">
              <w:rPr>
                <w:rFonts w:asciiTheme="minorHAnsi" w:hAnsiTheme="minorHAnsi" w:cstheme="minorHAnsi"/>
                <w:b/>
                <w:i/>
                <w:color w:val="000000"/>
                <w:sz w:val="18"/>
                <w:szCs w:val="18"/>
              </w:rPr>
              <w:instrText xml:space="preserve"> FORMTEXT </w:instrText>
            </w:r>
            <w:r w:rsidRPr="003B6A69">
              <w:rPr>
                <w:rFonts w:asciiTheme="minorHAnsi" w:hAnsiTheme="minorHAnsi" w:cstheme="minorHAnsi"/>
                <w:b/>
                <w:i/>
                <w:color w:val="000000"/>
                <w:sz w:val="18"/>
                <w:szCs w:val="18"/>
              </w:rPr>
            </w:r>
            <w:r w:rsidRPr="003B6A69">
              <w:rPr>
                <w:rFonts w:asciiTheme="minorHAnsi" w:hAnsiTheme="minorHAnsi" w:cstheme="minorHAnsi"/>
                <w:b/>
                <w:i/>
                <w:color w:val="000000"/>
                <w:sz w:val="18"/>
                <w:szCs w:val="18"/>
              </w:rPr>
              <w:fldChar w:fldCharType="separate"/>
            </w:r>
            <w:r w:rsidRPr="003B6A69">
              <w:rPr>
                <w:rFonts w:asciiTheme="minorHAnsi" w:hAnsiTheme="minorHAnsi" w:cstheme="minorHAnsi"/>
                <w:b/>
                <w:i/>
                <w:noProof/>
                <w:color w:val="000000"/>
                <w:sz w:val="18"/>
                <w:szCs w:val="18"/>
              </w:rPr>
              <w:t>(Hectares)</w:t>
            </w:r>
            <w:r w:rsidRPr="003B6A69">
              <w:rPr>
                <w:rFonts w:asciiTheme="minorHAnsi" w:hAnsiTheme="minorHAnsi" w:cstheme="minorHAnsi"/>
                <w:b/>
                <w:i/>
                <w:color w:val="000000"/>
                <w:sz w:val="18"/>
                <w:szCs w:val="18"/>
              </w:rPr>
              <w:fldChar w:fldCharType="end"/>
            </w:r>
          </w:p>
        </w:tc>
      </w:tr>
      <w:tr w:rsidR="004E7FA9" w:rsidRPr="003B6A69" w14:paraId="421D65B5" w14:textId="77777777" w:rsidTr="00AE6C8E">
        <w:tc>
          <w:tcPr>
            <w:tcW w:w="1298" w:type="dxa"/>
            <w:shd w:val="clear" w:color="auto" w:fill="BFBFBF" w:themeFill="background1" w:themeFillShade="BF"/>
          </w:tcPr>
          <w:p w14:paraId="704108F8" w14:textId="77777777" w:rsidR="004E7FA9" w:rsidRPr="003B6A69" w:rsidRDefault="004E7FA9" w:rsidP="00AE6C8E">
            <w:pPr>
              <w:rPr>
                <w:rFonts w:asciiTheme="minorHAnsi" w:hAnsiTheme="minorHAnsi" w:cstheme="minorHAnsi"/>
                <w:sz w:val="18"/>
                <w:szCs w:val="18"/>
              </w:rPr>
            </w:pPr>
            <w:r w:rsidRPr="003B6A69">
              <w:rPr>
                <w:rFonts w:asciiTheme="minorHAnsi" w:hAnsiTheme="minorHAnsi" w:cstheme="minorHAnsi"/>
                <w:sz w:val="18"/>
                <w:szCs w:val="18"/>
              </w:rPr>
              <w:t>Indicator 5.1</w:t>
            </w:r>
          </w:p>
        </w:tc>
        <w:tc>
          <w:tcPr>
            <w:tcW w:w="9798" w:type="dxa"/>
            <w:gridSpan w:val="6"/>
            <w:shd w:val="clear" w:color="auto" w:fill="BFBFBF" w:themeFill="background1" w:themeFillShade="BF"/>
          </w:tcPr>
          <w:p w14:paraId="0A021153" w14:textId="77777777" w:rsidR="004E7FA9" w:rsidRPr="003B6A69" w:rsidRDefault="004E7FA9" w:rsidP="00AE6C8E">
            <w:pPr>
              <w:rPr>
                <w:rFonts w:asciiTheme="minorHAnsi" w:hAnsiTheme="minorHAnsi" w:cstheme="minorHAnsi"/>
                <w:sz w:val="18"/>
                <w:szCs w:val="18"/>
              </w:rPr>
            </w:pPr>
            <w:r w:rsidRPr="003B6A69">
              <w:rPr>
                <w:rFonts w:asciiTheme="minorHAnsi" w:hAnsiTheme="minorHAnsi" w:cstheme="minorHAnsi"/>
                <w:sz w:val="18"/>
                <w:szCs w:val="18"/>
              </w:rPr>
              <w:t>Number of fisheries that meet national or international third-party certification that incorporates biodiversity considerations</w:t>
            </w:r>
          </w:p>
        </w:tc>
        <w:tc>
          <w:tcPr>
            <w:tcW w:w="3358" w:type="dxa"/>
            <w:shd w:val="clear" w:color="auto" w:fill="BFBFBF" w:themeFill="background1" w:themeFillShade="BF"/>
          </w:tcPr>
          <w:p w14:paraId="0C5F611E"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r>
      <w:tr w:rsidR="004E7FA9" w:rsidRPr="003B6A69" w14:paraId="18D2CD34" w14:textId="77777777" w:rsidTr="00AE6C8E">
        <w:trPr>
          <w:trHeight w:val="125"/>
        </w:trPr>
        <w:tc>
          <w:tcPr>
            <w:tcW w:w="4673" w:type="dxa"/>
            <w:gridSpan w:val="4"/>
            <w:vMerge w:val="restart"/>
          </w:tcPr>
          <w:p w14:paraId="7CD3B83A" w14:textId="77777777" w:rsidR="004E7FA9" w:rsidRPr="003B6A69" w:rsidRDefault="004E7FA9" w:rsidP="00AE6C8E">
            <w:pPr>
              <w:rPr>
                <w:rFonts w:asciiTheme="minorHAnsi" w:hAnsiTheme="minorHAnsi" w:cstheme="minorHAnsi"/>
                <w:i/>
                <w:color w:val="000000"/>
                <w:sz w:val="18"/>
                <w:szCs w:val="18"/>
              </w:rPr>
            </w:pPr>
            <w:r w:rsidRPr="003B6A69">
              <w:rPr>
                <w:rFonts w:asciiTheme="minorHAnsi" w:hAnsiTheme="minorHAnsi" w:cstheme="minorHAnsi"/>
                <w:sz w:val="18"/>
                <w:szCs w:val="18"/>
              </w:rPr>
              <w:t xml:space="preserve">Third party certification(s):    </w:t>
            </w: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p w14:paraId="614F835A" w14:textId="77777777" w:rsidR="004E7FA9" w:rsidRPr="003B6A69" w:rsidRDefault="004E7FA9" w:rsidP="00AE6C8E">
            <w:pPr>
              <w:rPr>
                <w:rFonts w:asciiTheme="minorHAnsi" w:hAnsiTheme="minorHAnsi" w:cstheme="minorHAnsi"/>
                <w:i/>
                <w:color w:val="000000"/>
                <w:sz w:val="18"/>
                <w:szCs w:val="18"/>
              </w:rPr>
            </w:pPr>
          </w:p>
          <w:p w14:paraId="426EFE52" w14:textId="77777777" w:rsidR="004E7FA9" w:rsidRPr="003B6A69" w:rsidRDefault="004E7FA9" w:rsidP="00AE6C8E">
            <w:pPr>
              <w:ind w:left="2160"/>
              <w:rPr>
                <w:rFonts w:asciiTheme="minorHAnsi" w:hAnsiTheme="minorHAnsi" w:cstheme="minorHAnsi"/>
                <w:i/>
                <w:color w:val="000000"/>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p w14:paraId="371F5579" w14:textId="77777777" w:rsidR="004E7FA9" w:rsidRPr="003B6A69" w:rsidRDefault="004E7FA9" w:rsidP="00AE6C8E">
            <w:pPr>
              <w:ind w:left="2160"/>
              <w:rPr>
                <w:rFonts w:asciiTheme="minorHAnsi" w:hAnsiTheme="minorHAnsi" w:cstheme="minorHAnsi"/>
                <w:i/>
                <w:color w:val="000000"/>
                <w:sz w:val="18"/>
                <w:szCs w:val="18"/>
              </w:rPr>
            </w:pPr>
          </w:p>
          <w:p w14:paraId="481ED9F3" w14:textId="77777777" w:rsidR="004E7FA9" w:rsidRPr="003B6A69" w:rsidRDefault="004E7FA9" w:rsidP="00AE6C8E">
            <w:pPr>
              <w:ind w:left="2160"/>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9781" w:type="dxa"/>
            <w:gridSpan w:val="4"/>
          </w:tcPr>
          <w:p w14:paraId="629C14B2"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Number</w:t>
            </w:r>
          </w:p>
        </w:tc>
      </w:tr>
      <w:tr w:rsidR="004E7FA9" w:rsidRPr="003B6A69" w14:paraId="4B23D24C" w14:textId="77777777" w:rsidTr="00AE6C8E">
        <w:trPr>
          <w:trHeight w:val="58"/>
        </w:trPr>
        <w:tc>
          <w:tcPr>
            <w:tcW w:w="4673" w:type="dxa"/>
            <w:gridSpan w:val="4"/>
            <w:vMerge/>
          </w:tcPr>
          <w:p w14:paraId="6A1703E1" w14:textId="77777777" w:rsidR="004E7FA9" w:rsidRPr="003B6A69" w:rsidRDefault="004E7FA9" w:rsidP="00AE6C8E">
            <w:pPr>
              <w:rPr>
                <w:rFonts w:asciiTheme="minorHAnsi" w:hAnsiTheme="minorHAnsi" w:cstheme="minorHAnsi"/>
                <w:sz w:val="18"/>
                <w:szCs w:val="18"/>
              </w:rPr>
            </w:pPr>
          </w:p>
        </w:tc>
        <w:tc>
          <w:tcPr>
            <w:tcW w:w="4438" w:type="dxa"/>
            <w:gridSpan w:val="2"/>
          </w:tcPr>
          <w:p w14:paraId="0FFCAD3A"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Expected</w:t>
            </w:r>
          </w:p>
        </w:tc>
        <w:tc>
          <w:tcPr>
            <w:tcW w:w="5343" w:type="dxa"/>
            <w:gridSpan w:val="2"/>
          </w:tcPr>
          <w:p w14:paraId="6B8E3F6B"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Achieved</w:t>
            </w:r>
          </w:p>
        </w:tc>
      </w:tr>
      <w:tr w:rsidR="004E7FA9" w:rsidRPr="003B6A69" w14:paraId="608793DF" w14:textId="77777777" w:rsidTr="00AE6C8E">
        <w:trPr>
          <w:trHeight w:val="71"/>
        </w:trPr>
        <w:tc>
          <w:tcPr>
            <w:tcW w:w="4673" w:type="dxa"/>
            <w:gridSpan w:val="4"/>
            <w:vMerge/>
          </w:tcPr>
          <w:p w14:paraId="38479323" w14:textId="77777777" w:rsidR="004E7FA9" w:rsidRPr="003B6A69" w:rsidRDefault="004E7FA9" w:rsidP="00AE6C8E">
            <w:pPr>
              <w:rPr>
                <w:rFonts w:asciiTheme="minorHAnsi" w:hAnsiTheme="minorHAnsi" w:cstheme="minorHAnsi"/>
                <w:sz w:val="18"/>
                <w:szCs w:val="18"/>
              </w:rPr>
            </w:pPr>
          </w:p>
        </w:tc>
        <w:tc>
          <w:tcPr>
            <w:tcW w:w="1712" w:type="dxa"/>
          </w:tcPr>
          <w:p w14:paraId="2CE48447"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PIF stage</w:t>
            </w:r>
          </w:p>
        </w:tc>
        <w:tc>
          <w:tcPr>
            <w:tcW w:w="2726" w:type="dxa"/>
          </w:tcPr>
          <w:p w14:paraId="55B3541C"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Endorsement</w:t>
            </w:r>
          </w:p>
        </w:tc>
        <w:tc>
          <w:tcPr>
            <w:tcW w:w="1985" w:type="dxa"/>
          </w:tcPr>
          <w:p w14:paraId="5BAE987A"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MTR</w:t>
            </w:r>
          </w:p>
        </w:tc>
        <w:tc>
          <w:tcPr>
            <w:tcW w:w="3358" w:type="dxa"/>
          </w:tcPr>
          <w:p w14:paraId="541C6626"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TE</w:t>
            </w:r>
          </w:p>
        </w:tc>
      </w:tr>
      <w:tr w:rsidR="004E7FA9" w:rsidRPr="003B6A69" w14:paraId="7DA8B781" w14:textId="77777777" w:rsidTr="00AE6C8E">
        <w:tc>
          <w:tcPr>
            <w:tcW w:w="4673" w:type="dxa"/>
            <w:gridSpan w:val="4"/>
            <w:vMerge/>
          </w:tcPr>
          <w:p w14:paraId="4C40CA92" w14:textId="77777777" w:rsidR="004E7FA9" w:rsidRPr="003B6A69" w:rsidRDefault="004E7FA9" w:rsidP="00AE6C8E">
            <w:pPr>
              <w:jc w:val="right"/>
              <w:rPr>
                <w:rFonts w:asciiTheme="minorHAnsi" w:hAnsiTheme="minorHAnsi" w:cstheme="minorHAnsi"/>
                <w:sz w:val="18"/>
                <w:szCs w:val="18"/>
              </w:rPr>
            </w:pPr>
          </w:p>
        </w:tc>
        <w:tc>
          <w:tcPr>
            <w:tcW w:w="1712" w:type="dxa"/>
          </w:tcPr>
          <w:p w14:paraId="6CA826D7"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2726" w:type="dxa"/>
          </w:tcPr>
          <w:p w14:paraId="09E70437"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1985" w:type="dxa"/>
          </w:tcPr>
          <w:p w14:paraId="7E995A10"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3358" w:type="dxa"/>
          </w:tcPr>
          <w:p w14:paraId="5C211ED5"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r>
      <w:tr w:rsidR="004E7FA9" w:rsidRPr="003B6A69" w14:paraId="78CB94CF" w14:textId="77777777" w:rsidTr="00AE6C8E">
        <w:tc>
          <w:tcPr>
            <w:tcW w:w="4673" w:type="dxa"/>
            <w:gridSpan w:val="4"/>
            <w:vMerge/>
          </w:tcPr>
          <w:p w14:paraId="4C94BFCE" w14:textId="77777777" w:rsidR="004E7FA9" w:rsidRPr="003B6A69" w:rsidRDefault="004E7FA9" w:rsidP="00AE6C8E">
            <w:pPr>
              <w:jc w:val="right"/>
              <w:rPr>
                <w:rFonts w:asciiTheme="minorHAnsi" w:hAnsiTheme="minorHAnsi" w:cstheme="minorHAnsi"/>
                <w:sz w:val="18"/>
                <w:szCs w:val="18"/>
              </w:rPr>
            </w:pPr>
          </w:p>
        </w:tc>
        <w:tc>
          <w:tcPr>
            <w:tcW w:w="1712" w:type="dxa"/>
          </w:tcPr>
          <w:p w14:paraId="018F2A11"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2726" w:type="dxa"/>
          </w:tcPr>
          <w:p w14:paraId="6C4D74B0"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1985" w:type="dxa"/>
          </w:tcPr>
          <w:p w14:paraId="72826BB6"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3358" w:type="dxa"/>
          </w:tcPr>
          <w:p w14:paraId="106B2087"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r>
      <w:tr w:rsidR="004E7FA9" w:rsidRPr="003B6A69" w14:paraId="394EAB0F" w14:textId="77777777" w:rsidTr="00AE6C8E">
        <w:tc>
          <w:tcPr>
            <w:tcW w:w="1298" w:type="dxa"/>
            <w:shd w:val="clear" w:color="auto" w:fill="BFBFBF" w:themeFill="background1" w:themeFillShade="BF"/>
          </w:tcPr>
          <w:p w14:paraId="3518CB20" w14:textId="77777777" w:rsidR="004E7FA9" w:rsidRPr="003B6A69" w:rsidRDefault="004E7FA9" w:rsidP="00AE6C8E">
            <w:pPr>
              <w:rPr>
                <w:rFonts w:asciiTheme="minorHAnsi" w:hAnsiTheme="minorHAnsi" w:cstheme="minorHAnsi"/>
                <w:sz w:val="18"/>
                <w:szCs w:val="18"/>
              </w:rPr>
            </w:pPr>
            <w:r w:rsidRPr="003B6A69">
              <w:rPr>
                <w:rFonts w:asciiTheme="minorHAnsi" w:hAnsiTheme="minorHAnsi" w:cstheme="minorHAnsi"/>
                <w:sz w:val="18"/>
                <w:szCs w:val="18"/>
              </w:rPr>
              <w:t>Indicator 5.2</w:t>
            </w:r>
          </w:p>
        </w:tc>
        <w:tc>
          <w:tcPr>
            <w:tcW w:w="9798" w:type="dxa"/>
            <w:gridSpan w:val="6"/>
            <w:shd w:val="clear" w:color="auto" w:fill="BFBFBF" w:themeFill="background1" w:themeFillShade="BF"/>
          </w:tcPr>
          <w:p w14:paraId="13356345" w14:textId="77777777" w:rsidR="004E7FA9" w:rsidRPr="003B6A69" w:rsidRDefault="004E7FA9" w:rsidP="00AE6C8E">
            <w:pPr>
              <w:rPr>
                <w:rFonts w:asciiTheme="minorHAnsi" w:hAnsiTheme="minorHAnsi" w:cstheme="minorHAnsi"/>
                <w:sz w:val="18"/>
                <w:szCs w:val="18"/>
              </w:rPr>
            </w:pPr>
            <w:r w:rsidRPr="003B6A69">
              <w:rPr>
                <w:rFonts w:asciiTheme="minorHAnsi" w:hAnsiTheme="minorHAnsi" w:cstheme="minorHAnsi"/>
                <w:sz w:val="18"/>
                <w:szCs w:val="18"/>
              </w:rPr>
              <w:t xml:space="preserve">Number of large marine ecosystems (LMEs) with reduced pollution and </w:t>
            </w:r>
            <w:proofErr w:type="spellStart"/>
            <w:r w:rsidRPr="003B6A69">
              <w:rPr>
                <w:rFonts w:asciiTheme="minorHAnsi" w:hAnsiTheme="minorHAnsi" w:cstheme="minorHAnsi"/>
                <w:sz w:val="18"/>
                <w:szCs w:val="18"/>
              </w:rPr>
              <w:t>hypoxial</w:t>
            </w:r>
            <w:proofErr w:type="spellEnd"/>
          </w:p>
        </w:tc>
        <w:tc>
          <w:tcPr>
            <w:tcW w:w="3358" w:type="dxa"/>
            <w:shd w:val="clear" w:color="auto" w:fill="BFBFBF" w:themeFill="background1" w:themeFillShade="BF"/>
          </w:tcPr>
          <w:p w14:paraId="022DFCFA"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r>
      <w:tr w:rsidR="004E7FA9" w:rsidRPr="003B6A69" w14:paraId="755B83A5" w14:textId="77777777" w:rsidTr="00AE6C8E">
        <w:trPr>
          <w:trHeight w:val="125"/>
        </w:trPr>
        <w:tc>
          <w:tcPr>
            <w:tcW w:w="1298" w:type="dxa"/>
            <w:vMerge w:val="restart"/>
          </w:tcPr>
          <w:p w14:paraId="1A0526AF" w14:textId="77777777" w:rsidR="004E7FA9" w:rsidRPr="003B6A69" w:rsidRDefault="004E7FA9" w:rsidP="00AE6C8E">
            <w:pPr>
              <w:rPr>
                <w:rFonts w:asciiTheme="minorHAnsi" w:hAnsiTheme="minorHAnsi" w:cstheme="minorHAnsi"/>
                <w:sz w:val="18"/>
                <w:szCs w:val="18"/>
              </w:rPr>
            </w:pPr>
          </w:p>
        </w:tc>
        <w:tc>
          <w:tcPr>
            <w:tcW w:w="933" w:type="dxa"/>
            <w:vMerge w:val="restart"/>
          </w:tcPr>
          <w:p w14:paraId="52A9D5F3" w14:textId="77777777" w:rsidR="004E7FA9" w:rsidRPr="003B6A69" w:rsidRDefault="004E7FA9" w:rsidP="00AE6C8E">
            <w:pPr>
              <w:rPr>
                <w:rFonts w:asciiTheme="minorHAnsi" w:hAnsiTheme="minorHAnsi" w:cstheme="minorHAnsi"/>
                <w:sz w:val="18"/>
                <w:szCs w:val="18"/>
              </w:rPr>
            </w:pPr>
          </w:p>
        </w:tc>
        <w:tc>
          <w:tcPr>
            <w:tcW w:w="2442" w:type="dxa"/>
            <w:gridSpan w:val="2"/>
            <w:vMerge w:val="restart"/>
          </w:tcPr>
          <w:p w14:paraId="5881A4F7" w14:textId="77777777" w:rsidR="004E7FA9" w:rsidRPr="003B6A69" w:rsidRDefault="004E7FA9" w:rsidP="00AE6C8E">
            <w:pPr>
              <w:rPr>
                <w:rFonts w:asciiTheme="minorHAnsi" w:hAnsiTheme="minorHAnsi" w:cstheme="minorHAnsi"/>
                <w:sz w:val="18"/>
                <w:szCs w:val="18"/>
              </w:rPr>
            </w:pPr>
          </w:p>
        </w:tc>
        <w:tc>
          <w:tcPr>
            <w:tcW w:w="9781" w:type="dxa"/>
            <w:gridSpan w:val="4"/>
          </w:tcPr>
          <w:p w14:paraId="00A281D5"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Number</w:t>
            </w:r>
          </w:p>
        </w:tc>
      </w:tr>
      <w:tr w:rsidR="004E7FA9" w:rsidRPr="003B6A69" w14:paraId="52127BBC" w14:textId="77777777" w:rsidTr="00AE6C8E">
        <w:trPr>
          <w:trHeight w:val="58"/>
        </w:trPr>
        <w:tc>
          <w:tcPr>
            <w:tcW w:w="1298" w:type="dxa"/>
            <w:vMerge/>
          </w:tcPr>
          <w:p w14:paraId="52D644C8" w14:textId="77777777" w:rsidR="004E7FA9" w:rsidRPr="003B6A69" w:rsidRDefault="004E7FA9" w:rsidP="00AE6C8E">
            <w:pPr>
              <w:rPr>
                <w:rFonts w:asciiTheme="minorHAnsi" w:hAnsiTheme="minorHAnsi" w:cstheme="minorHAnsi"/>
                <w:sz w:val="18"/>
                <w:szCs w:val="18"/>
              </w:rPr>
            </w:pPr>
          </w:p>
        </w:tc>
        <w:tc>
          <w:tcPr>
            <w:tcW w:w="933" w:type="dxa"/>
            <w:vMerge/>
          </w:tcPr>
          <w:p w14:paraId="01198AFF" w14:textId="77777777" w:rsidR="004E7FA9" w:rsidRPr="003B6A69" w:rsidRDefault="004E7FA9" w:rsidP="00AE6C8E">
            <w:pPr>
              <w:rPr>
                <w:rFonts w:asciiTheme="minorHAnsi" w:hAnsiTheme="minorHAnsi" w:cstheme="minorHAnsi"/>
                <w:sz w:val="18"/>
                <w:szCs w:val="18"/>
              </w:rPr>
            </w:pPr>
          </w:p>
        </w:tc>
        <w:tc>
          <w:tcPr>
            <w:tcW w:w="2442" w:type="dxa"/>
            <w:gridSpan w:val="2"/>
            <w:vMerge/>
          </w:tcPr>
          <w:p w14:paraId="4BF6000C" w14:textId="77777777" w:rsidR="004E7FA9" w:rsidRPr="003B6A69" w:rsidRDefault="004E7FA9" w:rsidP="00AE6C8E">
            <w:pPr>
              <w:rPr>
                <w:rFonts w:asciiTheme="minorHAnsi" w:hAnsiTheme="minorHAnsi" w:cstheme="minorHAnsi"/>
                <w:sz w:val="18"/>
                <w:szCs w:val="18"/>
              </w:rPr>
            </w:pPr>
          </w:p>
        </w:tc>
        <w:tc>
          <w:tcPr>
            <w:tcW w:w="4438" w:type="dxa"/>
            <w:gridSpan w:val="2"/>
          </w:tcPr>
          <w:p w14:paraId="376CBB08"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Expected</w:t>
            </w:r>
          </w:p>
        </w:tc>
        <w:tc>
          <w:tcPr>
            <w:tcW w:w="5343" w:type="dxa"/>
            <w:gridSpan w:val="2"/>
          </w:tcPr>
          <w:p w14:paraId="614FEBB5"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Achieved</w:t>
            </w:r>
          </w:p>
        </w:tc>
      </w:tr>
      <w:tr w:rsidR="004E7FA9" w:rsidRPr="003B6A69" w14:paraId="5D5DBB33" w14:textId="77777777" w:rsidTr="00AE6C8E">
        <w:trPr>
          <w:trHeight w:val="107"/>
        </w:trPr>
        <w:tc>
          <w:tcPr>
            <w:tcW w:w="1298" w:type="dxa"/>
            <w:vMerge/>
          </w:tcPr>
          <w:p w14:paraId="2A21B43D" w14:textId="77777777" w:rsidR="004E7FA9" w:rsidRPr="003B6A69" w:rsidRDefault="004E7FA9" w:rsidP="00AE6C8E">
            <w:pPr>
              <w:rPr>
                <w:rFonts w:asciiTheme="minorHAnsi" w:hAnsiTheme="minorHAnsi" w:cstheme="minorHAnsi"/>
                <w:sz w:val="18"/>
                <w:szCs w:val="18"/>
              </w:rPr>
            </w:pPr>
          </w:p>
        </w:tc>
        <w:tc>
          <w:tcPr>
            <w:tcW w:w="933" w:type="dxa"/>
            <w:vMerge/>
          </w:tcPr>
          <w:p w14:paraId="6A0C52F0" w14:textId="77777777" w:rsidR="004E7FA9" w:rsidRPr="003B6A69" w:rsidRDefault="004E7FA9" w:rsidP="00AE6C8E">
            <w:pPr>
              <w:rPr>
                <w:rFonts w:asciiTheme="minorHAnsi" w:hAnsiTheme="minorHAnsi" w:cstheme="minorHAnsi"/>
                <w:sz w:val="18"/>
                <w:szCs w:val="18"/>
              </w:rPr>
            </w:pPr>
          </w:p>
        </w:tc>
        <w:tc>
          <w:tcPr>
            <w:tcW w:w="2442" w:type="dxa"/>
            <w:gridSpan w:val="2"/>
            <w:vMerge/>
          </w:tcPr>
          <w:p w14:paraId="75D6A5AA" w14:textId="77777777" w:rsidR="004E7FA9" w:rsidRPr="003B6A69" w:rsidRDefault="004E7FA9" w:rsidP="00AE6C8E">
            <w:pPr>
              <w:rPr>
                <w:rFonts w:asciiTheme="minorHAnsi" w:hAnsiTheme="minorHAnsi" w:cstheme="minorHAnsi"/>
                <w:sz w:val="18"/>
                <w:szCs w:val="18"/>
              </w:rPr>
            </w:pPr>
          </w:p>
        </w:tc>
        <w:tc>
          <w:tcPr>
            <w:tcW w:w="1712" w:type="dxa"/>
          </w:tcPr>
          <w:p w14:paraId="469E5ADA"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PIF stage</w:t>
            </w:r>
          </w:p>
        </w:tc>
        <w:tc>
          <w:tcPr>
            <w:tcW w:w="2726" w:type="dxa"/>
          </w:tcPr>
          <w:p w14:paraId="44102CD8"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Endorsement</w:t>
            </w:r>
          </w:p>
        </w:tc>
        <w:tc>
          <w:tcPr>
            <w:tcW w:w="1985" w:type="dxa"/>
          </w:tcPr>
          <w:p w14:paraId="3B953788"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MTR</w:t>
            </w:r>
          </w:p>
        </w:tc>
        <w:tc>
          <w:tcPr>
            <w:tcW w:w="3358" w:type="dxa"/>
          </w:tcPr>
          <w:p w14:paraId="668026CF"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TE</w:t>
            </w:r>
          </w:p>
        </w:tc>
      </w:tr>
      <w:tr w:rsidR="004E7FA9" w:rsidRPr="003B6A69" w14:paraId="1BD13552" w14:textId="77777777" w:rsidTr="00AE6C8E">
        <w:tc>
          <w:tcPr>
            <w:tcW w:w="1298" w:type="dxa"/>
          </w:tcPr>
          <w:p w14:paraId="6FE371DC" w14:textId="77777777" w:rsidR="004E7FA9" w:rsidRPr="003B6A69" w:rsidRDefault="004E7FA9" w:rsidP="00AE6C8E">
            <w:pPr>
              <w:jc w:val="right"/>
              <w:rPr>
                <w:rFonts w:asciiTheme="minorHAnsi" w:hAnsiTheme="minorHAnsi" w:cstheme="minorHAnsi"/>
                <w:sz w:val="18"/>
                <w:szCs w:val="18"/>
              </w:rPr>
            </w:pPr>
          </w:p>
        </w:tc>
        <w:tc>
          <w:tcPr>
            <w:tcW w:w="933" w:type="dxa"/>
          </w:tcPr>
          <w:p w14:paraId="0393F911" w14:textId="77777777" w:rsidR="004E7FA9" w:rsidRPr="003B6A69" w:rsidRDefault="004E7FA9" w:rsidP="00AE6C8E">
            <w:pPr>
              <w:jc w:val="right"/>
              <w:rPr>
                <w:rFonts w:asciiTheme="minorHAnsi" w:hAnsiTheme="minorHAnsi" w:cstheme="minorHAnsi"/>
                <w:sz w:val="18"/>
                <w:szCs w:val="18"/>
              </w:rPr>
            </w:pPr>
          </w:p>
        </w:tc>
        <w:tc>
          <w:tcPr>
            <w:tcW w:w="2442" w:type="dxa"/>
            <w:gridSpan w:val="2"/>
          </w:tcPr>
          <w:p w14:paraId="5EC6A344" w14:textId="77777777" w:rsidR="004E7FA9" w:rsidRPr="003B6A69" w:rsidRDefault="004E7FA9" w:rsidP="00AE6C8E">
            <w:pPr>
              <w:jc w:val="right"/>
              <w:rPr>
                <w:rFonts w:asciiTheme="minorHAnsi" w:hAnsiTheme="minorHAnsi" w:cstheme="minorHAnsi"/>
                <w:sz w:val="18"/>
                <w:szCs w:val="18"/>
              </w:rPr>
            </w:pPr>
          </w:p>
        </w:tc>
        <w:tc>
          <w:tcPr>
            <w:tcW w:w="1712" w:type="dxa"/>
          </w:tcPr>
          <w:p w14:paraId="05725A59"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2726" w:type="dxa"/>
          </w:tcPr>
          <w:p w14:paraId="0F00B85D"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1985" w:type="dxa"/>
          </w:tcPr>
          <w:p w14:paraId="29AD8BD2"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3358" w:type="dxa"/>
          </w:tcPr>
          <w:p w14:paraId="01D9CE6F"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r>
      <w:tr w:rsidR="004E7FA9" w:rsidRPr="003B6A69" w14:paraId="340E46B4" w14:textId="77777777" w:rsidTr="00AE6C8E">
        <w:tc>
          <w:tcPr>
            <w:tcW w:w="1298" w:type="dxa"/>
          </w:tcPr>
          <w:p w14:paraId="43F738B9" w14:textId="77777777" w:rsidR="004E7FA9" w:rsidRPr="003B6A69" w:rsidRDefault="004E7FA9" w:rsidP="00AE6C8E">
            <w:pPr>
              <w:jc w:val="right"/>
              <w:rPr>
                <w:rFonts w:asciiTheme="minorHAnsi" w:hAnsiTheme="minorHAnsi" w:cstheme="minorHAnsi"/>
                <w:sz w:val="18"/>
                <w:szCs w:val="18"/>
              </w:rPr>
            </w:pPr>
          </w:p>
        </w:tc>
        <w:tc>
          <w:tcPr>
            <w:tcW w:w="933" w:type="dxa"/>
          </w:tcPr>
          <w:p w14:paraId="7E47E8F2" w14:textId="77777777" w:rsidR="004E7FA9" w:rsidRPr="003B6A69" w:rsidRDefault="004E7FA9" w:rsidP="00AE6C8E">
            <w:pPr>
              <w:jc w:val="right"/>
              <w:rPr>
                <w:rFonts w:asciiTheme="minorHAnsi" w:hAnsiTheme="minorHAnsi" w:cstheme="minorHAnsi"/>
                <w:sz w:val="18"/>
                <w:szCs w:val="18"/>
              </w:rPr>
            </w:pPr>
          </w:p>
        </w:tc>
        <w:tc>
          <w:tcPr>
            <w:tcW w:w="2442" w:type="dxa"/>
            <w:gridSpan w:val="2"/>
          </w:tcPr>
          <w:p w14:paraId="27C080A7" w14:textId="77777777" w:rsidR="004E7FA9" w:rsidRPr="003B6A69" w:rsidRDefault="004E7FA9" w:rsidP="00AE6C8E">
            <w:pPr>
              <w:jc w:val="right"/>
              <w:rPr>
                <w:rFonts w:asciiTheme="minorHAnsi" w:hAnsiTheme="minorHAnsi" w:cstheme="minorHAnsi"/>
                <w:sz w:val="18"/>
                <w:szCs w:val="18"/>
              </w:rPr>
            </w:pPr>
          </w:p>
        </w:tc>
        <w:tc>
          <w:tcPr>
            <w:tcW w:w="1712" w:type="dxa"/>
          </w:tcPr>
          <w:p w14:paraId="1F146082"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2726" w:type="dxa"/>
          </w:tcPr>
          <w:p w14:paraId="6BC72CE5"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1985" w:type="dxa"/>
          </w:tcPr>
          <w:p w14:paraId="53124CF1"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3358" w:type="dxa"/>
          </w:tcPr>
          <w:p w14:paraId="001EAE38"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r>
      <w:tr w:rsidR="004E7FA9" w:rsidRPr="003B6A69" w14:paraId="4C2CF49C" w14:textId="77777777" w:rsidTr="00AE6C8E">
        <w:tc>
          <w:tcPr>
            <w:tcW w:w="1298" w:type="dxa"/>
            <w:shd w:val="clear" w:color="auto" w:fill="A6A6A6" w:themeFill="background1" w:themeFillShade="A6"/>
          </w:tcPr>
          <w:p w14:paraId="22BB2F40"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sz w:val="18"/>
                <w:szCs w:val="18"/>
              </w:rPr>
              <w:t>Indicator 5.3</w:t>
            </w:r>
          </w:p>
        </w:tc>
        <w:tc>
          <w:tcPr>
            <w:tcW w:w="13156" w:type="dxa"/>
            <w:gridSpan w:val="7"/>
            <w:shd w:val="clear" w:color="auto" w:fill="BFBFBF" w:themeFill="background1" w:themeFillShade="BF"/>
          </w:tcPr>
          <w:p w14:paraId="02107389" w14:textId="77777777" w:rsidR="004E7FA9" w:rsidRPr="003B6A69" w:rsidRDefault="004E7FA9" w:rsidP="00AE6C8E">
            <w:pPr>
              <w:rPr>
                <w:rFonts w:asciiTheme="minorHAnsi" w:hAnsiTheme="minorHAnsi" w:cstheme="minorHAnsi"/>
                <w:sz w:val="18"/>
                <w:szCs w:val="18"/>
              </w:rPr>
            </w:pPr>
            <w:r w:rsidRPr="003B6A69">
              <w:rPr>
                <w:rFonts w:asciiTheme="minorHAnsi" w:hAnsiTheme="minorHAnsi" w:cstheme="minorHAnsi"/>
                <w:sz w:val="18"/>
                <w:szCs w:val="18"/>
              </w:rPr>
              <w:t>Amount of Marine Litter Avoided</w:t>
            </w:r>
          </w:p>
        </w:tc>
      </w:tr>
      <w:tr w:rsidR="004E7FA9" w:rsidRPr="003B6A69" w14:paraId="4EDCBE89" w14:textId="77777777" w:rsidTr="00AE6C8E">
        <w:tc>
          <w:tcPr>
            <w:tcW w:w="1298" w:type="dxa"/>
            <w:vMerge w:val="restart"/>
          </w:tcPr>
          <w:p w14:paraId="73B0D418" w14:textId="77777777" w:rsidR="004E7FA9" w:rsidRPr="003B6A69" w:rsidRDefault="004E7FA9" w:rsidP="00AE6C8E">
            <w:pPr>
              <w:jc w:val="right"/>
              <w:rPr>
                <w:rFonts w:asciiTheme="minorHAnsi" w:hAnsiTheme="minorHAnsi" w:cstheme="minorHAnsi"/>
                <w:sz w:val="18"/>
                <w:szCs w:val="18"/>
              </w:rPr>
            </w:pPr>
          </w:p>
        </w:tc>
        <w:tc>
          <w:tcPr>
            <w:tcW w:w="933" w:type="dxa"/>
            <w:vMerge w:val="restart"/>
          </w:tcPr>
          <w:p w14:paraId="61C5A23D" w14:textId="77777777" w:rsidR="004E7FA9" w:rsidRPr="003B6A69" w:rsidRDefault="004E7FA9" w:rsidP="00AE6C8E">
            <w:pPr>
              <w:jc w:val="right"/>
              <w:rPr>
                <w:rFonts w:asciiTheme="minorHAnsi" w:hAnsiTheme="minorHAnsi" w:cstheme="minorHAnsi"/>
                <w:sz w:val="18"/>
                <w:szCs w:val="18"/>
              </w:rPr>
            </w:pPr>
          </w:p>
        </w:tc>
        <w:tc>
          <w:tcPr>
            <w:tcW w:w="2442" w:type="dxa"/>
            <w:gridSpan w:val="2"/>
            <w:vMerge w:val="restart"/>
          </w:tcPr>
          <w:p w14:paraId="75EDF25F" w14:textId="77777777" w:rsidR="004E7FA9" w:rsidRPr="003B6A69" w:rsidRDefault="004E7FA9" w:rsidP="00AE6C8E">
            <w:pPr>
              <w:jc w:val="right"/>
              <w:rPr>
                <w:rFonts w:asciiTheme="minorHAnsi" w:hAnsiTheme="minorHAnsi" w:cstheme="minorHAnsi"/>
                <w:sz w:val="18"/>
                <w:szCs w:val="18"/>
              </w:rPr>
            </w:pPr>
          </w:p>
        </w:tc>
        <w:tc>
          <w:tcPr>
            <w:tcW w:w="9781" w:type="dxa"/>
            <w:gridSpan w:val="4"/>
          </w:tcPr>
          <w:p w14:paraId="44781C26" w14:textId="77777777" w:rsidR="004E7FA9" w:rsidRPr="003B6A69" w:rsidRDefault="004E7FA9" w:rsidP="00AE6C8E">
            <w:pPr>
              <w:jc w:val="center"/>
              <w:rPr>
                <w:rFonts w:asciiTheme="minorHAnsi" w:hAnsiTheme="minorHAnsi" w:cstheme="minorHAnsi"/>
                <w:color w:val="000000"/>
                <w:sz w:val="18"/>
                <w:szCs w:val="18"/>
              </w:rPr>
            </w:pPr>
            <w:r w:rsidRPr="003B6A69">
              <w:rPr>
                <w:rFonts w:asciiTheme="minorHAnsi" w:hAnsiTheme="minorHAnsi" w:cstheme="minorHAnsi"/>
                <w:color w:val="000000"/>
                <w:sz w:val="18"/>
                <w:szCs w:val="18"/>
              </w:rPr>
              <w:t>Metric Tons</w:t>
            </w:r>
          </w:p>
        </w:tc>
      </w:tr>
      <w:tr w:rsidR="004E7FA9" w:rsidRPr="003B6A69" w14:paraId="54C515B8" w14:textId="77777777" w:rsidTr="00AE6C8E">
        <w:tc>
          <w:tcPr>
            <w:tcW w:w="1298" w:type="dxa"/>
            <w:vMerge/>
          </w:tcPr>
          <w:p w14:paraId="05867AB8" w14:textId="77777777" w:rsidR="004E7FA9" w:rsidRPr="003B6A69" w:rsidRDefault="004E7FA9" w:rsidP="00AE6C8E">
            <w:pPr>
              <w:jc w:val="right"/>
              <w:rPr>
                <w:rFonts w:asciiTheme="minorHAnsi" w:hAnsiTheme="minorHAnsi" w:cstheme="minorHAnsi"/>
                <w:sz w:val="18"/>
                <w:szCs w:val="18"/>
              </w:rPr>
            </w:pPr>
          </w:p>
        </w:tc>
        <w:tc>
          <w:tcPr>
            <w:tcW w:w="933" w:type="dxa"/>
            <w:vMerge/>
          </w:tcPr>
          <w:p w14:paraId="131E9C5E" w14:textId="77777777" w:rsidR="004E7FA9" w:rsidRPr="003B6A69" w:rsidRDefault="004E7FA9" w:rsidP="00AE6C8E">
            <w:pPr>
              <w:jc w:val="right"/>
              <w:rPr>
                <w:rFonts w:asciiTheme="minorHAnsi" w:hAnsiTheme="minorHAnsi" w:cstheme="minorHAnsi"/>
                <w:sz w:val="18"/>
                <w:szCs w:val="18"/>
              </w:rPr>
            </w:pPr>
          </w:p>
        </w:tc>
        <w:tc>
          <w:tcPr>
            <w:tcW w:w="2442" w:type="dxa"/>
            <w:gridSpan w:val="2"/>
            <w:vMerge/>
          </w:tcPr>
          <w:p w14:paraId="18618C7B" w14:textId="77777777" w:rsidR="004E7FA9" w:rsidRPr="003B6A69" w:rsidRDefault="004E7FA9" w:rsidP="00AE6C8E">
            <w:pPr>
              <w:jc w:val="right"/>
              <w:rPr>
                <w:rFonts w:asciiTheme="minorHAnsi" w:hAnsiTheme="minorHAnsi" w:cstheme="minorHAnsi"/>
                <w:sz w:val="18"/>
                <w:szCs w:val="18"/>
              </w:rPr>
            </w:pPr>
          </w:p>
        </w:tc>
        <w:tc>
          <w:tcPr>
            <w:tcW w:w="4438" w:type="dxa"/>
            <w:gridSpan w:val="2"/>
          </w:tcPr>
          <w:p w14:paraId="7157055A" w14:textId="77777777" w:rsidR="004E7FA9" w:rsidRPr="003B6A69" w:rsidRDefault="004E7FA9" w:rsidP="00AE6C8E">
            <w:pPr>
              <w:jc w:val="center"/>
              <w:rPr>
                <w:rFonts w:asciiTheme="minorHAnsi" w:hAnsiTheme="minorHAnsi" w:cstheme="minorHAnsi"/>
                <w:color w:val="000000"/>
                <w:sz w:val="18"/>
                <w:szCs w:val="18"/>
              </w:rPr>
            </w:pPr>
            <w:r w:rsidRPr="003B6A69">
              <w:rPr>
                <w:rFonts w:asciiTheme="minorHAnsi" w:hAnsiTheme="minorHAnsi" w:cstheme="minorHAnsi"/>
                <w:color w:val="000000"/>
                <w:sz w:val="18"/>
                <w:szCs w:val="18"/>
              </w:rPr>
              <w:t>Expected</w:t>
            </w:r>
          </w:p>
        </w:tc>
        <w:tc>
          <w:tcPr>
            <w:tcW w:w="5343" w:type="dxa"/>
            <w:gridSpan w:val="2"/>
          </w:tcPr>
          <w:p w14:paraId="32753027" w14:textId="77777777" w:rsidR="004E7FA9" w:rsidRPr="003B6A69" w:rsidRDefault="004E7FA9" w:rsidP="00AE6C8E">
            <w:pPr>
              <w:jc w:val="center"/>
              <w:rPr>
                <w:rFonts w:asciiTheme="minorHAnsi" w:hAnsiTheme="minorHAnsi" w:cstheme="minorHAnsi"/>
                <w:color w:val="000000"/>
                <w:sz w:val="18"/>
                <w:szCs w:val="18"/>
              </w:rPr>
            </w:pPr>
            <w:r w:rsidRPr="003B6A69">
              <w:rPr>
                <w:rFonts w:asciiTheme="minorHAnsi" w:hAnsiTheme="minorHAnsi" w:cstheme="minorHAnsi"/>
                <w:color w:val="000000"/>
                <w:sz w:val="18"/>
                <w:szCs w:val="18"/>
              </w:rPr>
              <w:t>Achieved</w:t>
            </w:r>
          </w:p>
        </w:tc>
      </w:tr>
      <w:tr w:rsidR="004E7FA9" w:rsidRPr="003B6A69" w14:paraId="07E5A0D8" w14:textId="77777777" w:rsidTr="00AE6C8E">
        <w:tc>
          <w:tcPr>
            <w:tcW w:w="1298" w:type="dxa"/>
            <w:vMerge/>
          </w:tcPr>
          <w:p w14:paraId="27DF0D9C" w14:textId="77777777" w:rsidR="004E7FA9" w:rsidRPr="003B6A69" w:rsidRDefault="004E7FA9" w:rsidP="00AE6C8E">
            <w:pPr>
              <w:jc w:val="right"/>
              <w:rPr>
                <w:rFonts w:asciiTheme="minorHAnsi" w:hAnsiTheme="minorHAnsi" w:cstheme="minorHAnsi"/>
                <w:sz w:val="18"/>
                <w:szCs w:val="18"/>
              </w:rPr>
            </w:pPr>
          </w:p>
        </w:tc>
        <w:tc>
          <w:tcPr>
            <w:tcW w:w="933" w:type="dxa"/>
            <w:vMerge/>
          </w:tcPr>
          <w:p w14:paraId="3319E460" w14:textId="77777777" w:rsidR="004E7FA9" w:rsidRPr="003B6A69" w:rsidRDefault="004E7FA9" w:rsidP="00AE6C8E">
            <w:pPr>
              <w:jc w:val="right"/>
              <w:rPr>
                <w:rFonts w:asciiTheme="minorHAnsi" w:hAnsiTheme="minorHAnsi" w:cstheme="minorHAnsi"/>
                <w:sz w:val="18"/>
                <w:szCs w:val="18"/>
              </w:rPr>
            </w:pPr>
          </w:p>
        </w:tc>
        <w:tc>
          <w:tcPr>
            <w:tcW w:w="2442" w:type="dxa"/>
            <w:gridSpan w:val="2"/>
            <w:vMerge/>
          </w:tcPr>
          <w:p w14:paraId="035B1464" w14:textId="77777777" w:rsidR="004E7FA9" w:rsidRPr="003B6A69" w:rsidRDefault="004E7FA9" w:rsidP="00AE6C8E">
            <w:pPr>
              <w:jc w:val="right"/>
              <w:rPr>
                <w:rFonts w:asciiTheme="minorHAnsi" w:hAnsiTheme="minorHAnsi" w:cstheme="minorHAnsi"/>
                <w:sz w:val="18"/>
                <w:szCs w:val="18"/>
              </w:rPr>
            </w:pPr>
          </w:p>
        </w:tc>
        <w:tc>
          <w:tcPr>
            <w:tcW w:w="1712" w:type="dxa"/>
          </w:tcPr>
          <w:p w14:paraId="5829E7D0" w14:textId="77777777" w:rsidR="004E7FA9" w:rsidRPr="003B6A69" w:rsidRDefault="004E7FA9" w:rsidP="00AE6C8E">
            <w:pPr>
              <w:jc w:val="right"/>
              <w:rPr>
                <w:rFonts w:asciiTheme="minorHAnsi" w:hAnsiTheme="minorHAnsi" w:cstheme="minorHAnsi"/>
                <w:i/>
                <w:color w:val="000000"/>
                <w:sz w:val="18"/>
                <w:szCs w:val="18"/>
              </w:rPr>
            </w:pPr>
            <w:r w:rsidRPr="003B6A69">
              <w:rPr>
                <w:rFonts w:asciiTheme="minorHAnsi" w:hAnsiTheme="minorHAnsi" w:cstheme="minorHAnsi"/>
                <w:sz w:val="18"/>
                <w:szCs w:val="18"/>
              </w:rPr>
              <w:t>PIF stage</w:t>
            </w:r>
          </w:p>
        </w:tc>
        <w:tc>
          <w:tcPr>
            <w:tcW w:w="2726" w:type="dxa"/>
          </w:tcPr>
          <w:p w14:paraId="5AAF0C33" w14:textId="77777777" w:rsidR="004E7FA9" w:rsidRPr="003B6A69" w:rsidRDefault="004E7FA9" w:rsidP="00AE6C8E">
            <w:pPr>
              <w:jc w:val="right"/>
              <w:rPr>
                <w:rFonts w:asciiTheme="minorHAnsi" w:hAnsiTheme="minorHAnsi" w:cstheme="minorHAnsi"/>
                <w:i/>
                <w:color w:val="000000"/>
                <w:sz w:val="18"/>
                <w:szCs w:val="18"/>
              </w:rPr>
            </w:pPr>
            <w:r w:rsidRPr="003B6A69">
              <w:rPr>
                <w:rFonts w:asciiTheme="minorHAnsi" w:hAnsiTheme="minorHAnsi" w:cstheme="minorHAnsi"/>
                <w:sz w:val="18"/>
                <w:szCs w:val="18"/>
              </w:rPr>
              <w:t>Endorsement</w:t>
            </w:r>
          </w:p>
        </w:tc>
        <w:tc>
          <w:tcPr>
            <w:tcW w:w="1985" w:type="dxa"/>
          </w:tcPr>
          <w:p w14:paraId="0873E11D" w14:textId="77777777" w:rsidR="004E7FA9" w:rsidRPr="003B6A69" w:rsidRDefault="004E7FA9" w:rsidP="00AE6C8E">
            <w:pPr>
              <w:jc w:val="right"/>
              <w:rPr>
                <w:rFonts w:asciiTheme="minorHAnsi" w:hAnsiTheme="minorHAnsi" w:cstheme="minorHAnsi"/>
                <w:i/>
                <w:color w:val="000000"/>
                <w:sz w:val="18"/>
                <w:szCs w:val="18"/>
              </w:rPr>
            </w:pPr>
            <w:r w:rsidRPr="003B6A69">
              <w:rPr>
                <w:rFonts w:asciiTheme="minorHAnsi" w:hAnsiTheme="minorHAnsi" w:cstheme="minorHAnsi"/>
                <w:sz w:val="18"/>
                <w:szCs w:val="18"/>
              </w:rPr>
              <w:t>MTR</w:t>
            </w:r>
          </w:p>
        </w:tc>
        <w:tc>
          <w:tcPr>
            <w:tcW w:w="3358" w:type="dxa"/>
          </w:tcPr>
          <w:p w14:paraId="608FCE2E" w14:textId="77777777" w:rsidR="004E7FA9" w:rsidRPr="003B6A69" w:rsidRDefault="004E7FA9" w:rsidP="00AE6C8E">
            <w:pPr>
              <w:jc w:val="right"/>
              <w:rPr>
                <w:rFonts w:asciiTheme="minorHAnsi" w:hAnsiTheme="minorHAnsi" w:cstheme="minorHAnsi"/>
                <w:i/>
                <w:color w:val="000000"/>
                <w:sz w:val="18"/>
                <w:szCs w:val="18"/>
              </w:rPr>
            </w:pPr>
            <w:r w:rsidRPr="003B6A69">
              <w:rPr>
                <w:rFonts w:asciiTheme="minorHAnsi" w:hAnsiTheme="minorHAnsi" w:cstheme="minorHAnsi"/>
                <w:sz w:val="18"/>
                <w:szCs w:val="18"/>
              </w:rPr>
              <w:t>TE</w:t>
            </w:r>
          </w:p>
        </w:tc>
      </w:tr>
      <w:tr w:rsidR="004E7FA9" w:rsidRPr="003B6A69" w14:paraId="2CBD5C61" w14:textId="77777777" w:rsidTr="00AE6C8E">
        <w:tc>
          <w:tcPr>
            <w:tcW w:w="1298" w:type="dxa"/>
          </w:tcPr>
          <w:p w14:paraId="0F5821B0" w14:textId="77777777" w:rsidR="004E7FA9" w:rsidRPr="003B6A69" w:rsidRDefault="004E7FA9" w:rsidP="00AE6C8E">
            <w:pPr>
              <w:jc w:val="right"/>
              <w:rPr>
                <w:rFonts w:asciiTheme="minorHAnsi" w:hAnsiTheme="minorHAnsi" w:cstheme="minorHAnsi"/>
                <w:sz w:val="18"/>
                <w:szCs w:val="18"/>
              </w:rPr>
            </w:pPr>
          </w:p>
        </w:tc>
        <w:tc>
          <w:tcPr>
            <w:tcW w:w="933" w:type="dxa"/>
          </w:tcPr>
          <w:p w14:paraId="43111EA6" w14:textId="77777777" w:rsidR="004E7FA9" w:rsidRPr="003B6A69" w:rsidRDefault="004E7FA9" w:rsidP="00AE6C8E">
            <w:pPr>
              <w:jc w:val="right"/>
              <w:rPr>
                <w:rFonts w:asciiTheme="minorHAnsi" w:hAnsiTheme="minorHAnsi" w:cstheme="minorHAnsi"/>
                <w:sz w:val="18"/>
                <w:szCs w:val="18"/>
              </w:rPr>
            </w:pPr>
          </w:p>
        </w:tc>
        <w:tc>
          <w:tcPr>
            <w:tcW w:w="2442" w:type="dxa"/>
            <w:gridSpan w:val="2"/>
          </w:tcPr>
          <w:p w14:paraId="02D1AB9D" w14:textId="77777777" w:rsidR="004E7FA9" w:rsidRPr="003B6A69" w:rsidRDefault="004E7FA9" w:rsidP="00AE6C8E">
            <w:pPr>
              <w:jc w:val="right"/>
              <w:rPr>
                <w:rFonts w:asciiTheme="minorHAnsi" w:hAnsiTheme="minorHAnsi" w:cstheme="minorHAnsi"/>
                <w:sz w:val="18"/>
                <w:szCs w:val="18"/>
              </w:rPr>
            </w:pPr>
          </w:p>
        </w:tc>
        <w:tc>
          <w:tcPr>
            <w:tcW w:w="1712" w:type="dxa"/>
          </w:tcPr>
          <w:p w14:paraId="40B14954" w14:textId="77777777" w:rsidR="004E7FA9" w:rsidRPr="003B6A69" w:rsidRDefault="004E7FA9" w:rsidP="00AE6C8E">
            <w:pPr>
              <w:jc w:val="right"/>
              <w:rPr>
                <w:rFonts w:asciiTheme="minorHAnsi" w:hAnsiTheme="minorHAnsi" w:cstheme="minorHAnsi"/>
                <w:i/>
                <w:color w:val="000000"/>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2726" w:type="dxa"/>
          </w:tcPr>
          <w:p w14:paraId="6C56E432" w14:textId="77777777" w:rsidR="004E7FA9" w:rsidRPr="003B6A69" w:rsidRDefault="004E7FA9" w:rsidP="00AE6C8E">
            <w:pPr>
              <w:jc w:val="right"/>
              <w:rPr>
                <w:rFonts w:asciiTheme="minorHAnsi" w:hAnsiTheme="minorHAnsi" w:cstheme="minorHAnsi"/>
                <w:i/>
                <w:color w:val="000000"/>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1985" w:type="dxa"/>
          </w:tcPr>
          <w:p w14:paraId="5C7D4A59" w14:textId="77777777" w:rsidR="004E7FA9" w:rsidRPr="003B6A69" w:rsidRDefault="004E7FA9" w:rsidP="00AE6C8E">
            <w:pPr>
              <w:jc w:val="right"/>
              <w:rPr>
                <w:rFonts w:asciiTheme="minorHAnsi" w:hAnsiTheme="minorHAnsi" w:cstheme="minorHAnsi"/>
                <w:i/>
                <w:color w:val="000000"/>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3358" w:type="dxa"/>
          </w:tcPr>
          <w:p w14:paraId="4D9A1FA8" w14:textId="77777777" w:rsidR="004E7FA9" w:rsidRPr="003B6A69" w:rsidRDefault="004E7FA9" w:rsidP="00AE6C8E">
            <w:pPr>
              <w:jc w:val="right"/>
              <w:rPr>
                <w:rFonts w:asciiTheme="minorHAnsi" w:hAnsiTheme="minorHAnsi" w:cstheme="minorHAnsi"/>
                <w:i/>
                <w:color w:val="000000"/>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r>
      <w:tr w:rsidR="004E7FA9" w:rsidRPr="003B6A69" w14:paraId="789319BB" w14:textId="77777777" w:rsidTr="00AE6C8E">
        <w:tc>
          <w:tcPr>
            <w:tcW w:w="1298" w:type="dxa"/>
          </w:tcPr>
          <w:p w14:paraId="778DC1BD" w14:textId="77777777" w:rsidR="004E7FA9" w:rsidRPr="003B6A69" w:rsidRDefault="004E7FA9" w:rsidP="00AE6C8E">
            <w:pPr>
              <w:jc w:val="right"/>
              <w:rPr>
                <w:rFonts w:asciiTheme="minorHAnsi" w:hAnsiTheme="minorHAnsi" w:cstheme="minorHAnsi"/>
                <w:sz w:val="18"/>
                <w:szCs w:val="18"/>
              </w:rPr>
            </w:pPr>
          </w:p>
        </w:tc>
        <w:tc>
          <w:tcPr>
            <w:tcW w:w="933" w:type="dxa"/>
          </w:tcPr>
          <w:p w14:paraId="144E5AF6" w14:textId="77777777" w:rsidR="004E7FA9" w:rsidRPr="003B6A69" w:rsidRDefault="004E7FA9" w:rsidP="00AE6C8E">
            <w:pPr>
              <w:jc w:val="right"/>
              <w:rPr>
                <w:rFonts w:asciiTheme="minorHAnsi" w:hAnsiTheme="minorHAnsi" w:cstheme="minorHAnsi"/>
                <w:sz w:val="18"/>
                <w:szCs w:val="18"/>
              </w:rPr>
            </w:pPr>
          </w:p>
        </w:tc>
        <w:tc>
          <w:tcPr>
            <w:tcW w:w="2442" w:type="dxa"/>
            <w:gridSpan w:val="2"/>
          </w:tcPr>
          <w:p w14:paraId="1D04470B" w14:textId="77777777" w:rsidR="004E7FA9" w:rsidRPr="003B6A69" w:rsidRDefault="004E7FA9" w:rsidP="00AE6C8E">
            <w:pPr>
              <w:jc w:val="right"/>
              <w:rPr>
                <w:rFonts w:asciiTheme="minorHAnsi" w:hAnsiTheme="minorHAnsi" w:cstheme="minorHAnsi"/>
                <w:sz w:val="18"/>
                <w:szCs w:val="18"/>
              </w:rPr>
            </w:pPr>
          </w:p>
        </w:tc>
        <w:tc>
          <w:tcPr>
            <w:tcW w:w="1712" w:type="dxa"/>
          </w:tcPr>
          <w:p w14:paraId="482622E6" w14:textId="77777777" w:rsidR="004E7FA9" w:rsidRPr="003B6A69" w:rsidRDefault="004E7FA9" w:rsidP="00AE6C8E">
            <w:pPr>
              <w:jc w:val="right"/>
              <w:rPr>
                <w:rFonts w:asciiTheme="minorHAnsi" w:hAnsiTheme="minorHAnsi" w:cstheme="minorHAnsi"/>
                <w:i/>
                <w:color w:val="000000"/>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2726" w:type="dxa"/>
          </w:tcPr>
          <w:p w14:paraId="7A15AA57" w14:textId="77777777" w:rsidR="004E7FA9" w:rsidRPr="003B6A69" w:rsidRDefault="004E7FA9" w:rsidP="00AE6C8E">
            <w:pPr>
              <w:jc w:val="right"/>
              <w:rPr>
                <w:rFonts w:asciiTheme="minorHAnsi" w:hAnsiTheme="minorHAnsi" w:cstheme="minorHAnsi"/>
                <w:i/>
                <w:color w:val="000000"/>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1985" w:type="dxa"/>
          </w:tcPr>
          <w:p w14:paraId="2C34D52D" w14:textId="77777777" w:rsidR="004E7FA9" w:rsidRPr="003B6A69" w:rsidRDefault="004E7FA9" w:rsidP="00AE6C8E">
            <w:pPr>
              <w:jc w:val="right"/>
              <w:rPr>
                <w:rFonts w:asciiTheme="minorHAnsi" w:hAnsiTheme="minorHAnsi" w:cstheme="minorHAnsi"/>
                <w:i/>
                <w:color w:val="000000"/>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3358" w:type="dxa"/>
          </w:tcPr>
          <w:p w14:paraId="01E2E5B6" w14:textId="77777777" w:rsidR="004E7FA9" w:rsidRPr="003B6A69" w:rsidRDefault="004E7FA9" w:rsidP="00AE6C8E">
            <w:pPr>
              <w:jc w:val="right"/>
              <w:rPr>
                <w:rFonts w:asciiTheme="minorHAnsi" w:hAnsiTheme="minorHAnsi" w:cstheme="minorHAnsi"/>
                <w:i/>
                <w:color w:val="000000"/>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r>
      <w:tr w:rsidR="004E7FA9" w:rsidRPr="003B6A69" w14:paraId="10B0EF5B" w14:textId="77777777" w:rsidTr="00AE6C8E">
        <w:tc>
          <w:tcPr>
            <w:tcW w:w="1298" w:type="dxa"/>
            <w:shd w:val="clear" w:color="auto" w:fill="D9D9D9" w:themeFill="background1" w:themeFillShade="D9"/>
          </w:tcPr>
          <w:p w14:paraId="3E4F17FE" w14:textId="77777777" w:rsidR="004E7FA9" w:rsidRPr="003B6A69" w:rsidRDefault="004E7FA9" w:rsidP="00AE6C8E">
            <w:pPr>
              <w:rPr>
                <w:rFonts w:asciiTheme="minorHAnsi" w:hAnsiTheme="minorHAnsi" w:cstheme="minorHAnsi"/>
                <w:b/>
                <w:sz w:val="18"/>
                <w:szCs w:val="18"/>
              </w:rPr>
            </w:pPr>
            <w:r w:rsidRPr="003B6A69">
              <w:rPr>
                <w:rFonts w:asciiTheme="minorHAnsi" w:hAnsiTheme="minorHAnsi" w:cstheme="minorHAnsi"/>
                <w:b/>
                <w:sz w:val="18"/>
                <w:szCs w:val="18"/>
              </w:rPr>
              <w:t>Core Indicator 6</w:t>
            </w:r>
          </w:p>
        </w:tc>
        <w:tc>
          <w:tcPr>
            <w:tcW w:w="9798" w:type="dxa"/>
            <w:gridSpan w:val="6"/>
            <w:shd w:val="clear" w:color="auto" w:fill="D9D9D9" w:themeFill="background1" w:themeFillShade="D9"/>
          </w:tcPr>
          <w:p w14:paraId="7B583BD1" w14:textId="77777777" w:rsidR="004E7FA9" w:rsidRPr="003B6A69" w:rsidRDefault="004E7FA9" w:rsidP="00AE6C8E">
            <w:pPr>
              <w:rPr>
                <w:rFonts w:asciiTheme="minorHAnsi" w:hAnsiTheme="minorHAnsi" w:cstheme="minorHAnsi"/>
                <w:b/>
                <w:sz w:val="18"/>
                <w:szCs w:val="18"/>
              </w:rPr>
            </w:pPr>
            <w:r w:rsidRPr="003B6A69">
              <w:rPr>
                <w:rFonts w:asciiTheme="minorHAnsi" w:hAnsiTheme="minorHAnsi" w:cstheme="minorHAnsi"/>
                <w:b/>
                <w:sz w:val="18"/>
                <w:szCs w:val="18"/>
              </w:rPr>
              <w:t>Greenhouse gas emission mitigated</w:t>
            </w:r>
          </w:p>
        </w:tc>
        <w:tc>
          <w:tcPr>
            <w:tcW w:w="3358" w:type="dxa"/>
            <w:shd w:val="clear" w:color="auto" w:fill="D9D9D9" w:themeFill="background1" w:themeFillShade="D9"/>
          </w:tcPr>
          <w:p w14:paraId="02FBCB3F" w14:textId="77777777" w:rsidR="004E7FA9" w:rsidRPr="003B6A69" w:rsidRDefault="004E7FA9" w:rsidP="00AE6C8E">
            <w:pPr>
              <w:jc w:val="right"/>
              <w:rPr>
                <w:rFonts w:asciiTheme="minorHAnsi" w:hAnsiTheme="minorHAnsi" w:cstheme="minorHAnsi"/>
                <w:b/>
                <w:sz w:val="18"/>
                <w:szCs w:val="18"/>
              </w:rPr>
            </w:pPr>
            <w:r w:rsidRPr="003B6A69">
              <w:rPr>
                <w:rFonts w:asciiTheme="minorHAnsi" w:hAnsiTheme="minorHAnsi" w:cstheme="minorHAnsi"/>
                <w:b/>
                <w:i/>
                <w:color w:val="000000"/>
                <w:sz w:val="18"/>
                <w:szCs w:val="18"/>
              </w:rPr>
              <w:fldChar w:fldCharType="begin">
                <w:ffData>
                  <w:name w:val=""/>
                  <w:enabled/>
                  <w:calcOnExit w:val="0"/>
                  <w:textInput>
                    <w:default w:val="(Tons)"/>
                  </w:textInput>
                </w:ffData>
              </w:fldChar>
            </w:r>
            <w:r w:rsidRPr="003B6A69">
              <w:rPr>
                <w:rFonts w:asciiTheme="minorHAnsi" w:hAnsiTheme="minorHAnsi" w:cstheme="minorHAnsi"/>
                <w:b/>
                <w:i/>
                <w:color w:val="000000"/>
                <w:sz w:val="18"/>
                <w:szCs w:val="18"/>
              </w:rPr>
              <w:instrText xml:space="preserve"> FORMTEXT </w:instrText>
            </w:r>
            <w:r w:rsidRPr="003B6A69">
              <w:rPr>
                <w:rFonts w:asciiTheme="minorHAnsi" w:hAnsiTheme="minorHAnsi" w:cstheme="minorHAnsi"/>
                <w:b/>
                <w:i/>
                <w:color w:val="000000"/>
                <w:sz w:val="18"/>
                <w:szCs w:val="18"/>
              </w:rPr>
            </w:r>
            <w:r w:rsidRPr="003B6A69">
              <w:rPr>
                <w:rFonts w:asciiTheme="minorHAnsi" w:hAnsiTheme="minorHAnsi" w:cstheme="minorHAnsi"/>
                <w:b/>
                <w:i/>
                <w:color w:val="000000"/>
                <w:sz w:val="18"/>
                <w:szCs w:val="18"/>
              </w:rPr>
              <w:fldChar w:fldCharType="separate"/>
            </w:r>
            <w:r w:rsidRPr="003B6A69">
              <w:rPr>
                <w:rFonts w:asciiTheme="minorHAnsi" w:hAnsiTheme="minorHAnsi" w:cstheme="minorHAnsi"/>
                <w:b/>
                <w:i/>
                <w:noProof/>
                <w:color w:val="000000"/>
                <w:sz w:val="18"/>
                <w:szCs w:val="18"/>
              </w:rPr>
              <w:t>(</w:t>
            </w:r>
            <w:r w:rsidRPr="003B6A69">
              <w:rPr>
                <w:rFonts w:asciiTheme="minorHAnsi" w:hAnsiTheme="minorHAnsi" w:cstheme="minorHAnsi"/>
                <w:b/>
                <w:bCs/>
                <w:i/>
                <w:noProof/>
                <w:color w:val="000000"/>
                <w:sz w:val="18"/>
                <w:szCs w:val="18"/>
              </w:rPr>
              <w:t>Metric tons of CO₂e </w:t>
            </w:r>
            <w:r w:rsidRPr="003B6A69">
              <w:rPr>
                <w:rFonts w:asciiTheme="minorHAnsi" w:hAnsiTheme="minorHAnsi" w:cstheme="minorHAnsi"/>
                <w:b/>
                <w:i/>
                <w:noProof/>
                <w:color w:val="000000"/>
                <w:sz w:val="18"/>
                <w:szCs w:val="18"/>
              </w:rPr>
              <w:t>)</w:t>
            </w:r>
            <w:r w:rsidRPr="003B6A69">
              <w:rPr>
                <w:rFonts w:asciiTheme="minorHAnsi" w:hAnsiTheme="minorHAnsi" w:cstheme="minorHAnsi"/>
                <w:b/>
                <w:i/>
                <w:color w:val="000000"/>
                <w:sz w:val="18"/>
                <w:szCs w:val="18"/>
              </w:rPr>
              <w:fldChar w:fldCharType="end"/>
            </w:r>
          </w:p>
        </w:tc>
      </w:tr>
      <w:tr w:rsidR="004E7FA9" w:rsidRPr="003B6A69" w14:paraId="214FF019" w14:textId="77777777" w:rsidTr="00AE6C8E">
        <w:tc>
          <w:tcPr>
            <w:tcW w:w="1298" w:type="dxa"/>
            <w:shd w:val="clear" w:color="auto" w:fill="auto"/>
          </w:tcPr>
          <w:p w14:paraId="6EDB23C4" w14:textId="77777777" w:rsidR="004E7FA9" w:rsidRPr="003B6A69" w:rsidRDefault="004E7FA9" w:rsidP="00AE6C8E">
            <w:pPr>
              <w:rPr>
                <w:rFonts w:asciiTheme="minorHAnsi" w:hAnsiTheme="minorHAnsi" w:cstheme="minorHAnsi"/>
                <w:sz w:val="18"/>
                <w:szCs w:val="18"/>
              </w:rPr>
            </w:pPr>
          </w:p>
        </w:tc>
        <w:tc>
          <w:tcPr>
            <w:tcW w:w="3375" w:type="dxa"/>
            <w:gridSpan w:val="3"/>
            <w:shd w:val="clear" w:color="auto" w:fill="F2F2F2" w:themeFill="background1" w:themeFillShade="F2"/>
          </w:tcPr>
          <w:p w14:paraId="67F7FF66" w14:textId="77777777" w:rsidR="004E7FA9" w:rsidRPr="003B6A69" w:rsidRDefault="004E7FA9" w:rsidP="00AE6C8E">
            <w:pPr>
              <w:jc w:val="right"/>
              <w:rPr>
                <w:rFonts w:asciiTheme="minorHAnsi" w:hAnsiTheme="minorHAnsi" w:cstheme="minorHAnsi"/>
                <w:sz w:val="18"/>
                <w:szCs w:val="18"/>
              </w:rPr>
            </w:pPr>
          </w:p>
        </w:tc>
        <w:tc>
          <w:tcPr>
            <w:tcW w:w="9781" w:type="dxa"/>
            <w:gridSpan w:val="4"/>
            <w:shd w:val="clear" w:color="auto" w:fill="F2F2F2" w:themeFill="background1" w:themeFillShade="F2"/>
          </w:tcPr>
          <w:p w14:paraId="300DED28" w14:textId="77777777" w:rsidR="004E7FA9" w:rsidRPr="003B6A69" w:rsidRDefault="004E7FA9" w:rsidP="00AE6C8E">
            <w:pPr>
              <w:jc w:val="center"/>
              <w:rPr>
                <w:rFonts w:asciiTheme="minorHAnsi" w:hAnsiTheme="minorHAnsi" w:cstheme="minorHAnsi"/>
                <w:i/>
                <w:color w:val="000000"/>
                <w:sz w:val="18"/>
                <w:szCs w:val="18"/>
              </w:rPr>
            </w:pPr>
            <w:r w:rsidRPr="003B6A69">
              <w:rPr>
                <w:rFonts w:asciiTheme="minorHAnsi" w:hAnsiTheme="minorHAnsi" w:cstheme="minorHAnsi"/>
                <w:bCs/>
                <w:sz w:val="18"/>
                <w:szCs w:val="18"/>
              </w:rPr>
              <w:t xml:space="preserve">Expected metric tons of </w:t>
            </w:r>
            <w:proofErr w:type="spellStart"/>
            <w:r w:rsidRPr="003B6A69">
              <w:rPr>
                <w:rFonts w:asciiTheme="minorHAnsi" w:hAnsiTheme="minorHAnsi" w:cstheme="minorHAnsi"/>
                <w:bCs/>
                <w:sz w:val="18"/>
                <w:szCs w:val="18"/>
              </w:rPr>
              <w:t>CO₂e</w:t>
            </w:r>
            <w:proofErr w:type="spellEnd"/>
            <w:r w:rsidRPr="003B6A69">
              <w:rPr>
                <w:rFonts w:asciiTheme="minorHAnsi" w:hAnsiTheme="minorHAnsi" w:cstheme="minorHAnsi"/>
                <w:sz w:val="18"/>
                <w:szCs w:val="18"/>
              </w:rPr>
              <w:t xml:space="preserve"> (6.1+6.2)</w:t>
            </w:r>
          </w:p>
        </w:tc>
      </w:tr>
      <w:tr w:rsidR="004E7FA9" w:rsidRPr="003B6A69" w14:paraId="2B70CF82" w14:textId="77777777" w:rsidTr="00AE6C8E">
        <w:tc>
          <w:tcPr>
            <w:tcW w:w="1298" w:type="dxa"/>
            <w:shd w:val="clear" w:color="auto" w:fill="auto"/>
          </w:tcPr>
          <w:p w14:paraId="12BABD63" w14:textId="77777777" w:rsidR="004E7FA9" w:rsidRPr="003B6A69" w:rsidRDefault="004E7FA9" w:rsidP="00AE6C8E">
            <w:pPr>
              <w:rPr>
                <w:rFonts w:asciiTheme="minorHAnsi" w:hAnsiTheme="minorHAnsi" w:cstheme="minorHAnsi"/>
                <w:sz w:val="18"/>
                <w:szCs w:val="18"/>
              </w:rPr>
            </w:pPr>
          </w:p>
        </w:tc>
        <w:tc>
          <w:tcPr>
            <w:tcW w:w="3375" w:type="dxa"/>
            <w:gridSpan w:val="3"/>
            <w:shd w:val="clear" w:color="auto" w:fill="F2F2F2" w:themeFill="background1" w:themeFillShade="F2"/>
          </w:tcPr>
          <w:p w14:paraId="21002B53" w14:textId="77777777" w:rsidR="004E7FA9" w:rsidRPr="003B6A69" w:rsidRDefault="004E7FA9" w:rsidP="00AE6C8E">
            <w:pPr>
              <w:jc w:val="right"/>
              <w:rPr>
                <w:rFonts w:asciiTheme="minorHAnsi" w:hAnsiTheme="minorHAnsi" w:cstheme="minorHAnsi"/>
                <w:sz w:val="18"/>
                <w:szCs w:val="18"/>
              </w:rPr>
            </w:pPr>
          </w:p>
        </w:tc>
        <w:tc>
          <w:tcPr>
            <w:tcW w:w="1712" w:type="dxa"/>
            <w:shd w:val="clear" w:color="auto" w:fill="F2F2F2" w:themeFill="background1" w:themeFillShade="F2"/>
          </w:tcPr>
          <w:p w14:paraId="1E8AD703"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PIF stage</w:t>
            </w:r>
          </w:p>
        </w:tc>
        <w:tc>
          <w:tcPr>
            <w:tcW w:w="2726" w:type="dxa"/>
            <w:shd w:val="clear" w:color="auto" w:fill="F2F2F2" w:themeFill="background1" w:themeFillShade="F2"/>
          </w:tcPr>
          <w:p w14:paraId="4F6748FC"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Endorsement</w:t>
            </w:r>
          </w:p>
        </w:tc>
        <w:tc>
          <w:tcPr>
            <w:tcW w:w="1985" w:type="dxa"/>
            <w:shd w:val="clear" w:color="auto" w:fill="F2F2F2" w:themeFill="background1" w:themeFillShade="F2"/>
          </w:tcPr>
          <w:p w14:paraId="4867BC8B"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MTR</w:t>
            </w:r>
          </w:p>
        </w:tc>
        <w:tc>
          <w:tcPr>
            <w:tcW w:w="3358" w:type="dxa"/>
            <w:shd w:val="clear" w:color="auto" w:fill="F2F2F2" w:themeFill="background1" w:themeFillShade="F2"/>
          </w:tcPr>
          <w:p w14:paraId="4EB907E6" w14:textId="77777777" w:rsidR="004E7FA9" w:rsidRPr="003B6A69" w:rsidRDefault="004E7FA9" w:rsidP="00AE6C8E">
            <w:pPr>
              <w:jc w:val="center"/>
              <w:rPr>
                <w:rFonts w:asciiTheme="minorHAnsi" w:hAnsiTheme="minorHAnsi" w:cstheme="minorHAnsi"/>
                <w:i/>
                <w:color w:val="000000"/>
                <w:sz w:val="18"/>
                <w:szCs w:val="18"/>
              </w:rPr>
            </w:pPr>
            <w:r w:rsidRPr="003B6A69">
              <w:rPr>
                <w:rFonts w:asciiTheme="minorHAnsi" w:hAnsiTheme="minorHAnsi" w:cstheme="minorHAnsi"/>
                <w:sz w:val="18"/>
                <w:szCs w:val="18"/>
              </w:rPr>
              <w:t>TE</w:t>
            </w:r>
          </w:p>
        </w:tc>
      </w:tr>
      <w:tr w:rsidR="004E7FA9" w:rsidRPr="003B6A69" w14:paraId="2F2D3DEB" w14:textId="77777777" w:rsidTr="00AE6C8E">
        <w:tc>
          <w:tcPr>
            <w:tcW w:w="1298" w:type="dxa"/>
            <w:shd w:val="clear" w:color="auto" w:fill="auto"/>
          </w:tcPr>
          <w:p w14:paraId="21D5769C" w14:textId="77777777" w:rsidR="004E7FA9" w:rsidRPr="003B6A69" w:rsidRDefault="004E7FA9" w:rsidP="00AE6C8E">
            <w:pPr>
              <w:rPr>
                <w:rFonts w:asciiTheme="minorHAnsi" w:hAnsiTheme="minorHAnsi" w:cstheme="minorHAnsi"/>
                <w:sz w:val="18"/>
                <w:szCs w:val="18"/>
              </w:rPr>
            </w:pPr>
          </w:p>
        </w:tc>
        <w:tc>
          <w:tcPr>
            <w:tcW w:w="3375" w:type="dxa"/>
            <w:gridSpan w:val="3"/>
            <w:shd w:val="clear" w:color="auto" w:fill="F2F2F2" w:themeFill="background1" w:themeFillShade="F2"/>
          </w:tcPr>
          <w:p w14:paraId="153403FC"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sz w:val="18"/>
                <w:szCs w:val="18"/>
              </w:rPr>
              <w:t>Expected CO2e (direct)</w:t>
            </w:r>
          </w:p>
        </w:tc>
        <w:tc>
          <w:tcPr>
            <w:tcW w:w="1712" w:type="dxa"/>
            <w:shd w:val="clear" w:color="auto" w:fill="F2F2F2" w:themeFill="background1" w:themeFillShade="F2"/>
          </w:tcPr>
          <w:p w14:paraId="07898EB3" w14:textId="77777777" w:rsidR="004E7FA9" w:rsidRPr="003B6A69" w:rsidRDefault="004E7FA9" w:rsidP="00AE6C8E">
            <w:pPr>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2726" w:type="dxa"/>
            <w:shd w:val="clear" w:color="auto" w:fill="F2F2F2" w:themeFill="background1" w:themeFillShade="F2"/>
          </w:tcPr>
          <w:p w14:paraId="43342CB0" w14:textId="77777777" w:rsidR="004E7FA9" w:rsidRPr="003B6A69" w:rsidRDefault="004E7FA9" w:rsidP="00AE6C8E">
            <w:pPr>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1985" w:type="dxa"/>
            <w:shd w:val="clear" w:color="auto" w:fill="F2F2F2" w:themeFill="background1" w:themeFillShade="F2"/>
          </w:tcPr>
          <w:p w14:paraId="43A3369A" w14:textId="77777777" w:rsidR="004E7FA9" w:rsidRPr="003B6A69" w:rsidRDefault="004E7FA9" w:rsidP="00AE6C8E">
            <w:pPr>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3358" w:type="dxa"/>
            <w:shd w:val="clear" w:color="auto" w:fill="F2F2F2" w:themeFill="background1" w:themeFillShade="F2"/>
          </w:tcPr>
          <w:p w14:paraId="6772838A" w14:textId="77777777" w:rsidR="004E7FA9" w:rsidRPr="003B6A69" w:rsidRDefault="004E7FA9" w:rsidP="00AE6C8E">
            <w:pPr>
              <w:jc w:val="right"/>
              <w:rPr>
                <w:rFonts w:asciiTheme="minorHAnsi" w:hAnsiTheme="minorHAnsi" w:cstheme="minorHAnsi"/>
                <w:i/>
                <w:color w:val="000000"/>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r>
      <w:tr w:rsidR="004E7FA9" w:rsidRPr="003B6A69" w14:paraId="283E36D0" w14:textId="77777777" w:rsidTr="00AE6C8E">
        <w:tc>
          <w:tcPr>
            <w:tcW w:w="1298" w:type="dxa"/>
            <w:shd w:val="clear" w:color="auto" w:fill="auto"/>
          </w:tcPr>
          <w:p w14:paraId="75AD32B7" w14:textId="77777777" w:rsidR="004E7FA9" w:rsidRPr="003B6A69" w:rsidRDefault="004E7FA9" w:rsidP="00AE6C8E">
            <w:pPr>
              <w:rPr>
                <w:rFonts w:asciiTheme="minorHAnsi" w:hAnsiTheme="minorHAnsi" w:cstheme="minorHAnsi"/>
                <w:sz w:val="18"/>
                <w:szCs w:val="18"/>
              </w:rPr>
            </w:pPr>
          </w:p>
        </w:tc>
        <w:tc>
          <w:tcPr>
            <w:tcW w:w="3375" w:type="dxa"/>
            <w:gridSpan w:val="3"/>
            <w:shd w:val="clear" w:color="auto" w:fill="F2F2F2" w:themeFill="background1" w:themeFillShade="F2"/>
          </w:tcPr>
          <w:p w14:paraId="107F883A"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sz w:val="18"/>
                <w:szCs w:val="18"/>
              </w:rPr>
              <w:t>Expected CO2e (indirect)</w:t>
            </w:r>
          </w:p>
        </w:tc>
        <w:tc>
          <w:tcPr>
            <w:tcW w:w="1712" w:type="dxa"/>
            <w:shd w:val="clear" w:color="auto" w:fill="F2F2F2" w:themeFill="background1" w:themeFillShade="F2"/>
          </w:tcPr>
          <w:p w14:paraId="0799C25C" w14:textId="77777777" w:rsidR="004E7FA9" w:rsidRPr="003B6A69" w:rsidRDefault="004E7FA9" w:rsidP="00AE6C8E">
            <w:pPr>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2726" w:type="dxa"/>
            <w:shd w:val="clear" w:color="auto" w:fill="F2F2F2" w:themeFill="background1" w:themeFillShade="F2"/>
          </w:tcPr>
          <w:p w14:paraId="30C1FA1F" w14:textId="77777777" w:rsidR="004E7FA9" w:rsidRPr="003B6A69" w:rsidRDefault="004E7FA9" w:rsidP="00AE6C8E">
            <w:pPr>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1985" w:type="dxa"/>
            <w:shd w:val="clear" w:color="auto" w:fill="F2F2F2" w:themeFill="background1" w:themeFillShade="F2"/>
          </w:tcPr>
          <w:p w14:paraId="1CA541AB" w14:textId="77777777" w:rsidR="004E7FA9" w:rsidRPr="003B6A69" w:rsidRDefault="004E7FA9" w:rsidP="00AE6C8E">
            <w:pPr>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3358" w:type="dxa"/>
            <w:shd w:val="clear" w:color="auto" w:fill="F2F2F2" w:themeFill="background1" w:themeFillShade="F2"/>
          </w:tcPr>
          <w:p w14:paraId="0AD4FEC3" w14:textId="77777777" w:rsidR="004E7FA9" w:rsidRPr="003B6A69" w:rsidRDefault="004E7FA9" w:rsidP="00AE6C8E">
            <w:pPr>
              <w:jc w:val="right"/>
              <w:rPr>
                <w:rFonts w:asciiTheme="minorHAnsi" w:hAnsiTheme="minorHAnsi" w:cstheme="minorHAnsi"/>
                <w:i/>
                <w:color w:val="000000"/>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r>
      <w:tr w:rsidR="004E7FA9" w:rsidRPr="003B6A69" w14:paraId="76301E44" w14:textId="77777777" w:rsidTr="00AE6C8E">
        <w:tc>
          <w:tcPr>
            <w:tcW w:w="1298" w:type="dxa"/>
            <w:shd w:val="clear" w:color="auto" w:fill="BFBFBF" w:themeFill="background1" w:themeFillShade="BF"/>
          </w:tcPr>
          <w:p w14:paraId="75C99756" w14:textId="77777777" w:rsidR="004E7FA9" w:rsidRPr="003B6A69" w:rsidRDefault="004E7FA9" w:rsidP="00AE6C8E">
            <w:pPr>
              <w:rPr>
                <w:rFonts w:asciiTheme="minorHAnsi" w:hAnsiTheme="minorHAnsi" w:cstheme="minorHAnsi"/>
                <w:sz w:val="18"/>
                <w:szCs w:val="18"/>
              </w:rPr>
            </w:pPr>
            <w:r w:rsidRPr="003B6A69">
              <w:rPr>
                <w:rFonts w:asciiTheme="minorHAnsi" w:hAnsiTheme="minorHAnsi" w:cstheme="minorHAnsi"/>
                <w:sz w:val="18"/>
                <w:szCs w:val="18"/>
              </w:rPr>
              <w:t>Indicator 6.1</w:t>
            </w:r>
          </w:p>
        </w:tc>
        <w:tc>
          <w:tcPr>
            <w:tcW w:w="7813" w:type="dxa"/>
            <w:gridSpan w:val="5"/>
            <w:shd w:val="clear" w:color="auto" w:fill="BFBFBF" w:themeFill="background1" w:themeFillShade="BF"/>
          </w:tcPr>
          <w:p w14:paraId="51BFACE9" w14:textId="77777777" w:rsidR="004E7FA9" w:rsidRPr="003B6A69" w:rsidRDefault="004E7FA9" w:rsidP="00AE6C8E">
            <w:pPr>
              <w:rPr>
                <w:rFonts w:asciiTheme="minorHAnsi" w:hAnsiTheme="minorHAnsi" w:cstheme="minorHAnsi"/>
                <w:sz w:val="18"/>
                <w:szCs w:val="18"/>
              </w:rPr>
            </w:pPr>
            <w:r w:rsidRPr="003B6A69">
              <w:rPr>
                <w:rFonts w:asciiTheme="minorHAnsi" w:hAnsiTheme="minorHAnsi" w:cstheme="minorHAnsi"/>
                <w:sz w:val="18"/>
                <w:szCs w:val="18"/>
              </w:rPr>
              <w:t>Carbon sequestered or emissions avoided in the AFOLU sector</w:t>
            </w:r>
          </w:p>
        </w:tc>
        <w:tc>
          <w:tcPr>
            <w:tcW w:w="1985" w:type="dxa"/>
            <w:shd w:val="clear" w:color="auto" w:fill="BFBFBF" w:themeFill="background1" w:themeFillShade="BF"/>
          </w:tcPr>
          <w:p w14:paraId="41594B6C" w14:textId="77777777" w:rsidR="004E7FA9" w:rsidRPr="003B6A69" w:rsidRDefault="004E7FA9" w:rsidP="00AE6C8E">
            <w:pPr>
              <w:rPr>
                <w:rFonts w:asciiTheme="minorHAnsi" w:hAnsiTheme="minorHAnsi" w:cstheme="minorHAnsi"/>
                <w:sz w:val="18"/>
                <w:szCs w:val="18"/>
              </w:rPr>
            </w:pPr>
          </w:p>
        </w:tc>
        <w:tc>
          <w:tcPr>
            <w:tcW w:w="3358" w:type="dxa"/>
            <w:shd w:val="clear" w:color="auto" w:fill="BFBFBF" w:themeFill="background1" w:themeFillShade="BF"/>
          </w:tcPr>
          <w:p w14:paraId="19AF53D7"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r>
      <w:tr w:rsidR="004E7FA9" w:rsidRPr="003B6A69" w14:paraId="30B1FAC3" w14:textId="77777777" w:rsidTr="00AE6C8E">
        <w:trPr>
          <w:trHeight w:val="125"/>
        </w:trPr>
        <w:tc>
          <w:tcPr>
            <w:tcW w:w="1298" w:type="dxa"/>
            <w:vMerge w:val="restart"/>
          </w:tcPr>
          <w:p w14:paraId="2F061BA1" w14:textId="77777777" w:rsidR="004E7FA9" w:rsidRPr="003B6A69" w:rsidRDefault="004E7FA9" w:rsidP="00AE6C8E">
            <w:pPr>
              <w:rPr>
                <w:rFonts w:asciiTheme="minorHAnsi" w:hAnsiTheme="minorHAnsi" w:cstheme="minorHAnsi"/>
                <w:sz w:val="18"/>
                <w:szCs w:val="18"/>
              </w:rPr>
            </w:pPr>
          </w:p>
        </w:tc>
        <w:tc>
          <w:tcPr>
            <w:tcW w:w="933" w:type="dxa"/>
            <w:vMerge w:val="restart"/>
          </w:tcPr>
          <w:p w14:paraId="185EABF5" w14:textId="77777777" w:rsidR="004E7FA9" w:rsidRPr="003B6A69" w:rsidRDefault="004E7FA9" w:rsidP="00AE6C8E">
            <w:pPr>
              <w:rPr>
                <w:rFonts w:asciiTheme="minorHAnsi" w:hAnsiTheme="minorHAnsi" w:cstheme="minorHAnsi"/>
                <w:sz w:val="18"/>
                <w:szCs w:val="18"/>
              </w:rPr>
            </w:pPr>
          </w:p>
        </w:tc>
        <w:tc>
          <w:tcPr>
            <w:tcW w:w="2442" w:type="dxa"/>
            <w:gridSpan w:val="2"/>
            <w:vMerge w:val="restart"/>
          </w:tcPr>
          <w:p w14:paraId="02F79FE3" w14:textId="77777777" w:rsidR="004E7FA9" w:rsidRPr="003B6A69" w:rsidRDefault="004E7FA9" w:rsidP="00AE6C8E">
            <w:pPr>
              <w:rPr>
                <w:rFonts w:asciiTheme="minorHAnsi" w:hAnsiTheme="minorHAnsi" w:cstheme="minorHAnsi"/>
                <w:sz w:val="18"/>
                <w:szCs w:val="18"/>
              </w:rPr>
            </w:pPr>
          </w:p>
        </w:tc>
        <w:tc>
          <w:tcPr>
            <w:tcW w:w="9781" w:type="dxa"/>
            <w:gridSpan w:val="4"/>
          </w:tcPr>
          <w:p w14:paraId="70BD7EAF"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 xml:space="preserve"> </w:t>
            </w:r>
            <w:r w:rsidRPr="003B6A69">
              <w:rPr>
                <w:rFonts w:asciiTheme="minorHAnsi" w:hAnsiTheme="minorHAnsi" w:cstheme="minorHAnsi"/>
                <w:bCs/>
                <w:sz w:val="18"/>
                <w:szCs w:val="18"/>
              </w:rPr>
              <w:t xml:space="preserve">Expected metric tons of </w:t>
            </w:r>
            <w:proofErr w:type="spellStart"/>
            <w:r w:rsidRPr="003B6A69">
              <w:rPr>
                <w:rFonts w:asciiTheme="minorHAnsi" w:hAnsiTheme="minorHAnsi" w:cstheme="minorHAnsi"/>
                <w:bCs/>
                <w:sz w:val="18"/>
                <w:szCs w:val="18"/>
              </w:rPr>
              <w:t>CO₂e</w:t>
            </w:r>
            <w:proofErr w:type="spellEnd"/>
          </w:p>
        </w:tc>
      </w:tr>
      <w:tr w:rsidR="004E7FA9" w:rsidRPr="003B6A69" w14:paraId="31877070" w14:textId="77777777" w:rsidTr="00AE6C8E">
        <w:trPr>
          <w:trHeight w:val="89"/>
        </w:trPr>
        <w:tc>
          <w:tcPr>
            <w:tcW w:w="1298" w:type="dxa"/>
            <w:vMerge/>
          </w:tcPr>
          <w:p w14:paraId="36EDC6B5" w14:textId="77777777" w:rsidR="004E7FA9" w:rsidRPr="003B6A69" w:rsidRDefault="004E7FA9" w:rsidP="00AE6C8E">
            <w:pPr>
              <w:rPr>
                <w:rFonts w:asciiTheme="minorHAnsi" w:hAnsiTheme="minorHAnsi" w:cstheme="minorHAnsi"/>
                <w:sz w:val="18"/>
                <w:szCs w:val="18"/>
              </w:rPr>
            </w:pPr>
          </w:p>
        </w:tc>
        <w:tc>
          <w:tcPr>
            <w:tcW w:w="933" w:type="dxa"/>
            <w:vMerge/>
          </w:tcPr>
          <w:p w14:paraId="5AECEC9D" w14:textId="77777777" w:rsidR="004E7FA9" w:rsidRPr="003B6A69" w:rsidRDefault="004E7FA9" w:rsidP="00AE6C8E">
            <w:pPr>
              <w:rPr>
                <w:rFonts w:asciiTheme="minorHAnsi" w:hAnsiTheme="minorHAnsi" w:cstheme="minorHAnsi"/>
                <w:sz w:val="18"/>
                <w:szCs w:val="18"/>
              </w:rPr>
            </w:pPr>
          </w:p>
        </w:tc>
        <w:tc>
          <w:tcPr>
            <w:tcW w:w="2442" w:type="dxa"/>
            <w:gridSpan w:val="2"/>
            <w:vMerge/>
          </w:tcPr>
          <w:p w14:paraId="4E3E1B3A" w14:textId="77777777" w:rsidR="004E7FA9" w:rsidRPr="003B6A69" w:rsidRDefault="004E7FA9" w:rsidP="00AE6C8E">
            <w:pPr>
              <w:rPr>
                <w:rFonts w:asciiTheme="minorHAnsi" w:hAnsiTheme="minorHAnsi" w:cstheme="minorHAnsi"/>
                <w:sz w:val="18"/>
                <w:szCs w:val="18"/>
              </w:rPr>
            </w:pPr>
          </w:p>
        </w:tc>
        <w:tc>
          <w:tcPr>
            <w:tcW w:w="1712" w:type="dxa"/>
          </w:tcPr>
          <w:p w14:paraId="3FA751E4"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PIF stage</w:t>
            </w:r>
          </w:p>
        </w:tc>
        <w:tc>
          <w:tcPr>
            <w:tcW w:w="2726" w:type="dxa"/>
          </w:tcPr>
          <w:p w14:paraId="10FD7F28"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Endorsement</w:t>
            </w:r>
          </w:p>
        </w:tc>
        <w:tc>
          <w:tcPr>
            <w:tcW w:w="1985" w:type="dxa"/>
          </w:tcPr>
          <w:p w14:paraId="6803E783"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MTR</w:t>
            </w:r>
          </w:p>
        </w:tc>
        <w:tc>
          <w:tcPr>
            <w:tcW w:w="3358" w:type="dxa"/>
          </w:tcPr>
          <w:p w14:paraId="78D57F74"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TE</w:t>
            </w:r>
          </w:p>
        </w:tc>
      </w:tr>
      <w:tr w:rsidR="004E7FA9" w:rsidRPr="003B6A69" w14:paraId="3221AFF3" w14:textId="77777777" w:rsidTr="00AE6C8E">
        <w:tc>
          <w:tcPr>
            <w:tcW w:w="1298" w:type="dxa"/>
          </w:tcPr>
          <w:p w14:paraId="33F156B9" w14:textId="77777777" w:rsidR="004E7FA9" w:rsidRPr="003B6A69" w:rsidRDefault="004E7FA9" w:rsidP="00AE6C8E">
            <w:pPr>
              <w:jc w:val="right"/>
              <w:rPr>
                <w:rFonts w:asciiTheme="minorHAnsi" w:hAnsiTheme="minorHAnsi" w:cstheme="minorHAnsi"/>
                <w:sz w:val="18"/>
                <w:szCs w:val="18"/>
              </w:rPr>
            </w:pPr>
          </w:p>
        </w:tc>
        <w:tc>
          <w:tcPr>
            <w:tcW w:w="3375" w:type="dxa"/>
            <w:gridSpan w:val="3"/>
          </w:tcPr>
          <w:p w14:paraId="4C98CF79"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sz w:val="18"/>
                <w:szCs w:val="18"/>
              </w:rPr>
              <w:t>Expected CO2e (direct)</w:t>
            </w:r>
          </w:p>
        </w:tc>
        <w:tc>
          <w:tcPr>
            <w:tcW w:w="1712" w:type="dxa"/>
          </w:tcPr>
          <w:p w14:paraId="1D5C2DC0"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2726" w:type="dxa"/>
          </w:tcPr>
          <w:p w14:paraId="7453DB97"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1985" w:type="dxa"/>
          </w:tcPr>
          <w:p w14:paraId="501C1C93"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3358" w:type="dxa"/>
          </w:tcPr>
          <w:p w14:paraId="618122D2"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r>
      <w:tr w:rsidR="004E7FA9" w:rsidRPr="003B6A69" w14:paraId="2870EE31" w14:textId="77777777" w:rsidTr="00AE6C8E">
        <w:tc>
          <w:tcPr>
            <w:tcW w:w="1298" w:type="dxa"/>
          </w:tcPr>
          <w:p w14:paraId="5167D910" w14:textId="77777777" w:rsidR="004E7FA9" w:rsidRPr="003B6A69" w:rsidRDefault="004E7FA9" w:rsidP="00AE6C8E">
            <w:pPr>
              <w:jc w:val="right"/>
              <w:rPr>
                <w:rFonts w:asciiTheme="minorHAnsi" w:hAnsiTheme="minorHAnsi" w:cstheme="minorHAnsi"/>
                <w:sz w:val="18"/>
                <w:szCs w:val="18"/>
              </w:rPr>
            </w:pPr>
          </w:p>
        </w:tc>
        <w:tc>
          <w:tcPr>
            <w:tcW w:w="3375" w:type="dxa"/>
            <w:gridSpan w:val="3"/>
          </w:tcPr>
          <w:p w14:paraId="17FF2836"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sz w:val="18"/>
                <w:szCs w:val="18"/>
              </w:rPr>
              <w:t>Expected CO2e (indirect)</w:t>
            </w:r>
          </w:p>
        </w:tc>
        <w:tc>
          <w:tcPr>
            <w:tcW w:w="1712" w:type="dxa"/>
          </w:tcPr>
          <w:p w14:paraId="32B65A96"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2726" w:type="dxa"/>
          </w:tcPr>
          <w:p w14:paraId="18BE0476"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1985" w:type="dxa"/>
          </w:tcPr>
          <w:p w14:paraId="4CBDDFC9"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3358" w:type="dxa"/>
          </w:tcPr>
          <w:p w14:paraId="2B3EEF59"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r>
      <w:tr w:rsidR="004E7FA9" w:rsidRPr="003B6A69" w14:paraId="02542B63" w14:textId="77777777" w:rsidTr="00AE6C8E">
        <w:tc>
          <w:tcPr>
            <w:tcW w:w="1298" w:type="dxa"/>
          </w:tcPr>
          <w:p w14:paraId="0F6EA4DF" w14:textId="77777777" w:rsidR="004E7FA9" w:rsidRPr="003B6A69" w:rsidRDefault="004E7FA9" w:rsidP="00AE6C8E">
            <w:pPr>
              <w:jc w:val="right"/>
              <w:rPr>
                <w:rFonts w:asciiTheme="minorHAnsi" w:hAnsiTheme="minorHAnsi" w:cstheme="minorHAnsi"/>
                <w:sz w:val="18"/>
                <w:szCs w:val="18"/>
              </w:rPr>
            </w:pPr>
          </w:p>
        </w:tc>
        <w:tc>
          <w:tcPr>
            <w:tcW w:w="3375" w:type="dxa"/>
            <w:gridSpan w:val="3"/>
          </w:tcPr>
          <w:p w14:paraId="22B7B50A"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sz w:val="18"/>
                <w:szCs w:val="18"/>
              </w:rPr>
              <w:t>Anticipated start year of accounting</w:t>
            </w:r>
          </w:p>
        </w:tc>
        <w:tc>
          <w:tcPr>
            <w:tcW w:w="1712" w:type="dxa"/>
          </w:tcPr>
          <w:p w14:paraId="7CA8F2AE" w14:textId="77777777" w:rsidR="004E7FA9" w:rsidRPr="003B6A69" w:rsidRDefault="004E7FA9" w:rsidP="00AE6C8E">
            <w:pPr>
              <w:jc w:val="right"/>
              <w:rPr>
                <w:rFonts w:asciiTheme="minorHAnsi" w:hAnsiTheme="minorHAnsi" w:cstheme="minorHAnsi"/>
                <w:i/>
                <w:color w:val="000000"/>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2726" w:type="dxa"/>
          </w:tcPr>
          <w:p w14:paraId="78730A4C" w14:textId="77777777" w:rsidR="004E7FA9" w:rsidRPr="003B6A69" w:rsidRDefault="004E7FA9" w:rsidP="00AE6C8E">
            <w:pPr>
              <w:jc w:val="right"/>
              <w:rPr>
                <w:rFonts w:asciiTheme="minorHAnsi" w:hAnsiTheme="minorHAnsi" w:cstheme="minorHAnsi"/>
                <w:i/>
                <w:color w:val="000000"/>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1985" w:type="dxa"/>
          </w:tcPr>
          <w:p w14:paraId="705F0702" w14:textId="77777777" w:rsidR="004E7FA9" w:rsidRPr="003B6A69" w:rsidRDefault="004E7FA9" w:rsidP="00AE6C8E">
            <w:pPr>
              <w:jc w:val="right"/>
              <w:rPr>
                <w:rFonts w:asciiTheme="minorHAnsi" w:hAnsiTheme="minorHAnsi" w:cstheme="minorHAnsi"/>
                <w:i/>
                <w:color w:val="000000"/>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3358" w:type="dxa"/>
          </w:tcPr>
          <w:p w14:paraId="089CCC3E" w14:textId="77777777" w:rsidR="004E7FA9" w:rsidRPr="003B6A69" w:rsidRDefault="004E7FA9" w:rsidP="00AE6C8E">
            <w:pPr>
              <w:jc w:val="right"/>
              <w:rPr>
                <w:rFonts w:asciiTheme="minorHAnsi" w:hAnsiTheme="minorHAnsi" w:cstheme="minorHAnsi"/>
                <w:i/>
                <w:color w:val="000000"/>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r>
      <w:tr w:rsidR="004E7FA9" w:rsidRPr="003B6A69" w14:paraId="79AC87F5" w14:textId="77777777" w:rsidTr="00AE6C8E">
        <w:tc>
          <w:tcPr>
            <w:tcW w:w="1298" w:type="dxa"/>
          </w:tcPr>
          <w:p w14:paraId="721125AA" w14:textId="77777777" w:rsidR="004E7FA9" w:rsidRPr="003B6A69" w:rsidRDefault="004E7FA9" w:rsidP="00AE6C8E">
            <w:pPr>
              <w:jc w:val="right"/>
              <w:rPr>
                <w:rFonts w:asciiTheme="minorHAnsi" w:hAnsiTheme="minorHAnsi" w:cstheme="minorHAnsi"/>
                <w:sz w:val="18"/>
                <w:szCs w:val="18"/>
              </w:rPr>
            </w:pPr>
          </w:p>
        </w:tc>
        <w:tc>
          <w:tcPr>
            <w:tcW w:w="3375" w:type="dxa"/>
            <w:gridSpan w:val="3"/>
          </w:tcPr>
          <w:p w14:paraId="16DEED83"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bCs/>
                <w:sz w:val="18"/>
                <w:szCs w:val="18"/>
              </w:rPr>
              <w:t>Duration of accounting</w:t>
            </w:r>
          </w:p>
        </w:tc>
        <w:tc>
          <w:tcPr>
            <w:tcW w:w="1712" w:type="dxa"/>
          </w:tcPr>
          <w:p w14:paraId="014A83A6" w14:textId="77777777" w:rsidR="004E7FA9" w:rsidRPr="003B6A69" w:rsidRDefault="004E7FA9" w:rsidP="00AE6C8E">
            <w:pPr>
              <w:jc w:val="right"/>
              <w:rPr>
                <w:rFonts w:asciiTheme="minorHAnsi" w:hAnsiTheme="minorHAnsi" w:cstheme="minorHAnsi"/>
                <w:i/>
                <w:color w:val="000000"/>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2726" w:type="dxa"/>
          </w:tcPr>
          <w:p w14:paraId="22A92E9B" w14:textId="77777777" w:rsidR="004E7FA9" w:rsidRPr="003B6A69" w:rsidRDefault="004E7FA9" w:rsidP="00AE6C8E">
            <w:pPr>
              <w:jc w:val="right"/>
              <w:rPr>
                <w:rFonts w:asciiTheme="minorHAnsi" w:hAnsiTheme="minorHAnsi" w:cstheme="minorHAnsi"/>
                <w:i/>
                <w:color w:val="000000"/>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1985" w:type="dxa"/>
          </w:tcPr>
          <w:p w14:paraId="4F6DA5BC" w14:textId="77777777" w:rsidR="004E7FA9" w:rsidRPr="003B6A69" w:rsidRDefault="004E7FA9" w:rsidP="00AE6C8E">
            <w:pPr>
              <w:jc w:val="right"/>
              <w:rPr>
                <w:rFonts w:asciiTheme="minorHAnsi" w:hAnsiTheme="minorHAnsi" w:cstheme="minorHAnsi"/>
                <w:i/>
                <w:color w:val="000000"/>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3358" w:type="dxa"/>
          </w:tcPr>
          <w:p w14:paraId="3C7BEFD5" w14:textId="77777777" w:rsidR="004E7FA9" w:rsidRPr="003B6A69" w:rsidRDefault="004E7FA9" w:rsidP="00AE6C8E">
            <w:pPr>
              <w:jc w:val="right"/>
              <w:rPr>
                <w:rFonts w:asciiTheme="minorHAnsi" w:hAnsiTheme="minorHAnsi" w:cstheme="minorHAnsi"/>
                <w:i/>
                <w:color w:val="000000"/>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r>
      <w:tr w:rsidR="004E7FA9" w:rsidRPr="003B6A69" w14:paraId="1A6DD72F" w14:textId="77777777" w:rsidTr="00AE6C8E">
        <w:tc>
          <w:tcPr>
            <w:tcW w:w="1298" w:type="dxa"/>
            <w:shd w:val="clear" w:color="auto" w:fill="BFBFBF" w:themeFill="background1" w:themeFillShade="BF"/>
          </w:tcPr>
          <w:p w14:paraId="6AE8AA14" w14:textId="77777777" w:rsidR="004E7FA9" w:rsidRPr="003B6A69" w:rsidRDefault="004E7FA9" w:rsidP="00AE6C8E">
            <w:pPr>
              <w:rPr>
                <w:rFonts w:asciiTheme="minorHAnsi" w:hAnsiTheme="minorHAnsi" w:cstheme="minorHAnsi"/>
                <w:sz w:val="18"/>
                <w:szCs w:val="18"/>
              </w:rPr>
            </w:pPr>
            <w:r w:rsidRPr="003B6A69">
              <w:rPr>
                <w:rFonts w:asciiTheme="minorHAnsi" w:hAnsiTheme="minorHAnsi" w:cstheme="minorHAnsi"/>
                <w:sz w:val="18"/>
                <w:szCs w:val="18"/>
              </w:rPr>
              <w:t>Indicator 6.2</w:t>
            </w:r>
          </w:p>
        </w:tc>
        <w:tc>
          <w:tcPr>
            <w:tcW w:w="9798" w:type="dxa"/>
            <w:gridSpan w:val="6"/>
            <w:shd w:val="clear" w:color="auto" w:fill="BFBFBF" w:themeFill="background1" w:themeFillShade="BF"/>
          </w:tcPr>
          <w:p w14:paraId="7AD1A6A4" w14:textId="77777777" w:rsidR="004E7FA9" w:rsidRPr="003B6A69" w:rsidRDefault="004E7FA9" w:rsidP="00AE6C8E">
            <w:pPr>
              <w:rPr>
                <w:rFonts w:asciiTheme="minorHAnsi" w:hAnsiTheme="minorHAnsi" w:cstheme="minorHAnsi"/>
                <w:sz w:val="18"/>
                <w:szCs w:val="18"/>
              </w:rPr>
            </w:pPr>
            <w:r w:rsidRPr="003B6A69">
              <w:rPr>
                <w:rFonts w:asciiTheme="minorHAnsi" w:hAnsiTheme="minorHAnsi" w:cstheme="minorHAnsi"/>
                <w:sz w:val="18"/>
                <w:szCs w:val="18"/>
              </w:rPr>
              <w:t xml:space="preserve">Emissions avoided </w:t>
            </w:r>
            <w:r w:rsidRPr="003B6A69">
              <w:rPr>
                <w:rFonts w:asciiTheme="minorHAnsi" w:hAnsiTheme="minorHAnsi" w:cstheme="minorHAnsi"/>
                <w:bCs/>
                <w:sz w:val="18"/>
                <w:szCs w:val="18"/>
              </w:rPr>
              <w:t>Outside AFOLU </w:t>
            </w:r>
          </w:p>
        </w:tc>
        <w:tc>
          <w:tcPr>
            <w:tcW w:w="3358" w:type="dxa"/>
            <w:shd w:val="clear" w:color="auto" w:fill="BFBFBF" w:themeFill="background1" w:themeFillShade="BF"/>
          </w:tcPr>
          <w:p w14:paraId="57F2D8A3"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r>
      <w:tr w:rsidR="004E7FA9" w:rsidRPr="003B6A69" w14:paraId="6ADABD22" w14:textId="77777777" w:rsidTr="00AE6C8E">
        <w:trPr>
          <w:trHeight w:val="125"/>
        </w:trPr>
        <w:tc>
          <w:tcPr>
            <w:tcW w:w="1298" w:type="dxa"/>
            <w:vMerge w:val="restart"/>
          </w:tcPr>
          <w:p w14:paraId="02E4E41E" w14:textId="77777777" w:rsidR="004E7FA9" w:rsidRPr="003B6A69" w:rsidRDefault="004E7FA9" w:rsidP="00AE6C8E">
            <w:pPr>
              <w:rPr>
                <w:rFonts w:asciiTheme="minorHAnsi" w:hAnsiTheme="minorHAnsi" w:cstheme="minorHAnsi"/>
                <w:sz w:val="18"/>
                <w:szCs w:val="18"/>
              </w:rPr>
            </w:pPr>
          </w:p>
        </w:tc>
        <w:tc>
          <w:tcPr>
            <w:tcW w:w="933" w:type="dxa"/>
            <w:vMerge w:val="restart"/>
          </w:tcPr>
          <w:p w14:paraId="221015A9" w14:textId="77777777" w:rsidR="004E7FA9" w:rsidRPr="003B6A69" w:rsidRDefault="004E7FA9" w:rsidP="00AE6C8E">
            <w:pPr>
              <w:rPr>
                <w:rFonts w:asciiTheme="minorHAnsi" w:hAnsiTheme="minorHAnsi" w:cstheme="minorHAnsi"/>
                <w:sz w:val="18"/>
                <w:szCs w:val="18"/>
              </w:rPr>
            </w:pPr>
          </w:p>
        </w:tc>
        <w:tc>
          <w:tcPr>
            <w:tcW w:w="2442" w:type="dxa"/>
            <w:gridSpan w:val="2"/>
            <w:vMerge w:val="restart"/>
          </w:tcPr>
          <w:p w14:paraId="5E1BC82A" w14:textId="77777777" w:rsidR="004E7FA9" w:rsidRPr="003B6A69" w:rsidRDefault="004E7FA9" w:rsidP="00AE6C8E">
            <w:pPr>
              <w:rPr>
                <w:rFonts w:asciiTheme="minorHAnsi" w:hAnsiTheme="minorHAnsi" w:cstheme="minorHAnsi"/>
                <w:sz w:val="18"/>
                <w:szCs w:val="18"/>
              </w:rPr>
            </w:pPr>
          </w:p>
        </w:tc>
        <w:tc>
          <w:tcPr>
            <w:tcW w:w="9781" w:type="dxa"/>
            <w:gridSpan w:val="4"/>
          </w:tcPr>
          <w:p w14:paraId="6ADAE6F2"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bCs/>
                <w:sz w:val="18"/>
                <w:szCs w:val="18"/>
              </w:rPr>
              <w:t xml:space="preserve">Expected metric tons of </w:t>
            </w:r>
            <w:proofErr w:type="spellStart"/>
            <w:r w:rsidRPr="003B6A69">
              <w:rPr>
                <w:rFonts w:asciiTheme="minorHAnsi" w:hAnsiTheme="minorHAnsi" w:cstheme="minorHAnsi"/>
                <w:bCs/>
                <w:sz w:val="18"/>
                <w:szCs w:val="18"/>
              </w:rPr>
              <w:t>CO₂e</w:t>
            </w:r>
            <w:proofErr w:type="spellEnd"/>
          </w:p>
        </w:tc>
      </w:tr>
      <w:tr w:rsidR="004E7FA9" w:rsidRPr="003B6A69" w14:paraId="27D4DC34" w14:textId="77777777" w:rsidTr="00AE6C8E">
        <w:trPr>
          <w:trHeight w:val="58"/>
        </w:trPr>
        <w:tc>
          <w:tcPr>
            <w:tcW w:w="1298" w:type="dxa"/>
            <w:vMerge/>
          </w:tcPr>
          <w:p w14:paraId="6496BEDB" w14:textId="77777777" w:rsidR="004E7FA9" w:rsidRPr="003B6A69" w:rsidRDefault="004E7FA9" w:rsidP="00AE6C8E">
            <w:pPr>
              <w:rPr>
                <w:rFonts w:asciiTheme="minorHAnsi" w:hAnsiTheme="minorHAnsi" w:cstheme="minorHAnsi"/>
                <w:sz w:val="18"/>
                <w:szCs w:val="18"/>
              </w:rPr>
            </w:pPr>
          </w:p>
        </w:tc>
        <w:tc>
          <w:tcPr>
            <w:tcW w:w="933" w:type="dxa"/>
            <w:vMerge/>
          </w:tcPr>
          <w:p w14:paraId="0624BAFE" w14:textId="77777777" w:rsidR="004E7FA9" w:rsidRPr="003B6A69" w:rsidRDefault="004E7FA9" w:rsidP="00AE6C8E">
            <w:pPr>
              <w:rPr>
                <w:rFonts w:asciiTheme="minorHAnsi" w:hAnsiTheme="minorHAnsi" w:cstheme="minorHAnsi"/>
                <w:sz w:val="18"/>
                <w:szCs w:val="18"/>
              </w:rPr>
            </w:pPr>
          </w:p>
        </w:tc>
        <w:tc>
          <w:tcPr>
            <w:tcW w:w="2442" w:type="dxa"/>
            <w:gridSpan w:val="2"/>
            <w:vMerge/>
          </w:tcPr>
          <w:p w14:paraId="4A26572C" w14:textId="77777777" w:rsidR="004E7FA9" w:rsidRPr="003B6A69" w:rsidRDefault="004E7FA9" w:rsidP="00AE6C8E">
            <w:pPr>
              <w:rPr>
                <w:rFonts w:asciiTheme="minorHAnsi" w:hAnsiTheme="minorHAnsi" w:cstheme="minorHAnsi"/>
                <w:sz w:val="18"/>
                <w:szCs w:val="18"/>
              </w:rPr>
            </w:pPr>
          </w:p>
        </w:tc>
        <w:tc>
          <w:tcPr>
            <w:tcW w:w="4438" w:type="dxa"/>
            <w:gridSpan w:val="2"/>
          </w:tcPr>
          <w:p w14:paraId="3BEB15F7"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Expected</w:t>
            </w:r>
          </w:p>
        </w:tc>
        <w:tc>
          <w:tcPr>
            <w:tcW w:w="5343" w:type="dxa"/>
            <w:gridSpan w:val="2"/>
          </w:tcPr>
          <w:p w14:paraId="44B67C8C"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Achieved</w:t>
            </w:r>
          </w:p>
        </w:tc>
      </w:tr>
      <w:tr w:rsidR="004E7FA9" w:rsidRPr="003B6A69" w14:paraId="0A8514EA" w14:textId="77777777" w:rsidTr="00AE6C8E">
        <w:trPr>
          <w:trHeight w:val="206"/>
        </w:trPr>
        <w:tc>
          <w:tcPr>
            <w:tcW w:w="1298" w:type="dxa"/>
            <w:vMerge/>
          </w:tcPr>
          <w:p w14:paraId="2C108C76" w14:textId="77777777" w:rsidR="004E7FA9" w:rsidRPr="003B6A69" w:rsidRDefault="004E7FA9" w:rsidP="00AE6C8E">
            <w:pPr>
              <w:rPr>
                <w:rFonts w:asciiTheme="minorHAnsi" w:hAnsiTheme="minorHAnsi" w:cstheme="minorHAnsi"/>
                <w:sz w:val="18"/>
                <w:szCs w:val="18"/>
              </w:rPr>
            </w:pPr>
          </w:p>
        </w:tc>
        <w:tc>
          <w:tcPr>
            <w:tcW w:w="933" w:type="dxa"/>
            <w:vMerge/>
          </w:tcPr>
          <w:p w14:paraId="11E94EFB" w14:textId="77777777" w:rsidR="004E7FA9" w:rsidRPr="003B6A69" w:rsidRDefault="004E7FA9" w:rsidP="00AE6C8E">
            <w:pPr>
              <w:rPr>
                <w:rFonts w:asciiTheme="minorHAnsi" w:hAnsiTheme="minorHAnsi" w:cstheme="minorHAnsi"/>
                <w:sz w:val="18"/>
                <w:szCs w:val="18"/>
              </w:rPr>
            </w:pPr>
          </w:p>
        </w:tc>
        <w:tc>
          <w:tcPr>
            <w:tcW w:w="2442" w:type="dxa"/>
            <w:gridSpan w:val="2"/>
            <w:vMerge/>
          </w:tcPr>
          <w:p w14:paraId="3E87AAEE" w14:textId="77777777" w:rsidR="004E7FA9" w:rsidRPr="003B6A69" w:rsidRDefault="004E7FA9" w:rsidP="00AE6C8E">
            <w:pPr>
              <w:rPr>
                <w:rFonts w:asciiTheme="minorHAnsi" w:hAnsiTheme="minorHAnsi" w:cstheme="minorHAnsi"/>
                <w:sz w:val="18"/>
                <w:szCs w:val="18"/>
              </w:rPr>
            </w:pPr>
          </w:p>
        </w:tc>
        <w:tc>
          <w:tcPr>
            <w:tcW w:w="1712" w:type="dxa"/>
          </w:tcPr>
          <w:p w14:paraId="75B54BB1"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PIF stage</w:t>
            </w:r>
          </w:p>
        </w:tc>
        <w:tc>
          <w:tcPr>
            <w:tcW w:w="2726" w:type="dxa"/>
          </w:tcPr>
          <w:p w14:paraId="4725C055"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Endorsement</w:t>
            </w:r>
          </w:p>
        </w:tc>
        <w:tc>
          <w:tcPr>
            <w:tcW w:w="1985" w:type="dxa"/>
          </w:tcPr>
          <w:p w14:paraId="0E50609D"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MTR</w:t>
            </w:r>
          </w:p>
        </w:tc>
        <w:tc>
          <w:tcPr>
            <w:tcW w:w="3358" w:type="dxa"/>
          </w:tcPr>
          <w:p w14:paraId="3C971172"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TE</w:t>
            </w:r>
          </w:p>
        </w:tc>
      </w:tr>
      <w:tr w:rsidR="004E7FA9" w:rsidRPr="003B6A69" w14:paraId="374D496D" w14:textId="77777777" w:rsidTr="00AE6C8E">
        <w:tc>
          <w:tcPr>
            <w:tcW w:w="1298" w:type="dxa"/>
          </w:tcPr>
          <w:p w14:paraId="2E8007F6" w14:textId="77777777" w:rsidR="004E7FA9" w:rsidRPr="003B6A69" w:rsidRDefault="004E7FA9" w:rsidP="00AE6C8E">
            <w:pPr>
              <w:jc w:val="right"/>
              <w:rPr>
                <w:rFonts w:asciiTheme="minorHAnsi" w:hAnsiTheme="minorHAnsi" w:cstheme="minorHAnsi"/>
                <w:sz w:val="18"/>
                <w:szCs w:val="18"/>
              </w:rPr>
            </w:pPr>
          </w:p>
        </w:tc>
        <w:tc>
          <w:tcPr>
            <w:tcW w:w="3375" w:type="dxa"/>
            <w:gridSpan w:val="3"/>
          </w:tcPr>
          <w:p w14:paraId="00BE2FA1"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sz w:val="18"/>
                <w:szCs w:val="18"/>
              </w:rPr>
              <w:t>Expected CO2e (direct)</w:t>
            </w:r>
          </w:p>
        </w:tc>
        <w:tc>
          <w:tcPr>
            <w:tcW w:w="1712" w:type="dxa"/>
          </w:tcPr>
          <w:p w14:paraId="1B35DD00"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2726" w:type="dxa"/>
          </w:tcPr>
          <w:p w14:paraId="7C6C149A"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1985" w:type="dxa"/>
          </w:tcPr>
          <w:p w14:paraId="595F47D9"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3358" w:type="dxa"/>
          </w:tcPr>
          <w:p w14:paraId="375447A5"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r>
      <w:tr w:rsidR="004E7FA9" w:rsidRPr="003B6A69" w14:paraId="1F1528BB" w14:textId="77777777" w:rsidTr="00AE6C8E">
        <w:tc>
          <w:tcPr>
            <w:tcW w:w="1298" w:type="dxa"/>
          </w:tcPr>
          <w:p w14:paraId="2B06B530" w14:textId="77777777" w:rsidR="004E7FA9" w:rsidRPr="003B6A69" w:rsidRDefault="004E7FA9" w:rsidP="00AE6C8E">
            <w:pPr>
              <w:jc w:val="right"/>
              <w:rPr>
                <w:rFonts w:asciiTheme="minorHAnsi" w:hAnsiTheme="minorHAnsi" w:cstheme="minorHAnsi"/>
                <w:sz w:val="18"/>
                <w:szCs w:val="18"/>
              </w:rPr>
            </w:pPr>
          </w:p>
        </w:tc>
        <w:tc>
          <w:tcPr>
            <w:tcW w:w="3375" w:type="dxa"/>
            <w:gridSpan w:val="3"/>
          </w:tcPr>
          <w:p w14:paraId="3B61BD11"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sz w:val="18"/>
                <w:szCs w:val="18"/>
              </w:rPr>
              <w:t>Expected CO2e (indirect)</w:t>
            </w:r>
          </w:p>
        </w:tc>
        <w:tc>
          <w:tcPr>
            <w:tcW w:w="1712" w:type="dxa"/>
          </w:tcPr>
          <w:p w14:paraId="2F9F0BB8"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2726" w:type="dxa"/>
          </w:tcPr>
          <w:p w14:paraId="039163D2"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1985" w:type="dxa"/>
          </w:tcPr>
          <w:p w14:paraId="7BAF17D2"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3358" w:type="dxa"/>
          </w:tcPr>
          <w:p w14:paraId="0731DDC3"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r>
      <w:tr w:rsidR="004E7FA9" w:rsidRPr="003B6A69" w14:paraId="515810F8" w14:textId="77777777" w:rsidTr="00AE6C8E">
        <w:tc>
          <w:tcPr>
            <w:tcW w:w="1298" w:type="dxa"/>
          </w:tcPr>
          <w:p w14:paraId="09C84BD4" w14:textId="77777777" w:rsidR="004E7FA9" w:rsidRPr="003B6A69" w:rsidRDefault="004E7FA9" w:rsidP="00AE6C8E">
            <w:pPr>
              <w:jc w:val="right"/>
              <w:rPr>
                <w:rFonts w:asciiTheme="minorHAnsi" w:hAnsiTheme="minorHAnsi" w:cstheme="minorHAnsi"/>
                <w:sz w:val="18"/>
                <w:szCs w:val="18"/>
              </w:rPr>
            </w:pPr>
          </w:p>
        </w:tc>
        <w:tc>
          <w:tcPr>
            <w:tcW w:w="3375" w:type="dxa"/>
            <w:gridSpan w:val="3"/>
          </w:tcPr>
          <w:p w14:paraId="6411B8D7"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sz w:val="18"/>
                <w:szCs w:val="18"/>
              </w:rPr>
              <w:t>Anticipated start year of accounting</w:t>
            </w:r>
          </w:p>
        </w:tc>
        <w:tc>
          <w:tcPr>
            <w:tcW w:w="1712" w:type="dxa"/>
          </w:tcPr>
          <w:p w14:paraId="16ECEC1F" w14:textId="77777777" w:rsidR="004E7FA9" w:rsidRPr="003B6A69" w:rsidRDefault="004E7FA9" w:rsidP="00AE6C8E">
            <w:pPr>
              <w:jc w:val="right"/>
              <w:rPr>
                <w:rFonts w:asciiTheme="minorHAnsi" w:hAnsiTheme="minorHAnsi" w:cstheme="minorHAnsi"/>
                <w:i/>
                <w:color w:val="000000"/>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2726" w:type="dxa"/>
          </w:tcPr>
          <w:p w14:paraId="1A2B16D7" w14:textId="77777777" w:rsidR="004E7FA9" w:rsidRPr="003B6A69" w:rsidRDefault="004E7FA9" w:rsidP="00AE6C8E">
            <w:pPr>
              <w:jc w:val="right"/>
              <w:rPr>
                <w:rFonts w:asciiTheme="minorHAnsi" w:hAnsiTheme="minorHAnsi" w:cstheme="minorHAnsi"/>
                <w:i/>
                <w:color w:val="000000"/>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1985" w:type="dxa"/>
          </w:tcPr>
          <w:p w14:paraId="0217E4B7" w14:textId="77777777" w:rsidR="004E7FA9" w:rsidRPr="003B6A69" w:rsidRDefault="004E7FA9" w:rsidP="00AE6C8E">
            <w:pPr>
              <w:jc w:val="right"/>
              <w:rPr>
                <w:rFonts w:asciiTheme="minorHAnsi" w:hAnsiTheme="minorHAnsi" w:cstheme="minorHAnsi"/>
                <w:i/>
                <w:color w:val="000000"/>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3358" w:type="dxa"/>
          </w:tcPr>
          <w:p w14:paraId="69ADF334" w14:textId="77777777" w:rsidR="004E7FA9" w:rsidRPr="003B6A69" w:rsidRDefault="004E7FA9" w:rsidP="00AE6C8E">
            <w:pPr>
              <w:jc w:val="right"/>
              <w:rPr>
                <w:rFonts w:asciiTheme="minorHAnsi" w:hAnsiTheme="minorHAnsi" w:cstheme="minorHAnsi"/>
                <w:i/>
                <w:color w:val="000000"/>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r>
      <w:tr w:rsidR="004E7FA9" w:rsidRPr="003B6A69" w14:paraId="4BB65F05" w14:textId="77777777" w:rsidTr="00AE6C8E">
        <w:tc>
          <w:tcPr>
            <w:tcW w:w="1298" w:type="dxa"/>
          </w:tcPr>
          <w:p w14:paraId="3A8FED56" w14:textId="77777777" w:rsidR="004E7FA9" w:rsidRPr="003B6A69" w:rsidRDefault="004E7FA9" w:rsidP="00AE6C8E">
            <w:pPr>
              <w:jc w:val="right"/>
              <w:rPr>
                <w:rFonts w:asciiTheme="minorHAnsi" w:hAnsiTheme="minorHAnsi" w:cstheme="minorHAnsi"/>
                <w:sz w:val="18"/>
                <w:szCs w:val="18"/>
              </w:rPr>
            </w:pPr>
          </w:p>
        </w:tc>
        <w:tc>
          <w:tcPr>
            <w:tcW w:w="3375" w:type="dxa"/>
            <w:gridSpan w:val="3"/>
          </w:tcPr>
          <w:p w14:paraId="3E90BDA8"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bCs/>
                <w:sz w:val="18"/>
                <w:szCs w:val="18"/>
              </w:rPr>
              <w:t>Duration of accounting</w:t>
            </w:r>
          </w:p>
        </w:tc>
        <w:tc>
          <w:tcPr>
            <w:tcW w:w="1712" w:type="dxa"/>
          </w:tcPr>
          <w:p w14:paraId="51C89F76" w14:textId="77777777" w:rsidR="004E7FA9" w:rsidRPr="003B6A69" w:rsidRDefault="004E7FA9" w:rsidP="00AE6C8E">
            <w:pPr>
              <w:jc w:val="right"/>
              <w:rPr>
                <w:rFonts w:asciiTheme="minorHAnsi" w:hAnsiTheme="minorHAnsi" w:cstheme="minorHAnsi"/>
                <w:i/>
                <w:color w:val="000000"/>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2726" w:type="dxa"/>
          </w:tcPr>
          <w:p w14:paraId="189A4C02" w14:textId="77777777" w:rsidR="004E7FA9" w:rsidRPr="003B6A69" w:rsidRDefault="004E7FA9" w:rsidP="00AE6C8E">
            <w:pPr>
              <w:jc w:val="right"/>
              <w:rPr>
                <w:rFonts w:asciiTheme="minorHAnsi" w:hAnsiTheme="minorHAnsi" w:cstheme="minorHAnsi"/>
                <w:i/>
                <w:color w:val="000000"/>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1985" w:type="dxa"/>
          </w:tcPr>
          <w:p w14:paraId="7262AFE8" w14:textId="77777777" w:rsidR="004E7FA9" w:rsidRPr="003B6A69" w:rsidRDefault="004E7FA9" w:rsidP="00AE6C8E">
            <w:pPr>
              <w:jc w:val="right"/>
              <w:rPr>
                <w:rFonts w:asciiTheme="minorHAnsi" w:hAnsiTheme="minorHAnsi" w:cstheme="minorHAnsi"/>
                <w:i/>
                <w:color w:val="000000"/>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3358" w:type="dxa"/>
          </w:tcPr>
          <w:p w14:paraId="4F03468D" w14:textId="77777777" w:rsidR="004E7FA9" w:rsidRPr="003B6A69" w:rsidRDefault="004E7FA9" w:rsidP="00AE6C8E">
            <w:pPr>
              <w:jc w:val="right"/>
              <w:rPr>
                <w:rFonts w:asciiTheme="minorHAnsi" w:hAnsiTheme="minorHAnsi" w:cstheme="minorHAnsi"/>
                <w:i/>
                <w:color w:val="000000"/>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r>
      <w:tr w:rsidR="004E7FA9" w:rsidRPr="003B6A69" w14:paraId="0654C978" w14:textId="77777777" w:rsidTr="00AE6C8E">
        <w:tc>
          <w:tcPr>
            <w:tcW w:w="1298" w:type="dxa"/>
            <w:shd w:val="clear" w:color="auto" w:fill="BFBFBF" w:themeFill="background1" w:themeFillShade="BF"/>
          </w:tcPr>
          <w:p w14:paraId="2E682DD1" w14:textId="77777777" w:rsidR="004E7FA9" w:rsidRPr="003B6A69" w:rsidRDefault="004E7FA9" w:rsidP="00AE6C8E">
            <w:pPr>
              <w:rPr>
                <w:rFonts w:asciiTheme="minorHAnsi" w:hAnsiTheme="minorHAnsi" w:cstheme="minorHAnsi"/>
                <w:sz w:val="18"/>
                <w:szCs w:val="18"/>
              </w:rPr>
            </w:pPr>
            <w:r w:rsidRPr="003B6A69">
              <w:rPr>
                <w:rFonts w:asciiTheme="minorHAnsi" w:hAnsiTheme="minorHAnsi" w:cstheme="minorHAnsi"/>
                <w:sz w:val="18"/>
                <w:szCs w:val="18"/>
              </w:rPr>
              <w:t>Indicator 6.3</w:t>
            </w:r>
          </w:p>
        </w:tc>
        <w:tc>
          <w:tcPr>
            <w:tcW w:w="9798" w:type="dxa"/>
            <w:gridSpan w:val="6"/>
            <w:shd w:val="clear" w:color="auto" w:fill="BFBFBF" w:themeFill="background1" w:themeFillShade="BF"/>
          </w:tcPr>
          <w:p w14:paraId="6DB26D16" w14:textId="77777777" w:rsidR="004E7FA9" w:rsidRPr="003B6A69" w:rsidRDefault="004E7FA9" w:rsidP="00AE6C8E">
            <w:pPr>
              <w:rPr>
                <w:rFonts w:asciiTheme="minorHAnsi" w:hAnsiTheme="minorHAnsi" w:cstheme="minorHAnsi"/>
                <w:sz w:val="18"/>
                <w:szCs w:val="18"/>
              </w:rPr>
            </w:pPr>
            <w:r w:rsidRPr="003B6A69">
              <w:rPr>
                <w:rFonts w:asciiTheme="minorHAnsi" w:hAnsiTheme="minorHAnsi" w:cstheme="minorHAnsi"/>
                <w:sz w:val="18"/>
                <w:szCs w:val="18"/>
              </w:rPr>
              <w:t>Energy saved</w:t>
            </w:r>
          </w:p>
        </w:tc>
        <w:tc>
          <w:tcPr>
            <w:tcW w:w="3358" w:type="dxa"/>
            <w:shd w:val="clear" w:color="auto" w:fill="BFBFBF" w:themeFill="background1" w:themeFillShade="BF"/>
          </w:tcPr>
          <w:p w14:paraId="710FCDBD"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r>
      <w:tr w:rsidR="004E7FA9" w:rsidRPr="003B6A69" w14:paraId="032E4AC0" w14:textId="77777777" w:rsidTr="00AE6C8E">
        <w:trPr>
          <w:trHeight w:val="125"/>
        </w:trPr>
        <w:tc>
          <w:tcPr>
            <w:tcW w:w="1298" w:type="dxa"/>
            <w:vMerge w:val="restart"/>
          </w:tcPr>
          <w:p w14:paraId="7DC1B32B" w14:textId="77777777" w:rsidR="004E7FA9" w:rsidRPr="003B6A69" w:rsidRDefault="004E7FA9" w:rsidP="00AE6C8E">
            <w:pPr>
              <w:rPr>
                <w:rFonts w:asciiTheme="minorHAnsi" w:hAnsiTheme="minorHAnsi" w:cstheme="minorHAnsi"/>
                <w:sz w:val="18"/>
                <w:szCs w:val="18"/>
              </w:rPr>
            </w:pPr>
          </w:p>
        </w:tc>
        <w:tc>
          <w:tcPr>
            <w:tcW w:w="933" w:type="dxa"/>
            <w:vMerge w:val="restart"/>
          </w:tcPr>
          <w:p w14:paraId="0B0369C4" w14:textId="77777777" w:rsidR="004E7FA9" w:rsidRPr="003B6A69" w:rsidRDefault="004E7FA9" w:rsidP="00AE6C8E">
            <w:pPr>
              <w:rPr>
                <w:rFonts w:asciiTheme="minorHAnsi" w:hAnsiTheme="minorHAnsi" w:cstheme="minorHAnsi"/>
                <w:sz w:val="18"/>
                <w:szCs w:val="18"/>
              </w:rPr>
            </w:pPr>
          </w:p>
        </w:tc>
        <w:tc>
          <w:tcPr>
            <w:tcW w:w="2442" w:type="dxa"/>
            <w:gridSpan w:val="2"/>
            <w:vMerge w:val="restart"/>
          </w:tcPr>
          <w:p w14:paraId="1CFD4279" w14:textId="77777777" w:rsidR="004E7FA9" w:rsidRPr="003B6A69" w:rsidRDefault="004E7FA9" w:rsidP="00AE6C8E">
            <w:pPr>
              <w:rPr>
                <w:rFonts w:asciiTheme="minorHAnsi" w:hAnsiTheme="minorHAnsi" w:cstheme="minorHAnsi"/>
                <w:sz w:val="18"/>
                <w:szCs w:val="18"/>
              </w:rPr>
            </w:pPr>
          </w:p>
        </w:tc>
        <w:tc>
          <w:tcPr>
            <w:tcW w:w="9781" w:type="dxa"/>
            <w:gridSpan w:val="4"/>
          </w:tcPr>
          <w:p w14:paraId="3AEBCD43"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MJ</w:t>
            </w:r>
          </w:p>
        </w:tc>
      </w:tr>
      <w:tr w:rsidR="004E7FA9" w:rsidRPr="003B6A69" w14:paraId="668909FD" w14:textId="77777777" w:rsidTr="00AE6C8E">
        <w:trPr>
          <w:trHeight w:val="58"/>
        </w:trPr>
        <w:tc>
          <w:tcPr>
            <w:tcW w:w="1298" w:type="dxa"/>
            <w:vMerge/>
          </w:tcPr>
          <w:p w14:paraId="21F65F33" w14:textId="77777777" w:rsidR="004E7FA9" w:rsidRPr="003B6A69" w:rsidRDefault="004E7FA9" w:rsidP="00AE6C8E">
            <w:pPr>
              <w:rPr>
                <w:rFonts w:asciiTheme="minorHAnsi" w:hAnsiTheme="minorHAnsi" w:cstheme="minorHAnsi"/>
                <w:sz w:val="18"/>
                <w:szCs w:val="18"/>
              </w:rPr>
            </w:pPr>
          </w:p>
        </w:tc>
        <w:tc>
          <w:tcPr>
            <w:tcW w:w="933" w:type="dxa"/>
            <w:vMerge/>
          </w:tcPr>
          <w:p w14:paraId="03AEEAE5" w14:textId="77777777" w:rsidR="004E7FA9" w:rsidRPr="003B6A69" w:rsidRDefault="004E7FA9" w:rsidP="00AE6C8E">
            <w:pPr>
              <w:rPr>
                <w:rFonts w:asciiTheme="minorHAnsi" w:hAnsiTheme="minorHAnsi" w:cstheme="minorHAnsi"/>
                <w:sz w:val="18"/>
                <w:szCs w:val="18"/>
              </w:rPr>
            </w:pPr>
          </w:p>
        </w:tc>
        <w:tc>
          <w:tcPr>
            <w:tcW w:w="2442" w:type="dxa"/>
            <w:gridSpan w:val="2"/>
            <w:vMerge/>
          </w:tcPr>
          <w:p w14:paraId="6876029E" w14:textId="77777777" w:rsidR="004E7FA9" w:rsidRPr="003B6A69" w:rsidRDefault="004E7FA9" w:rsidP="00AE6C8E">
            <w:pPr>
              <w:rPr>
                <w:rFonts w:asciiTheme="minorHAnsi" w:hAnsiTheme="minorHAnsi" w:cstheme="minorHAnsi"/>
                <w:sz w:val="18"/>
                <w:szCs w:val="18"/>
              </w:rPr>
            </w:pPr>
          </w:p>
        </w:tc>
        <w:tc>
          <w:tcPr>
            <w:tcW w:w="4438" w:type="dxa"/>
            <w:gridSpan w:val="2"/>
          </w:tcPr>
          <w:p w14:paraId="124F66C8"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Expected</w:t>
            </w:r>
          </w:p>
        </w:tc>
        <w:tc>
          <w:tcPr>
            <w:tcW w:w="5343" w:type="dxa"/>
            <w:gridSpan w:val="2"/>
          </w:tcPr>
          <w:p w14:paraId="0B26B20B"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Achieved</w:t>
            </w:r>
          </w:p>
        </w:tc>
      </w:tr>
      <w:tr w:rsidR="004E7FA9" w:rsidRPr="003B6A69" w14:paraId="2F67FB4E" w14:textId="77777777" w:rsidTr="00AE6C8E">
        <w:trPr>
          <w:trHeight w:val="98"/>
        </w:trPr>
        <w:tc>
          <w:tcPr>
            <w:tcW w:w="1298" w:type="dxa"/>
            <w:vMerge/>
          </w:tcPr>
          <w:p w14:paraId="32511F61" w14:textId="77777777" w:rsidR="004E7FA9" w:rsidRPr="003B6A69" w:rsidRDefault="004E7FA9" w:rsidP="00AE6C8E">
            <w:pPr>
              <w:rPr>
                <w:rFonts w:asciiTheme="minorHAnsi" w:hAnsiTheme="minorHAnsi" w:cstheme="minorHAnsi"/>
                <w:sz w:val="18"/>
                <w:szCs w:val="18"/>
              </w:rPr>
            </w:pPr>
          </w:p>
        </w:tc>
        <w:tc>
          <w:tcPr>
            <w:tcW w:w="933" w:type="dxa"/>
            <w:vMerge/>
          </w:tcPr>
          <w:p w14:paraId="6D2D985D" w14:textId="77777777" w:rsidR="004E7FA9" w:rsidRPr="003B6A69" w:rsidRDefault="004E7FA9" w:rsidP="00AE6C8E">
            <w:pPr>
              <w:rPr>
                <w:rFonts w:asciiTheme="minorHAnsi" w:hAnsiTheme="minorHAnsi" w:cstheme="minorHAnsi"/>
                <w:sz w:val="18"/>
                <w:szCs w:val="18"/>
              </w:rPr>
            </w:pPr>
          </w:p>
        </w:tc>
        <w:tc>
          <w:tcPr>
            <w:tcW w:w="2442" w:type="dxa"/>
            <w:gridSpan w:val="2"/>
            <w:vMerge/>
          </w:tcPr>
          <w:p w14:paraId="093B169C" w14:textId="77777777" w:rsidR="004E7FA9" w:rsidRPr="003B6A69" w:rsidRDefault="004E7FA9" w:rsidP="00AE6C8E">
            <w:pPr>
              <w:rPr>
                <w:rFonts w:asciiTheme="minorHAnsi" w:hAnsiTheme="minorHAnsi" w:cstheme="minorHAnsi"/>
                <w:sz w:val="18"/>
                <w:szCs w:val="18"/>
              </w:rPr>
            </w:pPr>
          </w:p>
        </w:tc>
        <w:tc>
          <w:tcPr>
            <w:tcW w:w="1712" w:type="dxa"/>
          </w:tcPr>
          <w:p w14:paraId="3ADF04A9"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PIF stage</w:t>
            </w:r>
          </w:p>
        </w:tc>
        <w:tc>
          <w:tcPr>
            <w:tcW w:w="2726" w:type="dxa"/>
          </w:tcPr>
          <w:p w14:paraId="18C2A4C2"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Endorsement</w:t>
            </w:r>
          </w:p>
        </w:tc>
        <w:tc>
          <w:tcPr>
            <w:tcW w:w="1985" w:type="dxa"/>
          </w:tcPr>
          <w:p w14:paraId="7E376663"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MTR</w:t>
            </w:r>
          </w:p>
        </w:tc>
        <w:tc>
          <w:tcPr>
            <w:tcW w:w="3358" w:type="dxa"/>
          </w:tcPr>
          <w:p w14:paraId="2E5FE1D9"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TE</w:t>
            </w:r>
          </w:p>
        </w:tc>
      </w:tr>
      <w:tr w:rsidR="004E7FA9" w:rsidRPr="003B6A69" w14:paraId="487256B7" w14:textId="77777777" w:rsidTr="00AE6C8E">
        <w:tc>
          <w:tcPr>
            <w:tcW w:w="1298" w:type="dxa"/>
          </w:tcPr>
          <w:p w14:paraId="43209F06" w14:textId="77777777" w:rsidR="004E7FA9" w:rsidRPr="003B6A69" w:rsidRDefault="004E7FA9" w:rsidP="00AE6C8E">
            <w:pPr>
              <w:jc w:val="right"/>
              <w:rPr>
                <w:rFonts w:asciiTheme="minorHAnsi" w:hAnsiTheme="minorHAnsi" w:cstheme="minorHAnsi"/>
                <w:sz w:val="18"/>
                <w:szCs w:val="18"/>
              </w:rPr>
            </w:pPr>
          </w:p>
        </w:tc>
        <w:tc>
          <w:tcPr>
            <w:tcW w:w="933" w:type="dxa"/>
          </w:tcPr>
          <w:p w14:paraId="55819227" w14:textId="77777777" w:rsidR="004E7FA9" w:rsidRPr="003B6A69" w:rsidRDefault="004E7FA9" w:rsidP="00AE6C8E">
            <w:pPr>
              <w:jc w:val="right"/>
              <w:rPr>
                <w:rFonts w:asciiTheme="minorHAnsi" w:hAnsiTheme="minorHAnsi" w:cstheme="minorHAnsi"/>
                <w:sz w:val="18"/>
                <w:szCs w:val="18"/>
              </w:rPr>
            </w:pPr>
          </w:p>
        </w:tc>
        <w:tc>
          <w:tcPr>
            <w:tcW w:w="2442" w:type="dxa"/>
            <w:gridSpan w:val="2"/>
          </w:tcPr>
          <w:p w14:paraId="66D0CE5D" w14:textId="77777777" w:rsidR="004E7FA9" w:rsidRPr="003B6A69" w:rsidRDefault="004E7FA9" w:rsidP="00AE6C8E">
            <w:pPr>
              <w:jc w:val="right"/>
              <w:rPr>
                <w:rFonts w:asciiTheme="minorHAnsi" w:hAnsiTheme="minorHAnsi" w:cstheme="minorHAnsi"/>
                <w:sz w:val="18"/>
                <w:szCs w:val="18"/>
              </w:rPr>
            </w:pPr>
          </w:p>
        </w:tc>
        <w:tc>
          <w:tcPr>
            <w:tcW w:w="1712" w:type="dxa"/>
          </w:tcPr>
          <w:p w14:paraId="7389AAB6"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2726" w:type="dxa"/>
          </w:tcPr>
          <w:p w14:paraId="0366FBA9"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1985" w:type="dxa"/>
          </w:tcPr>
          <w:p w14:paraId="20D13978"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3358" w:type="dxa"/>
          </w:tcPr>
          <w:p w14:paraId="1596777B"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r>
      <w:tr w:rsidR="004E7FA9" w:rsidRPr="003B6A69" w14:paraId="279DC099" w14:textId="77777777" w:rsidTr="00AE6C8E">
        <w:tc>
          <w:tcPr>
            <w:tcW w:w="1298" w:type="dxa"/>
          </w:tcPr>
          <w:p w14:paraId="65758AB0" w14:textId="77777777" w:rsidR="004E7FA9" w:rsidRPr="003B6A69" w:rsidRDefault="004E7FA9" w:rsidP="00AE6C8E">
            <w:pPr>
              <w:jc w:val="right"/>
              <w:rPr>
                <w:rFonts w:asciiTheme="minorHAnsi" w:hAnsiTheme="minorHAnsi" w:cstheme="minorHAnsi"/>
                <w:sz w:val="18"/>
                <w:szCs w:val="18"/>
              </w:rPr>
            </w:pPr>
          </w:p>
        </w:tc>
        <w:tc>
          <w:tcPr>
            <w:tcW w:w="933" w:type="dxa"/>
          </w:tcPr>
          <w:p w14:paraId="69566477" w14:textId="77777777" w:rsidR="004E7FA9" w:rsidRPr="003B6A69" w:rsidRDefault="004E7FA9" w:rsidP="00AE6C8E">
            <w:pPr>
              <w:jc w:val="right"/>
              <w:rPr>
                <w:rFonts w:asciiTheme="minorHAnsi" w:hAnsiTheme="minorHAnsi" w:cstheme="minorHAnsi"/>
                <w:sz w:val="18"/>
                <w:szCs w:val="18"/>
              </w:rPr>
            </w:pPr>
          </w:p>
        </w:tc>
        <w:tc>
          <w:tcPr>
            <w:tcW w:w="2442" w:type="dxa"/>
            <w:gridSpan w:val="2"/>
          </w:tcPr>
          <w:p w14:paraId="325923F7" w14:textId="77777777" w:rsidR="004E7FA9" w:rsidRPr="003B6A69" w:rsidRDefault="004E7FA9" w:rsidP="00AE6C8E">
            <w:pPr>
              <w:jc w:val="right"/>
              <w:rPr>
                <w:rFonts w:asciiTheme="minorHAnsi" w:hAnsiTheme="minorHAnsi" w:cstheme="minorHAnsi"/>
                <w:sz w:val="18"/>
                <w:szCs w:val="18"/>
              </w:rPr>
            </w:pPr>
          </w:p>
        </w:tc>
        <w:tc>
          <w:tcPr>
            <w:tcW w:w="1712" w:type="dxa"/>
          </w:tcPr>
          <w:p w14:paraId="20C58270"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2726" w:type="dxa"/>
          </w:tcPr>
          <w:p w14:paraId="5429D602"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1985" w:type="dxa"/>
          </w:tcPr>
          <w:p w14:paraId="6403E3F7"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3358" w:type="dxa"/>
          </w:tcPr>
          <w:p w14:paraId="044D6163"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r>
      <w:tr w:rsidR="004E7FA9" w:rsidRPr="003B6A69" w14:paraId="0C99292C" w14:textId="77777777" w:rsidTr="00AE6C8E">
        <w:tc>
          <w:tcPr>
            <w:tcW w:w="1298" w:type="dxa"/>
            <w:shd w:val="clear" w:color="auto" w:fill="BFBFBF" w:themeFill="background1" w:themeFillShade="BF"/>
          </w:tcPr>
          <w:p w14:paraId="69F278CF" w14:textId="77777777" w:rsidR="004E7FA9" w:rsidRPr="003B6A69" w:rsidRDefault="004E7FA9" w:rsidP="00AE6C8E">
            <w:pPr>
              <w:rPr>
                <w:rFonts w:asciiTheme="minorHAnsi" w:hAnsiTheme="minorHAnsi" w:cstheme="minorHAnsi"/>
                <w:sz w:val="18"/>
                <w:szCs w:val="18"/>
              </w:rPr>
            </w:pPr>
            <w:r w:rsidRPr="003B6A69">
              <w:rPr>
                <w:rFonts w:asciiTheme="minorHAnsi" w:hAnsiTheme="minorHAnsi" w:cstheme="minorHAnsi"/>
                <w:sz w:val="18"/>
                <w:szCs w:val="18"/>
              </w:rPr>
              <w:t>Indicator 6.4</w:t>
            </w:r>
          </w:p>
        </w:tc>
        <w:tc>
          <w:tcPr>
            <w:tcW w:w="9798" w:type="dxa"/>
            <w:gridSpan w:val="6"/>
            <w:shd w:val="clear" w:color="auto" w:fill="BFBFBF" w:themeFill="background1" w:themeFillShade="BF"/>
          </w:tcPr>
          <w:p w14:paraId="16118521" w14:textId="77777777" w:rsidR="004E7FA9" w:rsidRPr="003B6A69" w:rsidRDefault="004E7FA9" w:rsidP="00AE6C8E">
            <w:pPr>
              <w:rPr>
                <w:rFonts w:asciiTheme="minorHAnsi" w:hAnsiTheme="minorHAnsi" w:cstheme="minorHAnsi"/>
                <w:sz w:val="18"/>
                <w:szCs w:val="18"/>
              </w:rPr>
            </w:pPr>
            <w:r w:rsidRPr="003B6A69">
              <w:rPr>
                <w:rFonts w:asciiTheme="minorHAnsi" w:hAnsiTheme="minorHAnsi" w:cstheme="minorHAnsi"/>
                <w:sz w:val="18"/>
                <w:szCs w:val="18"/>
              </w:rPr>
              <w:t>Increase in installed renewable energy capacity per technology</w:t>
            </w:r>
          </w:p>
        </w:tc>
        <w:tc>
          <w:tcPr>
            <w:tcW w:w="3358" w:type="dxa"/>
            <w:shd w:val="clear" w:color="auto" w:fill="BFBFBF" w:themeFill="background1" w:themeFillShade="BF"/>
          </w:tcPr>
          <w:p w14:paraId="392CF3FE"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r>
      <w:tr w:rsidR="004E7FA9" w:rsidRPr="003B6A69" w14:paraId="39E46EA9" w14:textId="77777777" w:rsidTr="00AE6C8E">
        <w:trPr>
          <w:trHeight w:val="125"/>
        </w:trPr>
        <w:tc>
          <w:tcPr>
            <w:tcW w:w="1298" w:type="dxa"/>
            <w:vMerge w:val="restart"/>
          </w:tcPr>
          <w:p w14:paraId="6ACD44EA" w14:textId="77777777" w:rsidR="004E7FA9" w:rsidRPr="003B6A69" w:rsidRDefault="004E7FA9" w:rsidP="00AE6C8E">
            <w:pPr>
              <w:rPr>
                <w:rFonts w:asciiTheme="minorHAnsi" w:hAnsiTheme="minorHAnsi" w:cstheme="minorHAnsi"/>
                <w:sz w:val="18"/>
                <w:szCs w:val="18"/>
              </w:rPr>
            </w:pPr>
          </w:p>
        </w:tc>
        <w:tc>
          <w:tcPr>
            <w:tcW w:w="933" w:type="dxa"/>
            <w:vMerge w:val="restart"/>
          </w:tcPr>
          <w:p w14:paraId="5FD9AD3B" w14:textId="77777777" w:rsidR="004E7FA9" w:rsidRPr="003B6A69" w:rsidRDefault="004E7FA9" w:rsidP="00AE6C8E">
            <w:pPr>
              <w:rPr>
                <w:rFonts w:asciiTheme="minorHAnsi" w:hAnsiTheme="minorHAnsi" w:cstheme="minorHAnsi"/>
                <w:sz w:val="18"/>
                <w:szCs w:val="18"/>
              </w:rPr>
            </w:pPr>
          </w:p>
        </w:tc>
        <w:tc>
          <w:tcPr>
            <w:tcW w:w="2442" w:type="dxa"/>
            <w:gridSpan w:val="2"/>
            <w:vMerge w:val="restart"/>
            <w:vAlign w:val="center"/>
          </w:tcPr>
          <w:p w14:paraId="3CD7A3C0" w14:textId="77777777" w:rsidR="004E7FA9" w:rsidRPr="003B6A69" w:rsidRDefault="004E7FA9" w:rsidP="00AE6C8E">
            <w:pPr>
              <w:rPr>
                <w:rFonts w:asciiTheme="minorHAnsi" w:hAnsiTheme="minorHAnsi" w:cstheme="minorHAnsi"/>
                <w:sz w:val="18"/>
                <w:szCs w:val="18"/>
              </w:rPr>
            </w:pPr>
            <w:r w:rsidRPr="003B6A69">
              <w:rPr>
                <w:rFonts w:asciiTheme="minorHAnsi" w:hAnsiTheme="minorHAnsi" w:cstheme="minorHAnsi"/>
                <w:sz w:val="18"/>
                <w:szCs w:val="18"/>
              </w:rPr>
              <w:t>Technology</w:t>
            </w:r>
          </w:p>
        </w:tc>
        <w:tc>
          <w:tcPr>
            <w:tcW w:w="9781" w:type="dxa"/>
            <w:gridSpan w:val="4"/>
          </w:tcPr>
          <w:p w14:paraId="37B1C522"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Capacity (MW)</w:t>
            </w:r>
          </w:p>
        </w:tc>
      </w:tr>
      <w:tr w:rsidR="004E7FA9" w:rsidRPr="003B6A69" w14:paraId="75FAFDB5" w14:textId="77777777" w:rsidTr="00AE6C8E">
        <w:trPr>
          <w:trHeight w:val="58"/>
        </w:trPr>
        <w:tc>
          <w:tcPr>
            <w:tcW w:w="1298" w:type="dxa"/>
            <w:vMerge/>
          </w:tcPr>
          <w:p w14:paraId="0B7623E9" w14:textId="77777777" w:rsidR="004E7FA9" w:rsidRPr="003B6A69" w:rsidRDefault="004E7FA9" w:rsidP="00AE6C8E">
            <w:pPr>
              <w:rPr>
                <w:rFonts w:asciiTheme="minorHAnsi" w:hAnsiTheme="minorHAnsi" w:cstheme="minorHAnsi"/>
                <w:sz w:val="18"/>
                <w:szCs w:val="18"/>
              </w:rPr>
            </w:pPr>
          </w:p>
        </w:tc>
        <w:tc>
          <w:tcPr>
            <w:tcW w:w="933" w:type="dxa"/>
            <w:vMerge/>
          </w:tcPr>
          <w:p w14:paraId="4E4C654E" w14:textId="77777777" w:rsidR="004E7FA9" w:rsidRPr="003B6A69" w:rsidRDefault="004E7FA9" w:rsidP="00AE6C8E">
            <w:pPr>
              <w:rPr>
                <w:rFonts w:asciiTheme="minorHAnsi" w:hAnsiTheme="minorHAnsi" w:cstheme="minorHAnsi"/>
                <w:sz w:val="18"/>
                <w:szCs w:val="18"/>
              </w:rPr>
            </w:pPr>
          </w:p>
        </w:tc>
        <w:tc>
          <w:tcPr>
            <w:tcW w:w="2442" w:type="dxa"/>
            <w:gridSpan w:val="2"/>
            <w:vMerge/>
          </w:tcPr>
          <w:p w14:paraId="63D73BFF" w14:textId="77777777" w:rsidR="004E7FA9" w:rsidRPr="003B6A69" w:rsidRDefault="004E7FA9" w:rsidP="00AE6C8E">
            <w:pPr>
              <w:rPr>
                <w:rFonts w:asciiTheme="minorHAnsi" w:hAnsiTheme="minorHAnsi" w:cstheme="minorHAnsi"/>
                <w:sz w:val="18"/>
                <w:szCs w:val="18"/>
              </w:rPr>
            </w:pPr>
          </w:p>
        </w:tc>
        <w:tc>
          <w:tcPr>
            <w:tcW w:w="4438" w:type="dxa"/>
            <w:gridSpan w:val="2"/>
          </w:tcPr>
          <w:p w14:paraId="53259D99"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Expected</w:t>
            </w:r>
          </w:p>
        </w:tc>
        <w:tc>
          <w:tcPr>
            <w:tcW w:w="5343" w:type="dxa"/>
            <w:gridSpan w:val="2"/>
          </w:tcPr>
          <w:p w14:paraId="651BC900"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Achieved</w:t>
            </w:r>
          </w:p>
        </w:tc>
      </w:tr>
      <w:tr w:rsidR="004E7FA9" w:rsidRPr="003B6A69" w14:paraId="7A40A6A6" w14:textId="77777777" w:rsidTr="00AE6C8E">
        <w:trPr>
          <w:trHeight w:val="89"/>
        </w:trPr>
        <w:tc>
          <w:tcPr>
            <w:tcW w:w="1298" w:type="dxa"/>
            <w:vMerge/>
          </w:tcPr>
          <w:p w14:paraId="38E3FA7F" w14:textId="77777777" w:rsidR="004E7FA9" w:rsidRPr="003B6A69" w:rsidRDefault="004E7FA9" w:rsidP="00AE6C8E">
            <w:pPr>
              <w:rPr>
                <w:rFonts w:asciiTheme="minorHAnsi" w:hAnsiTheme="minorHAnsi" w:cstheme="minorHAnsi"/>
                <w:sz w:val="18"/>
                <w:szCs w:val="18"/>
              </w:rPr>
            </w:pPr>
          </w:p>
        </w:tc>
        <w:tc>
          <w:tcPr>
            <w:tcW w:w="933" w:type="dxa"/>
            <w:vMerge/>
          </w:tcPr>
          <w:p w14:paraId="1D0DA9CA" w14:textId="77777777" w:rsidR="004E7FA9" w:rsidRPr="003B6A69" w:rsidRDefault="004E7FA9" w:rsidP="00AE6C8E">
            <w:pPr>
              <w:rPr>
                <w:rFonts w:asciiTheme="minorHAnsi" w:hAnsiTheme="minorHAnsi" w:cstheme="minorHAnsi"/>
                <w:sz w:val="18"/>
                <w:szCs w:val="18"/>
              </w:rPr>
            </w:pPr>
          </w:p>
        </w:tc>
        <w:tc>
          <w:tcPr>
            <w:tcW w:w="2442" w:type="dxa"/>
            <w:gridSpan w:val="2"/>
            <w:vMerge/>
          </w:tcPr>
          <w:p w14:paraId="30376115" w14:textId="77777777" w:rsidR="004E7FA9" w:rsidRPr="003B6A69" w:rsidRDefault="004E7FA9" w:rsidP="00AE6C8E">
            <w:pPr>
              <w:rPr>
                <w:rFonts w:asciiTheme="minorHAnsi" w:hAnsiTheme="minorHAnsi" w:cstheme="minorHAnsi"/>
                <w:sz w:val="18"/>
                <w:szCs w:val="18"/>
              </w:rPr>
            </w:pPr>
          </w:p>
        </w:tc>
        <w:tc>
          <w:tcPr>
            <w:tcW w:w="1712" w:type="dxa"/>
          </w:tcPr>
          <w:p w14:paraId="57942D08"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PIF stage</w:t>
            </w:r>
          </w:p>
        </w:tc>
        <w:tc>
          <w:tcPr>
            <w:tcW w:w="2726" w:type="dxa"/>
          </w:tcPr>
          <w:p w14:paraId="6A9073E8"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Endorsement</w:t>
            </w:r>
          </w:p>
        </w:tc>
        <w:tc>
          <w:tcPr>
            <w:tcW w:w="1985" w:type="dxa"/>
          </w:tcPr>
          <w:p w14:paraId="42BB699E"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MTR</w:t>
            </w:r>
          </w:p>
        </w:tc>
        <w:tc>
          <w:tcPr>
            <w:tcW w:w="3358" w:type="dxa"/>
          </w:tcPr>
          <w:p w14:paraId="2ACFA02D"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TE</w:t>
            </w:r>
          </w:p>
        </w:tc>
      </w:tr>
      <w:tr w:rsidR="004E7FA9" w:rsidRPr="003B6A69" w14:paraId="7FED0DEB" w14:textId="77777777" w:rsidTr="00AE6C8E">
        <w:tc>
          <w:tcPr>
            <w:tcW w:w="1298" w:type="dxa"/>
          </w:tcPr>
          <w:p w14:paraId="1D463960" w14:textId="77777777" w:rsidR="004E7FA9" w:rsidRPr="003B6A69" w:rsidRDefault="004E7FA9" w:rsidP="00AE6C8E">
            <w:pPr>
              <w:jc w:val="right"/>
              <w:rPr>
                <w:rFonts w:asciiTheme="minorHAnsi" w:hAnsiTheme="minorHAnsi" w:cstheme="minorHAnsi"/>
                <w:sz w:val="18"/>
                <w:szCs w:val="18"/>
              </w:rPr>
            </w:pPr>
          </w:p>
        </w:tc>
        <w:tc>
          <w:tcPr>
            <w:tcW w:w="933" w:type="dxa"/>
          </w:tcPr>
          <w:p w14:paraId="2A13D026" w14:textId="77777777" w:rsidR="004E7FA9" w:rsidRPr="003B6A69" w:rsidRDefault="004E7FA9" w:rsidP="00AE6C8E">
            <w:pPr>
              <w:jc w:val="right"/>
              <w:rPr>
                <w:rFonts w:asciiTheme="minorHAnsi" w:hAnsiTheme="minorHAnsi" w:cstheme="minorHAnsi"/>
                <w:sz w:val="18"/>
                <w:szCs w:val="18"/>
              </w:rPr>
            </w:pPr>
          </w:p>
        </w:tc>
        <w:tc>
          <w:tcPr>
            <w:tcW w:w="2442" w:type="dxa"/>
            <w:gridSpan w:val="2"/>
          </w:tcPr>
          <w:p w14:paraId="55250517"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color w:val="000000"/>
                <w:sz w:val="18"/>
                <w:szCs w:val="18"/>
              </w:rPr>
              <w:fldChar w:fldCharType="begin">
                <w:ffData>
                  <w:name w:val=""/>
                  <w:enabled/>
                  <w:calcOnExit w:val="0"/>
                  <w:ddList>
                    <w:listEntry w:val="(select)"/>
                    <w:listEntry w:val="Biomass"/>
                    <w:listEntry w:val="Geothermal"/>
                    <w:listEntry w:val="Ocean energy"/>
                    <w:listEntry w:val="Small Hydropower"/>
                    <w:listEntry w:val="Solar Photovoltaic"/>
                    <w:listEntry w:val="Solar Thermal"/>
                    <w:listEntry w:val="Wind Power"/>
                    <w:listEntry w:val="Energy Storage"/>
                  </w:ddList>
                </w:ffData>
              </w:fldChar>
            </w:r>
            <w:r w:rsidRPr="003B6A69">
              <w:rPr>
                <w:rFonts w:asciiTheme="minorHAnsi" w:hAnsiTheme="minorHAnsi" w:cstheme="minorHAnsi"/>
                <w:color w:val="000000"/>
                <w:sz w:val="18"/>
                <w:szCs w:val="18"/>
              </w:rPr>
              <w:instrText xml:space="preserve"> FORMDROPDOWN </w:instrText>
            </w:r>
            <w:r w:rsidR="00127DDC">
              <w:rPr>
                <w:rFonts w:asciiTheme="minorHAnsi" w:hAnsiTheme="minorHAnsi" w:cstheme="minorHAnsi"/>
                <w:color w:val="000000"/>
                <w:sz w:val="18"/>
                <w:szCs w:val="18"/>
              </w:rPr>
            </w:r>
            <w:r w:rsidR="00127DDC">
              <w:rPr>
                <w:rFonts w:asciiTheme="minorHAnsi" w:hAnsiTheme="minorHAnsi" w:cstheme="minorHAnsi"/>
                <w:color w:val="000000"/>
                <w:sz w:val="18"/>
                <w:szCs w:val="18"/>
              </w:rPr>
              <w:fldChar w:fldCharType="separate"/>
            </w:r>
            <w:r w:rsidRPr="003B6A69">
              <w:rPr>
                <w:rFonts w:asciiTheme="minorHAnsi" w:hAnsiTheme="minorHAnsi" w:cstheme="minorHAnsi"/>
                <w:color w:val="000000"/>
                <w:sz w:val="18"/>
                <w:szCs w:val="18"/>
              </w:rPr>
              <w:fldChar w:fldCharType="end"/>
            </w:r>
            <w:r w:rsidRPr="003B6A69">
              <w:rPr>
                <w:rFonts w:asciiTheme="minorHAnsi" w:hAnsiTheme="minorHAnsi" w:cstheme="minorHAnsi"/>
                <w:color w:val="000000"/>
                <w:sz w:val="18"/>
                <w:szCs w:val="18"/>
              </w:rPr>
              <w:t xml:space="preserve"> </w:t>
            </w:r>
          </w:p>
        </w:tc>
        <w:tc>
          <w:tcPr>
            <w:tcW w:w="1712" w:type="dxa"/>
          </w:tcPr>
          <w:p w14:paraId="0841218B"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2726" w:type="dxa"/>
          </w:tcPr>
          <w:p w14:paraId="45B09156"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1985" w:type="dxa"/>
          </w:tcPr>
          <w:p w14:paraId="21C460CB"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3358" w:type="dxa"/>
          </w:tcPr>
          <w:p w14:paraId="05C20957"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r>
      <w:tr w:rsidR="004E7FA9" w:rsidRPr="003B6A69" w14:paraId="297D9FB1" w14:textId="77777777" w:rsidTr="00AE6C8E">
        <w:tc>
          <w:tcPr>
            <w:tcW w:w="1298" w:type="dxa"/>
          </w:tcPr>
          <w:p w14:paraId="443BDCDE" w14:textId="77777777" w:rsidR="004E7FA9" w:rsidRPr="003B6A69" w:rsidRDefault="004E7FA9" w:rsidP="00AE6C8E">
            <w:pPr>
              <w:jc w:val="right"/>
              <w:rPr>
                <w:rFonts w:asciiTheme="minorHAnsi" w:hAnsiTheme="minorHAnsi" w:cstheme="minorHAnsi"/>
                <w:sz w:val="18"/>
                <w:szCs w:val="18"/>
              </w:rPr>
            </w:pPr>
          </w:p>
        </w:tc>
        <w:tc>
          <w:tcPr>
            <w:tcW w:w="933" w:type="dxa"/>
          </w:tcPr>
          <w:p w14:paraId="47950B16" w14:textId="77777777" w:rsidR="004E7FA9" w:rsidRPr="003B6A69" w:rsidRDefault="004E7FA9" w:rsidP="00AE6C8E">
            <w:pPr>
              <w:jc w:val="right"/>
              <w:rPr>
                <w:rFonts w:asciiTheme="minorHAnsi" w:hAnsiTheme="minorHAnsi" w:cstheme="minorHAnsi"/>
                <w:sz w:val="18"/>
                <w:szCs w:val="18"/>
              </w:rPr>
            </w:pPr>
          </w:p>
        </w:tc>
        <w:tc>
          <w:tcPr>
            <w:tcW w:w="2442" w:type="dxa"/>
            <w:gridSpan w:val="2"/>
          </w:tcPr>
          <w:p w14:paraId="3BD72E0C"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color w:val="000000"/>
                <w:sz w:val="18"/>
                <w:szCs w:val="18"/>
              </w:rPr>
              <w:fldChar w:fldCharType="begin">
                <w:ffData>
                  <w:name w:val=""/>
                  <w:enabled/>
                  <w:calcOnExit w:val="0"/>
                  <w:ddList>
                    <w:listEntry w:val="(select)"/>
                    <w:listEntry w:val="Biomass"/>
                    <w:listEntry w:val="Geothermal"/>
                    <w:listEntry w:val="Ocean energy"/>
                    <w:listEntry w:val="Small Hydropower"/>
                    <w:listEntry w:val="Solar Photovoltaic"/>
                    <w:listEntry w:val="Solar Thermal"/>
                    <w:listEntry w:val="Wind Power"/>
                    <w:listEntry w:val="Energy Storage"/>
                  </w:ddList>
                </w:ffData>
              </w:fldChar>
            </w:r>
            <w:r w:rsidRPr="003B6A69">
              <w:rPr>
                <w:rFonts w:asciiTheme="minorHAnsi" w:hAnsiTheme="minorHAnsi" w:cstheme="minorHAnsi"/>
                <w:color w:val="000000"/>
                <w:sz w:val="18"/>
                <w:szCs w:val="18"/>
              </w:rPr>
              <w:instrText xml:space="preserve"> FORMDROPDOWN </w:instrText>
            </w:r>
            <w:r w:rsidR="00127DDC">
              <w:rPr>
                <w:rFonts w:asciiTheme="minorHAnsi" w:hAnsiTheme="minorHAnsi" w:cstheme="minorHAnsi"/>
                <w:color w:val="000000"/>
                <w:sz w:val="18"/>
                <w:szCs w:val="18"/>
              </w:rPr>
            </w:r>
            <w:r w:rsidR="00127DDC">
              <w:rPr>
                <w:rFonts w:asciiTheme="minorHAnsi" w:hAnsiTheme="minorHAnsi" w:cstheme="minorHAnsi"/>
                <w:color w:val="000000"/>
                <w:sz w:val="18"/>
                <w:szCs w:val="18"/>
              </w:rPr>
              <w:fldChar w:fldCharType="separate"/>
            </w:r>
            <w:r w:rsidRPr="003B6A69">
              <w:rPr>
                <w:rFonts w:asciiTheme="minorHAnsi" w:hAnsiTheme="minorHAnsi" w:cstheme="minorHAnsi"/>
                <w:color w:val="000000"/>
                <w:sz w:val="18"/>
                <w:szCs w:val="18"/>
              </w:rPr>
              <w:fldChar w:fldCharType="end"/>
            </w:r>
          </w:p>
        </w:tc>
        <w:tc>
          <w:tcPr>
            <w:tcW w:w="1712" w:type="dxa"/>
          </w:tcPr>
          <w:p w14:paraId="490E6125"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2726" w:type="dxa"/>
          </w:tcPr>
          <w:p w14:paraId="47B199AA"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1985" w:type="dxa"/>
          </w:tcPr>
          <w:p w14:paraId="0360E4B4"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3358" w:type="dxa"/>
          </w:tcPr>
          <w:p w14:paraId="37328DFB"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r>
      <w:tr w:rsidR="004E7FA9" w:rsidRPr="003B6A69" w14:paraId="008C0729" w14:textId="77777777" w:rsidTr="00AE6C8E">
        <w:tc>
          <w:tcPr>
            <w:tcW w:w="1298" w:type="dxa"/>
            <w:shd w:val="clear" w:color="auto" w:fill="D9D9D9" w:themeFill="background1" w:themeFillShade="D9"/>
          </w:tcPr>
          <w:p w14:paraId="5364040B" w14:textId="77777777" w:rsidR="004E7FA9" w:rsidRPr="003B6A69" w:rsidRDefault="004E7FA9" w:rsidP="00AE6C8E">
            <w:pPr>
              <w:rPr>
                <w:rFonts w:asciiTheme="minorHAnsi" w:hAnsiTheme="minorHAnsi" w:cstheme="minorHAnsi"/>
                <w:b/>
                <w:sz w:val="18"/>
                <w:szCs w:val="18"/>
              </w:rPr>
            </w:pPr>
            <w:r w:rsidRPr="003B6A69">
              <w:rPr>
                <w:rFonts w:asciiTheme="minorHAnsi" w:hAnsiTheme="minorHAnsi" w:cstheme="minorHAnsi"/>
                <w:b/>
                <w:sz w:val="18"/>
                <w:szCs w:val="18"/>
              </w:rPr>
              <w:t>Core Indicator 7</w:t>
            </w:r>
          </w:p>
        </w:tc>
        <w:tc>
          <w:tcPr>
            <w:tcW w:w="9798" w:type="dxa"/>
            <w:gridSpan w:val="6"/>
            <w:shd w:val="clear" w:color="auto" w:fill="D9D9D9" w:themeFill="background1" w:themeFillShade="D9"/>
          </w:tcPr>
          <w:p w14:paraId="3EFC036C" w14:textId="77777777" w:rsidR="004E7FA9" w:rsidRPr="003B6A69" w:rsidRDefault="004E7FA9" w:rsidP="00AE6C8E">
            <w:pPr>
              <w:rPr>
                <w:rFonts w:asciiTheme="minorHAnsi" w:hAnsiTheme="minorHAnsi" w:cstheme="minorHAnsi"/>
                <w:b/>
                <w:sz w:val="18"/>
                <w:szCs w:val="18"/>
              </w:rPr>
            </w:pPr>
            <w:r w:rsidRPr="003B6A69">
              <w:rPr>
                <w:rFonts w:asciiTheme="minorHAnsi" w:hAnsiTheme="minorHAnsi" w:cstheme="minorHAnsi"/>
                <w:b/>
                <w:sz w:val="18"/>
                <w:szCs w:val="18"/>
              </w:rPr>
              <w:t>Number of shared water ecosystems (fresh or marine) under new or improved cooperative management</w:t>
            </w:r>
          </w:p>
        </w:tc>
        <w:tc>
          <w:tcPr>
            <w:tcW w:w="3358" w:type="dxa"/>
            <w:shd w:val="clear" w:color="auto" w:fill="D9D9D9" w:themeFill="background1" w:themeFillShade="D9"/>
          </w:tcPr>
          <w:p w14:paraId="651C0F83" w14:textId="77777777" w:rsidR="004E7FA9" w:rsidRPr="003B6A69" w:rsidRDefault="004E7FA9" w:rsidP="00AE6C8E">
            <w:pPr>
              <w:jc w:val="right"/>
              <w:rPr>
                <w:rFonts w:asciiTheme="minorHAnsi" w:hAnsiTheme="minorHAnsi" w:cstheme="minorHAnsi"/>
                <w:b/>
                <w:sz w:val="18"/>
                <w:szCs w:val="18"/>
              </w:rPr>
            </w:pPr>
            <w:r w:rsidRPr="003B6A69">
              <w:rPr>
                <w:rFonts w:asciiTheme="minorHAnsi" w:hAnsiTheme="minorHAnsi" w:cstheme="minorHAnsi"/>
                <w:b/>
                <w:i/>
                <w:color w:val="000000"/>
                <w:sz w:val="18"/>
                <w:szCs w:val="18"/>
              </w:rPr>
              <w:fldChar w:fldCharType="begin">
                <w:ffData>
                  <w:name w:val=""/>
                  <w:enabled/>
                  <w:calcOnExit w:val="0"/>
                  <w:textInput>
                    <w:default w:val="(Number)"/>
                  </w:textInput>
                </w:ffData>
              </w:fldChar>
            </w:r>
            <w:r w:rsidRPr="003B6A69">
              <w:rPr>
                <w:rFonts w:asciiTheme="minorHAnsi" w:hAnsiTheme="minorHAnsi" w:cstheme="minorHAnsi"/>
                <w:b/>
                <w:i/>
                <w:color w:val="000000"/>
                <w:sz w:val="18"/>
                <w:szCs w:val="18"/>
              </w:rPr>
              <w:instrText xml:space="preserve"> FORMTEXT </w:instrText>
            </w:r>
            <w:r w:rsidRPr="003B6A69">
              <w:rPr>
                <w:rFonts w:asciiTheme="minorHAnsi" w:hAnsiTheme="minorHAnsi" w:cstheme="minorHAnsi"/>
                <w:b/>
                <w:i/>
                <w:color w:val="000000"/>
                <w:sz w:val="18"/>
                <w:szCs w:val="18"/>
              </w:rPr>
            </w:r>
            <w:r w:rsidRPr="003B6A69">
              <w:rPr>
                <w:rFonts w:asciiTheme="minorHAnsi" w:hAnsiTheme="minorHAnsi" w:cstheme="minorHAnsi"/>
                <w:b/>
                <w:i/>
                <w:color w:val="000000"/>
                <w:sz w:val="18"/>
                <w:szCs w:val="18"/>
              </w:rPr>
              <w:fldChar w:fldCharType="separate"/>
            </w:r>
            <w:r w:rsidRPr="003B6A69">
              <w:rPr>
                <w:rFonts w:asciiTheme="minorHAnsi" w:hAnsiTheme="minorHAnsi" w:cstheme="minorHAnsi"/>
                <w:b/>
                <w:i/>
                <w:noProof/>
                <w:color w:val="000000"/>
                <w:sz w:val="18"/>
                <w:szCs w:val="18"/>
              </w:rPr>
              <w:t>(Number)</w:t>
            </w:r>
            <w:r w:rsidRPr="003B6A69">
              <w:rPr>
                <w:rFonts w:asciiTheme="minorHAnsi" w:hAnsiTheme="minorHAnsi" w:cstheme="minorHAnsi"/>
                <w:b/>
                <w:i/>
                <w:color w:val="000000"/>
                <w:sz w:val="18"/>
                <w:szCs w:val="18"/>
              </w:rPr>
              <w:fldChar w:fldCharType="end"/>
            </w:r>
          </w:p>
        </w:tc>
      </w:tr>
      <w:tr w:rsidR="004E7FA9" w:rsidRPr="003B6A69" w14:paraId="414F1462" w14:textId="77777777" w:rsidTr="00AE6C8E">
        <w:tc>
          <w:tcPr>
            <w:tcW w:w="1298" w:type="dxa"/>
            <w:shd w:val="clear" w:color="auto" w:fill="BFBFBF" w:themeFill="background1" w:themeFillShade="BF"/>
          </w:tcPr>
          <w:p w14:paraId="16FB58F5" w14:textId="77777777" w:rsidR="004E7FA9" w:rsidRPr="003B6A69" w:rsidRDefault="004E7FA9" w:rsidP="00AE6C8E">
            <w:pPr>
              <w:rPr>
                <w:rFonts w:asciiTheme="minorHAnsi" w:hAnsiTheme="minorHAnsi" w:cstheme="minorHAnsi"/>
                <w:sz w:val="18"/>
                <w:szCs w:val="18"/>
              </w:rPr>
            </w:pPr>
            <w:r w:rsidRPr="003B6A69">
              <w:rPr>
                <w:rFonts w:asciiTheme="minorHAnsi" w:hAnsiTheme="minorHAnsi" w:cstheme="minorHAnsi"/>
                <w:sz w:val="18"/>
                <w:szCs w:val="18"/>
              </w:rPr>
              <w:t>Indicator 7.1</w:t>
            </w:r>
          </w:p>
        </w:tc>
        <w:tc>
          <w:tcPr>
            <w:tcW w:w="9798" w:type="dxa"/>
            <w:gridSpan w:val="6"/>
            <w:shd w:val="clear" w:color="auto" w:fill="BFBFBF" w:themeFill="background1" w:themeFillShade="BF"/>
          </w:tcPr>
          <w:p w14:paraId="43907729" w14:textId="77777777" w:rsidR="004E7FA9" w:rsidRPr="003B6A69" w:rsidRDefault="004E7FA9" w:rsidP="00AE6C8E">
            <w:pPr>
              <w:rPr>
                <w:rFonts w:asciiTheme="minorHAnsi" w:hAnsiTheme="minorHAnsi" w:cstheme="minorHAnsi"/>
                <w:sz w:val="18"/>
                <w:szCs w:val="18"/>
              </w:rPr>
            </w:pPr>
            <w:r w:rsidRPr="003B6A69">
              <w:rPr>
                <w:rFonts w:asciiTheme="minorHAnsi" w:hAnsiTheme="minorHAnsi" w:cstheme="minorHAnsi"/>
                <w:sz w:val="18"/>
                <w:szCs w:val="18"/>
              </w:rPr>
              <w:t>Level of Transboundary Diagnostic Analysis and Strategic Action Program (TDA/SAP) formulation and implementation</w:t>
            </w:r>
          </w:p>
        </w:tc>
        <w:tc>
          <w:tcPr>
            <w:tcW w:w="3358" w:type="dxa"/>
            <w:shd w:val="clear" w:color="auto" w:fill="BFBFBF" w:themeFill="background1" w:themeFillShade="BF"/>
          </w:tcPr>
          <w:p w14:paraId="1838422A"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r>
      <w:tr w:rsidR="004E7FA9" w:rsidRPr="003B6A69" w14:paraId="7950BB86" w14:textId="77777777" w:rsidTr="00AE6C8E">
        <w:trPr>
          <w:trHeight w:val="233"/>
        </w:trPr>
        <w:tc>
          <w:tcPr>
            <w:tcW w:w="1298" w:type="dxa"/>
            <w:vMerge w:val="restart"/>
          </w:tcPr>
          <w:p w14:paraId="11CDC640" w14:textId="77777777" w:rsidR="004E7FA9" w:rsidRPr="003B6A69" w:rsidRDefault="004E7FA9" w:rsidP="00AE6C8E">
            <w:pPr>
              <w:rPr>
                <w:rFonts w:asciiTheme="minorHAnsi" w:hAnsiTheme="minorHAnsi" w:cstheme="minorHAnsi"/>
                <w:sz w:val="18"/>
                <w:szCs w:val="18"/>
              </w:rPr>
            </w:pPr>
          </w:p>
        </w:tc>
        <w:tc>
          <w:tcPr>
            <w:tcW w:w="933" w:type="dxa"/>
            <w:vMerge w:val="restart"/>
          </w:tcPr>
          <w:p w14:paraId="1E3B4624" w14:textId="77777777" w:rsidR="004E7FA9" w:rsidRPr="003B6A69" w:rsidRDefault="004E7FA9" w:rsidP="00AE6C8E">
            <w:pPr>
              <w:rPr>
                <w:rFonts w:asciiTheme="minorHAnsi" w:hAnsiTheme="minorHAnsi" w:cstheme="minorHAnsi"/>
                <w:sz w:val="18"/>
                <w:szCs w:val="18"/>
              </w:rPr>
            </w:pPr>
          </w:p>
        </w:tc>
        <w:tc>
          <w:tcPr>
            <w:tcW w:w="2442" w:type="dxa"/>
            <w:gridSpan w:val="2"/>
            <w:vMerge w:val="restart"/>
          </w:tcPr>
          <w:p w14:paraId="62FE9217" w14:textId="77777777" w:rsidR="004E7FA9" w:rsidRPr="003B6A69" w:rsidRDefault="004E7FA9" w:rsidP="00AE6C8E">
            <w:pPr>
              <w:rPr>
                <w:rFonts w:asciiTheme="minorHAnsi" w:hAnsiTheme="minorHAnsi" w:cstheme="minorHAnsi"/>
                <w:sz w:val="18"/>
                <w:szCs w:val="18"/>
              </w:rPr>
            </w:pPr>
            <w:r w:rsidRPr="003B6A69">
              <w:rPr>
                <w:rFonts w:asciiTheme="minorHAnsi" w:hAnsiTheme="minorHAnsi" w:cstheme="minorHAnsi"/>
                <w:sz w:val="18"/>
                <w:szCs w:val="18"/>
              </w:rPr>
              <w:t>Shared water ecosystem</w:t>
            </w:r>
          </w:p>
        </w:tc>
        <w:tc>
          <w:tcPr>
            <w:tcW w:w="9781" w:type="dxa"/>
            <w:gridSpan w:val="4"/>
          </w:tcPr>
          <w:p w14:paraId="5B377357"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Rating (scale 1-4)</w:t>
            </w:r>
          </w:p>
        </w:tc>
      </w:tr>
      <w:tr w:rsidR="004E7FA9" w:rsidRPr="003B6A69" w14:paraId="056AA08A" w14:textId="77777777" w:rsidTr="00AE6C8E">
        <w:trPr>
          <w:trHeight w:val="197"/>
        </w:trPr>
        <w:tc>
          <w:tcPr>
            <w:tcW w:w="1298" w:type="dxa"/>
            <w:vMerge/>
          </w:tcPr>
          <w:p w14:paraId="29370B9A" w14:textId="77777777" w:rsidR="004E7FA9" w:rsidRPr="003B6A69" w:rsidRDefault="004E7FA9" w:rsidP="00AE6C8E">
            <w:pPr>
              <w:rPr>
                <w:rFonts w:asciiTheme="minorHAnsi" w:hAnsiTheme="minorHAnsi" w:cstheme="minorHAnsi"/>
                <w:sz w:val="18"/>
                <w:szCs w:val="18"/>
              </w:rPr>
            </w:pPr>
          </w:p>
        </w:tc>
        <w:tc>
          <w:tcPr>
            <w:tcW w:w="933" w:type="dxa"/>
            <w:vMerge/>
          </w:tcPr>
          <w:p w14:paraId="3FC4D99A" w14:textId="77777777" w:rsidR="004E7FA9" w:rsidRPr="003B6A69" w:rsidRDefault="004E7FA9" w:rsidP="00AE6C8E">
            <w:pPr>
              <w:rPr>
                <w:rFonts w:asciiTheme="minorHAnsi" w:hAnsiTheme="minorHAnsi" w:cstheme="minorHAnsi"/>
                <w:sz w:val="18"/>
                <w:szCs w:val="18"/>
              </w:rPr>
            </w:pPr>
          </w:p>
        </w:tc>
        <w:tc>
          <w:tcPr>
            <w:tcW w:w="2442" w:type="dxa"/>
            <w:gridSpan w:val="2"/>
            <w:vMerge/>
          </w:tcPr>
          <w:p w14:paraId="7DDCCDCC" w14:textId="77777777" w:rsidR="004E7FA9" w:rsidRPr="003B6A69" w:rsidRDefault="004E7FA9" w:rsidP="00AE6C8E">
            <w:pPr>
              <w:rPr>
                <w:rFonts w:asciiTheme="minorHAnsi" w:hAnsiTheme="minorHAnsi" w:cstheme="minorHAnsi"/>
                <w:sz w:val="18"/>
                <w:szCs w:val="18"/>
              </w:rPr>
            </w:pPr>
          </w:p>
        </w:tc>
        <w:tc>
          <w:tcPr>
            <w:tcW w:w="1712" w:type="dxa"/>
          </w:tcPr>
          <w:p w14:paraId="1ACFF7AF"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PIF stage</w:t>
            </w:r>
          </w:p>
        </w:tc>
        <w:tc>
          <w:tcPr>
            <w:tcW w:w="2726" w:type="dxa"/>
          </w:tcPr>
          <w:p w14:paraId="375DAFB2"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Endorsement</w:t>
            </w:r>
          </w:p>
        </w:tc>
        <w:tc>
          <w:tcPr>
            <w:tcW w:w="1985" w:type="dxa"/>
          </w:tcPr>
          <w:p w14:paraId="2029FF35"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MTR</w:t>
            </w:r>
          </w:p>
        </w:tc>
        <w:tc>
          <w:tcPr>
            <w:tcW w:w="3358" w:type="dxa"/>
          </w:tcPr>
          <w:p w14:paraId="063048EF"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TE</w:t>
            </w:r>
          </w:p>
        </w:tc>
      </w:tr>
      <w:tr w:rsidR="004E7FA9" w:rsidRPr="003B6A69" w14:paraId="204E2A98" w14:textId="77777777" w:rsidTr="00AE6C8E">
        <w:tc>
          <w:tcPr>
            <w:tcW w:w="1298" w:type="dxa"/>
          </w:tcPr>
          <w:p w14:paraId="669D8BF2" w14:textId="77777777" w:rsidR="004E7FA9" w:rsidRPr="003B6A69" w:rsidRDefault="004E7FA9" w:rsidP="00AE6C8E">
            <w:pPr>
              <w:jc w:val="right"/>
              <w:rPr>
                <w:rFonts w:asciiTheme="minorHAnsi" w:hAnsiTheme="minorHAnsi" w:cstheme="minorHAnsi"/>
                <w:sz w:val="18"/>
                <w:szCs w:val="18"/>
              </w:rPr>
            </w:pPr>
          </w:p>
        </w:tc>
        <w:tc>
          <w:tcPr>
            <w:tcW w:w="933" w:type="dxa"/>
          </w:tcPr>
          <w:p w14:paraId="450EBD7F" w14:textId="77777777" w:rsidR="004E7FA9" w:rsidRPr="003B6A69" w:rsidRDefault="004E7FA9" w:rsidP="00AE6C8E">
            <w:pPr>
              <w:jc w:val="right"/>
              <w:rPr>
                <w:rFonts w:asciiTheme="minorHAnsi" w:hAnsiTheme="minorHAnsi" w:cstheme="minorHAnsi"/>
                <w:sz w:val="18"/>
                <w:szCs w:val="18"/>
              </w:rPr>
            </w:pPr>
          </w:p>
        </w:tc>
        <w:tc>
          <w:tcPr>
            <w:tcW w:w="2442" w:type="dxa"/>
            <w:gridSpan w:val="2"/>
          </w:tcPr>
          <w:p w14:paraId="61889145"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1712" w:type="dxa"/>
          </w:tcPr>
          <w:p w14:paraId="4F39DFA1"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2726" w:type="dxa"/>
          </w:tcPr>
          <w:p w14:paraId="7A44FBFA"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1985" w:type="dxa"/>
          </w:tcPr>
          <w:p w14:paraId="43839384"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3358" w:type="dxa"/>
          </w:tcPr>
          <w:p w14:paraId="29BF05CC"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r>
      <w:tr w:rsidR="004E7FA9" w:rsidRPr="003B6A69" w14:paraId="12B1AD15" w14:textId="77777777" w:rsidTr="00AE6C8E">
        <w:tc>
          <w:tcPr>
            <w:tcW w:w="1298" w:type="dxa"/>
          </w:tcPr>
          <w:p w14:paraId="71C4C7A2" w14:textId="77777777" w:rsidR="004E7FA9" w:rsidRPr="003B6A69" w:rsidRDefault="004E7FA9" w:rsidP="00AE6C8E">
            <w:pPr>
              <w:jc w:val="right"/>
              <w:rPr>
                <w:rFonts w:asciiTheme="minorHAnsi" w:hAnsiTheme="minorHAnsi" w:cstheme="minorHAnsi"/>
                <w:sz w:val="18"/>
                <w:szCs w:val="18"/>
              </w:rPr>
            </w:pPr>
          </w:p>
        </w:tc>
        <w:tc>
          <w:tcPr>
            <w:tcW w:w="933" w:type="dxa"/>
          </w:tcPr>
          <w:p w14:paraId="252B7775" w14:textId="77777777" w:rsidR="004E7FA9" w:rsidRPr="003B6A69" w:rsidRDefault="004E7FA9" w:rsidP="00AE6C8E">
            <w:pPr>
              <w:jc w:val="right"/>
              <w:rPr>
                <w:rFonts w:asciiTheme="minorHAnsi" w:hAnsiTheme="minorHAnsi" w:cstheme="minorHAnsi"/>
                <w:sz w:val="18"/>
                <w:szCs w:val="18"/>
              </w:rPr>
            </w:pPr>
          </w:p>
        </w:tc>
        <w:tc>
          <w:tcPr>
            <w:tcW w:w="2442" w:type="dxa"/>
            <w:gridSpan w:val="2"/>
          </w:tcPr>
          <w:p w14:paraId="0F9282AC"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1712" w:type="dxa"/>
          </w:tcPr>
          <w:p w14:paraId="02ABB8AF"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2726" w:type="dxa"/>
          </w:tcPr>
          <w:p w14:paraId="10D8CDE5"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1985" w:type="dxa"/>
          </w:tcPr>
          <w:p w14:paraId="685F8622"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3358" w:type="dxa"/>
          </w:tcPr>
          <w:p w14:paraId="33A9C32F"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r>
      <w:tr w:rsidR="004E7FA9" w:rsidRPr="003B6A69" w14:paraId="27E34BAD" w14:textId="77777777" w:rsidTr="00AE6C8E">
        <w:tc>
          <w:tcPr>
            <w:tcW w:w="1298" w:type="dxa"/>
            <w:shd w:val="clear" w:color="auto" w:fill="BFBFBF" w:themeFill="background1" w:themeFillShade="BF"/>
          </w:tcPr>
          <w:p w14:paraId="4549AB49" w14:textId="77777777" w:rsidR="004E7FA9" w:rsidRPr="003B6A69" w:rsidRDefault="004E7FA9" w:rsidP="00AE6C8E">
            <w:pPr>
              <w:rPr>
                <w:rFonts w:asciiTheme="minorHAnsi" w:hAnsiTheme="minorHAnsi" w:cstheme="minorHAnsi"/>
                <w:sz w:val="18"/>
                <w:szCs w:val="18"/>
              </w:rPr>
            </w:pPr>
            <w:r w:rsidRPr="003B6A69">
              <w:rPr>
                <w:rFonts w:asciiTheme="minorHAnsi" w:hAnsiTheme="minorHAnsi" w:cstheme="minorHAnsi"/>
                <w:sz w:val="18"/>
                <w:szCs w:val="18"/>
              </w:rPr>
              <w:t>Indicator 7.2</w:t>
            </w:r>
          </w:p>
        </w:tc>
        <w:tc>
          <w:tcPr>
            <w:tcW w:w="9798" w:type="dxa"/>
            <w:gridSpan w:val="6"/>
            <w:shd w:val="clear" w:color="auto" w:fill="BFBFBF" w:themeFill="background1" w:themeFillShade="BF"/>
          </w:tcPr>
          <w:p w14:paraId="363CF340" w14:textId="77777777" w:rsidR="004E7FA9" w:rsidRPr="003B6A69" w:rsidRDefault="004E7FA9" w:rsidP="00AE6C8E">
            <w:pPr>
              <w:rPr>
                <w:rFonts w:asciiTheme="minorHAnsi" w:hAnsiTheme="minorHAnsi" w:cstheme="minorHAnsi"/>
                <w:sz w:val="18"/>
                <w:szCs w:val="18"/>
              </w:rPr>
            </w:pPr>
            <w:r w:rsidRPr="003B6A69">
              <w:rPr>
                <w:rFonts w:asciiTheme="minorHAnsi" w:hAnsiTheme="minorHAnsi" w:cstheme="minorHAnsi"/>
                <w:sz w:val="18"/>
                <w:szCs w:val="18"/>
              </w:rPr>
              <w:t>Level of Regional Legal Agreements and Regional Management Institutions to support its implementation</w:t>
            </w:r>
          </w:p>
        </w:tc>
        <w:tc>
          <w:tcPr>
            <w:tcW w:w="3358" w:type="dxa"/>
            <w:shd w:val="clear" w:color="auto" w:fill="BFBFBF" w:themeFill="background1" w:themeFillShade="BF"/>
          </w:tcPr>
          <w:p w14:paraId="5B4CAF05"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r>
      <w:tr w:rsidR="004E7FA9" w:rsidRPr="003B6A69" w14:paraId="3707DFCE" w14:textId="77777777" w:rsidTr="00AE6C8E">
        <w:trPr>
          <w:trHeight w:val="125"/>
        </w:trPr>
        <w:tc>
          <w:tcPr>
            <w:tcW w:w="1298" w:type="dxa"/>
            <w:vMerge w:val="restart"/>
          </w:tcPr>
          <w:p w14:paraId="55DB0529" w14:textId="77777777" w:rsidR="004E7FA9" w:rsidRPr="003B6A69" w:rsidRDefault="004E7FA9" w:rsidP="00AE6C8E">
            <w:pPr>
              <w:rPr>
                <w:rFonts w:asciiTheme="minorHAnsi" w:hAnsiTheme="minorHAnsi" w:cstheme="minorHAnsi"/>
                <w:sz w:val="18"/>
                <w:szCs w:val="18"/>
              </w:rPr>
            </w:pPr>
          </w:p>
        </w:tc>
        <w:tc>
          <w:tcPr>
            <w:tcW w:w="933" w:type="dxa"/>
            <w:vMerge w:val="restart"/>
          </w:tcPr>
          <w:p w14:paraId="4E61E384" w14:textId="77777777" w:rsidR="004E7FA9" w:rsidRPr="003B6A69" w:rsidRDefault="004E7FA9" w:rsidP="00AE6C8E">
            <w:pPr>
              <w:rPr>
                <w:rFonts w:asciiTheme="minorHAnsi" w:hAnsiTheme="minorHAnsi" w:cstheme="minorHAnsi"/>
                <w:sz w:val="18"/>
                <w:szCs w:val="18"/>
              </w:rPr>
            </w:pPr>
          </w:p>
        </w:tc>
        <w:tc>
          <w:tcPr>
            <w:tcW w:w="2442" w:type="dxa"/>
            <w:gridSpan w:val="2"/>
            <w:vMerge w:val="restart"/>
          </w:tcPr>
          <w:p w14:paraId="1C620ED4" w14:textId="77777777" w:rsidR="004E7FA9" w:rsidRPr="003B6A69" w:rsidRDefault="004E7FA9" w:rsidP="00AE6C8E">
            <w:pPr>
              <w:rPr>
                <w:rFonts w:asciiTheme="minorHAnsi" w:hAnsiTheme="minorHAnsi" w:cstheme="minorHAnsi"/>
                <w:sz w:val="18"/>
                <w:szCs w:val="18"/>
              </w:rPr>
            </w:pPr>
            <w:r w:rsidRPr="003B6A69">
              <w:rPr>
                <w:rFonts w:asciiTheme="minorHAnsi" w:hAnsiTheme="minorHAnsi" w:cstheme="minorHAnsi"/>
                <w:sz w:val="18"/>
                <w:szCs w:val="18"/>
              </w:rPr>
              <w:t>Shared water ecosystem</w:t>
            </w:r>
          </w:p>
        </w:tc>
        <w:tc>
          <w:tcPr>
            <w:tcW w:w="9781" w:type="dxa"/>
            <w:gridSpan w:val="4"/>
          </w:tcPr>
          <w:p w14:paraId="78DFA69D"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Rating (scale 1-4)</w:t>
            </w:r>
          </w:p>
        </w:tc>
      </w:tr>
      <w:tr w:rsidR="004E7FA9" w:rsidRPr="003B6A69" w14:paraId="1642E949" w14:textId="77777777" w:rsidTr="00AE6C8E">
        <w:trPr>
          <w:trHeight w:val="134"/>
        </w:trPr>
        <w:tc>
          <w:tcPr>
            <w:tcW w:w="1298" w:type="dxa"/>
            <w:vMerge/>
          </w:tcPr>
          <w:p w14:paraId="4421A499" w14:textId="77777777" w:rsidR="004E7FA9" w:rsidRPr="003B6A69" w:rsidRDefault="004E7FA9" w:rsidP="00AE6C8E">
            <w:pPr>
              <w:rPr>
                <w:rFonts w:asciiTheme="minorHAnsi" w:hAnsiTheme="minorHAnsi" w:cstheme="minorHAnsi"/>
                <w:sz w:val="18"/>
                <w:szCs w:val="18"/>
              </w:rPr>
            </w:pPr>
          </w:p>
        </w:tc>
        <w:tc>
          <w:tcPr>
            <w:tcW w:w="933" w:type="dxa"/>
            <w:vMerge/>
          </w:tcPr>
          <w:p w14:paraId="59B4555A" w14:textId="77777777" w:rsidR="004E7FA9" w:rsidRPr="003B6A69" w:rsidRDefault="004E7FA9" w:rsidP="00AE6C8E">
            <w:pPr>
              <w:rPr>
                <w:rFonts w:asciiTheme="minorHAnsi" w:hAnsiTheme="minorHAnsi" w:cstheme="minorHAnsi"/>
                <w:sz w:val="18"/>
                <w:szCs w:val="18"/>
              </w:rPr>
            </w:pPr>
          </w:p>
        </w:tc>
        <w:tc>
          <w:tcPr>
            <w:tcW w:w="2442" w:type="dxa"/>
            <w:gridSpan w:val="2"/>
            <w:vMerge/>
          </w:tcPr>
          <w:p w14:paraId="763B3A61" w14:textId="77777777" w:rsidR="004E7FA9" w:rsidRPr="003B6A69" w:rsidRDefault="004E7FA9" w:rsidP="00AE6C8E">
            <w:pPr>
              <w:rPr>
                <w:rFonts w:asciiTheme="minorHAnsi" w:hAnsiTheme="minorHAnsi" w:cstheme="minorHAnsi"/>
                <w:sz w:val="18"/>
                <w:szCs w:val="18"/>
              </w:rPr>
            </w:pPr>
          </w:p>
        </w:tc>
        <w:tc>
          <w:tcPr>
            <w:tcW w:w="1712" w:type="dxa"/>
          </w:tcPr>
          <w:p w14:paraId="593B8F87"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PIF stage</w:t>
            </w:r>
          </w:p>
        </w:tc>
        <w:tc>
          <w:tcPr>
            <w:tcW w:w="2726" w:type="dxa"/>
          </w:tcPr>
          <w:p w14:paraId="5CFE0449"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Endorsement</w:t>
            </w:r>
          </w:p>
        </w:tc>
        <w:tc>
          <w:tcPr>
            <w:tcW w:w="1985" w:type="dxa"/>
          </w:tcPr>
          <w:p w14:paraId="17F740FC"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MTR</w:t>
            </w:r>
          </w:p>
        </w:tc>
        <w:tc>
          <w:tcPr>
            <w:tcW w:w="3358" w:type="dxa"/>
          </w:tcPr>
          <w:p w14:paraId="0384BC92"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TE</w:t>
            </w:r>
          </w:p>
        </w:tc>
      </w:tr>
      <w:tr w:rsidR="004E7FA9" w:rsidRPr="003B6A69" w14:paraId="7628C7AC" w14:textId="77777777" w:rsidTr="00AE6C8E">
        <w:tc>
          <w:tcPr>
            <w:tcW w:w="1298" w:type="dxa"/>
          </w:tcPr>
          <w:p w14:paraId="1FFC4A7F" w14:textId="77777777" w:rsidR="004E7FA9" w:rsidRPr="003B6A69" w:rsidRDefault="004E7FA9" w:rsidP="00AE6C8E">
            <w:pPr>
              <w:jc w:val="right"/>
              <w:rPr>
                <w:rFonts w:asciiTheme="minorHAnsi" w:hAnsiTheme="minorHAnsi" w:cstheme="minorHAnsi"/>
                <w:sz w:val="18"/>
                <w:szCs w:val="18"/>
              </w:rPr>
            </w:pPr>
          </w:p>
        </w:tc>
        <w:tc>
          <w:tcPr>
            <w:tcW w:w="933" w:type="dxa"/>
          </w:tcPr>
          <w:p w14:paraId="2CC2ADB9" w14:textId="77777777" w:rsidR="004E7FA9" w:rsidRPr="003B6A69" w:rsidRDefault="004E7FA9" w:rsidP="00AE6C8E">
            <w:pPr>
              <w:jc w:val="right"/>
              <w:rPr>
                <w:rFonts w:asciiTheme="minorHAnsi" w:hAnsiTheme="minorHAnsi" w:cstheme="minorHAnsi"/>
                <w:sz w:val="18"/>
                <w:szCs w:val="18"/>
              </w:rPr>
            </w:pPr>
          </w:p>
        </w:tc>
        <w:tc>
          <w:tcPr>
            <w:tcW w:w="2442" w:type="dxa"/>
            <w:gridSpan w:val="2"/>
          </w:tcPr>
          <w:p w14:paraId="438F65E7"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1712" w:type="dxa"/>
          </w:tcPr>
          <w:p w14:paraId="6F4524A2"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2726" w:type="dxa"/>
          </w:tcPr>
          <w:p w14:paraId="4A9B5343"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1985" w:type="dxa"/>
          </w:tcPr>
          <w:p w14:paraId="43D60748"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3358" w:type="dxa"/>
          </w:tcPr>
          <w:p w14:paraId="04E23C1D"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r>
      <w:tr w:rsidR="004E7FA9" w:rsidRPr="003B6A69" w14:paraId="6E38C696" w14:textId="77777777" w:rsidTr="00AE6C8E">
        <w:tc>
          <w:tcPr>
            <w:tcW w:w="1298" w:type="dxa"/>
          </w:tcPr>
          <w:p w14:paraId="158118F5" w14:textId="77777777" w:rsidR="004E7FA9" w:rsidRPr="003B6A69" w:rsidRDefault="004E7FA9" w:rsidP="00AE6C8E">
            <w:pPr>
              <w:jc w:val="right"/>
              <w:rPr>
                <w:rFonts w:asciiTheme="minorHAnsi" w:hAnsiTheme="minorHAnsi" w:cstheme="minorHAnsi"/>
                <w:sz w:val="18"/>
                <w:szCs w:val="18"/>
              </w:rPr>
            </w:pPr>
          </w:p>
        </w:tc>
        <w:tc>
          <w:tcPr>
            <w:tcW w:w="933" w:type="dxa"/>
          </w:tcPr>
          <w:p w14:paraId="14A73211" w14:textId="77777777" w:rsidR="004E7FA9" w:rsidRPr="003B6A69" w:rsidRDefault="004E7FA9" w:rsidP="00AE6C8E">
            <w:pPr>
              <w:jc w:val="right"/>
              <w:rPr>
                <w:rFonts w:asciiTheme="minorHAnsi" w:hAnsiTheme="minorHAnsi" w:cstheme="minorHAnsi"/>
                <w:sz w:val="18"/>
                <w:szCs w:val="18"/>
              </w:rPr>
            </w:pPr>
          </w:p>
        </w:tc>
        <w:tc>
          <w:tcPr>
            <w:tcW w:w="2442" w:type="dxa"/>
            <w:gridSpan w:val="2"/>
          </w:tcPr>
          <w:p w14:paraId="6D387F74"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1712" w:type="dxa"/>
          </w:tcPr>
          <w:p w14:paraId="2B7E77B5"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2726" w:type="dxa"/>
          </w:tcPr>
          <w:p w14:paraId="2DC32A41"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1985" w:type="dxa"/>
          </w:tcPr>
          <w:p w14:paraId="3338CEBD"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3358" w:type="dxa"/>
          </w:tcPr>
          <w:p w14:paraId="255FFB4F"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r>
      <w:tr w:rsidR="004E7FA9" w:rsidRPr="003B6A69" w14:paraId="74019860" w14:textId="77777777" w:rsidTr="00AE6C8E">
        <w:tc>
          <w:tcPr>
            <w:tcW w:w="1298" w:type="dxa"/>
            <w:shd w:val="clear" w:color="auto" w:fill="BFBFBF" w:themeFill="background1" w:themeFillShade="BF"/>
          </w:tcPr>
          <w:p w14:paraId="13274DE0" w14:textId="77777777" w:rsidR="004E7FA9" w:rsidRPr="003B6A69" w:rsidRDefault="004E7FA9" w:rsidP="00AE6C8E">
            <w:pPr>
              <w:rPr>
                <w:rFonts w:asciiTheme="minorHAnsi" w:hAnsiTheme="minorHAnsi" w:cstheme="minorHAnsi"/>
                <w:sz w:val="18"/>
                <w:szCs w:val="18"/>
              </w:rPr>
            </w:pPr>
            <w:r w:rsidRPr="003B6A69">
              <w:rPr>
                <w:rFonts w:asciiTheme="minorHAnsi" w:hAnsiTheme="minorHAnsi" w:cstheme="minorHAnsi"/>
                <w:sz w:val="18"/>
                <w:szCs w:val="18"/>
              </w:rPr>
              <w:t>Indicator 7.3</w:t>
            </w:r>
          </w:p>
        </w:tc>
        <w:tc>
          <w:tcPr>
            <w:tcW w:w="9798" w:type="dxa"/>
            <w:gridSpan w:val="6"/>
            <w:shd w:val="clear" w:color="auto" w:fill="BFBFBF" w:themeFill="background1" w:themeFillShade="BF"/>
          </w:tcPr>
          <w:p w14:paraId="65E334B5" w14:textId="77777777" w:rsidR="004E7FA9" w:rsidRPr="003B6A69" w:rsidRDefault="004E7FA9" w:rsidP="00AE6C8E">
            <w:pPr>
              <w:rPr>
                <w:rFonts w:asciiTheme="minorHAnsi" w:hAnsiTheme="minorHAnsi" w:cstheme="minorHAnsi"/>
                <w:sz w:val="18"/>
                <w:szCs w:val="18"/>
              </w:rPr>
            </w:pPr>
            <w:r w:rsidRPr="003B6A69">
              <w:rPr>
                <w:rFonts w:asciiTheme="minorHAnsi" w:hAnsiTheme="minorHAnsi" w:cstheme="minorHAnsi"/>
                <w:sz w:val="18"/>
                <w:szCs w:val="18"/>
              </w:rPr>
              <w:t>Level of National/Local reforms and active participation of Inter-Ministerial Committees</w:t>
            </w:r>
          </w:p>
        </w:tc>
        <w:tc>
          <w:tcPr>
            <w:tcW w:w="3358" w:type="dxa"/>
            <w:shd w:val="clear" w:color="auto" w:fill="BFBFBF" w:themeFill="background1" w:themeFillShade="BF"/>
          </w:tcPr>
          <w:p w14:paraId="5869F5A5"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r>
      <w:tr w:rsidR="004E7FA9" w:rsidRPr="003B6A69" w14:paraId="5C11281D" w14:textId="77777777" w:rsidTr="00AE6C8E">
        <w:trPr>
          <w:trHeight w:val="179"/>
        </w:trPr>
        <w:tc>
          <w:tcPr>
            <w:tcW w:w="1298" w:type="dxa"/>
            <w:vMerge w:val="restart"/>
          </w:tcPr>
          <w:p w14:paraId="7C3F881E" w14:textId="77777777" w:rsidR="004E7FA9" w:rsidRPr="003B6A69" w:rsidRDefault="004E7FA9" w:rsidP="00AE6C8E">
            <w:pPr>
              <w:rPr>
                <w:rFonts w:asciiTheme="minorHAnsi" w:hAnsiTheme="minorHAnsi" w:cstheme="minorHAnsi"/>
                <w:sz w:val="18"/>
                <w:szCs w:val="18"/>
              </w:rPr>
            </w:pPr>
          </w:p>
        </w:tc>
        <w:tc>
          <w:tcPr>
            <w:tcW w:w="933" w:type="dxa"/>
            <w:vMerge w:val="restart"/>
          </w:tcPr>
          <w:p w14:paraId="2C55E0CF" w14:textId="77777777" w:rsidR="004E7FA9" w:rsidRPr="003B6A69" w:rsidRDefault="004E7FA9" w:rsidP="00AE6C8E">
            <w:pPr>
              <w:rPr>
                <w:rFonts w:asciiTheme="minorHAnsi" w:hAnsiTheme="minorHAnsi" w:cstheme="minorHAnsi"/>
                <w:sz w:val="18"/>
                <w:szCs w:val="18"/>
              </w:rPr>
            </w:pPr>
          </w:p>
        </w:tc>
        <w:tc>
          <w:tcPr>
            <w:tcW w:w="2442" w:type="dxa"/>
            <w:gridSpan w:val="2"/>
            <w:vMerge w:val="restart"/>
          </w:tcPr>
          <w:p w14:paraId="759E2D0D" w14:textId="77777777" w:rsidR="004E7FA9" w:rsidRPr="003B6A69" w:rsidRDefault="004E7FA9" w:rsidP="00AE6C8E">
            <w:pPr>
              <w:rPr>
                <w:rFonts w:asciiTheme="minorHAnsi" w:hAnsiTheme="minorHAnsi" w:cstheme="minorHAnsi"/>
                <w:sz w:val="18"/>
                <w:szCs w:val="18"/>
              </w:rPr>
            </w:pPr>
            <w:r w:rsidRPr="003B6A69">
              <w:rPr>
                <w:rFonts w:asciiTheme="minorHAnsi" w:hAnsiTheme="minorHAnsi" w:cstheme="minorHAnsi"/>
                <w:sz w:val="18"/>
                <w:szCs w:val="18"/>
              </w:rPr>
              <w:t>Shared water ecosystem</w:t>
            </w:r>
          </w:p>
        </w:tc>
        <w:tc>
          <w:tcPr>
            <w:tcW w:w="9781" w:type="dxa"/>
            <w:gridSpan w:val="4"/>
          </w:tcPr>
          <w:p w14:paraId="50335358"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Rating (scale 1-4)</w:t>
            </w:r>
          </w:p>
        </w:tc>
      </w:tr>
      <w:tr w:rsidR="004E7FA9" w:rsidRPr="003B6A69" w14:paraId="74207C46" w14:textId="77777777" w:rsidTr="00AE6C8E">
        <w:trPr>
          <w:trHeight w:val="62"/>
        </w:trPr>
        <w:tc>
          <w:tcPr>
            <w:tcW w:w="1298" w:type="dxa"/>
            <w:vMerge/>
          </w:tcPr>
          <w:p w14:paraId="193CD5E0" w14:textId="77777777" w:rsidR="004E7FA9" w:rsidRPr="003B6A69" w:rsidRDefault="004E7FA9" w:rsidP="00AE6C8E">
            <w:pPr>
              <w:rPr>
                <w:rFonts w:asciiTheme="minorHAnsi" w:hAnsiTheme="minorHAnsi" w:cstheme="minorHAnsi"/>
                <w:sz w:val="18"/>
                <w:szCs w:val="18"/>
              </w:rPr>
            </w:pPr>
          </w:p>
        </w:tc>
        <w:tc>
          <w:tcPr>
            <w:tcW w:w="933" w:type="dxa"/>
            <w:vMerge/>
          </w:tcPr>
          <w:p w14:paraId="4DE5B715" w14:textId="77777777" w:rsidR="004E7FA9" w:rsidRPr="003B6A69" w:rsidRDefault="004E7FA9" w:rsidP="00AE6C8E">
            <w:pPr>
              <w:rPr>
                <w:rFonts w:asciiTheme="minorHAnsi" w:hAnsiTheme="minorHAnsi" w:cstheme="minorHAnsi"/>
                <w:sz w:val="18"/>
                <w:szCs w:val="18"/>
              </w:rPr>
            </w:pPr>
          </w:p>
        </w:tc>
        <w:tc>
          <w:tcPr>
            <w:tcW w:w="2442" w:type="dxa"/>
            <w:gridSpan w:val="2"/>
            <w:vMerge/>
          </w:tcPr>
          <w:p w14:paraId="00AD9020" w14:textId="77777777" w:rsidR="004E7FA9" w:rsidRPr="003B6A69" w:rsidRDefault="004E7FA9" w:rsidP="00AE6C8E">
            <w:pPr>
              <w:rPr>
                <w:rFonts w:asciiTheme="minorHAnsi" w:hAnsiTheme="minorHAnsi" w:cstheme="minorHAnsi"/>
                <w:sz w:val="18"/>
                <w:szCs w:val="18"/>
              </w:rPr>
            </w:pPr>
          </w:p>
        </w:tc>
        <w:tc>
          <w:tcPr>
            <w:tcW w:w="1712" w:type="dxa"/>
          </w:tcPr>
          <w:p w14:paraId="1D7ED9E5"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PIF stage</w:t>
            </w:r>
          </w:p>
        </w:tc>
        <w:tc>
          <w:tcPr>
            <w:tcW w:w="2726" w:type="dxa"/>
          </w:tcPr>
          <w:p w14:paraId="2679D77F"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Endorsement</w:t>
            </w:r>
          </w:p>
        </w:tc>
        <w:tc>
          <w:tcPr>
            <w:tcW w:w="1985" w:type="dxa"/>
          </w:tcPr>
          <w:p w14:paraId="2B4CF60C"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MTR</w:t>
            </w:r>
          </w:p>
        </w:tc>
        <w:tc>
          <w:tcPr>
            <w:tcW w:w="3358" w:type="dxa"/>
          </w:tcPr>
          <w:p w14:paraId="4287F074"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TE</w:t>
            </w:r>
          </w:p>
        </w:tc>
      </w:tr>
      <w:tr w:rsidR="004E7FA9" w:rsidRPr="003B6A69" w14:paraId="52B85948" w14:textId="77777777" w:rsidTr="00AE6C8E">
        <w:tc>
          <w:tcPr>
            <w:tcW w:w="1298" w:type="dxa"/>
          </w:tcPr>
          <w:p w14:paraId="1D4C81C4" w14:textId="77777777" w:rsidR="004E7FA9" w:rsidRPr="003B6A69" w:rsidRDefault="004E7FA9" w:rsidP="00AE6C8E">
            <w:pPr>
              <w:jc w:val="right"/>
              <w:rPr>
                <w:rFonts w:asciiTheme="minorHAnsi" w:hAnsiTheme="minorHAnsi" w:cstheme="minorHAnsi"/>
                <w:sz w:val="18"/>
                <w:szCs w:val="18"/>
              </w:rPr>
            </w:pPr>
          </w:p>
        </w:tc>
        <w:tc>
          <w:tcPr>
            <w:tcW w:w="933" w:type="dxa"/>
          </w:tcPr>
          <w:p w14:paraId="1B1B0B41" w14:textId="77777777" w:rsidR="004E7FA9" w:rsidRPr="003B6A69" w:rsidRDefault="004E7FA9" w:rsidP="00AE6C8E">
            <w:pPr>
              <w:jc w:val="right"/>
              <w:rPr>
                <w:rFonts w:asciiTheme="minorHAnsi" w:hAnsiTheme="minorHAnsi" w:cstheme="minorHAnsi"/>
                <w:sz w:val="18"/>
                <w:szCs w:val="18"/>
              </w:rPr>
            </w:pPr>
          </w:p>
        </w:tc>
        <w:tc>
          <w:tcPr>
            <w:tcW w:w="2442" w:type="dxa"/>
            <w:gridSpan w:val="2"/>
          </w:tcPr>
          <w:p w14:paraId="778B884A" w14:textId="77777777" w:rsidR="004E7FA9" w:rsidRPr="003B6A69" w:rsidRDefault="004E7FA9" w:rsidP="00AE6C8E">
            <w:pPr>
              <w:jc w:val="right"/>
              <w:rPr>
                <w:rFonts w:asciiTheme="minorHAnsi" w:hAnsiTheme="minorHAnsi" w:cstheme="minorHAnsi"/>
                <w:sz w:val="18"/>
                <w:szCs w:val="18"/>
              </w:rPr>
            </w:pPr>
          </w:p>
        </w:tc>
        <w:tc>
          <w:tcPr>
            <w:tcW w:w="1712" w:type="dxa"/>
          </w:tcPr>
          <w:p w14:paraId="3EF86A41"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2726" w:type="dxa"/>
          </w:tcPr>
          <w:p w14:paraId="5B1124B1"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1985" w:type="dxa"/>
          </w:tcPr>
          <w:p w14:paraId="3BB9756A"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3358" w:type="dxa"/>
          </w:tcPr>
          <w:p w14:paraId="54DA388D"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r>
      <w:tr w:rsidR="004E7FA9" w:rsidRPr="003B6A69" w14:paraId="30BB02B5" w14:textId="77777777" w:rsidTr="00AE6C8E">
        <w:tc>
          <w:tcPr>
            <w:tcW w:w="1298" w:type="dxa"/>
          </w:tcPr>
          <w:p w14:paraId="0545F3C1" w14:textId="77777777" w:rsidR="004E7FA9" w:rsidRPr="003B6A69" w:rsidRDefault="004E7FA9" w:rsidP="00AE6C8E">
            <w:pPr>
              <w:jc w:val="right"/>
              <w:rPr>
                <w:rFonts w:asciiTheme="minorHAnsi" w:hAnsiTheme="minorHAnsi" w:cstheme="minorHAnsi"/>
                <w:sz w:val="18"/>
                <w:szCs w:val="18"/>
              </w:rPr>
            </w:pPr>
          </w:p>
        </w:tc>
        <w:tc>
          <w:tcPr>
            <w:tcW w:w="933" w:type="dxa"/>
          </w:tcPr>
          <w:p w14:paraId="67A4E95C" w14:textId="77777777" w:rsidR="004E7FA9" w:rsidRPr="003B6A69" w:rsidRDefault="004E7FA9" w:rsidP="00AE6C8E">
            <w:pPr>
              <w:jc w:val="right"/>
              <w:rPr>
                <w:rFonts w:asciiTheme="minorHAnsi" w:hAnsiTheme="minorHAnsi" w:cstheme="minorHAnsi"/>
                <w:sz w:val="18"/>
                <w:szCs w:val="18"/>
              </w:rPr>
            </w:pPr>
          </w:p>
        </w:tc>
        <w:tc>
          <w:tcPr>
            <w:tcW w:w="2442" w:type="dxa"/>
            <w:gridSpan w:val="2"/>
          </w:tcPr>
          <w:p w14:paraId="3C995BBE" w14:textId="77777777" w:rsidR="004E7FA9" w:rsidRPr="003B6A69" w:rsidRDefault="004E7FA9" w:rsidP="00AE6C8E">
            <w:pPr>
              <w:jc w:val="right"/>
              <w:rPr>
                <w:rFonts w:asciiTheme="minorHAnsi" w:hAnsiTheme="minorHAnsi" w:cstheme="minorHAnsi"/>
                <w:sz w:val="18"/>
                <w:szCs w:val="18"/>
              </w:rPr>
            </w:pPr>
          </w:p>
        </w:tc>
        <w:tc>
          <w:tcPr>
            <w:tcW w:w="1712" w:type="dxa"/>
          </w:tcPr>
          <w:p w14:paraId="62616263"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2726" w:type="dxa"/>
          </w:tcPr>
          <w:p w14:paraId="4D084C0D"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1985" w:type="dxa"/>
          </w:tcPr>
          <w:p w14:paraId="525A71A1"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3358" w:type="dxa"/>
          </w:tcPr>
          <w:p w14:paraId="72C5FE55"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r>
      <w:tr w:rsidR="004E7FA9" w:rsidRPr="003B6A69" w14:paraId="71D3B166" w14:textId="77777777" w:rsidTr="00AE6C8E">
        <w:tc>
          <w:tcPr>
            <w:tcW w:w="1298" w:type="dxa"/>
            <w:shd w:val="clear" w:color="auto" w:fill="BFBFBF" w:themeFill="background1" w:themeFillShade="BF"/>
          </w:tcPr>
          <w:p w14:paraId="1163AF1A" w14:textId="77777777" w:rsidR="004E7FA9" w:rsidRPr="003B6A69" w:rsidRDefault="004E7FA9" w:rsidP="00AE6C8E">
            <w:pPr>
              <w:rPr>
                <w:rFonts w:asciiTheme="minorHAnsi" w:hAnsiTheme="minorHAnsi" w:cstheme="minorHAnsi"/>
                <w:sz w:val="18"/>
                <w:szCs w:val="18"/>
              </w:rPr>
            </w:pPr>
            <w:r w:rsidRPr="003B6A69">
              <w:rPr>
                <w:rFonts w:asciiTheme="minorHAnsi" w:hAnsiTheme="minorHAnsi" w:cstheme="minorHAnsi"/>
                <w:sz w:val="18"/>
                <w:szCs w:val="18"/>
              </w:rPr>
              <w:t>Indicator 7.4</w:t>
            </w:r>
          </w:p>
        </w:tc>
        <w:tc>
          <w:tcPr>
            <w:tcW w:w="9798" w:type="dxa"/>
            <w:gridSpan w:val="6"/>
            <w:shd w:val="clear" w:color="auto" w:fill="BFBFBF" w:themeFill="background1" w:themeFillShade="BF"/>
          </w:tcPr>
          <w:p w14:paraId="384127A7" w14:textId="77777777" w:rsidR="004E7FA9" w:rsidRPr="003B6A69" w:rsidRDefault="004E7FA9" w:rsidP="00AE6C8E">
            <w:pPr>
              <w:rPr>
                <w:rFonts w:asciiTheme="minorHAnsi" w:hAnsiTheme="minorHAnsi" w:cstheme="minorHAnsi"/>
                <w:sz w:val="18"/>
                <w:szCs w:val="18"/>
              </w:rPr>
            </w:pPr>
            <w:r w:rsidRPr="003B6A69">
              <w:rPr>
                <w:rFonts w:asciiTheme="minorHAnsi" w:hAnsiTheme="minorHAnsi" w:cstheme="minorHAnsi"/>
                <w:sz w:val="18"/>
                <w:szCs w:val="18"/>
              </w:rPr>
              <w:t>Level of engagement in IWLEARN through participation and delivery of key products</w:t>
            </w:r>
          </w:p>
        </w:tc>
        <w:tc>
          <w:tcPr>
            <w:tcW w:w="3358" w:type="dxa"/>
            <w:shd w:val="clear" w:color="auto" w:fill="BFBFBF" w:themeFill="background1" w:themeFillShade="BF"/>
          </w:tcPr>
          <w:p w14:paraId="369AF5C7"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r>
      <w:tr w:rsidR="004E7FA9" w:rsidRPr="003B6A69" w14:paraId="22A56B6E" w14:textId="77777777" w:rsidTr="00AE6C8E">
        <w:trPr>
          <w:trHeight w:val="125"/>
        </w:trPr>
        <w:tc>
          <w:tcPr>
            <w:tcW w:w="1298" w:type="dxa"/>
            <w:vMerge w:val="restart"/>
          </w:tcPr>
          <w:p w14:paraId="61499BA6" w14:textId="77777777" w:rsidR="004E7FA9" w:rsidRPr="003B6A69" w:rsidRDefault="004E7FA9" w:rsidP="00AE6C8E">
            <w:pPr>
              <w:rPr>
                <w:rFonts w:asciiTheme="minorHAnsi" w:hAnsiTheme="minorHAnsi" w:cstheme="minorHAnsi"/>
                <w:sz w:val="18"/>
                <w:szCs w:val="18"/>
              </w:rPr>
            </w:pPr>
          </w:p>
        </w:tc>
        <w:tc>
          <w:tcPr>
            <w:tcW w:w="933" w:type="dxa"/>
            <w:vMerge w:val="restart"/>
          </w:tcPr>
          <w:p w14:paraId="5FE52A69" w14:textId="77777777" w:rsidR="004E7FA9" w:rsidRPr="003B6A69" w:rsidRDefault="004E7FA9" w:rsidP="00AE6C8E">
            <w:pPr>
              <w:rPr>
                <w:rFonts w:asciiTheme="minorHAnsi" w:hAnsiTheme="minorHAnsi" w:cstheme="minorHAnsi"/>
                <w:sz w:val="18"/>
                <w:szCs w:val="18"/>
              </w:rPr>
            </w:pPr>
          </w:p>
        </w:tc>
        <w:tc>
          <w:tcPr>
            <w:tcW w:w="2442" w:type="dxa"/>
            <w:gridSpan w:val="2"/>
            <w:vMerge w:val="restart"/>
            <w:vAlign w:val="center"/>
          </w:tcPr>
          <w:p w14:paraId="7598E8B1" w14:textId="77777777" w:rsidR="004E7FA9" w:rsidRPr="003B6A69" w:rsidRDefault="004E7FA9" w:rsidP="00AE6C8E">
            <w:pPr>
              <w:rPr>
                <w:rFonts w:asciiTheme="minorHAnsi" w:hAnsiTheme="minorHAnsi" w:cstheme="minorHAnsi"/>
                <w:sz w:val="18"/>
                <w:szCs w:val="18"/>
              </w:rPr>
            </w:pPr>
            <w:r w:rsidRPr="003B6A69">
              <w:rPr>
                <w:rFonts w:asciiTheme="minorHAnsi" w:hAnsiTheme="minorHAnsi" w:cstheme="minorHAnsi"/>
                <w:sz w:val="18"/>
                <w:szCs w:val="18"/>
              </w:rPr>
              <w:t>Shared water ecosystem</w:t>
            </w:r>
          </w:p>
        </w:tc>
        <w:tc>
          <w:tcPr>
            <w:tcW w:w="9781" w:type="dxa"/>
            <w:gridSpan w:val="4"/>
          </w:tcPr>
          <w:p w14:paraId="0623B362"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Rating (scale 1-4)</w:t>
            </w:r>
          </w:p>
        </w:tc>
      </w:tr>
      <w:tr w:rsidR="004E7FA9" w:rsidRPr="003B6A69" w14:paraId="0490FAC4" w14:textId="77777777" w:rsidTr="00AE6C8E">
        <w:trPr>
          <w:trHeight w:val="58"/>
        </w:trPr>
        <w:tc>
          <w:tcPr>
            <w:tcW w:w="1298" w:type="dxa"/>
            <w:vMerge/>
          </w:tcPr>
          <w:p w14:paraId="3F17109C" w14:textId="77777777" w:rsidR="004E7FA9" w:rsidRPr="003B6A69" w:rsidRDefault="004E7FA9" w:rsidP="00AE6C8E">
            <w:pPr>
              <w:rPr>
                <w:rFonts w:asciiTheme="minorHAnsi" w:hAnsiTheme="minorHAnsi" w:cstheme="minorHAnsi"/>
                <w:sz w:val="18"/>
                <w:szCs w:val="18"/>
              </w:rPr>
            </w:pPr>
          </w:p>
        </w:tc>
        <w:tc>
          <w:tcPr>
            <w:tcW w:w="933" w:type="dxa"/>
            <w:vMerge/>
          </w:tcPr>
          <w:p w14:paraId="72E50C9B" w14:textId="77777777" w:rsidR="004E7FA9" w:rsidRPr="003B6A69" w:rsidRDefault="004E7FA9" w:rsidP="00AE6C8E">
            <w:pPr>
              <w:rPr>
                <w:rFonts w:asciiTheme="minorHAnsi" w:hAnsiTheme="minorHAnsi" w:cstheme="minorHAnsi"/>
                <w:sz w:val="18"/>
                <w:szCs w:val="18"/>
              </w:rPr>
            </w:pPr>
          </w:p>
        </w:tc>
        <w:tc>
          <w:tcPr>
            <w:tcW w:w="2442" w:type="dxa"/>
            <w:gridSpan w:val="2"/>
            <w:vMerge/>
          </w:tcPr>
          <w:p w14:paraId="582191A4" w14:textId="77777777" w:rsidR="004E7FA9" w:rsidRPr="003B6A69" w:rsidRDefault="004E7FA9" w:rsidP="00AE6C8E">
            <w:pPr>
              <w:rPr>
                <w:rFonts w:asciiTheme="minorHAnsi" w:hAnsiTheme="minorHAnsi" w:cstheme="minorHAnsi"/>
                <w:sz w:val="18"/>
                <w:szCs w:val="18"/>
              </w:rPr>
            </w:pPr>
          </w:p>
        </w:tc>
        <w:tc>
          <w:tcPr>
            <w:tcW w:w="4438" w:type="dxa"/>
            <w:gridSpan w:val="2"/>
          </w:tcPr>
          <w:p w14:paraId="1ADD19D2"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Rating</w:t>
            </w:r>
          </w:p>
        </w:tc>
        <w:tc>
          <w:tcPr>
            <w:tcW w:w="5343" w:type="dxa"/>
            <w:gridSpan w:val="2"/>
          </w:tcPr>
          <w:p w14:paraId="2F344D94"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Rating</w:t>
            </w:r>
          </w:p>
        </w:tc>
      </w:tr>
      <w:tr w:rsidR="004E7FA9" w:rsidRPr="003B6A69" w14:paraId="37A039E1" w14:textId="77777777" w:rsidTr="00AE6C8E">
        <w:trPr>
          <w:trHeight w:val="197"/>
        </w:trPr>
        <w:tc>
          <w:tcPr>
            <w:tcW w:w="1298" w:type="dxa"/>
            <w:vMerge/>
          </w:tcPr>
          <w:p w14:paraId="48F0D611" w14:textId="77777777" w:rsidR="004E7FA9" w:rsidRPr="003B6A69" w:rsidRDefault="004E7FA9" w:rsidP="00AE6C8E">
            <w:pPr>
              <w:rPr>
                <w:rFonts w:asciiTheme="minorHAnsi" w:hAnsiTheme="minorHAnsi" w:cstheme="minorHAnsi"/>
                <w:sz w:val="18"/>
                <w:szCs w:val="18"/>
              </w:rPr>
            </w:pPr>
          </w:p>
        </w:tc>
        <w:tc>
          <w:tcPr>
            <w:tcW w:w="933" w:type="dxa"/>
            <w:vMerge/>
          </w:tcPr>
          <w:p w14:paraId="5A51321A" w14:textId="77777777" w:rsidR="004E7FA9" w:rsidRPr="003B6A69" w:rsidRDefault="004E7FA9" w:rsidP="00AE6C8E">
            <w:pPr>
              <w:rPr>
                <w:rFonts w:asciiTheme="minorHAnsi" w:hAnsiTheme="minorHAnsi" w:cstheme="minorHAnsi"/>
                <w:sz w:val="18"/>
                <w:szCs w:val="18"/>
              </w:rPr>
            </w:pPr>
          </w:p>
        </w:tc>
        <w:tc>
          <w:tcPr>
            <w:tcW w:w="2442" w:type="dxa"/>
            <w:gridSpan w:val="2"/>
            <w:vMerge/>
          </w:tcPr>
          <w:p w14:paraId="77FBE6CF" w14:textId="77777777" w:rsidR="004E7FA9" w:rsidRPr="003B6A69" w:rsidRDefault="004E7FA9" w:rsidP="00AE6C8E">
            <w:pPr>
              <w:rPr>
                <w:rFonts w:asciiTheme="minorHAnsi" w:hAnsiTheme="minorHAnsi" w:cstheme="minorHAnsi"/>
                <w:sz w:val="18"/>
                <w:szCs w:val="18"/>
              </w:rPr>
            </w:pPr>
          </w:p>
        </w:tc>
        <w:tc>
          <w:tcPr>
            <w:tcW w:w="1712" w:type="dxa"/>
          </w:tcPr>
          <w:p w14:paraId="15D28B76"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PIF stage</w:t>
            </w:r>
          </w:p>
        </w:tc>
        <w:tc>
          <w:tcPr>
            <w:tcW w:w="2726" w:type="dxa"/>
          </w:tcPr>
          <w:p w14:paraId="493CF5DF"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Endorsement</w:t>
            </w:r>
          </w:p>
        </w:tc>
        <w:tc>
          <w:tcPr>
            <w:tcW w:w="1985" w:type="dxa"/>
          </w:tcPr>
          <w:p w14:paraId="42B15B35"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MTR</w:t>
            </w:r>
          </w:p>
        </w:tc>
        <w:tc>
          <w:tcPr>
            <w:tcW w:w="3358" w:type="dxa"/>
          </w:tcPr>
          <w:p w14:paraId="2904C903"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TE</w:t>
            </w:r>
          </w:p>
        </w:tc>
      </w:tr>
      <w:tr w:rsidR="004E7FA9" w:rsidRPr="003B6A69" w14:paraId="7040F600" w14:textId="77777777" w:rsidTr="00AE6C8E">
        <w:tc>
          <w:tcPr>
            <w:tcW w:w="1298" w:type="dxa"/>
          </w:tcPr>
          <w:p w14:paraId="18D932A6" w14:textId="77777777" w:rsidR="004E7FA9" w:rsidRPr="003B6A69" w:rsidRDefault="004E7FA9" w:rsidP="00AE6C8E">
            <w:pPr>
              <w:jc w:val="right"/>
              <w:rPr>
                <w:rFonts w:asciiTheme="minorHAnsi" w:hAnsiTheme="minorHAnsi" w:cstheme="minorHAnsi"/>
                <w:sz w:val="18"/>
                <w:szCs w:val="18"/>
              </w:rPr>
            </w:pPr>
          </w:p>
        </w:tc>
        <w:tc>
          <w:tcPr>
            <w:tcW w:w="933" w:type="dxa"/>
          </w:tcPr>
          <w:p w14:paraId="5F78CFD6" w14:textId="77777777" w:rsidR="004E7FA9" w:rsidRPr="003B6A69" w:rsidRDefault="004E7FA9" w:rsidP="00AE6C8E">
            <w:pPr>
              <w:jc w:val="right"/>
              <w:rPr>
                <w:rFonts w:asciiTheme="minorHAnsi" w:hAnsiTheme="minorHAnsi" w:cstheme="minorHAnsi"/>
                <w:sz w:val="18"/>
                <w:szCs w:val="18"/>
              </w:rPr>
            </w:pPr>
          </w:p>
        </w:tc>
        <w:tc>
          <w:tcPr>
            <w:tcW w:w="2442" w:type="dxa"/>
            <w:gridSpan w:val="2"/>
          </w:tcPr>
          <w:p w14:paraId="38CA3429"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1712" w:type="dxa"/>
          </w:tcPr>
          <w:p w14:paraId="403FE68E"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2726" w:type="dxa"/>
          </w:tcPr>
          <w:p w14:paraId="6E7CB15F"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1985" w:type="dxa"/>
          </w:tcPr>
          <w:p w14:paraId="40AD76E8"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3358" w:type="dxa"/>
          </w:tcPr>
          <w:p w14:paraId="59B7839D"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r>
      <w:tr w:rsidR="004E7FA9" w:rsidRPr="003B6A69" w14:paraId="3EEDF782" w14:textId="77777777" w:rsidTr="00AE6C8E">
        <w:tc>
          <w:tcPr>
            <w:tcW w:w="1298" w:type="dxa"/>
          </w:tcPr>
          <w:p w14:paraId="072A4149" w14:textId="77777777" w:rsidR="004E7FA9" w:rsidRPr="003B6A69" w:rsidRDefault="004E7FA9" w:rsidP="00AE6C8E">
            <w:pPr>
              <w:jc w:val="right"/>
              <w:rPr>
                <w:rFonts w:asciiTheme="minorHAnsi" w:hAnsiTheme="minorHAnsi" w:cstheme="minorHAnsi"/>
                <w:sz w:val="18"/>
                <w:szCs w:val="18"/>
              </w:rPr>
            </w:pPr>
          </w:p>
        </w:tc>
        <w:tc>
          <w:tcPr>
            <w:tcW w:w="933" w:type="dxa"/>
          </w:tcPr>
          <w:p w14:paraId="7B17348E" w14:textId="77777777" w:rsidR="004E7FA9" w:rsidRPr="003B6A69" w:rsidRDefault="004E7FA9" w:rsidP="00AE6C8E">
            <w:pPr>
              <w:jc w:val="right"/>
              <w:rPr>
                <w:rFonts w:asciiTheme="minorHAnsi" w:hAnsiTheme="minorHAnsi" w:cstheme="minorHAnsi"/>
                <w:sz w:val="18"/>
                <w:szCs w:val="18"/>
              </w:rPr>
            </w:pPr>
          </w:p>
        </w:tc>
        <w:tc>
          <w:tcPr>
            <w:tcW w:w="2442" w:type="dxa"/>
            <w:gridSpan w:val="2"/>
          </w:tcPr>
          <w:p w14:paraId="44481DC7"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1712" w:type="dxa"/>
          </w:tcPr>
          <w:p w14:paraId="1DAB2E3E"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2726" w:type="dxa"/>
          </w:tcPr>
          <w:p w14:paraId="4B19B6EC"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1985" w:type="dxa"/>
          </w:tcPr>
          <w:p w14:paraId="348B50A1"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3358" w:type="dxa"/>
          </w:tcPr>
          <w:p w14:paraId="5FA1029C"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r>
      <w:tr w:rsidR="004E7FA9" w:rsidRPr="003B6A69" w14:paraId="60FB4968" w14:textId="77777777" w:rsidTr="00AE6C8E">
        <w:tc>
          <w:tcPr>
            <w:tcW w:w="1298" w:type="dxa"/>
            <w:shd w:val="clear" w:color="auto" w:fill="D9D9D9" w:themeFill="background1" w:themeFillShade="D9"/>
          </w:tcPr>
          <w:p w14:paraId="4A3D1217" w14:textId="77777777" w:rsidR="004E7FA9" w:rsidRPr="003B6A69" w:rsidRDefault="004E7FA9" w:rsidP="00AE6C8E">
            <w:pPr>
              <w:rPr>
                <w:rFonts w:asciiTheme="minorHAnsi" w:hAnsiTheme="minorHAnsi" w:cstheme="minorHAnsi"/>
                <w:b/>
                <w:sz w:val="18"/>
                <w:szCs w:val="18"/>
              </w:rPr>
            </w:pPr>
            <w:r w:rsidRPr="003B6A69">
              <w:rPr>
                <w:rFonts w:asciiTheme="minorHAnsi" w:hAnsiTheme="minorHAnsi" w:cstheme="minorHAnsi"/>
                <w:b/>
                <w:sz w:val="18"/>
                <w:szCs w:val="18"/>
              </w:rPr>
              <w:t>Core Indicator 8</w:t>
            </w:r>
          </w:p>
        </w:tc>
        <w:tc>
          <w:tcPr>
            <w:tcW w:w="9798" w:type="dxa"/>
            <w:gridSpan w:val="6"/>
            <w:shd w:val="clear" w:color="auto" w:fill="D9D9D9" w:themeFill="background1" w:themeFillShade="D9"/>
          </w:tcPr>
          <w:p w14:paraId="23EBCA5C" w14:textId="77777777" w:rsidR="004E7FA9" w:rsidRPr="003B6A69" w:rsidRDefault="004E7FA9" w:rsidP="00AE6C8E">
            <w:pPr>
              <w:rPr>
                <w:rFonts w:asciiTheme="minorHAnsi" w:hAnsiTheme="minorHAnsi" w:cstheme="minorHAnsi"/>
                <w:b/>
                <w:sz w:val="18"/>
                <w:szCs w:val="18"/>
              </w:rPr>
            </w:pPr>
            <w:r w:rsidRPr="003B6A69">
              <w:rPr>
                <w:rFonts w:asciiTheme="minorHAnsi" w:hAnsiTheme="minorHAnsi" w:cstheme="minorHAnsi"/>
                <w:b/>
                <w:sz w:val="18"/>
                <w:szCs w:val="18"/>
              </w:rPr>
              <w:t>Globally over-exploited fisheries Moved to more sustainable levels</w:t>
            </w:r>
          </w:p>
        </w:tc>
        <w:tc>
          <w:tcPr>
            <w:tcW w:w="3358" w:type="dxa"/>
            <w:shd w:val="clear" w:color="auto" w:fill="D9D9D9" w:themeFill="background1" w:themeFillShade="D9"/>
          </w:tcPr>
          <w:p w14:paraId="27BEE245" w14:textId="77777777" w:rsidR="004E7FA9" w:rsidRPr="003B6A69" w:rsidRDefault="004E7FA9" w:rsidP="00AE6C8E">
            <w:pPr>
              <w:jc w:val="right"/>
              <w:rPr>
                <w:rFonts w:asciiTheme="minorHAnsi" w:hAnsiTheme="minorHAnsi" w:cstheme="minorHAnsi"/>
                <w:b/>
                <w:sz w:val="18"/>
                <w:szCs w:val="18"/>
              </w:rPr>
            </w:pPr>
            <w:r w:rsidRPr="003B6A69">
              <w:rPr>
                <w:rFonts w:asciiTheme="minorHAnsi" w:hAnsiTheme="minorHAnsi" w:cstheme="minorHAnsi"/>
                <w:b/>
                <w:i/>
                <w:color w:val="000000"/>
                <w:sz w:val="18"/>
                <w:szCs w:val="18"/>
              </w:rPr>
              <w:fldChar w:fldCharType="begin">
                <w:ffData>
                  <w:name w:val=""/>
                  <w:enabled/>
                  <w:calcOnExit w:val="0"/>
                  <w:textInput>
                    <w:default w:val="(Tons)"/>
                  </w:textInput>
                </w:ffData>
              </w:fldChar>
            </w:r>
            <w:r w:rsidRPr="003B6A69">
              <w:rPr>
                <w:rFonts w:asciiTheme="minorHAnsi" w:hAnsiTheme="minorHAnsi" w:cstheme="minorHAnsi"/>
                <w:b/>
                <w:i/>
                <w:color w:val="000000"/>
                <w:sz w:val="18"/>
                <w:szCs w:val="18"/>
              </w:rPr>
              <w:instrText xml:space="preserve"> FORMTEXT </w:instrText>
            </w:r>
            <w:r w:rsidRPr="003B6A69">
              <w:rPr>
                <w:rFonts w:asciiTheme="minorHAnsi" w:hAnsiTheme="minorHAnsi" w:cstheme="minorHAnsi"/>
                <w:b/>
                <w:i/>
                <w:color w:val="000000"/>
                <w:sz w:val="18"/>
                <w:szCs w:val="18"/>
              </w:rPr>
            </w:r>
            <w:r w:rsidRPr="003B6A69">
              <w:rPr>
                <w:rFonts w:asciiTheme="minorHAnsi" w:hAnsiTheme="minorHAnsi" w:cstheme="minorHAnsi"/>
                <w:b/>
                <w:i/>
                <w:color w:val="000000"/>
                <w:sz w:val="18"/>
                <w:szCs w:val="18"/>
              </w:rPr>
              <w:fldChar w:fldCharType="separate"/>
            </w:r>
            <w:r w:rsidRPr="003B6A69">
              <w:rPr>
                <w:rFonts w:asciiTheme="minorHAnsi" w:hAnsiTheme="minorHAnsi" w:cstheme="minorHAnsi"/>
                <w:b/>
                <w:i/>
                <w:noProof/>
                <w:color w:val="000000"/>
                <w:sz w:val="18"/>
                <w:szCs w:val="18"/>
              </w:rPr>
              <w:t>(Metric Tons)</w:t>
            </w:r>
            <w:r w:rsidRPr="003B6A69">
              <w:rPr>
                <w:rFonts w:asciiTheme="minorHAnsi" w:hAnsiTheme="minorHAnsi" w:cstheme="minorHAnsi"/>
                <w:b/>
                <w:i/>
                <w:color w:val="000000"/>
                <w:sz w:val="18"/>
                <w:szCs w:val="18"/>
              </w:rPr>
              <w:fldChar w:fldCharType="end"/>
            </w:r>
          </w:p>
        </w:tc>
      </w:tr>
      <w:tr w:rsidR="004E7FA9" w:rsidRPr="003B6A69" w14:paraId="750EFAB9" w14:textId="77777777" w:rsidTr="00AE6C8E">
        <w:trPr>
          <w:trHeight w:val="197"/>
        </w:trPr>
        <w:tc>
          <w:tcPr>
            <w:tcW w:w="4673" w:type="dxa"/>
            <w:gridSpan w:val="4"/>
            <w:vMerge w:val="restart"/>
          </w:tcPr>
          <w:p w14:paraId="233BFA8B" w14:textId="77777777" w:rsidR="004E7FA9" w:rsidRPr="003B6A69" w:rsidRDefault="004E7FA9" w:rsidP="00AE6C8E">
            <w:pPr>
              <w:rPr>
                <w:rFonts w:asciiTheme="minorHAnsi" w:hAnsiTheme="minorHAnsi" w:cstheme="minorHAnsi"/>
                <w:bCs/>
                <w:sz w:val="18"/>
                <w:szCs w:val="18"/>
              </w:rPr>
            </w:pPr>
            <w:r w:rsidRPr="003B6A69">
              <w:rPr>
                <w:rFonts w:asciiTheme="minorHAnsi" w:hAnsiTheme="minorHAnsi" w:cstheme="minorHAnsi"/>
                <w:bCs/>
                <w:sz w:val="18"/>
                <w:szCs w:val="18"/>
              </w:rPr>
              <w:t>Fishery Details</w:t>
            </w:r>
          </w:p>
          <w:p w14:paraId="4F075F37" w14:textId="77777777" w:rsidR="004E7FA9" w:rsidRPr="003B6A69" w:rsidRDefault="004E7FA9" w:rsidP="00AE6C8E">
            <w:pPr>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9781" w:type="dxa"/>
            <w:gridSpan w:val="4"/>
          </w:tcPr>
          <w:p w14:paraId="68DCAE13"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Metric Tons</w:t>
            </w:r>
          </w:p>
        </w:tc>
      </w:tr>
      <w:tr w:rsidR="004E7FA9" w:rsidRPr="003B6A69" w14:paraId="575ACA63" w14:textId="77777777" w:rsidTr="00AE6C8E">
        <w:trPr>
          <w:trHeight w:val="188"/>
        </w:trPr>
        <w:tc>
          <w:tcPr>
            <w:tcW w:w="4673" w:type="dxa"/>
            <w:gridSpan w:val="4"/>
            <w:vMerge/>
          </w:tcPr>
          <w:p w14:paraId="5AB573A8" w14:textId="77777777" w:rsidR="004E7FA9" w:rsidRPr="003B6A69" w:rsidRDefault="004E7FA9" w:rsidP="00AE6C8E">
            <w:pPr>
              <w:rPr>
                <w:rFonts w:asciiTheme="minorHAnsi" w:hAnsiTheme="minorHAnsi" w:cstheme="minorHAnsi"/>
                <w:sz w:val="18"/>
                <w:szCs w:val="18"/>
              </w:rPr>
            </w:pPr>
          </w:p>
        </w:tc>
        <w:tc>
          <w:tcPr>
            <w:tcW w:w="1712" w:type="dxa"/>
          </w:tcPr>
          <w:p w14:paraId="7E22D5F6" w14:textId="77777777" w:rsidR="004E7FA9" w:rsidRPr="003B6A69" w:rsidRDefault="004E7FA9" w:rsidP="00AE6C8E">
            <w:pPr>
              <w:rPr>
                <w:rFonts w:asciiTheme="minorHAnsi" w:hAnsiTheme="minorHAnsi" w:cstheme="minorHAnsi"/>
                <w:sz w:val="18"/>
                <w:szCs w:val="18"/>
              </w:rPr>
            </w:pPr>
            <w:r w:rsidRPr="003B6A69">
              <w:rPr>
                <w:rFonts w:asciiTheme="minorHAnsi" w:hAnsiTheme="minorHAnsi" w:cstheme="minorHAnsi"/>
                <w:sz w:val="18"/>
                <w:szCs w:val="18"/>
              </w:rPr>
              <w:t>PIF stage</w:t>
            </w:r>
          </w:p>
        </w:tc>
        <w:tc>
          <w:tcPr>
            <w:tcW w:w="2726" w:type="dxa"/>
          </w:tcPr>
          <w:p w14:paraId="197727B8" w14:textId="77777777" w:rsidR="004E7FA9" w:rsidRPr="003B6A69" w:rsidRDefault="004E7FA9" w:rsidP="00AE6C8E">
            <w:pPr>
              <w:rPr>
                <w:rFonts w:asciiTheme="minorHAnsi" w:hAnsiTheme="minorHAnsi" w:cstheme="minorHAnsi"/>
                <w:sz w:val="18"/>
                <w:szCs w:val="18"/>
              </w:rPr>
            </w:pPr>
            <w:r w:rsidRPr="003B6A69">
              <w:rPr>
                <w:rFonts w:asciiTheme="minorHAnsi" w:hAnsiTheme="minorHAnsi" w:cstheme="minorHAnsi"/>
                <w:sz w:val="18"/>
                <w:szCs w:val="18"/>
              </w:rPr>
              <w:t>Endorsement</w:t>
            </w:r>
          </w:p>
        </w:tc>
        <w:tc>
          <w:tcPr>
            <w:tcW w:w="1985" w:type="dxa"/>
          </w:tcPr>
          <w:p w14:paraId="0B3B804F" w14:textId="77777777" w:rsidR="004E7FA9" w:rsidRPr="003B6A69" w:rsidRDefault="004E7FA9" w:rsidP="00AE6C8E">
            <w:pPr>
              <w:rPr>
                <w:rFonts w:asciiTheme="minorHAnsi" w:hAnsiTheme="minorHAnsi" w:cstheme="minorHAnsi"/>
                <w:sz w:val="18"/>
                <w:szCs w:val="18"/>
              </w:rPr>
            </w:pPr>
            <w:r w:rsidRPr="003B6A69">
              <w:rPr>
                <w:rFonts w:asciiTheme="minorHAnsi" w:hAnsiTheme="minorHAnsi" w:cstheme="minorHAnsi"/>
                <w:sz w:val="18"/>
                <w:szCs w:val="18"/>
              </w:rPr>
              <w:t>MTR</w:t>
            </w:r>
          </w:p>
        </w:tc>
        <w:tc>
          <w:tcPr>
            <w:tcW w:w="3358" w:type="dxa"/>
          </w:tcPr>
          <w:p w14:paraId="04B60E9A" w14:textId="77777777" w:rsidR="004E7FA9" w:rsidRPr="003B6A69" w:rsidRDefault="004E7FA9" w:rsidP="00AE6C8E">
            <w:pPr>
              <w:rPr>
                <w:rFonts w:asciiTheme="minorHAnsi" w:hAnsiTheme="minorHAnsi" w:cstheme="minorHAnsi"/>
                <w:sz w:val="18"/>
                <w:szCs w:val="18"/>
              </w:rPr>
            </w:pPr>
            <w:r w:rsidRPr="003B6A69">
              <w:rPr>
                <w:rFonts w:asciiTheme="minorHAnsi" w:hAnsiTheme="minorHAnsi" w:cstheme="minorHAnsi"/>
                <w:sz w:val="18"/>
                <w:szCs w:val="18"/>
              </w:rPr>
              <w:t>TE</w:t>
            </w:r>
          </w:p>
        </w:tc>
      </w:tr>
      <w:tr w:rsidR="004E7FA9" w:rsidRPr="003B6A69" w14:paraId="021FC090" w14:textId="77777777" w:rsidTr="00AE6C8E">
        <w:tc>
          <w:tcPr>
            <w:tcW w:w="4673" w:type="dxa"/>
            <w:gridSpan w:val="4"/>
            <w:vMerge/>
          </w:tcPr>
          <w:p w14:paraId="51132AC1" w14:textId="77777777" w:rsidR="004E7FA9" w:rsidRPr="003B6A69" w:rsidRDefault="004E7FA9" w:rsidP="00AE6C8E">
            <w:pPr>
              <w:jc w:val="right"/>
              <w:rPr>
                <w:rFonts w:asciiTheme="minorHAnsi" w:hAnsiTheme="minorHAnsi" w:cstheme="minorHAnsi"/>
                <w:sz w:val="18"/>
                <w:szCs w:val="18"/>
              </w:rPr>
            </w:pPr>
          </w:p>
        </w:tc>
        <w:tc>
          <w:tcPr>
            <w:tcW w:w="1712" w:type="dxa"/>
          </w:tcPr>
          <w:p w14:paraId="675C1271"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2726" w:type="dxa"/>
          </w:tcPr>
          <w:p w14:paraId="523C5B35"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1985" w:type="dxa"/>
          </w:tcPr>
          <w:p w14:paraId="7083D824"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3358" w:type="dxa"/>
          </w:tcPr>
          <w:p w14:paraId="0D07DFC2"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r>
      <w:tr w:rsidR="004E7FA9" w:rsidRPr="003B6A69" w14:paraId="3BB5C8F2" w14:textId="77777777" w:rsidTr="00AE6C8E">
        <w:tc>
          <w:tcPr>
            <w:tcW w:w="1298" w:type="dxa"/>
            <w:shd w:val="clear" w:color="auto" w:fill="D9D9D9" w:themeFill="background1" w:themeFillShade="D9"/>
          </w:tcPr>
          <w:p w14:paraId="172B18CD" w14:textId="77777777" w:rsidR="004E7FA9" w:rsidRPr="003B6A69" w:rsidRDefault="004E7FA9" w:rsidP="00AE6C8E">
            <w:pPr>
              <w:rPr>
                <w:rFonts w:asciiTheme="minorHAnsi" w:hAnsiTheme="minorHAnsi" w:cstheme="minorHAnsi"/>
                <w:b/>
                <w:sz w:val="18"/>
                <w:szCs w:val="18"/>
              </w:rPr>
            </w:pPr>
            <w:r w:rsidRPr="003B6A69">
              <w:rPr>
                <w:rFonts w:asciiTheme="minorHAnsi" w:hAnsiTheme="minorHAnsi" w:cstheme="minorHAnsi"/>
                <w:b/>
                <w:sz w:val="18"/>
                <w:szCs w:val="18"/>
              </w:rPr>
              <w:t>Core Indicator 9</w:t>
            </w:r>
          </w:p>
        </w:tc>
        <w:tc>
          <w:tcPr>
            <w:tcW w:w="9798" w:type="dxa"/>
            <w:gridSpan w:val="6"/>
            <w:shd w:val="clear" w:color="auto" w:fill="D9D9D9" w:themeFill="background1" w:themeFillShade="D9"/>
          </w:tcPr>
          <w:p w14:paraId="6B6324B3" w14:textId="77777777" w:rsidR="004E7FA9" w:rsidRPr="003B6A69" w:rsidRDefault="004E7FA9" w:rsidP="00AE6C8E">
            <w:pPr>
              <w:rPr>
                <w:rFonts w:asciiTheme="minorHAnsi" w:hAnsiTheme="minorHAnsi" w:cstheme="minorHAnsi"/>
                <w:b/>
                <w:sz w:val="18"/>
                <w:szCs w:val="18"/>
              </w:rPr>
            </w:pPr>
            <w:r w:rsidRPr="003B6A69">
              <w:rPr>
                <w:rFonts w:asciiTheme="minorHAnsi" w:hAnsiTheme="minorHAnsi" w:cstheme="minorHAnsi"/>
                <w:b/>
                <w:sz w:val="18"/>
                <w:szCs w:val="18"/>
              </w:rPr>
              <w:t xml:space="preserve">Reduction, disposal/destruction, phase out, elimination and avoidance of chemicals of global concern and their waste in the environment and in processes, </w:t>
            </w:r>
            <w:proofErr w:type="gramStart"/>
            <w:r w:rsidRPr="003B6A69">
              <w:rPr>
                <w:rFonts w:asciiTheme="minorHAnsi" w:hAnsiTheme="minorHAnsi" w:cstheme="minorHAnsi"/>
                <w:b/>
                <w:sz w:val="18"/>
                <w:szCs w:val="18"/>
              </w:rPr>
              <w:t>materials</w:t>
            </w:r>
            <w:proofErr w:type="gramEnd"/>
            <w:r w:rsidRPr="003B6A69">
              <w:rPr>
                <w:rFonts w:asciiTheme="minorHAnsi" w:hAnsiTheme="minorHAnsi" w:cstheme="minorHAnsi"/>
                <w:b/>
                <w:sz w:val="18"/>
                <w:szCs w:val="18"/>
              </w:rPr>
              <w:t xml:space="preserve"> and products</w:t>
            </w:r>
          </w:p>
        </w:tc>
        <w:tc>
          <w:tcPr>
            <w:tcW w:w="3358" w:type="dxa"/>
            <w:shd w:val="clear" w:color="auto" w:fill="D9D9D9" w:themeFill="background1" w:themeFillShade="D9"/>
          </w:tcPr>
          <w:p w14:paraId="5583C8A8" w14:textId="77777777" w:rsidR="004E7FA9" w:rsidRPr="003B6A69" w:rsidRDefault="004E7FA9" w:rsidP="00AE6C8E">
            <w:pPr>
              <w:jc w:val="right"/>
              <w:rPr>
                <w:rFonts w:asciiTheme="minorHAnsi" w:hAnsiTheme="minorHAnsi" w:cstheme="minorHAnsi"/>
                <w:b/>
                <w:sz w:val="18"/>
                <w:szCs w:val="18"/>
              </w:rPr>
            </w:pPr>
            <w:r w:rsidRPr="003B6A69">
              <w:rPr>
                <w:rFonts w:asciiTheme="minorHAnsi" w:hAnsiTheme="minorHAnsi" w:cstheme="minorHAnsi"/>
                <w:b/>
                <w:i/>
                <w:color w:val="000000"/>
                <w:sz w:val="18"/>
                <w:szCs w:val="18"/>
              </w:rPr>
              <w:fldChar w:fldCharType="begin">
                <w:ffData>
                  <w:name w:val=""/>
                  <w:enabled/>
                  <w:calcOnExit w:val="0"/>
                  <w:textInput>
                    <w:default w:val="(Tons)"/>
                  </w:textInput>
                </w:ffData>
              </w:fldChar>
            </w:r>
            <w:r w:rsidRPr="003B6A69">
              <w:rPr>
                <w:rFonts w:asciiTheme="minorHAnsi" w:hAnsiTheme="minorHAnsi" w:cstheme="minorHAnsi"/>
                <w:b/>
                <w:i/>
                <w:color w:val="000000"/>
                <w:sz w:val="18"/>
                <w:szCs w:val="18"/>
              </w:rPr>
              <w:instrText xml:space="preserve"> FORMTEXT </w:instrText>
            </w:r>
            <w:r w:rsidRPr="003B6A69">
              <w:rPr>
                <w:rFonts w:asciiTheme="minorHAnsi" w:hAnsiTheme="minorHAnsi" w:cstheme="minorHAnsi"/>
                <w:b/>
                <w:i/>
                <w:color w:val="000000"/>
                <w:sz w:val="18"/>
                <w:szCs w:val="18"/>
              </w:rPr>
            </w:r>
            <w:r w:rsidRPr="003B6A69">
              <w:rPr>
                <w:rFonts w:asciiTheme="minorHAnsi" w:hAnsiTheme="minorHAnsi" w:cstheme="minorHAnsi"/>
                <w:b/>
                <w:i/>
                <w:color w:val="000000"/>
                <w:sz w:val="18"/>
                <w:szCs w:val="18"/>
              </w:rPr>
              <w:fldChar w:fldCharType="separate"/>
            </w:r>
            <w:r w:rsidRPr="003B6A69">
              <w:rPr>
                <w:rFonts w:asciiTheme="minorHAnsi" w:hAnsiTheme="minorHAnsi" w:cstheme="minorHAnsi"/>
                <w:b/>
                <w:i/>
                <w:noProof/>
                <w:color w:val="000000"/>
                <w:sz w:val="18"/>
                <w:szCs w:val="18"/>
              </w:rPr>
              <w:t>(Metric Tons)</w:t>
            </w:r>
            <w:r w:rsidRPr="003B6A69">
              <w:rPr>
                <w:rFonts w:asciiTheme="minorHAnsi" w:hAnsiTheme="minorHAnsi" w:cstheme="minorHAnsi"/>
                <w:b/>
                <w:i/>
                <w:color w:val="000000"/>
                <w:sz w:val="18"/>
                <w:szCs w:val="18"/>
              </w:rPr>
              <w:fldChar w:fldCharType="end"/>
            </w:r>
          </w:p>
        </w:tc>
      </w:tr>
      <w:tr w:rsidR="004E7FA9" w:rsidRPr="003B6A69" w14:paraId="2F08902B" w14:textId="77777777" w:rsidTr="00AE6C8E">
        <w:tc>
          <w:tcPr>
            <w:tcW w:w="1298" w:type="dxa"/>
            <w:shd w:val="clear" w:color="auto" w:fill="auto"/>
          </w:tcPr>
          <w:p w14:paraId="47EAC5AE" w14:textId="77777777" w:rsidR="004E7FA9" w:rsidRPr="003B6A69" w:rsidRDefault="004E7FA9" w:rsidP="00AE6C8E">
            <w:pPr>
              <w:rPr>
                <w:rFonts w:asciiTheme="minorHAnsi" w:hAnsiTheme="minorHAnsi" w:cstheme="minorHAnsi"/>
                <w:sz w:val="18"/>
                <w:szCs w:val="18"/>
              </w:rPr>
            </w:pPr>
          </w:p>
        </w:tc>
        <w:tc>
          <w:tcPr>
            <w:tcW w:w="3375" w:type="dxa"/>
            <w:gridSpan w:val="3"/>
            <w:shd w:val="clear" w:color="auto" w:fill="auto"/>
          </w:tcPr>
          <w:p w14:paraId="14AE6EEB" w14:textId="77777777" w:rsidR="004E7FA9" w:rsidRPr="003B6A69" w:rsidRDefault="004E7FA9" w:rsidP="00AE6C8E">
            <w:pPr>
              <w:rPr>
                <w:rFonts w:asciiTheme="minorHAnsi" w:hAnsiTheme="minorHAnsi" w:cstheme="minorHAnsi"/>
                <w:sz w:val="18"/>
                <w:szCs w:val="18"/>
              </w:rPr>
            </w:pPr>
          </w:p>
        </w:tc>
        <w:tc>
          <w:tcPr>
            <w:tcW w:w="9781" w:type="dxa"/>
            <w:gridSpan w:val="4"/>
            <w:shd w:val="clear" w:color="auto" w:fill="F2F2F2" w:themeFill="background1" w:themeFillShade="F2"/>
          </w:tcPr>
          <w:p w14:paraId="02E1E486" w14:textId="77777777" w:rsidR="004E7FA9" w:rsidRPr="003B6A69" w:rsidRDefault="004E7FA9" w:rsidP="00AE6C8E">
            <w:pPr>
              <w:jc w:val="center"/>
              <w:rPr>
                <w:rFonts w:asciiTheme="minorHAnsi" w:hAnsiTheme="minorHAnsi" w:cstheme="minorHAnsi"/>
                <w:i/>
                <w:color w:val="000000"/>
                <w:sz w:val="18"/>
                <w:szCs w:val="18"/>
              </w:rPr>
            </w:pPr>
            <w:r w:rsidRPr="003B6A69">
              <w:rPr>
                <w:rFonts w:asciiTheme="minorHAnsi" w:hAnsiTheme="minorHAnsi" w:cstheme="minorHAnsi"/>
                <w:sz w:val="18"/>
                <w:szCs w:val="18"/>
              </w:rPr>
              <w:t>Metric Tons (9.1+9.2+9.3)</w:t>
            </w:r>
          </w:p>
        </w:tc>
      </w:tr>
      <w:tr w:rsidR="004E7FA9" w:rsidRPr="003B6A69" w14:paraId="3ACF2320" w14:textId="77777777" w:rsidTr="00AE6C8E">
        <w:tc>
          <w:tcPr>
            <w:tcW w:w="1298" w:type="dxa"/>
            <w:shd w:val="clear" w:color="auto" w:fill="auto"/>
          </w:tcPr>
          <w:p w14:paraId="768F90E5" w14:textId="77777777" w:rsidR="004E7FA9" w:rsidRPr="003B6A69" w:rsidRDefault="004E7FA9" w:rsidP="00AE6C8E">
            <w:pPr>
              <w:rPr>
                <w:rFonts w:asciiTheme="minorHAnsi" w:hAnsiTheme="minorHAnsi" w:cstheme="minorHAnsi"/>
                <w:sz w:val="18"/>
                <w:szCs w:val="18"/>
              </w:rPr>
            </w:pPr>
          </w:p>
        </w:tc>
        <w:tc>
          <w:tcPr>
            <w:tcW w:w="3375" w:type="dxa"/>
            <w:gridSpan w:val="3"/>
            <w:shd w:val="clear" w:color="auto" w:fill="auto"/>
          </w:tcPr>
          <w:p w14:paraId="7CB698C6" w14:textId="77777777" w:rsidR="004E7FA9" w:rsidRPr="003B6A69" w:rsidRDefault="004E7FA9" w:rsidP="00AE6C8E">
            <w:pPr>
              <w:rPr>
                <w:rFonts w:asciiTheme="minorHAnsi" w:hAnsiTheme="minorHAnsi" w:cstheme="minorHAnsi"/>
                <w:sz w:val="18"/>
                <w:szCs w:val="18"/>
              </w:rPr>
            </w:pPr>
          </w:p>
        </w:tc>
        <w:tc>
          <w:tcPr>
            <w:tcW w:w="4438" w:type="dxa"/>
            <w:gridSpan w:val="2"/>
            <w:shd w:val="clear" w:color="auto" w:fill="F2F2F2" w:themeFill="background1" w:themeFillShade="F2"/>
          </w:tcPr>
          <w:p w14:paraId="040FE03D"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Expected</w:t>
            </w:r>
          </w:p>
        </w:tc>
        <w:tc>
          <w:tcPr>
            <w:tcW w:w="5343" w:type="dxa"/>
            <w:gridSpan w:val="2"/>
            <w:shd w:val="clear" w:color="auto" w:fill="F2F2F2" w:themeFill="background1" w:themeFillShade="F2"/>
          </w:tcPr>
          <w:p w14:paraId="701A44D2" w14:textId="77777777" w:rsidR="004E7FA9" w:rsidRPr="003B6A69" w:rsidRDefault="004E7FA9" w:rsidP="00AE6C8E">
            <w:pPr>
              <w:jc w:val="center"/>
              <w:rPr>
                <w:rFonts w:asciiTheme="minorHAnsi" w:hAnsiTheme="minorHAnsi" w:cstheme="minorHAnsi"/>
                <w:i/>
                <w:color w:val="000000"/>
                <w:sz w:val="18"/>
                <w:szCs w:val="18"/>
              </w:rPr>
            </w:pPr>
            <w:r w:rsidRPr="003B6A69">
              <w:rPr>
                <w:rFonts w:asciiTheme="minorHAnsi" w:hAnsiTheme="minorHAnsi" w:cstheme="minorHAnsi"/>
                <w:sz w:val="18"/>
                <w:szCs w:val="18"/>
              </w:rPr>
              <w:t>Achieved</w:t>
            </w:r>
          </w:p>
        </w:tc>
      </w:tr>
      <w:tr w:rsidR="004E7FA9" w:rsidRPr="003B6A69" w14:paraId="582BC6A9" w14:textId="77777777" w:rsidTr="00AE6C8E">
        <w:tc>
          <w:tcPr>
            <w:tcW w:w="1298" w:type="dxa"/>
            <w:shd w:val="clear" w:color="auto" w:fill="auto"/>
          </w:tcPr>
          <w:p w14:paraId="37835FC3" w14:textId="77777777" w:rsidR="004E7FA9" w:rsidRPr="003B6A69" w:rsidRDefault="004E7FA9" w:rsidP="00AE6C8E">
            <w:pPr>
              <w:rPr>
                <w:rFonts w:asciiTheme="minorHAnsi" w:hAnsiTheme="minorHAnsi" w:cstheme="minorHAnsi"/>
                <w:sz w:val="18"/>
                <w:szCs w:val="18"/>
              </w:rPr>
            </w:pPr>
          </w:p>
        </w:tc>
        <w:tc>
          <w:tcPr>
            <w:tcW w:w="3375" w:type="dxa"/>
            <w:gridSpan w:val="3"/>
            <w:shd w:val="clear" w:color="auto" w:fill="auto"/>
          </w:tcPr>
          <w:p w14:paraId="45FD8D36" w14:textId="77777777" w:rsidR="004E7FA9" w:rsidRPr="003B6A69" w:rsidRDefault="004E7FA9" w:rsidP="00AE6C8E">
            <w:pPr>
              <w:rPr>
                <w:rFonts w:asciiTheme="minorHAnsi" w:hAnsiTheme="minorHAnsi" w:cstheme="minorHAnsi"/>
                <w:sz w:val="18"/>
                <w:szCs w:val="18"/>
              </w:rPr>
            </w:pPr>
          </w:p>
        </w:tc>
        <w:tc>
          <w:tcPr>
            <w:tcW w:w="1712" w:type="dxa"/>
            <w:shd w:val="clear" w:color="auto" w:fill="F2F2F2" w:themeFill="background1" w:themeFillShade="F2"/>
          </w:tcPr>
          <w:p w14:paraId="2B1F3480"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PIF stage</w:t>
            </w:r>
          </w:p>
        </w:tc>
        <w:tc>
          <w:tcPr>
            <w:tcW w:w="2726" w:type="dxa"/>
            <w:shd w:val="clear" w:color="auto" w:fill="F2F2F2" w:themeFill="background1" w:themeFillShade="F2"/>
          </w:tcPr>
          <w:p w14:paraId="672DCAD8"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PIF stage</w:t>
            </w:r>
          </w:p>
        </w:tc>
        <w:tc>
          <w:tcPr>
            <w:tcW w:w="1985" w:type="dxa"/>
            <w:shd w:val="clear" w:color="auto" w:fill="F2F2F2" w:themeFill="background1" w:themeFillShade="F2"/>
          </w:tcPr>
          <w:p w14:paraId="62CBB116"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MTR</w:t>
            </w:r>
          </w:p>
        </w:tc>
        <w:tc>
          <w:tcPr>
            <w:tcW w:w="3358" w:type="dxa"/>
            <w:shd w:val="clear" w:color="auto" w:fill="F2F2F2" w:themeFill="background1" w:themeFillShade="F2"/>
          </w:tcPr>
          <w:p w14:paraId="3B55730E" w14:textId="77777777" w:rsidR="004E7FA9" w:rsidRPr="003B6A69" w:rsidRDefault="004E7FA9" w:rsidP="00AE6C8E">
            <w:pPr>
              <w:jc w:val="center"/>
              <w:rPr>
                <w:rFonts w:asciiTheme="minorHAnsi" w:hAnsiTheme="minorHAnsi" w:cstheme="minorHAnsi"/>
                <w:i/>
                <w:color w:val="000000"/>
                <w:sz w:val="18"/>
                <w:szCs w:val="18"/>
              </w:rPr>
            </w:pPr>
            <w:r w:rsidRPr="003B6A69">
              <w:rPr>
                <w:rFonts w:asciiTheme="minorHAnsi" w:hAnsiTheme="minorHAnsi" w:cstheme="minorHAnsi"/>
                <w:sz w:val="18"/>
                <w:szCs w:val="18"/>
              </w:rPr>
              <w:t>TE</w:t>
            </w:r>
          </w:p>
        </w:tc>
      </w:tr>
      <w:tr w:rsidR="004E7FA9" w:rsidRPr="003B6A69" w14:paraId="5E68062E" w14:textId="77777777" w:rsidTr="00AE6C8E">
        <w:tc>
          <w:tcPr>
            <w:tcW w:w="1298" w:type="dxa"/>
            <w:shd w:val="clear" w:color="auto" w:fill="auto"/>
          </w:tcPr>
          <w:p w14:paraId="227134C9" w14:textId="77777777" w:rsidR="004E7FA9" w:rsidRPr="003B6A69" w:rsidRDefault="004E7FA9" w:rsidP="00AE6C8E">
            <w:pPr>
              <w:rPr>
                <w:rFonts w:asciiTheme="minorHAnsi" w:hAnsiTheme="minorHAnsi" w:cstheme="minorHAnsi"/>
                <w:sz w:val="18"/>
                <w:szCs w:val="18"/>
              </w:rPr>
            </w:pPr>
          </w:p>
        </w:tc>
        <w:tc>
          <w:tcPr>
            <w:tcW w:w="3375" w:type="dxa"/>
            <w:gridSpan w:val="3"/>
            <w:shd w:val="clear" w:color="auto" w:fill="auto"/>
          </w:tcPr>
          <w:p w14:paraId="6C02D25E" w14:textId="77777777" w:rsidR="004E7FA9" w:rsidRPr="003B6A69" w:rsidRDefault="004E7FA9" w:rsidP="00AE6C8E">
            <w:pPr>
              <w:rPr>
                <w:rFonts w:asciiTheme="minorHAnsi" w:hAnsiTheme="minorHAnsi" w:cstheme="minorHAnsi"/>
                <w:sz w:val="18"/>
                <w:szCs w:val="18"/>
              </w:rPr>
            </w:pPr>
          </w:p>
        </w:tc>
        <w:tc>
          <w:tcPr>
            <w:tcW w:w="1712" w:type="dxa"/>
            <w:shd w:val="clear" w:color="auto" w:fill="F2F2F2" w:themeFill="background1" w:themeFillShade="F2"/>
          </w:tcPr>
          <w:p w14:paraId="434D47B3" w14:textId="77777777" w:rsidR="004E7FA9" w:rsidRPr="003B6A69" w:rsidRDefault="004E7FA9" w:rsidP="00AE6C8E">
            <w:pPr>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2726" w:type="dxa"/>
            <w:shd w:val="clear" w:color="auto" w:fill="F2F2F2" w:themeFill="background1" w:themeFillShade="F2"/>
          </w:tcPr>
          <w:p w14:paraId="06C47912" w14:textId="77777777" w:rsidR="004E7FA9" w:rsidRPr="003B6A69" w:rsidRDefault="004E7FA9" w:rsidP="00AE6C8E">
            <w:pPr>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1985" w:type="dxa"/>
            <w:shd w:val="clear" w:color="auto" w:fill="F2F2F2" w:themeFill="background1" w:themeFillShade="F2"/>
          </w:tcPr>
          <w:p w14:paraId="3A654F40" w14:textId="77777777" w:rsidR="004E7FA9" w:rsidRPr="003B6A69" w:rsidRDefault="004E7FA9" w:rsidP="00AE6C8E">
            <w:pPr>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3358" w:type="dxa"/>
            <w:shd w:val="clear" w:color="auto" w:fill="F2F2F2" w:themeFill="background1" w:themeFillShade="F2"/>
          </w:tcPr>
          <w:p w14:paraId="5B9E2E6E" w14:textId="77777777" w:rsidR="004E7FA9" w:rsidRPr="003B6A69" w:rsidRDefault="004E7FA9" w:rsidP="00AE6C8E">
            <w:pPr>
              <w:jc w:val="right"/>
              <w:rPr>
                <w:rFonts w:asciiTheme="minorHAnsi" w:hAnsiTheme="minorHAnsi" w:cstheme="minorHAnsi"/>
                <w:i/>
                <w:color w:val="000000"/>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r>
      <w:tr w:rsidR="004E7FA9" w:rsidRPr="003B6A69" w14:paraId="37065363" w14:textId="77777777" w:rsidTr="00AE6C8E">
        <w:tc>
          <w:tcPr>
            <w:tcW w:w="1298" w:type="dxa"/>
            <w:shd w:val="clear" w:color="auto" w:fill="BFBFBF" w:themeFill="background1" w:themeFillShade="BF"/>
          </w:tcPr>
          <w:p w14:paraId="57C1F2D8" w14:textId="77777777" w:rsidR="004E7FA9" w:rsidRPr="003B6A69" w:rsidRDefault="004E7FA9" w:rsidP="00AE6C8E">
            <w:pPr>
              <w:rPr>
                <w:rFonts w:asciiTheme="minorHAnsi" w:hAnsiTheme="minorHAnsi" w:cstheme="minorHAnsi"/>
                <w:sz w:val="18"/>
                <w:szCs w:val="18"/>
              </w:rPr>
            </w:pPr>
            <w:r w:rsidRPr="003B6A69">
              <w:rPr>
                <w:rFonts w:asciiTheme="minorHAnsi" w:hAnsiTheme="minorHAnsi" w:cstheme="minorHAnsi"/>
                <w:sz w:val="18"/>
                <w:szCs w:val="18"/>
              </w:rPr>
              <w:t>Indicator 9.1</w:t>
            </w:r>
          </w:p>
        </w:tc>
        <w:tc>
          <w:tcPr>
            <w:tcW w:w="9798" w:type="dxa"/>
            <w:gridSpan w:val="6"/>
            <w:shd w:val="clear" w:color="auto" w:fill="BFBFBF" w:themeFill="background1" w:themeFillShade="BF"/>
          </w:tcPr>
          <w:p w14:paraId="468E2408" w14:textId="77777777" w:rsidR="004E7FA9" w:rsidRPr="003B6A69" w:rsidRDefault="004E7FA9" w:rsidP="00AE6C8E">
            <w:pPr>
              <w:rPr>
                <w:rFonts w:asciiTheme="minorHAnsi" w:hAnsiTheme="minorHAnsi" w:cstheme="minorHAnsi"/>
                <w:sz w:val="18"/>
                <w:szCs w:val="18"/>
              </w:rPr>
            </w:pPr>
            <w:r w:rsidRPr="003B6A69">
              <w:rPr>
                <w:rFonts w:asciiTheme="minorHAnsi" w:hAnsiTheme="minorHAnsi" w:cstheme="minorHAnsi"/>
                <w:bCs/>
                <w:sz w:val="18"/>
                <w:szCs w:val="18"/>
              </w:rPr>
              <w:t>Solid and liquid Persistent Organic Pollutants (POPs) removed or disposed (</w:t>
            </w:r>
            <w:proofErr w:type="gramStart"/>
            <w:r w:rsidRPr="003B6A69">
              <w:rPr>
                <w:rFonts w:asciiTheme="minorHAnsi" w:hAnsiTheme="minorHAnsi" w:cstheme="minorHAnsi"/>
                <w:bCs/>
                <w:sz w:val="18"/>
                <w:szCs w:val="18"/>
              </w:rPr>
              <w:t>POPs</w:t>
            </w:r>
            <w:proofErr w:type="gramEnd"/>
            <w:r w:rsidRPr="003B6A69">
              <w:rPr>
                <w:rFonts w:asciiTheme="minorHAnsi" w:hAnsiTheme="minorHAnsi" w:cstheme="minorHAnsi"/>
                <w:bCs/>
                <w:sz w:val="18"/>
                <w:szCs w:val="18"/>
              </w:rPr>
              <w:t xml:space="preserve"> type)</w:t>
            </w:r>
          </w:p>
        </w:tc>
        <w:tc>
          <w:tcPr>
            <w:tcW w:w="3358" w:type="dxa"/>
            <w:shd w:val="clear" w:color="auto" w:fill="BFBFBF" w:themeFill="background1" w:themeFillShade="BF"/>
          </w:tcPr>
          <w:p w14:paraId="56091F65"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r>
      <w:tr w:rsidR="004E7FA9" w:rsidRPr="003B6A69" w14:paraId="7205BEFD" w14:textId="77777777" w:rsidTr="00AE6C8E">
        <w:trPr>
          <w:trHeight w:val="125"/>
        </w:trPr>
        <w:tc>
          <w:tcPr>
            <w:tcW w:w="4673" w:type="dxa"/>
            <w:gridSpan w:val="4"/>
            <w:vMerge w:val="restart"/>
            <w:vAlign w:val="center"/>
          </w:tcPr>
          <w:p w14:paraId="08B9D3CF" w14:textId="77777777" w:rsidR="004E7FA9" w:rsidRPr="003B6A69" w:rsidRDefault="004E7FA9" w:rsidP="00AE6C8E">
            <w:pPr>
              <w:jc w:val="center"/>
              <w:rPr>
                <w:rFonts w:asciiTheme="minorHAnsi" w:hAnsiTheme="minorHAnsi" w:cstheme="minorHAnsi"/>
                <w:sz w:val="18"/>
                <w:szCs w:val="18"/>
              </w:rPr>
            </w:pPr>
            <w:proofErr w:type="gramStart"/>
            <w:r w:rsidRPr="003B6A69">
              <w:rPr>
                <w:rFonts w:asciiTheme="minorHAnsi" w:hAnsiTheme="minorHAnsi" w:cstheme="minorHAnsi"/>
                <w:sz w:val="18"/>
                <w:szCs w:val="18"/>
              </w:rPr>
              <w:t>POPs</w:t>
            </w:r>
            <w:proofErr w:type="gramEnd"/>
            <w:r w:rsidRPr="003B6A69">
              <w:rPr>
                <w:rFonts w:asciiTheme="minorHAnsi" w:hAnsiTheme="minorHAnsi" w:cstheme="minorHAnsi"/>
                <w:sz w:val="18"/>
                <w:szCs w:val="18"/>
              </w:rPr>
              <w:t xml:space="preserve"> type</w:t>
            </w:r>
          </w:p>
        </w:tc>
        <w:tc>
          <w:tcPr>
            <w:tcW w:w="9781" w:type="dxa"/>
            <w:gridSpan w:val="4"/>
          </w:tcPr>
          <w:p w14:paraId="5BFF73AE"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Metric Tons</w:t>
            </w:r>
          </w:p>
        </w:tc>
      </w:tr>
      <w:tr w:rsidR="004E7FA9" w:rsidRPr="003B6A69" w14:paraId="0A485C30" w14:textId="77777777" w:rsidTr="00AE6C8E">
        <w:trPr>
          <w:trHeight w:val="58"/>
        </w:trPr>
        <w:tc>
          <w:tcPr>
            <w:tcW w:w="4673" w:type="dxa"/>
            <w:gridSpan w:val="4"/>
            <w:vMerge/>
          </w:tcPr>
          <w:p w14:paraId="617CD583" w14:textId="77777777" w:rsidR="004E7FA9" w:rsidRPr="003B6A69" w:rsidRDefault="004E7FA9" w:rsidP="00AE6C8E">
            <w:pPr>
              <w:rPr>
                <w:rFonts w:asciiTheme="minorHAnsi" w:hAnsiTheme="minorHAnsi" w:cstheme="minorHAnsi"/>
                <w:sz w:val="18"/>
                <w:szCs w:val="18"/>
              </w:rPr>
            </w:pPr>
          </w:p>
        </w:tc>
        <w:tc>
          <w:tcPr>
            <w:tcW w:w="4438" w:type="dxa"/>
            <w:gridSpan w:val="2"/>
          </w:tcPr>
          <w:p w14:paraId="0D17E81F"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Expected</w:t>
            </w:r>
          </w:p>
        </w:tc>
        <w:tc>
          <w:tcPr>
            <w:tcW w:w="5343" w:type="dxa"/>
            <w:gridSpan w:val="2"/>
          </w:tcPr>
          <w:p w14:paraId="6930A575"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Achieved</w:t>
            </w:r>
          </w:p>
        </w:tc>
      </w:tr>
      <w:tr w:rsidR="004E7FA9" w:rsidRPr="003B6A69" w14:paraId="18E33E11" w14:textId="77777777" w:rsidTr="00AE6C8E">
        <w:trPr>
          <w:trHeight w:val="179"/>
        </w:trPr>
        <w:tc>
          <w:tcPr>
            <w:tcW w:w="4673" w:type="dxa"/>
            <w:gridSpan w:val="4"/>
            <w:vMerge/>
          </w:tcPr>
          <w:p w14:paraId="15055962" w14:textId="77777777" w:rsidR="004E7FA9" w:rsidRPr="003B6A69" w:rsidRDefault="004E7FA9" w:rsidP="00AE6C8E">
            <w:pPr>
              <w:rPr>
                <w:rFonts w:asciiTheme="minorHAnsi" w:hAnsiTheme="minorHAnsi" w:cstheme="minorHAnsi"/>
                <w:sz w:val="18"/>
                <w:szCs w:val="18"/>
              </w:rPr>
            </w:pPr>
          </w:p>
        </w:tc>
        <w:tc>
          <w:tcPr>
            <w:tcW w:w="1712" w:type="dxa"/>
          </w:tcPr>
          <w:p w14:paraId="0942C412"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PIF stage</w:t>
            </w:r>
          </w:p>
        </w:tc>
        <w:tc>
          <w:tcPr>
            <w:tcW w:w="2726" w:type="dxa"/>
          </w:tcPr>
          <w:p w14:paraId="6168943E"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Endorsement</w:t>
            </w:r>
          </w:p>
        </w:tc>
        <w:tc>
          <w:tcPr>
            <w:tcW w:w="1985" w:type="dxa"/>
          </w:tcPr>
          <w:p w14:paraId="040C0716"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MTR</w:t>
            </w:r>
          </w:p>
        </w:tc>
        <w:tc>
          <w:tcPr>
            <w:tcW w:w="3358" w:type="dxa"/>
          </w:tcPr>
          <w:p w14:paraId="5C78946F"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TE</w:t>
            </w:r>
          </w:p>
        </w:tc>
      </w:tr>
      <w:tr w:rsidR="004E7FA9" w:rsidRPr="003B6A69" w14:paraId="0D8A6C81" w14:textId="77777777" w:rsidTr="00AE6C8E">
        <w:tc>
          <w:tcPr>
            <w:tcW w:w="1298" w:type="dxa"/>
          </w:tcPr>
          <w:p w14:paraId="60D0E08D"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color w:val="000000"/>
                <w:szCs w:val="20"/>
              </w:rPr>
              <w:fldChar w:fldCharType="begin">
                <w:ffData>
                  <w:name w:val="GEF_IA_01"/>
                  <w:enabled/>
                  <w:calcOnExit w:val="0"/>
                  <w:helpText w:type="text" w:val="GEF Agency(ies):  In the dropdown menu, select the GEF Agency.  For multi-agency projects, select the other agency(ies) from the other pull down menu that is also provided"/>
                  <w:ddList>
                    <w:listEntry w:val="(select)"/>
                    <w:listEntry w:val="Aldrin"/>
                    <w:listEntry w:val="Alpha hexachlorocyclohexane"/>
                    <w:listEntry w:val="Beta hexachlorocyclohexane"/>
                    <w:listEntry w:val="Chlordane"/>
                    <w:listEntry w:val="DDT"/>
                    <w:listEntry w:val="Dieldrin"/>
                    <w:listEntry w:val="Endosulfan and isomers"/>
                    <w:listEntry w:val="Endrin"/>
                    <w:listEntry w:val="Heptachlor"/>
                  </w:ddList>
                </w:ffData>
              </w:fldChar>
            </w:r>
            <w:r w:rsidRPr="003B6A69">
              <w:rPr>
                <w:rFonts w:asciiTheme="minorHAnsi" w:hAnsiTheme="minorHAnsi" w:cstheme="minorHAnsi"/>
                <w:color w:val="000000"/>
                <w:szCs w:val="20"/>
              </w:rPr>
              <w:instrText xml:space="preserve"> FORMDROPDOWN </w:instrText>
            </w:r>
            <w:r w:rsidR="00127DDC">
              <w:rPr>
                <w:rFonts w:asciiTheme="minorHAnsi" w:hAnsiTheme="minorHAnsi" w:cstheme="minorHAnsi"/>
                <w:color w:val="000000"/>
                <w:szCs w:val="20"/>
              </w:rPr>
            </w:r>
            <w:r w:rsidR="00127DDC">
              <w:rPr>
                <w:rFonts w:asciiTheme="minorHAnsi" w:hAnsiTheme="minorHAnsi" w:cstheme="minorHAnsi"/>
                <w:color w:val="000000"/>
                <w:szCs w:val="20"/>
              </w:rPr>
              <w:fldChar w:fldCharType="separate"/>
            </w:r>
            <w:r w:rsidRPr="003B6A69">
              <w:rPr>
                <w:rFonts w:asciiTheme="minorHAnsi" w:hAnsiTheme="minorHAnsi" w:cstheme="minorHAnsi"/>
                <w:color w:val="000000"/>
                <w:szCs w:val="20"/>
              </w:rPr>
              <w:fldChar w:fldCharType="end"/>
            </w:r>
            <w:r w:rsidRPr="003B6A69">
              <w:rPr>
                <w:rFonts w:asciiTheme="minorHAnsi" w:hAnsiTheme="minorHAnsi" w:cstheme="minorHAnsi"/>
                <w:color w:val="000000"/>
                <w:szCs w:val="20"/>
              </w:rPr>
              <w:t xml:space="preserve">  </w:t>
            </w:r>
          </w:p>
        </w:tc>
        <w:tc>
          <w:tcPr>
            <w:tcW w:w="933" w:type="dxa"/>
          </w:tcPr>
          <w:p w14:paraId="48435AE9"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color w:val="000000"/>
                <w:szCs w:val="20"/>
              </w:rPr>
              <w:fldChar w:fldCharType="begin">
                <w:ffData>
                  <w:name w:val=""/>
                  <w:enabled/>
                  <w:calcOnExit w:val="0"/>
                  <w:helpText w:type="text" w:val="GEF Agency(ies):  In the dropdown menu, select the GEF Agency.  For multi-agency projects, select the other agency(ies) from the other pull down menu that is also provided"/>
                  <w:ddList>
                    <w:listEntry w:val="(select)"/>
                    <w:listEntry w:val="Hexabromobiphenyl"/>
                    <w:listEntry w:val="Hexabromocyclododecane (HBDC)"/>
                    <w:listEntry w:val="Hexa-Heptabromodiphenyl ether"/>
                    <w:listEntry w:val="Hexachlorobenzene (HCB)"/>
                    <w:listEntry w:val="Hexachlorobutadiene"/>
                    <w:listEntry w:val="Lindane"/>
                    <w:listEntry w:val="Mirex"/>
                    <w:listEntry w:val="Pentachlorophenol/salts/esters"/>
                    <w:listEntry w:val="Perfluorooctane sulfunic acid/salts/PFOS"/>
                  </w:ddList>
                </w:ffData>
              </w:fldChar>
            </w:r>
            <w:r w:rsidRPr="003B6A69">
              <w:rPr>
                <w:rFonts w:asciiTheme="minorHAnsi" w:hAnsiTheme="minorHAnsi" w:cstheme="minorHAnsi"/>
                <w:color w:val="000000"/>
                <w:szCs w:val="20"/>
              </w:rPr>
              <w:instrText xml:space="preserve"> FORMDROPDOWN </w:instrText>
            </w:r>
            <w:r w:rsidR="00127DDC">
              <w:rPr>
                <w:rFonts w:asciiTheme="minorHAnsi" w:hAnsiTheme="minorHAnsi" w:cstheme="minorHAnsi"/>
                <w:color w:val="000000"/>
                <w:szCs w:val="20"/>
              </w:rPr>
            </w:r>
            <w:r w:rsidR="00127DDC">
              <w:rPr>
                <w:rFonts w:asciiTheme="minorHAnsi" w:hAnsiTheme="minorHAnsi" w:cstheme="minorHAnsi"/>
                <w:color w:val="000000"/>
                <w:szCs w:val="20"/>
              </w:rPr>
              <w:fldChar w:fldCharType="separate"/>
            </w:r>
            <w:r w:rsidRPr="003B6A69">
              <w:rPr>
                <w:rFonts w:asciiTheme="minorHAnsi" w:hAnsiTheme="minorHAnsi" w:cstheme="minorHAnsi"/>
                <w:color w:val="000000"/>
                <w:szCs w:val="20"/>
              </w:rPr>
              <w:fldChar w:fldCharType="end"/>
            </w:r>
            <w:r w:rsidRPr="003B6A69">
              <w:rPr>
                <w:rFonts w:asciiTheme="minorHAnsi" w:hAnsiTheme="minorHAnsi" w:cstheme="minorHAnsi"/>
                <w:color w:val="000000"/>
                <w:szCs w:val="20"/>
              </w:rPr>
              <w:t xml:space="preserve">    </w:t>
            </w:r>
          </w:p>
        </w:tc>
        <w:tc>
          <w:tcPr>
            <w:tcW w:w="2442" w:type="dxa"/>
            <w:gridSpan w:val="2"/>
          </w:tcPr>
          <w:p w14:paraId="5B0386BE"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color w:val="000000"/>
                <w:szCs w:val="20"/>
              </w:rPr>
              <w:fldChar w:fldCharType="begin">
                <w:ffData>
                  <w:name w:val=""/>
                  <w:enabled/>
                  <w:calcOnExit w:val="0"/>
                  <w:helpText w:type="text" w:val="GEF Agency(ies):  In the dropdown menu, select the GEF Agency.  For multi-agency projects, select the other agency(ies) from the other pull down menu that is also provided"/>
                  <w:ddList>
                    <w:listEntry w:val="(select)"/>
                    <w:listEntry w:val="Polychlorinated biphenyls (PCB)"/>
                    <w:listEntry w:val="Polychlorinated Dibenzofurans (PCDF)"/>
                    <w:listEntry w:val="Polychlorinated Dibenzo-p-dioxins (PCDD)"/>
                    <w:listEntry w:val="Polychlorinated naphthalenes (PCN)"/>
                    <w:listEntry w:val="Tetrabromodiphenyl ether/Pentabromodiphenyl ether"/>
                    <w:listEntry w:val="Toxaphene"/>
                  </w:ddList>
                </w:ffData>
              </w:fldChar>
            </w:r>
            <w:r w:rsidRPr="003B6A69">
              <w:rPr>
                <w:rFonts w:asciiTheme="minorHAnsi" w:hAnsiTheme="minorHAnsi" w:cstheme="minorHAnsi"/>
                <w:color w:val="000000"/>
                <w:szCs w:val="20"/>
              </w:rPr>
              <w:instrText xml:space="preserve"> FORMDROPDOWN </w:instrText>
            </w:r>
            <w:r w:rsidR="00127DDC">
              <w:rPr>
                <w:rFonts w:asciiTheme="minorHAnsi" w:hAnsiTheme="minorHAnsi" w:cstheme="minorHAnsi"/>
                <w:color w:val="000000"/>
                <w:szCs w:val="20"/>
              </w:rPr>
            </w:r>
            <w:r w:rsidR="00127DDC">
              <w:rPr>
                <w:rFonts w:asciiTheme="minorHAnsi" w:hAnsiTheme="minorHAnsi" w:cstheme="minorHAnsi"/>
                <w:color w:val="000000"/>
                <w:szCs w:val="20"/>
              </w:rPr>
              <w:fldChar w:fldCharType="separate"/>
            </w:r>
            <w:r w:rsidRPr="003B6A69">
              <w:rPr>
                <w:rFonts w:asciiTheme="minorHAnsi" w:hAnsiTheme="minorHAnsi" w:cstheme="minorHAnsi"/>
                <w:color w:val="000000"/>
                <w:szCs w:val="20"/>
              </w:rPr>
              <w:fldChar w:fldCharType="end"/>
            </w:r>
          </w:p>
        </w:tc>
        <w:tc>
          <w:tcPr>
            <w:tcW w:w="1712" w:type="dxa"/>
          </w:tcPr>
          <w:p w14:paraId="315508A8"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2726" w:type="dxa"/>
          </w:tcPr>
          <w:p w14:paraId="2639E282"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1985" w:type="dxa"/>
          </w:tcPr>
          <w:p w14:paraId="15B36806"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3358" w:type="dxa"/>
          </w:tcPr>
          <w:p w14:paraId="1EAA7D02"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r>
      <w:tr w:rsidR="004E7FA9" w:rsidRPr="003B6A69" w14:paraId="4D329D6F" w14:textId="77777777" w:rsidTr="00AE6C8E">
        <w:tc>
          <w:tcPr>
            <w:tcW w:w="1298" w:type="dxa"/>
          </w:tcPr>
          <w:p w14:paraId="12713BE0"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color w:val="000000"/>
                <w:szCs w:val="20"/>
              </w:rPr>
              <w:fldChar w:fldCharType="begin">
                <w:ffData>
                  <w:name w:val="GEF_IA_01"/>
                  <w:enabled/>
                  <w:calcOnExit w:val="0"/>
                  <w:helpText w:type="text" w:val="GEF Agency(ies):  In the dropdown menu, select the GEF Agency.  For multi-agency projects, select the other agency(ies) from the other pull down menu that is also provided"/>
                  <w:ddList>
                    <w:listEntry w:val="(select)"/>
                    <w:listEntry w:val="Aldrin"/>
                    <w:listEntry w:val="Alpha hexachlorocyclohexane"/>
                    <w:listEntry w:val="Beta hexachlorocyclohexane"/>
                    <w:listEntry w:val="Chlordane"/>
                    <w:listEntry w:val="DDT"/>
                    <w:listEntry w:val="Dieldrin"/>
                    <w:listEntry w:val="Endosulfan and isomers"/>
                    <w:listEntry w:val="Endrin"/>
                    <w:listEntry w:val="Heptachlor"/>
                  </w:ddList>
                </w:ffData>
              </w:fldChar>
            </w:r>
            <w:r w:rsidRPr="003B6A69">
              <w:rPr>
                <w:rFonts w:asciiTheme="minorHAnsi" w:hAnsiTheme="minorHAnsi" w:cstheme="minorHAnsi"/>
                <w:color w:val="000000"/>
                <w:szCs w:val="20"/>
              </w:rPr>
              <w:instrText xml:space="preserve"> FORMDROPDOWN </w:instrText>
            </w:r>
            <w:r w:rsidR="00127DDC">
              <w:rPr>
                <w:rFonts w:asciiTheme="minorHAnsi" w:hAnsiTheme="minorHAnsi" w:cstheme="minorHAnsi"/>
                <w:color w:val="000000"/>
                <w:szCs w:val="20"/>
              </w:rPr>
            </w:r>
            <w:r w:rsidR="00127DDC">
              <w:rPr>
                <w:rFonts w:asciiTheme="minorHAnsi" w:hAnsiTheme="minorHAnsi" w:cstheme="minorHAnsi"/>
                <w:color w:val="000000"/>
                <w:szCs w:val="20"/>
              </w:rPr>
              <w:fldChar w:fldCharType="separate"/>
            </w:r>
            <w:r w:rsidRPr="003B6A69">
              <w:rPr>
                <w:rFonts w:asciiTheme="minorHAnsi" w:hAnsiTheme="minorHAnsi" w:cstheme="minorHAnsi"/>
                <w:color w:val="000000"/>
                <w:szCs w:val="20"/>
              </w:rPr>
              <w:fldChar w:fldCharType="end"/>
            </w:r>
            <w:r w:rsidRPr="003B6A69">
              <w:rPr>
                <w:rFonts w:asciiTheme="minorHAnsi" w:hAnsiTheme="minorHAnsi" w:cstheme="minorHAnsi"/>
                <w:color w:val="000000"/>
                <w:szCs w:val="20"/>
              </w:rPr>
              <w:t xml:space="preserve">  </w:t>
            </w:r>
          </w:p>
        </w:tc>
        <w:tc>
          <w:tcPr>
            <w:tcW w:w="933" w:type="dxa"/>
          </w:tcPr>
          <w:p w14:paraId="1D12BDE5"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color w:val="000000"/>
                <w:szCs w:val="20"/>
              </w:rPr>
              <w:fldChar w:fldCharType="begin">
                <w:ffData>
                  <w:name w:val=""/>
                  <w:enabled/>
                  <w:calcOnExit w:val="0"/>
                  <w:helpText w:type="text" w:val="GEF Agency(ies):  In the dropdown menu, select the GEF Agency.  For multi-agency projects, select the other agency(ies) from the other pull down menu that is also provided"/>
                  <w:ddList>
                    <w:listEntry w:val="(select)"/>
                    <w:listEntry w:val="Hexabromobiphenyl"/>
                    <w:listEntry w:val="Hexabromocyclododecane (HBDC)"/>
                    <w:listEntry w:val="Hexa-Heptabromodiphenyl ether"/>
                    <w:listEntry w:val="Hexachlorobenzene (HCB)"/>
                    <w:listEntry w:val="Hexachlorobutadiene"/>
                    <w:listEntry w:val="Lindane"/>
                    <w:listEntry w:val="Mirex"/>
                    <w:listEntry w:val="Pentachlorophenol/salts/esters"/>
                    <w:listEntry w:val="Perfluorooctane sulfunic acid/salts/PFOS"/>
                  </w:ddList>
                </w:ffData>
              </w:fldChar>
            </w:r>
            <w:r w:rsidRPr="003B6A69">
              <w:rPr>
                <w:rFonts w:asciiTheme="minorHAnsi" w:hAnsiTheme="minorHAnsi" w:cstheme="minorHAnsi"/>
                <w:color w:val="000000"/>
                <w:szCs w:val="20"/>
              </w:rPr>
              <w:instrText xml:space="preserve"> FORMDROPDOWN </w:instrText>
            </w:r>
            <w:r w:rsidR="00127DDC">
              <w:rPr>
                <w:rFonts w:asciiTheme="minorHAnsi" w:hAnsiTheme="minorHAnsi" w:cstheme="minorHAnsi"/>
                <w:color w:val="000000"/>
                <w:szCs w:val="20"/>
              </w:rPr>
            </w:r>
            <w:r w:rsidR="00127DDC">
              <w:rPr>
                <w:rFonts w:asciiTheme="minorHAnsi" w:hAnsiTheme="minorHAnsi" w:cstheme="minorHAnsi"/>
                <w:color w:val="000000"/>
                <w:szCs w:val="20"/>
              </w:rPr>
              <w:fldChar w:fldCharType="separate"/>
            </w:r>
            <w:r w:rsidRPr="003B6A69">
              <w:rPr>
                <w:rFonts w:asciiTheme="minorHAnsi" w:hAnsiTheme="minorHAnsi" w:cstheme="minorHAnsi"/>
                <w:color w:val="000000"/>
                <w:szCs w:val="20"/>
              </w:rPr>
              <w:fldChar w:fldCharType="end"/>
            </w:r>
            <w:r w:rsidRPr="003B6A69">
              <w:rPr>
                <w:rFonts w:asciiTheme="minorHAnsi" w:hAnsiTheme="minorHAnsi" w:cstheme="minorHAnsi"/>
                <w:color w:val="000000"/>
                <w:szCs w:val="20"/>
              </w:rPr>
              <w:t xml:space="preserve">    </w:t>
            </w:r>
          </w:p>
        </w:tc>
        <w:tc>
          <w:tcPr>
            <w:tcW w:w="2442" w:type="dxa"/>
            <w:gridSpan w:val="2"/>
          </w:tcPr>
          <w:p w14:paraId="730BB289"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color w:val="000000"/>
                <w:szCs w:val="20"/>
              </w:rPr>
              <w:fldChar w:fldCharType="begin">
                <w:ffData>
                  <w:name w:val=""/>
                  <w:enabled/>
                  <w:calcOnExit w:val="0"/>
                  <w:helpText w:type="text" w:val="GEF Agency(ies):  In the dropdown menu, select the GEF Agency.  For multi-agency projects, select the other agency(ies) from the other pull down menu that is also provided"/>
                  <w:ddList>
                    <w:listEntry w:val="(select)"/>
                    <w:listEntry w:val="Polychlorinated biphenyls (PCB)"/>
                    <w:listEntry w:val="Polychlorinated Dibenzofurans (PCDF)"/>
                    <w:listEntry w:val="Polychlorinated Dibenzo-p-dioxins (PCDD)"/>
                    <w:listEntry w:val="Polychlorinated naphthalenes (PCN)"/>
                    <w:listEntry w:val="Tetrabromodiphenyl ether/Pentabromodiphenyl ether"/>
                    <w:listEntry w:val="Toxaphene"/>
                  </w:ddList>
                </w:ffData>
              </w:fldChar>
            </w:r>
            <w:r w:rsidRPr="003B6A69">
              <w:rPr>
                <w:rFonts w:asciiTheme="minorHAnsi" w:hAnsiTheme="minorHAnsi" w:cstheme="minorHAnsi"/>
                <w:color w:val="000000"/>
                <w:szCs w:val="20"/>
              </w:rPr>
              <w:instrText xml:space="preserve"> FORMDROPDOWN </w:instrText>
            </w:r>
            <w:r w:rsidR="00127DDC">
              <w:rPr>
                <w:rFonts w:asciiTheme="minorHAnsi" w:hAnsiTheme="minorHAnsi" w:cstheme="minorHAnsi"/>
                <w:color w:val="000000"/>
                <w:szCs w:val="20"/>
              </w:rPr>
            </w:r>
            <w:r w:rsidR="00127DDC">
              <w:rPr>
                <w:rFonts w:asciiTheme="minorHAnsi" w:hAnsiTheme="minorHAnsi" w:cstheme="minorHAnsi"/>
                <w:color w:val="000000"/>
                <w:szCs w:val="20"/>
              </w:rPr>
              <w:fldChar w:fldCharType="separate"/>
            </w:r>
            <w:r w:rsidRPr="003B6A69">
              <w:rPr>
                <w:rFonts w:asciiTheme="minorHAnsi" w:hAnsiTheme="minorHAnsi" w:cstheme="minorHAnsi"/>
                <w:color w:val="000000"/>
                <w:szCs w:val="20"/>
              </w:rPr>
              <w:fldChar w:fldCharType="end"/>
            </w:r>
          </w:p>
        </w:tc>
        <w:tc>
          <w:tcPr>
            <w:tcW w:w="1712" w:type="dxa"/>
          </w:tcPr>
          <w:p w14:paraId="22CD2264"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2726" w:type="dxa"/>
          </w:tcPr>
          <w:p w14:paraId="32AD0A1B"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1985" w:type="dxa"/>
          </w:tcPr>
          <w:p w14:paraId="336974FE"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3358" w:type="dxa"/>
          </w:tcPr>
          <w:p w14:paraId="6FB9FD2D"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r>
      <w:tr w:rsidR="004E7FA9" w:rsidRPr="003B6A69" w14:paraId="38EDC4C3" w14:textId="77777777" w:rsidTr="00AE6C8E">
        <w:tc>
          <w:tcPr>
            <w:tcW w:w="1298" w:type="dxa"/>
          </w:tcPr>
          <w:p w14:paraId="29CE8F5B"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color w:val="000000"/>
                <w:szCs w:val="20"/>
              </w:rPr>
              <w:fldChar w:fldCharType="begin">
                <w:ffData>
                  <w:name w:val="GEF_IA_01"/>
                  <w:enabled/>
                  <w:calcOnExit w:val="0"/>
                  <w:helpText w:type="text" w:val="GEF Agency(ies):  In the dropdown menu, select the GEF Agency.  For multi-agency projects, select the other agency(ies) from the other pull down menu that is also provided"/>
                  <w:ddList>
                    <w:listEntry w:val="(select)"/>
                    <w:listEntry w:val="Aldrin"/>
                    <w:listEntry w:val="Alpha hexachlorocyclohexane"/>
                    <w:listEntry w:val="Beta hexachlorocyclohexane"/>
                    <w:listEntry w:val="Chlordane"/>
                    <w:listEntry w:val="DDT"/>
                    <w:listEntry w:val="Dieldrin"/>
                    <w:listEntry w:val="Endosulfan and isomers"/>
                    <w:listEntry w:val="Endrin"/>
                    <w:listEntry w:val="Heptachlor"/>
                  </w:ddList>
                </w:ffData>
              </w:fldChar>
            </w:r>
            <w:r w:rsidRPr="003B6A69">
              <w:rPr>
                <w:rFonts w:asciiTheme="minorHAnsi" w:hAnsiTheme="minorHAnsi" w:cstheme="minorHAnsi"/>
                <w:color w:val="000000"/>
                <w:szCs w:val="20"/>
              </w:rPr>
              <w:instrText xml:space="preserve"> FORMDROPDOWN </w:instrText>
            </w:r>
            <w:r w:rsidR="00127DDC">
              <w:rPr>
                <w:rFonts w:asciiTheme="minorHAnsi" w:hAnsiTheme="minorHAnsi" w:cstheme="minorHAnsi"/>
                <w:color w:val="000000"/>
                <w:szCs w:val="20"/>
              </w:rPr>
            </w:r>
            <w:r w:rsidR="00127DDC">
              <w:rPr>
                <w:rFonts w:asciiTheme="minorHAnsi" w:hAnsiTheme="minorHAnsi" w:cstheme="minorHAnsi"/>
                <w:color w:val="000000"/>
                <w:szCs w:val="20"/>
              </w:rPr>
              <w:fldChar w:fldCharType="separate"/>
            </w:r>
            <w:r w:rsidRPr="003B6A69">
              <w:rPr>
                <w:rFonts w:asciiTheme="minorHAnsi" w:hAnsiTheme="minorHAnsi" w:cstheme="minorHAnsi"/>
                <w:color w:val="000000"/>
                <w:szCs w:val="20"/>
              </w:rPr>
              <w:fldChar w:fldCharType="end"/>
            </w:r>
            <w:r w:rsidRPr="003B6A69">
              <w:rPr>
                <w:rFonts w:asciiTheme="minorHAnsi" w:hAnsiTheme="minorHAnsi" w:cstheme="minorHAnsi"/>
                <w:color w:val="000000"/>
                <w:szCs w:val="20"/>
              </w:rPr>
              <w:t xml:space="preserve">  </w:t>
            </w:r>
          </w:p>
        </w:tc>
        <w:tc>
          <w:tcPr>
            <w:tcW w:w="933" w:type="dxa"/>
          </w:tcPr>
          <w:p w14:paraId="745E5C57"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color w:val="000000"/>
                <w:szCs w:val="20"/>
              </w:rPr>
              <w:fldChar w:fldCharType="begin">
                <w:ffData>
                  <w:name w:val=""/>
                  <w:enabled/>
                  <w:calcOnExit w:val="0"/>
                  <w:helpText w:type="text" w:val="GEF Agency(ies):  In the dropdown menu, select the GEF Agency.  For multi-agency projects, select the other agency(ies) from the other pull down menu that is also provided"/>
                  <w:ddList>
                    <w:listEntry w:val="(select)"/>
                    <w:listEntry w:val="Hexabromobiphenyl"/>
                    <w:listEntry w:val="Hexabromocyclododecane (HBDC)"/>
                    <w:listEntry w:val="Hexa-Heptabromodiphenyl ether"/>
                    <w:listEntry w:val="Hexachlorobenzene (HCB)"/>
                    <w:listEntry w:val="Hexachlorobutadiene"/>
                    <w:listEntry w:val="Lindane"/>
                    <w:listEntry w:val="Mirex"/>
                    <w:listEntry w:val="Pentachlorophenol/salts/esters"/>
                    <w:listEntry w:val="Perfluorooctane sulfunic acid/salts/PFOS"/>
                  </w:ddList>
                </w:ffData>
              </w:fldChar>
            </w:r>
            <w:r w:rsidRPr="003B6A69">
              <w:rPr>
                <w:rFonts w:asciiTheme="minorHAnsi" w:hAnsiTheme="minorHAnsi" w:cstheme="minorHAnsi"/>
                <w:color w:val="000000"/>
                <w:szCs w:val="20"/>
              </w:rPr>
              <w:instrText xml:space="preserve"> FORMDROPDOWN </w:instrText>
            </w:r>
            <w:r w:rsidR="00127DDC">
              <w:rPr>
                <w:rFonts w:asciiTheme="minorHAnsi" w:hAnsiTheme="minorHAnsi" w:cstheme="minorHAnsi"/>
                <w:color w:val="000000"/>
                <w:szCs w:val="20"/>
              </w:rPr>
            </w:r>
            <w:r w:rsidR="00127DDC">
              <w:rPr>
                <w:rFonts w:asciiTheme="minorHAnsi" w:hAnsiTheme="minorHAnsi" w:cstheme="minorHAnsi"/>
                <w:color w:val="000000"/>
                <w:szCs w:val="20"/>
              </w:rPr>
              <w:fldChar w:fldCharType="separate"/>
            </w:r>
            <w:r w:rsidRPr="003B6A69">
              <w:rPr>
                <w:rFonts w:asciiTheme="minorHAnsi" w:hAnsiTheme="minorHAnsi" w:cstheme="minorHAnsi"/>
                <w:color w:val="000000"/>
                <w:szCs w:val="20"/>
              </w:rPr>
              <w:fldChar w:fldCharType="end"/>
            </w:r>
            <w:r w:rsidRPr="003B6A69">
              <w:rPr>
                <w:rFonts w:asciiTheme="minorHAnsi" w:hAnsiTheme="minorHAnsi" w:cstheme="minorHAnsi"/>
                <w:color w:val="000000"/>
                <w:szCs w:val="20"/>
              </w:rPr>
              <w:t xml:space="preserve">    </w:t>
            </w:r>
          </w:p>
        </w:tc>
        <w:tc>
          <w:tcPr>
            <w:tcW w:w="2442" w:type="dxa"/>
            <w:gridSpan w:val="2"/>
          </w:tcPr>
          <w:p w14:paraId="63095DFB"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color w:val="000000"/>
                <w:szCs w:val="20"/>
              </w:rPr>
              <w:fldChar w:fldCharType="begin">
                <w:ffData>
                  <w:name w:val=""/>
                  <w:enabled/>
                  <w:calcOnExit w:val="0"/>
                  <w:helpText w:type="text" w:val="GEF Agency(ies):  In the dropdown menu, select the GEF Agency.  For multi-agency projects, select the other agency(ies) from the other pull down menu that is also provided"/>
                  <w:ddList>
                    <w:listEntry w:val="(select)"/>
                    <w:listEntry w:val="Polychlorinated biphenyls (PCB)"/>
                    <w:listEntry w:val="Polychlorinated Dibenzofurans (PCDF)"/>
                    <w:listEntry w:val="Polychlorinated Dibenzo-p-dioxins (PCDD)"/>
                    <w:listEntry w:val="Polychlorinated naphthalenes (PCN)"/>
                    <w:listEntry w:val="Tetrabromodiphenyl ether/Pentabromodiphenyl ether"/>
                    <w:listEntry w:val="Toxaphene"/>
                  </w:ddList>
                </w:ffData>
              </w:fldChar>
            </w:r>
            <w:r w:rsidRPr="003B6A69">
              <w:rPr>
                <w:rFonts w:asciiTheme="minorHAnsi" w:hAnsiTheme="minorHAnsi" w:cstheme="minorHAnsi"/>
                <w:color w:val="000000"/>
                <w:szCs w:val="20"/>
              </w:rPr>
              <w:instrText xml:space="preserve"> FORMDROPDOWN </w:instrText>
            </w:r>
            <w:r w:rsidR="00127DDC">
              <w:rPr>
                <w:rFonts w:asciiTheme="minorHAnsi" w:hAnsiTheme="minorHAnsi" w:cstheme="minorHAnsi"/>
                <w:color w:val="000000"/>
                <w:szCs w:val="20"/>
              </w:rPr>
            </w:r>
            <w:r w:rsidR="00127DDC">
              <w:rPr>
                <w:rFonts w:asciiTheme="minorHAnsi" w:hAnsiTheme="minorHAnsi" w:cstheme="minorHAnsi"/>
                <w:color w:val="000000"/>
                <w:szCs w:val="20"/>
              </w:rPr>
              <w:fldChar w:fldCharType="separate"/>
            </w:r>
            <w:r w:rsidRPr="003B6A69">
              <w:rPr>
                <w:rFonts w:asciiTheme="minorHAnsi" w:hAnsiTheme="minorHAnsi" w:cstheme="minorHAnsi"/>
                <w:color w:val="000000"/>
                <w:szCs w:val="20"/>
              </w:rPr>
              <w:fldChar w:fldCharType="end"/>
            </w:r>
          </w:p>
        </w:tc>
        <w:tc>
          <w:tcPr>
            <w:tcW w:w="1712" w:type="dxa"/>
          </w:tcPr>
          <w:p w14:paraId="79674112" w14:textId="77777777" w:rsidR="004E7FA9" w:rsidRPr="003B6A69" w:rsidRDefault="004E7FA9" w:rsidP="00AE6C8E">
            <w:pPr>
              <w:jc w:val="right"/>
              <w:rPr>
                <w:rFonts w:asciiTheme="minorHAnsi" w:hAnsiTheme="minorHAnsi" w:cstheme="minorHAnsi"/>
                <w:i/>
                <w:color w:val="000000"/>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2726" w:type="dxa"/>
          </w:tcPr>
          <w:p w14:paraId="0938360B" w14:textId="77777777" w:rsidR="004E7FA9" w:rsidRPr="003B6A69" w:rsidRDefault="004E7FA9" w:rsidP="00AE6C8E">
            <w:pPr>
              <w:jc w:val="right"/>
              <w:rPr>
                <w:rFonts w:asciiTheme="minorHAnsi" w:hAnsiTheme="minorHAnsi" w:cstheme="minorHAnsi"/>
                <w:i/>
                <w:color w:val="000000"/>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1985" w:type="dxa"/>
          </w:tcPr>
          <w:p w14:paraId="4C7E0A0E" w14:textId="77777777" w:rsidR="004E7FA9" w:rsidRPr="003B6A69" w:rsidRDefault="004E7FA9" w:rsidP="00AE6C8E">
            <w:pPr>
              <w:jc w:val="right"/>
              <w:rPr>
                <w:rFonts w:asciiTheme="minorHAnsi" w:hAnsiTheme="minorHAnsi" w:cstheme="minorHAnsi"/>
                <w:i/>
                <w:color w:val="000000"/>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3358" w:type="dxa"/>
          </w:tcPr>
          <w:p w14:paraId="1A548E8F" w14:textId="77777777" w:rsidR="004E7FA9" w:rsidRPr="003B6A69" w:rsidRDefault="004E7FA9" w:rsidP="00AE6C8E">
            <w:pPr>
              <w:jc w:val="right"/>
              <w:rPr>
                <w:rFonts w:asciiTheme="minorHAnsi" w:hAnsiTheme="minorHAnsi" w:cstheme="minorHAnsi"/>
                <w:i/>
                <w:color w:val="000000"/>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r>
      <w:tr w:rsidR="004E7FA9" w:rsidRPr="003B6A69" w14:paraId="3729A95E" w14:textId="77777777" w:rsidTr="00AE6C8E">
        <w:tc>
          <w:tcPr>
            <w:tcW w:w="1298" w:type="dxa"/>
            <w:shd w:val="clear" w:color="auto" w:fill="BFBFBF" w:themeFill="background1" w:themeFillShade="BF"/>
          </w:tcPr>
          <w:p w14:paraId="14A24B41" w14:textId="77777777" w:rsidR="004E7FA9" w:rsidRPr="003B6A69" w:rsidRDefault="004E7FA9" w:rsidP="00AE6C8E">
            <w:pPr>
              <w:rPr>
                <w:rFonts w:asciiTheme="minorHAnsi" w:hAnsiTheme="minorHAnsi" w:cstheme="minorHAnsi"/>
                <w:sz w:val="18"/>
                <w:szCs w:val="18"/>
              </w:rPr>
            </w:pPr>
            <w:r w:rsidRPr="003B6A69">
              <w:rPr>
                <w:rFonts w:asciiTheme="minorHAnsi" w:hAnsiTheme="minorHAnsi" w:cstheme="minorHAnsi"/>
                <w:sz w:val="18"/>
                <w:szCs w:val="18"/>
              </w:rPr>
              <w:t>Indicator 9.2</w:t>
            </w:r>
          </w:p>
        </w:tc>
        <w:tc>
          <w:tcPr>
            <w:tcW w:w="9798" w:type="dxa"/>
            <w:gridSpan w:val="6"/>
            <w:shd w:val="clear" w:color="auto" w:fill="BFBFBF" w:themeFill="background1" w:themeFillShade="BF"/>
          </w:tcPr>
          <w:p w14:paraId="312DAAFF" w14:textId="77777777" w:rsidR="004E7FA9" w:rsidRPr="003B6A69" w:rsidRDefault="004E7FA9" w:rsidP="00AE6C8E">
            <w:pPr>
              <w:rPr>
                <w:rFonts w:asciiTheme="minorHAnsi" w:hAnsiTheme="minorHAnsi" w:cstheme="minorHAnsi"/>
                <w:sz w:val="18"/>
                <w:szCs w:val="18"/>
              </w:rPr>
            </w:pPr>
            <w:r w:rsidRPr="003B6A69">
              <w:rPr>
                <w:rFonts w:asciiTheme="minorHAnsi" w:hAnsiTheme="minorHAnsi" w:cstheme="minorHAnsi"/>
                <w:sz w:val="18"/>
                <w:szCs w:val="18"/>
              </w:rPr>
              <w:t>Quantity of mercury reduced</w:t>
            </w:r>
          </w:p>
        </w:tc>
        <w:tc>
          <w:tcPr>
            <w:tcW w:w="3358" w:type="dxa"/>
            <w:shd w:val="clear" w:color="auto" w:fill="BFBFBF" w:themeFill="background1" w:themeFillShade="BF"/>
          </w:tcPr>
          <w:p w14:paraId="4005BCD2"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r>
      <w:tr w:rsidR="004E7FA9" w:rsidRPr="003B6A69" w14:paraId="465CC985" w14:textId="77777777" w:rsidTr="00AE6C8E">
        <w:trPr>
          <w:trHeight w:val="125"/>
        </w:trPr>
        <w:tc>
          <w:tcPr>
            <w:tcW w:w="1298" w:type="dxa"/>
            <w:vMerge w:val="restart"/>
          </w:tcPr>
          <w:p w14:paraId="54535643" w14:textId="77777777" w:rsidR="004E7FA9" w:rsidRPr="003B6A69" w:rsidRDefault="004E7FA9" w:rsidP="00AE6C8E">
            <w:pPr>
              <w:rPr>
                <w:rFonts w:asciiTheme="minorHAnsi" w:hAnsiTheme="minorHAnsi" w:cstheme="minorHAnsi"/>
                <w:sz w:val="18"/>
                <w:szCs w:val="18"/>
              </w:rPr>
            </w:pPr>
          </w:p>
        </w:tc>
        <w:tc>
          <w:tcPr>
            <w:tcW w:w="933" w:type="dxa"/>
            <w:vMerge w:val="restart"/>
          </w:tcPr>
          <w:p w14:paraId="1C211D63" w14:textId="77777777" w:rsidR="004E7FA9" w:rsidRPr="003B6A69" w:rsidRDefault="004E7FA9" w:rsidP="00AE6C8E">
            <w:pPr>
              <w:rPr>
                <w:rFonts w:asciiTheme="minorHAnsi" w:hAnsiTheme="minorHAnsi" w:cstheme="minorHAnsi"/>
                <w:sz w:val="18"/>
                <w:szCs w:val="18"/>
              </w:rPr>
            </w:pPr>
          </w:p>
        </w:tc>
        <w:tc>
          <w:tcPr>
            <w:tcW w:w="2442" w:type="dxa"/>
            <w:gridSpan w:val="2"/>
            <w:vMerge w:val="restart"/>
          </w:tcPr>
          <w:p w14:paraId="3D7118A9" w14:textId="77777777" w:rsidR="004E7FA9" w:rsidRPr="003B6A69" w:rsidRDefault="004E7FA9" w:rsidP="00AE6C8E">
            <w:pPr>
              <w:rPr>
                <w:rFonts w:asciiTheme="minorHAnsi" w:hAnsiTheme="minorHAnsi" w:cstheme="minorHAnsi"/>
                <w:sz w:val="18"/>
                <w:szCs w:val="18"/>
              </w:rPr>
            </w:pPr>
          </w:p>
        </w:tc>
        <w:tc>
          <w:tcPr>
            <w:tcW w:w="9781" w:type="dxa"/>
            <w:gridSpan w:val="4"/>
          </w:tcPr>
          <w:p w14:paraId="36CBDFFD"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Metric Tons</w:t>
            </w:r>
          </w:p>
        </w:tc>
      </w:tr>
      <w:tr w:rsidR="004E7FA9" w:rsidRPr="003B6A69" w14:paraId="7EBC96DB" w14:textId="77777777" w:rsidTr="00AE6C8E">
        <w:trPr>
          <w:trHeight w:val="58"/>
        </w:trPr>
        <w:tc>
          <w:tcPr>
            <w:tcW w:w="1298" w:type="dxa"/>
            <w:vMerge/>
          </w:tcPr>
          <w:p w14:paraId="70ABE0A2" w14:textId="77777777" w:rsidR="004E7FA9" w:rsidRPr="003B6A69" w:rsidRDefault="004E7FA9" w:rsidP="00AE6C8E">
            <w:pPr>
              <w:rPr>
                <w:rFonts w:asciiTheme="minorHAnsi" w:hAnsiTheme="minorHAnsi" w:cstheme="minorHAnsi"/>
                <w:sz w:val="18"/>
                <w:szCs w:val="18"/>
              </w:rPr>
            </w:pPr>
          </w:p>
        </w:tc>
        <w:tc>
          <w:tcPr>
            <w:tcW w:w="933" w:type="dxa"/>
            <w:vMerge/>
          </w:tcPr>
          <w:p w14:paraId="0CD5A795" w14:textId="77777777" w:rsidR="004E7FA9" w:rsidRPr="003B6A69" w:rsidRDefault="004E7FA9" w:rsidP="00AE6C8E">
            <w:pPr>
              <w:rPr>
                <w:rFonts w:asciiTheme="minorHAnsi" w:hAnsiTheme="minorHAnsi" w:cstheme="minorHAnsi"/>
                <w:sz w:val="18"/>
                <w:szCs w:val="18"/>
              </w:rPr>
            </w:pPr>
          </w:p>
        </w:tc>
        <w:tc>
          <w:tcPr>
            <w:tcW w:w="2442" w:type="dxa"/>
            <w:gridSpan w:val="2"/>
            <w:vMerge/>
          </w:tcPr>
          <w:p w14:paraId="7B8AB500" w14:textId="77777777" w:rsidR="004E7FA9" w:rsidRPr="003B6A69" w:rsidRDefault="004E7FA9" w:rsidP="00AE6C8E">
            <w:pPr>
              <w:rPr>
                <w:rFonts w:asciiTheme="minorHAnsi" w:hAnsiTheme="minorHAnsi" w:cstheme="minorHAnsi"/>
                <w:sz w:val="18"/>
                <w:szCs w:val="18"/>
              </w:rPr>
            </w:pPr>
          </w:p>
        </w:tc>
        <w:tc>
          <w:tcPr>
            <w:tcW w:w="4438" w:type="dxa"/>
            <w:gridSpan w:val="2"/>
          </w:tcPr>
          <w:p w14:paraId="134EB1D8"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Expected</w:t>
            </w:r>
          </w:p>
        </w:tc>
        <w:tc>
          <w:tcPr>
            <w:tcW w:w="5343" w:type="dxa"/>
            <w:gridSpan w:val="2"/>
          </w:tcPr>
          <w:p w14:paraId="4D097439"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Achieved</w:t>
            </w:r>
          </w:p>
        </w:tc>
      </w:tr>
      <w:tr w:rsidR="004E7FA9" w:rsidRPr="003B6A69" w14:paraId="4AE2F803" w14:textId="77777777" w:rsidTr="00AE6C8E">
        <w:trPr>
          <w:trHeight w:val="206"/>
        </w:trPr>
        <w:tc>
          <w:tcPr>
            <w:tcW w:w="1298" w:type="dxa"/>
            <w:vMerge/>
          </w:tcPr>
          <w:p w14:paraId="23F43BD5" w14:textId="77777777" w:rsidR="004E7FA9" w:rsidRPr="003B6A69" w:rsidRDefault="004E7FA9" w:rsidP="00AE6C8E">
            <w:pPr>
              <w:rPr>
                <w:rFonts w:asciiTheme="minorHAnsi" w:hAnsiTheme="minorHAnsi" w:cstheme="minorHAnsi"/>
                <w:sz w:val="18"/>
                <w:szCs w:val="18"/>
              </w:rPr>
            </w:pPr>
          </w:p>
        </w:tc>
        <w:tc>
          <w:tcPr>
            <w:tcW w:w="933" w:type="dxa"/>
            <w:vMerge/>
          </w:tcPr>
          <w:p w14:paraId="6BA81FFC" w14:textId="77777777" w:rsidR="004E7FA9" w:rsidRPr="003B6A69" w:rsidRDefault="004E7FA9" w:rsidP="00AE6C8E">
            <w:pPr>
              <w:rPr>
                <w:rFonts w:asciiTheme="minorHAnsi" w:hAnsiTheme="minorHAnsi" w:cstheme="minorHAnsi"/>
                <w:sz w:val="18"/>
                <w:szCs w:val="18"/>
              </w:rPr>
            </w:pPr>
          </w:p>
        </w:tc>
        <w:tc>
          <w:tcPr>
            <w:tcW w:w="2442" w:type="dxa"/>
            <w:gridSpan w:val="2"/>
            <w:vMerge/>
          </w:tcPr>
          <w:p w14:paraId="2BDFFCEF" w14:textId="77777777" w:rsidR="004E7FA9" w:rsidRPr="003B6A69" w:rsidRDefault="004E7FA9" w:rsidP="00AE6C8E">
            <w:pPr>
              <w:rPr>
                <w:rFonts w:asciiTheme="minorHAnsi" w:hAnsiTheme="minorHAnsi" w:cstheme="minorHAnsi"/>
                <w:sz w:val="18"/>
                <w:szCs w:val="18"/>
              </w:rPr>
            </w:pPr>
          </w:p>
        </w:tc>
        <w:tc>
          <w:tcPr>
            <w:tcW w:w="1712" w:type="dxa"/>
          </w:tcPr>
          <w:p w14:paraId="4AF7365D"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PIF stage</w:t>
            </w:r>
          </w:p>
        </w:tc>
        <w:tc>
          <w:tcPr>
            <w:tcW w:w="2726" w:type="dxa"/>
          </w:tcPr>
          <w:p w14:paraId="08ED69F3"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Endorsement</w:t>
            </w:r>
          </w:p>
        </w:tc>
        <w:tc>
          <w:tcPr>
            <w:tcW w:w="1985" w:type="dxa"/>
          </w:tcPr>
          <w:p w14:paraId="170652CA"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MTR</w:t>
            </w:r>
          </w:p>
        </w:tc>
        <w:tc>
          <w:tcPr>
            <w:tcW w:w="3358" w:type="dxa"/>
          </w:tcPr>
          <w:p w14:paraId="68A2DC1B"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TE</w:t>
            </w:r>
          </w:p>
        </w:tc>
      </w:tr>
      <w:tr w:rsidR="004E7FA9" w:rsidRPr="003B6A69" w14:paraId="7ED39994" w14:textId="77777777" w:rsidTr="00AE6C8E">
        <w:tc>
          <w:tcPr>
            <w:tcW w:w="1298" w:type="dxa"/>
          </w:tcPr>
          <w:p w14:paraId="00515CC4" w14:textId="77777777" w:rsidR="004E7FA9" w:rsidRPr="003B6A69" w:rsidRDefault="004E7FA9" w:rsidP="00AE6C8E">
            <w:pPr>
              <w:jc w:val="right"/>
              <w:rPr>
                <w:rFonts w:asciiTheme="minorHAnsi" w:hAnsiTheme="minorHAnsi" w:cstheme="minorHAnsi"/>
                <w:sz w:val="18"/>
                <w:szCs w:val="18"/>
              </w:rPr>
            </w:pPr>
          </w:p>
        </w:tc>
        <w:tc>
          <w:tcPr>
            <w:tcW w:w="3375" w:type="dxa"/>
            <w:gridSpan w:val="3"/>
          </w:tcPr>
          <w:p w14:paraId="4C607E3B" w14:textId="77777777" w:rsidR="004E7FA9" w:rsidRPr="003B6A69" w:rsidRDefault="004E7FA9" w:rsidP="00AE6C8E">
            <w:pPr>
              <w:jc w:val="right"/>
              <w:rPr>
                <w:rFonts w:asciiTheme="minorHAnsi" w:hAnsiTheme="minorHAnsi" w:cstheme="minorHAnsi"/>
                <w:sz w:val="18"/>
                <w:szCs w:val="18"/>
              </w:rPr>
            </w:pPr>
          </w:p>
        </w:tc>
        <w:tc>
          <w:tcPr>
            <w:tcW w:w="1712" w:type="dxa"/>
          </w:tcPr>
          <w:p w14:paraId="2CD76BA9"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2726" w:type="dxa"/>
          </w:tcPr>
          <w:p w14:paraId="5F4A0C88"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1985" w:type="dxa"/>
          </w:tcPr>
          <w:p w14:paraId="36CFAAF4"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3358" w:type="dxa"/>
          </w:tcPr>
          <w:p w14:paraId="57DE1B8B"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r>
      <w:tr w:rsidR="004E7FA9" w:rsidRPr="003B6A69" w14:paraId="3B80DA98" w14:textId="77777777" w:rsidTr="00AE6C8E">
        <w:tc>
          <w:tcPr>
            <w:tcW w:w="1298" w:type="dxa"/>
            <w:shd w:val="clear" w:color="auto" w:fill="BFBFBF" w:themeFill="background1" w:themeFillShade="BF"/>
          </w:tcPr>
          <w:p w14:paraId="16B7CD29" w14:textId="77777777" w:rsidR="004E7FA9" w:rsidRPr="003B6A69" w:rsidRDefault="004E7FA9" w:rsidP="00AE6C8E">
            <w:pPr>
              <w:rPr>
                <w:rFonts w:asciiTheme="minorHAnsi" w:hAnsiTheme="minorHAnsi" w:cstheme="minorHAnsi"/>
                <w:sz w:val="18"/>
                <w:szCs w:val="18"/>
              </w:rPr>
            </w:pPr>
            <w:r w:rsidRPr="003B6A69">
              <w:rPr>
                <w:rFonts w:asciiTheme="minorHAnsi" w:hAnsiTheme="minorHAnsi" w:cstheme="minorHAnsi"/>
                <w:color w:val="000000"/>
                <w:sz w:val="18"/>
                <w:szCs w:val="18"/>
              </w:rPr>
              <w:t>Indicator 9.3</w:t>
            </w:r>
          </w:p>
        </w:tc>
        <w:tc>
          <w:tcPr>
            <w:tcW w:w="13156" w:type="dxa"/>
            <w:gridSpan w:val="7"/>
            <w:shd w:val="clear" w:color="auto" w:fill="BFBFBF" w:themeFill="background1" w:themeFillShade="BF"/>
          </w:tcPr>
          <w:p w14:paraId="24466441" w14:textId="77777777" w:rsidR="004E7FA9" w:rsidRPr="003B6A69" w:rsidRDefault="004E7FA9" w:rsidP="00AE6C8E">
            <w:pPr>
              <w:rPr>
                <w:rFonts w:asciiTheme="minorHAnsi" w:hAnsiTheme="minorHAnsi" w:cstheme="minorHAnsi"/>
                <w:color w:val="000000"/>
                <w:sz w:val="18"/>
                <w:szCs w:val="18"/>
              </w:rPr>
            </w:pPr>
            <w:proofErr w:type="spellStart"/>
            <w:r w:rsidRPr="003B6A69">
              <w:rPr>
                <w:rFonts w:asciiTheme="minorHAnsi" w:hAnsiTheme="minorHAnsi" w:cstheme="minorHAnsi"/>
                <w:color w:val="000000"/>
                <w:sz w:val="18"/>
                <w:szCs w:val="18"/>
              </w:rPr>
              <w:t>Hydrochloroflurocarbons</w:t>
            </w:r>
            <w:proofErr w:type="spellEnd"/>
            <w:r w:rsidRPr="003B6A69">
              <w:rPr>
                <w:rFonts w:asciiTheme="minorHAnsi" w:hAnsiTheme="minorHAnsi" w:cstheme="minorHAnsi"/>
                <w:color w:val="000000"/>
                <w:sz w:val="18"/>
                <w:szCs w:val="18"/>
              </w:rPr>
              <w:t xml:space="preserve"> (HCFC) Reduced/Phased out </w:t>
            </w:r>
          </w:p>
        </w:tc>
      </w:tr>
      <w:tr w:rsidR="004E7FA9" w:rsidRPr="003B6A69" w14:paraId="4872EA60" w14:textId="77777777" w:rsidTr="00AE6C8E">
        <w:tc>
          <w:tcPr>
            <w:tcW w:w="1298" w:type="dxa"/>
          </w:tcPr>
          <w:p w14:paraId="594ECFE9" w14:textId="77777777" w:rsidR="004E7FA9" w:rsidRPr="003B6A69" w:rsidRDefault="004E7FA9" w:rsidP="00AE6C8E">
            <w:pPr>
              <w:jc w:val="right"/>
              <w:rPr>
                <w:rFonts w:asciiTheme="minorHAnsi" w:hAnsiTheme="minorHAnsi" w:cstheme="minorHAnsi"/>
                <w:sz w:val="18"/>
                <w:szCs w:val="18"/>
              </w:rPr>
            </w:pPr>
          </w:p>
        </w:tc>
        <w:tc>
          <w:tcPr>
            <w:tcW w:w="3375" w:type="dxa"/>
            <w:gridSpan w:val="3"/>
          </w:tcPr>
          <w:p w14:paraId="3F8AFD8E" w14:textId="77777777" w:rsidR="004E7FA9" w:rsidRPr="003B6A69" w:rsidRDefault="004E7FA9" w:rsidP="00AE6C8E">
            <w:pPr>
              <w:jc w:val="right"/>
              <w:rPr>
                <w:rFonts w:asciiTheme="minorHAnsi" w:hAnsiTheme="minorHAnsi" w:cstheme="minorHAnsi"/>
                <w:sz w:val="18"/>
                <w:szCs w:val="18"/>
              </w:rPr>
            </w:pPr>
          </w:p>
        </w:tc>
        <w:tc>
          <w:tcPr>
            <w:tcW w:w="9781" w:type="dxa"/>
            <w:gridSpan w:val="4"/>
          </w:tcPr>
          <w:p w14:paraId="522DF73E" w14:textId="77777777" w:rsidR="004E7FA9" w:rsidRPr="003B6A69" w:rsidRDefault="004E7FA9" w:rsidP="00AE6C8E">
            <w:pPr>
              <w:jc w:val="center"/>
              <w:rPr>
                <w:rFonts w:asciiTheme="minorHAnsi" w:hAnsiTheme="minorHAnsi" w:cstheme="minorHAnsi"/>
                <w:i/>
                <w:color w:val="000000"/>
                <w:sz w:val="18"/>
                <w:szCs w:val="18"/>
              </w:rPr>
            </w:pPr>
            <w:r w:rsidRPr="003B6A69">
              <w:rPr>
                <w:rFonts w:asciiTheme="minorHAnsi" w:hAnsiTheme="minorHAnsi" w:cstheme="minorHAnsi"/>
                <w:sz w:val="18"/>
                <w:szCs w:val="18"/>
              </w:rPr>
              <w:t>Metric Tons</w:t>
            </w:r>
          </w:p>
        </w:tc>
      </w:tr>
      <w:tr w:rsidR="004E7FA9" w:rsidRPr="003B6A69" w14:paraId="4CAB7559" w14:textId="77777777" w:rsidTr="00AE6C8E">
        <w:tc>
          <w:tcPr>
            <w:tcW w:w="1298" w:type="dxa"/>
          </w:tcPr>
          <w:p w14:paraId="7B965171" w14:textId="77777777" w:rsidR="004E7FA9" w:rsidRPr="003B6A69" w:rsidRDefault="004E7FA9" w:rsidP="00AE6C8E">
            <w:pPr>
              <w:jc w:val="right"/>
              <w:rPr>
                <w:rFonts w:asciiTheme="minorHAnsi" w:hAnsiTheme="minorHAnsi" w:cstheme="minorHAnsi"/>
                <w:sz w:val="18"/>
                <w:szCs w:val="18"/>
              </w:rPr>
            </w:pPr>
          </w:p>
        </w:tc>
        <w:tc>
          <w:tcPr>
            <w:tcW w:w="3375" w:type="dxa"/>
            <w:gridSpan w:val="3"/>
          </w:tcPr>
          <w:p w14:paraId="50BF63D2" w14:textId="77777777" w:rsidR="004E7FA9" w:rsidRPr="003B6A69" w:rsidRDefault="004E7FA9" w:rsidP="00AE6C8E">
            <w:pPr>
              <w:jc w:val="right"/>
              <w:rPr>
                <w:rFonts w:asciiTheme="minorHAnsi" w:hAnsiTheme="minorHAnsi" w:cstheme="minorHAnsi"/>
                <w:sz w:val="18"/>
                <w:szCs w:val="18"/>
              </w:rPr>
            </w:pPr>
          </w:p>
        </w:tc>
        <w:tc>
          <w:tcPr>
            <w:tcW w:w="4438" w:type="dxa"/>
            <w:gridSpan w:val="2"/>
          </w:tcPr>
          <w:p w14:paraId="59654E39" w14:textId="77777777" w:rsidR="004E7FA9" w:rsidRPr="003B6A69" w:rsidRDefault="004E7FA9" w:rsidP="00AE6C8E">
            <w:pPr>
              <w:jc w:val="center"/>
              <w:rPr>
                <w:rFonts w:asciiTheme="minorHAnsi" w:hAnsiTheme="minorHAnsi" w:cstheme="minorHAnsi"/>
                <w:color w:val="000000"/>
                <w:sz w:val="18"/>
                <w:szCs w:val="18"/>
              </w:rPr>
            </w:pPr>
            <w:r w:rsidRPr="003B6A69">
              <w:rPr>
                <w:rFonts w:asciiTheme="minorHAnsi" w:hAnsiTheme="minorHAnsi" w:cstheme="minorHAnsi"/>
                <w:color w:val="000000"/>
                <w:sz w:val="18"/>
                <w:szCs w:val="18"/>
              </w:rPr>
              <w:t>Expected</w:t>
            </w:r>
          </w:p>
        </w:tc>
        <w:tc>
          <w:tcPr>
            <w:tcW w:w="5343" w:type="dxa"/>
            <w:gridSpan w:val="2"/>
          </w:tcPr>
          <w:p w14:paraId="1E76BFDE" w14:textId="77777777" w:rsidR="004E7FA9" w:rsidRPr="003B6A69" w:rsidRDefault="004E7FA9" w:rsidP="00AE6C8E">
            <w:pPr>
              <w:jc w:val="center"/>
              <w:rPr>
                <w:rFonts w:asciiTheme="minorHAnsi" w:hAnsiTheme="minorHAnsi" w:cstheme="minorHAnsi"/>
                <w:color w:val="000000"/>
                <w:sz w:val="18"/>
                <w:szCs w:val="18"/>
              </w:rPr>
            </w:pPr>
            <w:r w:rsidRPr="003B6A69">
              <w:rPr>
                <w:rFonts w:asciiTheme="minorHAnsi" w:hAnsiTheme="minorHAnsi" w:cstheme="minorHAnsi"/>
                <w:color w:val="000000"/>
                <w:sz w:val="18"/>
                <w:szCs w:val="18"/>
              </w:rPr>
              <w:t>Achieved</w:t>
            </w:r>
          </w:p>
        </w:tc>
      </w:tr>
      <w:tr w:rsidR="004E7FA9" w:rsidRPr="003B6A69" w14:paraId="5B249285" w14:textId="77777777" w:rsidTr="00AE6C8E">
        <w:tc>
          <w:tcPr>
            <w:tcW w:w="1298" w:type="dxa"/>
          </w:tcPr>
          <w:p w14:paraId="68C1BF08" w14:textId="77777777" w:rsidR="004E7FA9" w:rsidRPr="003B6A69" w:rsidRDefault="004E7FA9" w:rsidP="00AE6C8E">
            <w:pPr>
              <w:jc w:val="right"/>
              <w:rPr>
                <w:rFonts w:asciiTheme="minorHAnsi" w:hAnsiTheme="minorHAnsi" w:cstheme="minorHAnsi"/>
                <w:sz w:val="18"/>
                <w:szCs w:val="18"/>
              </w:rPr>
            </w:pPr>
          </w:p>
        </w:tc>
        <w:tc>
          <w:tcPr>
            <w:tcW w:w="3375" w:type="dxa"/>
            <w:gridSpan w:val="3"/>
          </w:tcPr>
          <w:p w14:paraId="6BCA7EBB" w14:textId="77777777" w:rsidR="004E7FA9" w:rsidRPr="003B6A69" w:rsidRDefault="004E7FA9" w:rsidP="00AE6C8E">
            <w:pPr>
              <w:jc w:val="right"/>
              <w:rPr>
                <w:rFonts w:asciiTheme="minorHAnsi" w:hAnsiTheme="minorHAnsi" w:cstheme="minorHAnsi"/>
                <w:sz w:val="18"/>
                <w:szCs w:val="18"/>
              </w:rPr>
            </w:pPr>
          </w:p>
        </w:tc>
        <w:tc>
          <w:tcPr>
            <w:tcW w:w="1712" w:type="dxa"/>
          </w:tcPr>
          <w:p w14:paraId="526CAA31" w14:textId="77777777" w:rsidR="004E7FA9" w:rsidRPr="003B6A69" w:rsidRDefault="004E7FA9" w:rsidP="00AE6C8E">
            <w:pPr>
              <w:jc w:val="right"/>
              <w:rPr>
                <w:rFonts w:asciiTheme="minorHAnsi" w:hAnsiTheme="minorHAnsi" w:cstheme="minorHAnsi"/>
                <w:i/>
                <w:color w:val="000000"/>
                <w:sz w:val="18"/>
                <w:szCs w:val="18"/>
              </w:rPr>
            </w:pPr>
            <w:r w:rsidRPr="003B6A69">
              <w:rPr>
                <w:rFonts w:asciiTheme="minorHAnsi" w:hAnsiTheme="minorHAnsi" w:cstheme="minorHAnsi"/>
                <w:sz w:val="18"/>
                <w:szCs w:val="18"/>
              </w:rPr>
              <w:t>PIF stage</w:t>
            </w:r>
          </w:p>
        </w:tc>
        <w:tc>
          <w:tcPr>
            <w:tcW w:w="2726" w:type="dxa"/>
          </w:tcPr>
          <w:p w14:paraId="2DCA071F" w14:textId="77777777" w:rsidR="004E7FA9" w:rsidRPr="003B6A69" w:rsidRDefault="004E7FA9" w:rsidP="00AE6C8E">
            <w:pPr>
              <w:jc w:val="right"/>
              <w:rPr>
                <w:rFonts w:asciiTheme="minorHAnsi" w:hAnsiTheme="minorHAnsi" w:cstheme="minorHAnsi"/>
                <w:i/>
                <w:color w:val="000000"/>
                <w:sz w:val="18"/>
                <w:szCs w:val="18"/>
              </w:rPr>
            </w:pPr>
            <w:r w:rsidRPr="003B6A69">
              <w:rPr>
                <w:rFonts w:asciiTheme="minorHAnsi" w:hAnsiTheme="minorHAnsi" w:cstheme="minorHAnsi"/>
                <w:sz w:val="18"/>
                <w:szCs w:val="18"/>
              </w:rPr>
              <w:t>Endorsement</w:t>
            </w:r>
          </w:p>
        </w:tc>
        <w:tc>
          <w:tcPr>
            <w:tcW w:w="1985" w:type="dxa"/>
          </w:tcPr>
          <w:p w14:paraId="3A800AA0" w14:textId="77777777" w:rsidR="004E7FA9" w:rsidRPr="003B6A69" w:rsidRDefault="004E7FA9" w:rsidP="00AE6C8E">
            <w:pPr>
              <w:jc w:val="right"/>
              <w:rPr>
                <w:rFonts w:asciiTheme="minorHAnsi" w:hAnsiTheme="minorHAnsi" w:cstheme="minorHAnsi"/>
                <w:i/>
                <w:color w:val="000000"/>
                <w:sz w:val="18"/>
                <w:szCs w:val="18"/>
              </w:rPr>
            </w:pPr>
            <w:r w:rsidRPr="003B6A69">
              <w:rPr>
                <w:rFonts w:asciiTheme="minorHAnsi" w:hAnsiTheme="minorHAnsi" w:cstheme="minorHAnsi"/>
                <w:sz w:val="18"/>
                <w:szCs w:val="18"/>
              </w:rPr>
              <w:t>MTR</w:t>
            </w:r>
          </w:p>
        </w:tc>
        <w:tc>
          <w:tcPr>
            <w:tcW w:w="3358" w:type="dxa"/>
          </w:tcPr>
          <w:p w14:paraId="5D247836" w14:textId="77777777" w:rsidR="004E7FA9" w:rsidRPr="003B6A69" w:rsidRDefault="004E7FA9" w:rsidP="00AE6C8E">
            <w:pPr>
              <w:jc w:val="right"/>
              <w:rPr>
                <w:rFonts w:asciiTheme="minorHAnsi" w:hAnsiTheme="minorHAnsi" w:cstheme="minorHAnsi"/>
                <w:i/>
                <w:color w:val="000000"/>
                <w:sz w:val="18"/>
                <w:szCs w:val="18"/>
              </w:rPr>
            </w:pPr>
            <w:r w:rsidRPr="003B6A69">
              <w:rPr>
                <w:rFonts w:asciiTheme="minorHAnsi" w:hAnsiTheme="minorHAnsi" w:cstheme="minorHAnsi"/>
                <w:sz w:val="18"/>
                <w:szCs w:val="18"/>
              </w:rPr>
              <w:t>TE</w:t>
            </w:r>
          </w:p>
        </w:tc>
      </w:tr>
      <w:tr w:rsidR="004E7FA9" w:rsidRPr="003B6A69" w14:paraId="0C434ADA" w14:textId="77777777" w:rsidTr="00AE6C8E">
        <w:tc>
          <w:tcPr>
            <w:tcW w:w="1298" w:type="dxa"/>
          </w:tcPr>
          <w:p w14:paraId="2515EF87" w14:textId="77777777" w:rsidR="004E7FA9" w:rsidRPr="003B6A69" w:rsidRDefault="004E7FA9" w:rsidP="00AE6C8E">
            <w:pPr>
              <w:jc w:val="right"/>
              <w:rPr>
                <w:rFonts w:asciiTheme="minorHAnsi" w:hAnsiTheme="minorHAnsi" w:cstheme="minorHAnsi"/>
                <w:sz w:val="18"/>
                <w:szCs w:val="18"/>
              </w:rPr>
            </w:pPr>
          </w:p>
        </w:tc>
        <w:tc>
          <w:tcPr>
            <w:tcW w:w="3375" w:type="dxa"/>
            <w:gridSpan w:val="3"/>
          </w:tcPr>
          <w:p w14:paraId="5592E782" w14:textId="77777777" w:rsidR="004E7FA9" w:rsidRPr="003B6A69" w:rsidRDefault="004E7FA9" w:rsidP="00AE6C8E">
            <w:pPr>
              <w:jc w:val="right"/>
              <w:rPr>
                <w:rFonts w:asciiTheme="minorHAnsi" w:hAnsiTheme="minorHAnsi" w:cstheme="minorHAnsi"/>
                <w:sz w:val="18"/>
                <w:szCs w:val="18"/>
              </w:rPr>
            </w:pPr>
          </w:p>
        </w:tc>
        <w:tc>
          <w:tcPr>
            <w:tcW w:w="1712" w:type="dxa"/>
          </w:tcPr>
          <w:p w14:paraId="7FC83B6B" w14:textId="77777777" w:rsidR="004E7FA9" w:rsidRPr="003B6A69" w:rsidRDefault="004E7FA9" w:rsidP="00AE6C8E">
            <w:pPr>
              <w:jc w:val="right"/>
              <w:rPr>
                <w:rFonts w:asciiTheme="minorHAnsi" w:hAnsiTheme="minorHAnsi" w:cstheme="minorHAnsi"/>
                <w:i/>
                <w:color w:val="000000"/>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2726" w:type="dxa"/>
          </w:tcPr>
          <w:p w14:paraId="3F9C65DE" w14:textId="77777777" w:rsidR="004E7FA9" w:rsidRPr="003B6A69" w:rsidRDefault="004E7FA9" w:rsidP="00AE6C8E">
            <w:pPr>
              <w:jc w:val="right"/>
              <w:rPr>
                <w:rFonts w:asciiTheme="minorHAnsi" w:hAnsiTheme="minorHAnsi" w:cstheme="minorHAnsi"/>
                <w:i/>
                <w:color w:val="000000"/>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1985" w:type="dxa"/>
          </w:tcPr>
          <w:p w14:paraId="6DFCC1FF" w14:textId="77777777" w:rsidR="004E7FA9" w:rsidRPr="003B6A69" w:rsidRDefault="004E7FA9" w:rsidP="00AE6C8E">
            <w:pPr>
              <w:jc w:val="right"/>
              <w:rPr>
                <w:rFonts w:asciiTheme="minorHAnsi" w:hAnsiTheme="minorHAnsi" w:cstheme="minorHAnsi"/>
                <w:i/>
                <w:color w:val="000000"/>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3358" w:type="dxa"/>
          </w:tcPr>
          <w:p w14:paraId="14AB575D" w14:textId="77777777" w:rsidR="004E7FA9" w:rsidRPr="003B6A69" w:rsidRDefault="004E7FA9" w:rsidP="00AE6C8E">
            <w:pPr>
              <w:jc w:val="right"/>
              <w:rPr>
                <w:rFonts w:asciiTheme="minorHAnsi" w:hAnsiTheme="minorHAnsi" w:cstheme="minorHAnsi"/>
                <w:i/>
                <w:color w:val="000000"/>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r>
      <w:tr w:rsidR="004E7FA9" w:rsidRPr="003B6A69" w14:paraId="3CB46E64" w14:textId="77777777" w:rsidTr="00AE6C8E">
        <w:tc>
          <w:tcPr>
            <w:tcW w:w="1298" w:type="dxa"/>
            <w:shd w:val="clear" w:color="auto" w:fill="BFBFBF" w:themeFill="background1" w:themeFillShade="BF"/>
          </w:tcPr>
          <w:p w14:paraId="0C9B4C4A" w14:textId="77777777" w:rsidR="004E7FA9" w:rsidRPr="003B6A69" w:rsidRDefault="004E7FA9" w:rsidP="00AE6C8E">
            <w:pPr>
              <w:rPr>
                <w:rFonts w:asciiTheme="minorHAnsi" w:hAnsiTheme="minorHAnsi" w:cstheme="minorHAnsi"/>
                <w:sz w:val="18"/>
                <w:szCs w:val="18"/>
              </w:rPr>
            </w:pPr>
            <w:r w:rsidRPr="003B6A69">
              <w:rPr>
                <w:rFonts w:asciiTheme="minorHAnsi" w:hAnsiTheme="minorHAnsi" w:cstheme="minorHAnsi"/>
                <w:sz w:val="18"/>
                <w:szCs w:val="18"/>
              </w:rPr>
              <w:t>Indicator 9.4</w:t>
            </w:r>
          </w:p>
        </w:tc>
        <w:tc>
          <w:tcPr>
            <w:tcW w:w="9798" w:type="dxa"/>
            <w:gridSpan w:val="6"/>
            <w:shd w:val="clear" w:color="auto" w:fill="BFBFBF" w:themeFill="background1" w:themeFillShade="BF"/>
          </w:tcPr>
          <w:p w14:paraId="3CCA641C" w14:textId="77777777" w:rsidR="004E7FA9" w:rsidRPr="003B6A69" w:rsidRDefault="004E7FA9" w:rsidP="00AE6C8E">
            <w:pPr>
              <w:rPr>
                <w:rFonts w:asciiTheme="minorHAnsi" w:hAnsiTheme="minorHAnsi" w:cstheme="minorHAnsi"/>
                <w:sz w:val="18"/>
                <w:szCs w:val="18"/>
              </w:rPr>
            </w:pPr>
            <w:r w:rsidRPr="003B6A69">
              <w:rPr>
                <w:rFonts w:asciiTheme="minorHAnsi" w:hAnsiTheme="minorHAnsi" w:cstheme="minorHAnsi"/>
                <w:sz w:val="18"/>
                <w:szCs w:val="18"/>
              </w:rPr>
              <w:t>Number of countries with legislation and policy implemented to control chemicals and waste</w:t>
            </w:r>
          </w:p>
        </w:tc>
        <w:tc>
          <w:tcPr>
            <w:tcW w:w="3358" w:type="dxa"/>
            <w:shd w:val="clear" w:color="auto" w:fill="BFBFBF" w:themeFill="background1" w:themeFillShade="BF"/>
          </w:tcPr>
          <w:p w14:paraId="3B6F6CF9"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r>
      <w:tr w:rsidR="004E7FA9" w:rsidRPr="003B6A69" w14:paraId="58911D26" w14:textId="77777777" w:rsidTr="00AE6C8E">
        <w:trPr>
          <w:trHeight w:val="125"/>
        </w:trPr>
        <w:tc>
          <w:tcPr>
            <w:tcW w:w="1298" w:type="dxa"/>
            <w:vMerge w:val="restart"/>
          </w:tcPr>
          <w:p w14:paraId="70FBB550" w14:textId="77777777" w:rsidR="004E7FA9" w:rsidRPr="003B6A69" w:rsidRDefault="004E7FA9" w:rsidP="00AE6C8E">
            <w:pPr>
              <w:rPr>
                <w:rFonts w:asciiTheme="minorHAnsi" w:hAnsiTheme="minorHAnsi" w:cstheme="minorHAnsi"/>
                <w:sz w:val="18"/>
                <w:szCs w:val="18"/>
              </w:rPr>
            </w:pPr>
          </w:p>
        </w:tc>
        <w:tc>
          <w:tcPr>
            <w:tcW w:w="933" w:type="dxa"/>
            <w:vMerge w:val="restart"/>
          </w:tcPr>
          <w:p w14:paraId="0367A6BE" w14:textId="77777777" w:rsidR="004E7FA9" w:rsidRPr="003B6A69" w:rsidRDefault="004E7FA9" w:rsidP="00AE6C8E">
            <w:pPr>
              <w:rPr>
                <w:rFonts w:asciiTheme="minorHAnsi" w:hAnsiTheme="minorHAnsi" w:cstheme="minorHAnsi"/>
                <w:sz w:val="18"/>
                <w:szCs w:val="18"/>
              </w:rPr>
            </w:pPr>
          </w:p>
        </w:tc>
        <w:tc>
          <w:tcPr>
            <w:tcW w:w="2442" w:type="dxa"/>
            <w:gridSpan w:val="2"/>
            <w:vMerge w:val="restart"/>
          </w:tcPr>
          <w:p w14:paraId="3A74710F" w14:textId="77777777" w:rsidR="004E7FA9" w:rsidRPr="003B6A69" w:rsidRDefault="004E7FA9" w:rsidP="00AE6C8E">
            <w:pPr>
              <w:rPr>
                <w:rFonts w:asciiTheme="minorHAnsi" w:hAnsiTheme="minorHAnsi" w:cstheme="minorHAnsi"/>
                <w:sz w:val="18"/>
                <w:szCs w:val="18"/>
              </w:rPr>
            </w:pPr>
          </w:p>
        </w:tc>
        <w:tc>
          <w:tcPr>
            <w:tcW w:w="9781" w:type="dxa"/>
            <w:gridSpan w:val="4"/>
          </w:tcPr>
          <w:p w14:paraId="20222278"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Number of Countries</w:t>
            </w:r>
          </w:p>
        </w:tc>
      </w:tr>
      <w:tr w:rsidR="004E7FA9" w:rsidRPr="003B6A69" w14:paraId="116EB467" w14:textId="77777777" w:rsidTr="00AE6C8E">
        <w:trPr>
          <w:trHeight w:val="58"/>
        </w:trPr>
        <w:tc>
          <w:tcPr>
            <w:tcW w:w="1298" w:type="dxa"/>
            <w:vMerge/>
          </w:tcPr>
          <w:p w14:paraId="5218268D" w14:textId="77777777" w:rsidR="004E7FA9" w:rsidRPr="003B6A69" w:rsidRDefault="004E7FA9" w:rsidP="00AE6C8E">
            <w:pPr>
              <w:rPr>
                <w:rFonts w:asciiTheme="minorHAnsi" w:hAnsiTheme="minorHAnsi" w:cstheme="minorHAnsi"/>
                <w:sz w:val="18"/>
                <w:szCs w:val="18"/>
              </w:rPr>
            </w:pPr>
          </w:p>
        </w:tc>
        <w:tc>
          <w:tcPr>
            <w:tcW w:w="933" w:type="dxa"/>
            <w:vMerge/>
          </w:tcPr>
          <w:p w14:paraId="038BD0B5" w14:textId="77777777" w:rsidR="004E7FA9" w:rsidRPr="003B6A69" w:rsidRDefault="004E7FA9" w:rsidP="00AE6C8E">
            <w:pPr>
              <w:rPr>
                <w:rFonts w:asciiTheme="minorHAnsi" w:hAnsiTheme="minorHAnsi" w:cstheme="minorHAnsi"/>
                <w:sz w:val="18"/>
                <w:szCs w:val="18"/>
              </w:rPr>
            </w:pPr>
          </w:p>
        </w:tc>
        <w:tc>
          <w:tcPr>
            <w:tcW w:w="2442" w:type="dxa"/>
            <w:gridSpan w:val="2"/>
            <w:vMerge/>
          </w:tcPr>
          <w:p w14:paraId="25D26F4C" w14:textId="77777777" w:rsidR="004E7FA9" w:rsidRPr="003B6A69" w:rsidRDefault="004E7FA9" w:rsidP="00AE6C8E">
            <w:pPr>
              <w:rPr>
                <w:rFonts w:asciiTheme="minorHAnsi" w:hAnsiTheme="minorHAnsi" w:cstheme="minorHAnsi"/>
                <w:sz w:val="18"/>
                <w:szCs w:val="18"/>
              </w:rPr>
            </w:pPr>
          </w:p>
        </w:tc>
        <w:tc>
          <w:tcPr>
            <w:tcW w:w="4438" w:type="dxa"/>
            <w:gridSpan w:val="2"/>
          </w:tcPr>
          <w:p w14:paraId="15046B49"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Expected</w:t>
            </w:r>
          </w:p>
        </w:tc>
        <w:tc>
          <w:tcPr>
            <w:tcW w:w="5343" w:type="dxa"/>
            <w:gridSpan w:val="2"/>
          </w:tcPr>
          <w:p w14:paraId="65949D98"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Achieved</w:t>
            </w:r>
          </w:p>
        </w:tc>
      </w:tr>
      <w:tr w:rsidR="004E7FA9" w:rsidRPr="003B6A69" w14:paraId="566B401B" w14:textId="77777777" w:rsidTr="00AE6C8E">
        <w:trPr>
          <w:trHeight w:val="206"/>
        </w:trPr>
        <w:tc>
          <w:tcPr>
            <w:tcW w:w="1298" w:type="dxa"/>
            <w:vMerge/>
          </w:tcPr>
          <w:p w14:paraId="5F0B8146" w14:textId="77777777" w:rsidR="004E7FA9" w:rsidRPr="003B6A69" w:rsidRDefault="004E7FA9" w:rsidP="00AE6C8E">
            <w:pPr>
              <w:rPr>
                <w:rFonts w:asciiTheme="minorHAnsi" w:hAnsiTheme="minorHAnsi" w:cstheme="minorHAnsi"/>
                <w:sz w:val="18"/>
                <w:szCs w:val="18"/>
              </w:rPr>
            </w:pPr>
          </w:p>
        </w:tc>
        <w:tc>
          <w:tcPr>
            <w:tcW w:w="933" w:type="dxa"/>
            <w:vMerge/>
          </w:tcPr>
          <w:p w14:paraId="576B3A90" w14:textId="77777777" w:rsidR="004E7FA9" w:rsidRPr="003B6A69" w:rsidRDefault="004E7FA9" w:rsidP="00AE6C8E">
            <w:pPr>
              <w:rPr>
                <w:rFonts w:asciiTheme="minorHAnsi" w:hAnsiTheme="minorHAnsi" w:cstheme="minorHAnsi"/>
                <w:sz w:val="18"/>
                <w:szCs w:val="18"/>
              </w:rPr>
            </w:pPr>
          </w:p>
        </w:tc>
        <w:tc>
          <w:tcPr>
            <w:tcW w:w="2442" w:type="dxa"/>
            <w:gridSpan w:val="2"/>
            <w:vMerge/>
          </w:tcPr>
          <w:p w14:paraId="47B281E0" w14:textId="77777777" w:rsidR="004E7FA9" w:rsidRPr="003B6A69" w:rsidRDefault="004E7FA9" w:rsidP="00AE6C8E">
            <w:pPr>
              <w:rPr>
                <w:rFonts w:asciiTheme="minorHAnsi" w:hAnsiTheme="minorHAnsi" w:cstheme="minorHAnsi"/>
                <w:sz w:val="18"/>
                <w:szCs w:val="18"/>
              </w:rPr>
            </w:pPr>
          </w:p>
        </w:tc>
        <w:tc>
          <w:tcPr>
            <w:tcW w:w="1712" w:type="dxa"/>
          </w:tcPr>
          <w:p w14:paraId="262D46DE"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PIF stage</w:t>
            </w:r>
          </w:p>
        </w:tc>
        <w:tc>
          <w:tcPr>
            <w:tcW w:w="2726" w:type="dxa"/>
          </w:tcPr>
          <w:p w14:paraId="320479FB"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Endorsement</w:t>
            </w:r>
          </w:p>
        </w:tc>
        <w:tc>
          <w:tcPr>
            <w:tcW w:w="1985" w:type="dxa"/>
          </w:tcPr>
          <w:p w14:paraId="70C86906"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MTR</w:t>
            </w:r>
          </w:p>
        </w:tc>
        <w:tc>
          <w:tcPr>
            <w:tcW w:w="3358" w:type="dxa"/>
          </w:tcPr>
          <w:p w14:paraId="5371F906"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TE</w:t>
            </w:r>
          </w:p>
        </w:tc>
      </w:tr>
      <w:tr w:rsidR="004E7FA9" w:rsidRPr="003B6A69" w14:paraId="240B718E" w14:textId="77777777" w:rsidTr="00AE6C8E">
        <w:tc>
          <w:tcPr>
            <w:tcW w:w="1298" w:type="dxa"/>
          </w:tcPr>
          <w:p w14:paraId="6B873F58" w14:textId="77777777" w:rsidR="004E7FA9" w:rsidRPr="003B6A69" w:rsidRDefault="004E7FA9" w:rsidP="00AE6C8E">
            <w:pPr>
              <w:jc w:val="right"/>
              <w:rPr>
                <w:rFonts w:asciiTheme="minorHAnsi" w:hAnsiTheme="minorHAnsi" w:cstheme="minorHAnsi"/>
                <w:sz w:val="18"/>
                <w:szCs w:val="18"/>
              </w:rPr>
            </w:pPr>
          </w:p>
        </w:tc>
        <w:tc>
          <w:tcPr>
            <w:tcW w:w="933" w:type="dxa"/>
          </w:tcPr>
          <w:p w14:paraId="3E96169E" w14:textId="77777777" w:rsidR="004E7FA9" w:rsidRPr="003B6A69" w:rsidRDefault="004E7FA9" w:rsidP="00AE6C8E">
            <w:pPr>
              <w:jc w:val="right"/>
              <w:rPr>
                <w:rFonts w:asciiTheme="minorHAnsi" w:hAnsiTheme="minorHAnsi" w:cstheme="minorHAnsi"/>
                <w:sz w:val="18"/>
                <w:szCs w:val="18"/>
              </w:rPr>
            </w:pPr>
          </w:p>
        </w:tc>
        <w:tc>
          <w:tcPr>
            <w:tcW w:w="2442" w:type="dxa"/>
            <w:gridSpan w:val="2"/>
          </w:tcPr>
          <w:p w14:paraId="1EEE8AC9" w14:textId="77777777" w:rsidR="004E7FA9" w:rsidRPr="003B6A69" w:rsidRDefault="004E7FA9" w:rsidP="00AE6C8E">
            <w:pPr>
              <w:jc w:val="right"/>
              <w:rPr>
                <w:rFonts w:asciiTheme="minorHAnsi" w:hAnsiTheme="minorHAnsi" w:cstheme="minorHAnsi"/>
                <w:sz w:val="18"/>
                <w:szCs w:val="18"/>
              </w:rPr>
            </w:pPr>
          </w:p>
        </w:tc>
        <w:tc>
          <w:tcPr>
            <w:tcW w:w="1712" w:type="dxa"/>
          </w:tcPr>
          <w:p w14:paraId="404EFD43"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2726" w:type="dxa"/>
          </w:tcPr>
          <w:p w14:paraId="3156CEAE"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1985" w:type="dxa"/>
          </w:tcPr>
          <w:p w14:paraId="6A43ACCB"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3358" w:type="dxa"/>
          </w:tcPr>
          <w:p w14:paraId="4148E1CE"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r>
      <w:tr w:rsidR="004E7FA9" w:rsidRPr="003B6A69" w14:paraId="0199B6A5" w14:textId="77777777" w:rsidTr="00AE6C8E">
        <w:tc>
          <w:tcPr>
            <w:tcW w:w="1298" w:type="dxa"/>
            <w:shd w:val="clear" w:color="auto" w:fill="BFBFBF" w:themeFill="background1" w:themeFillShade="BF"/>
          </w:tcPr>
          <w:p w14:paraId="661026A1" w14:textId="77777777" w:rsidR="004E7FA9" w:rsidRPr="003B6A69" w:rsidRDefault="004E7FA9" w:rsidP="00AE6C8E">
            <w:pPr>
              <w:rPr>
                <w:rFonts w:asciiTheme="minorHAnsi" w:hAnsiTheme="minorHAnsi" w:cstheme="minorHAnsi"/>
                <w:sz w:val="18"/>
                <w:szCs w:val="18"/>
              </w:rPr>
            </w:pPr>
            <w:r w:rsidRPr="003B6A69">
              <w:rPr>
                <w:rFonts w:asciiTheme="minorHAnsi" w:hAnsiTheme="minorHAnsi" w:cstheme="minorHAnsi"/>
                <w:sz w:val="18"/>
                <w:szCs w:val="18"/>
              </w:rPr>
              <w:t>Indicator 9.5</w:t>
            </w:r>
          </w:p>
        </w:tc>
        <w:tc>
          <w:tcPr>
            <w:tcW w:w="9798" w:type="dxa"/>
            <w:gridSpan w:val="6"/>
            <w:shd w:val="clear" w:color="auto" w:fill="BFBFBF" w:themeFill="background1" w:themeFillShade="BF"/>
          </w:tcPr>
          <w:p w14:paraId="14A6EAB9" w14:textId="77777777" w:rsidR="004E7FA9" w:rsidRPr="003B6A69" w:rsidRDefault="004E7FA9" w:rsidP="00AE6C8E">
            <w:pPr>
              <w:rPr>
                <w:rFonts w:asciiTheme="minorHAnsi" w:hAnsiTheme="minorHAnsi" w:cstheme="minorHAnsi"/>
                <w:sz w:val="18"/>
                <w:szCs w:val="18"/>
              </w:rPr>
            </w:pPr>
            <w:r w:rsidRPr="003B6A69">
              <w:rPr>
                <w:rFonts w:asciiTheme="minorHAnsi" w:hAnsiTheme="minorHAnsi" w:cstheme="minorHAnsi"/>
                <w:sz w:val="18"/>
                <w:szCs w:val="18"/>
              </w:rPr>
              <w:t xml:space="preserve">Number of low-chemical/non-chemical systems implemented particularly in food production, </w:t>
            </w:r>
            <w:proofErr w:type="gramStart"/>
            <w:r w:rsidRPr="003B6A69">
              <w:rPr>
                <w:rFonts w:asciiTheme="minorHAnsi" w:hAnsiTheme="minorHAnsi" w:cstheme="minorHAnsi"/>
                <w:sz w:val="18"/>
                <w:szCs w:val="18"/>
              </w:rPr>
              <w:t>manufacturing</w:t>
            </w:r>
            <w:proofErr w:type="gramEnd"/>
            <w:r w:rsidRPr="003B6A69">
              <w:rPr>
                <w:rFonts w:asciiTheme="minorHAnsi" w:hAnsiTheme="minorHAnsi" w:cstheme="minorHAnsi"/>
                <w:sz w:val="18"/>
                <w:szCs w:val="18"/>
              </w:rPr>
              <w:t xml:space="preserve"> and cities</w:t>
            </w:r>
          </w:p>
        </w:tc>
        <w:tc>
          <w:tcPr>
            <w:tcW w:w="3358" w:type="dxa"/>
            <w:shd w:val="clear" w:color="auto" w:fill="BFBFBF" w:themeFill="background1" w:themeFillShade="BF"/>
          </w:tcPr>
          <w:p w14:paraId="628774D3"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r>
      <w:tr w:rsidR="004E7FA9" w:rsidRPr="003B6A69" w14:paraId="525199F5" w14:textId="77777777" w:rsidTr="00AE6C8E">
        <w:trPr>
          <w:trHeight w:val="125"/>
        </w:trPr>
        <w:tc>
          <w:tcPr>
            <w:tcW w:w="1298" w:type="dxa"/>
            <w:vMerge w:val="restart"/>
          </w:tcPr>
          <w:p w14:paraId="01009251" w14:textId="77777777" w:rsidR="004E7FA9" w:rsidRPr="003B6A69" w:rsidRDefault="004E7FA9" w:rsidP="00AE6C8E">
            <w:pPr>
              <w:rPr>
                <w:rFonts w:asciiTheme="minorHAnsi" w:hAnsiTheme="minorHAnsi" w:cstheme="minorHAnsi"/>
                <w:sz w:val="18"/>
                <w:szCs w:val="18"/>
              </w:rPr>
            </w:pPr>
          </w:p>
        </w:tc>
        <w:tc>
          <w:tcPr>
            <w:tcW w:w="933" w:type="dxa"/>
            <w:vMerge w:val="restart"/>
          </w:tcPr>
          <w:p w14:paraId="0DF9CDA6" w14:textId="77777777" w:rsidR="004E7FA9" w:rsidRPr="003B6A69" w:rsidRDefault="004E7FA9" w:rsidP="00AE6C8E">
            <w:pPr>
              <w:rPr>
                <w:rFonts w:asciiTheme="minorHAnsi" w:hAnsiTheme="minorHAnsi" w:cstheme="minorHAnsi"/>
                <w:sz w:val="18"/>
                <w:szCs w:val="18"/>
              </w:rPr>
            </w:pPr>
          </w:p>
        </w:tc>
        <w:tc>
          <w:tcPr>
            <w:tcW w:w="2442" w:type="dxa"/>
            <w:gridSpan w:val="2"/>
            <w:vMerge w:val="restart"/>
            <w:vAlign w:val="center"/>
          </w:tcPr>
          <w:p w14:paraId="43531C53" w14:textId="77777777" w:rsidR="004E7FA9" w:rsidRPr="003B6A69" w:rsidRDefault="004E7FA9" w:rsidP="00AE6C8E">
            <w:pPr>
              <w:rPr>
                <w:rFonts w:asciiTheme="minorHAnsi" w:hAnsiTheme="minorHAnsi" w:cstheme="minorHAnsi"/>
                <w:sz w:val="18"/>
                <w:szCs w:val="18"/>
              </w:rPr>
            </w:pPr>
            <w:r w:rsidRPr="003B6A69">
              <w:rPr>
                <w:rFonts w:asciiTheme="minorHAnsi" w:hAnsiTheme="minorHAnsi" w:cstheme="minorHAnsi"/>
                <w:sz w:val="18"/>
                <w:szCs w:val="18"/>
              </w:rPr>
              <w:t>Technology</w:t>
            </w:r>
          </w:p>
        </w:tc>
        <w:tc>
          <w:tcPr>
            <w:tcW w:w="9781" w:type="dxa"/>
            <w:gridSpan w:val="4"/>
          </w:tcPr>
          <w:p w14:paraId="6672847D"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Number</w:t>
            </w:r>
          </w:p>
        </w:tc>
      </w:tr>
      <w:tr w:rsidR="004E7FA9" w:rsidRPr="003B6A69" w14:paraId="7AA0D1F0" w14:textId="77777777" w:rsidTr="00AE6C8E">
        <w:trPr>
          <w:trHeight w:val="58"/>
        </w:trPr>
        <w:tc>
          <w:tcPr>
            <w:tcW w:w="1298" w:type="dxa"/>
            <w:vMerge/>
          </w:tcPr>
          <w:p w14:paraId="1F8C3116" w14:textId="77777777" w:rsidR="004E7FA9" w:rsidRPr="003B6A69" w:rsidRDefault="004E7FA9" w:rsidP="00AE6C8E">
            <w:pPr>
              <w:rPr>
                <w:rFonts w:asciiTheme="minorHAnsi" w:hAnsiTheme="minorHAnsi" w:cstheme="minorHAnsi"/>
                <w:sz w:val="18"/>
                <w:szCs w:val="18"/>
              </w:rPr>
            </w:pPr>
          </w:p>
        </w:tc>
        <w:tc>
          <w:tcPr>
            <w:tcW w:w="933" w:type="dxa"/>
            <w:vMerge/>
          </w:tcPr>
          <w:p w14:paraId="6043CDBD" w14:textId="77777777" w:rsidR="004E7FA9" w:rsidRPr="003B6A69" w:rsidRDefault="004E7FA9" w:rsidP="00AE6C8E">
            <w:pPr>
              <w:rPr>
                <w:rFonts w:asciiTheme="minorHAnsi" w:hAnsiTheme="minorHAnsi" w:cstheme="minorHAnsi"/>
                <w:sz w:val="18"/>
                <w:szCs w:val="18"/>
              </w:rPr>
            </w:pPr>
          </w:p>
        </w:tc>
        <w:tc>
          <w:tcPr>
            <w:tcW w:w="2442" w:type="dxa"/>
            <w:gridSpan w:val="2"/>
            <w:vMerge/>
          </w:tcPr>
          <w:p w14:paraId="2438C712" w14:textId="77777777" w:rsidR="004E7FA9" w:rsidRPr="003B6A69" w:rsidRDefault="004E7FA9" w:rsidP="00AE6C8E">
            <w:pPr>
              <w:rPr>
                <w:rFonts w:asciiTheme="minorHAnsi" w:hAnsiTheme="minorHAnsi" w:cstheme="minorHAnsi"/>
                <w:sz w:val="18"/>
                <w:szCs w:val="18"/>
              </w:rPr>
            </w:pPr>
          </w:p>
        </w:tc>
        <w:tc>
          <w:tcPr>
            <w:tcW w:w="4438" w:type="dxa"/>
            <w:gridSpan w:val="2"/>
          </w:tcPr>
          <w:p w14:paraId="3139B73C"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Expected</w:t>
            </w:r>
          </w:p>
        </w:tc>
        <w:tc>
          <w:tcPr>
            <w:tcW w:w="5343" w:type="dxa"/>
            <w:gridSpan w:val="2"/>
          </w:tcPr>
          <w:p w14:paraId="0E374D65"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Achieved</w:t>
            </w:r>
          </w:p>
        </w:tc>
      </w:tr>
      <w:tr w:rsidR="004E7FA9" w:rsidRPr="003B6A69" w14:paraId="776E4D23" w14:textId="77777777" w:rsidTr="00AE6C8E">
        <w:trPr>
          <w:trHeight w:val="58"/>
        </w:trPr>
        <w:tc>
          <w:tcPr>
            <w:tcW w:w="1298" w:type="dxa"/>
            <w:vMerge/>
          </w:tcPr>
          <w:p w14:paraId="06A2D183" w14:textId="77777777" w:rsidR="004E7FA9" w:rsidRPr="003B6A69" w:rsidRDefault="004E7FA9" w:rsidP="00AE6C8E">
            <w:pPr>
              <w:rPr>
                <w:rFonts w:asciiTheme="minorHAnsi" w:hAnsiTheme="minorHAnsi" w:cstheme="minorHAnsi"/>
                <w:sz w:val="18"/>
                <w:szCs w:val="18"/>
              </w:rPr>
            </w:pPr>
          </w:p>
        </w:tc>
        <w:tc>
          <w:tcPr>
            <w:tcW w:w="933" w:type="dxa"/>
            <w:vMerge/>
          </w:tcPr>
          <w:p w14:paraId="2F4C42AB" w14:textId="77777777" w:rsidR="004E7FA9" w:rsidRPr="003B6A69" w:rsidRDefault="004E7FA9" w:rsidP="00AE6C8E">
            <w:pPr>
              <w:rPr>
                <w:rFonts w:asciiTheme="minorHAnsi" w:hAnsiTheme="minorHAnsi" w:cstheme="minorHAnsi"/>
                <w:sz w:val="18"/>
                <w:szCs w:val="18"/>
              </w:rPr>
            </w:pPr>
          </w:p>
        </w:tc>
        <w:tc>
          <w:tcPr>
            <w:tcW w:w="2442" w:type="dxa"/>
            <w:gridSpan w:val="2"/>
            <w:vMerge/>
          </w:tcPr>
          <w:p w14:paraId="1BA656D1" w14:textId="77777777" w:rsidR="004E7FA9" w:rsidRPr="003B6A69" w:rsidRDefault="004E7FA9" w:rsidP="00AE6C8E">
            <w:pPr>
              <w:rPr>
                <w:rFonts w:asciiTheme="minorHAnsi" w:hAnsiTheme="minorHAnsi" w:cstheme="minorHAnsi"/>
                <w:sz w:val="18"/>
                <w:szCs w:val="18"/>
              </w:rPr>
            </w:pPr>
          </w:p>
        </w:tc>
        <w:tc>
          <w:tcPr>
            <w:tcW w:w="1712" w:type="dxa"/>
          </w:tcPr>
          <w:p w14:paraId="575D4858"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PIF stage</w:t>
            </w:r>
          </w:p>
        </w:tc>
        <w:tc>
          <w:tcPr>
            <w:tcW w:w="2726" w:type="dxa"/>
          </w:tcPr>
          <w:p w14:paraId="30AD4F8E"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Endorsement</w:t>
            </w:r>
          </w:p>
        </w:tc>
        <w:tc>
          <w:tcPr>
            <w:tcW w:w="1985" w:type="dxa"/>
          </w:tcPr>
          <w:p w14:paraId="03D1D088"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MTR</w:t>
            </w:r>
          </w:p>
        </w:tc>
        <w:tc>
          <w:tcPr>
            <w:tcW w:w="3358" w:type="dxa"/>
          </w:tcPr>
          <w:p w14:paraId="2339B1FF"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TE</w:t>
            </w:r>
          </w:p>
        </w:tc>
      </w:tr>
      <w:tr w:rsidR="004E7FA9" w:rsidRPr="003B6A69" w14:paraId="2FA0CE60" w14:textId="77777777" w:rsidTr="00AE6C8E">
        <w:tc>
          <w:tcPr>
            <w:tcW w:w="1298" w:type="dxa"/>
          </w:tcPr>
          <w:p w14:paraId="5D923F2F" w14:textId="77777777" w:rsidR="004E7FA9" w:rsidRPr="003B6A69" w:rsidRDefault="004E7FA9" w:rsidP="00AE6C8E">
            <w:pPr>
              <w:jc w:val="right"/>
              <w:rPr>
                <w:rFonts w:asciiTheme="minorHAnsi" w:hAnsiTheme="minorHAnsi" w:cstheme="minorHAnsi"/>
                <w:sz w:val="18"/>
                <w:szCs w:val="18"/>
              </w:rPr>
            </w:pPr>
          </w:p>
        </w:tc>
        <w:tc>
          <w:tcPr>
            <w:tcW w:w="933" w:type="dxa"/>
          </w:tcPr>
          <w:p w14:paraId="4E8ED77F" w14:textId="77777777" w:rsidR="004E7FA9" w:rsidRPr="003B6A69" w:rsidRDefault="004E7FA9" w:rsidP="00AE6C8E">
            <w:pPr>
              <w:jc w:val="right"/>
              <w:rPr>
                <w:rFonts w:asciiTheme="minorHAnsi" w:hAnsiTheme="minorHAnsi" w:cstheme="minorHAnsi"/>
                <w:sz w:val="18"/>
                <w:szCs w:val="18"/>
              </w:rPr>
            </w:pPr>
          </w:p>
        </w:tc>
        <w:tc>
          <w:tcPr>
            <w:tcW w:w="2442" w:type="dxa"/>
            <w:gridSpan w:val="2"/>
          </w:tcPr>
          <w:p w14:paraId="58EE12C7"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1712" w:type="dxa"/>
          </w:tcPr>
          <w:p w14:paraId="40534EDC"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2726" w:type="dxa"/>
          </w:tcPr>
          <w:p w14:paraId="57051D58"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1985" w:type="dxa"/>
          </w:tcPr>
          <w:p w14:paraId="7A43A77C"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3358" w:type="dxa"/>
          </w:tcPr>
          <w:p w14:paraId="107D3D2E"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r>
      <w:tr w:rsidR="004E7FA9" w:rsidRPr="003B6A69" w14:paraId="1B3F93D0" w14:textId="77777777" w:rsidTr="00AE6C8E">
        <w:tc>
          <w:tcPr>
            <w:tcW w:w="1298" w:type="dxa"/>
          </w:tcPr>
          <w:p w14:paraId="471A0959" w14:textId="77777777" w:rsidR="004E7FA9" w:rsidRPr="003B6A69" w:rsidRDefault="004E7FA9" w:rsidP="00AE6C8E">
            <w:pPr>
              <w:jc w:val="right"/>
              <w:rPr>
                <w:rFonts w:asciiTheme="minorHAnsi" w:hAnsiTheme="minorHAnsi" w:cstheme="minorHAnsi"/>
                <w:sz w:val="18"/>
                <w:szCs w:val="18"/>
              </w:rPr>
            </w:pPr>
          </w:p>
        </w:tc>
        <w:tc>
          <w:tcPr>
            <w:tcW w:w="933" w:type="dxa"/>
          </w:tcPr>
          <w:p w14:paraId="4CE57851" w14:textId="77777777" w:rsidR="004E7FA9" w:rsidRPr="003B6A69" w:rsidRDefault="004E7FA9" w:rsidP="00AE6C8E">
            <w:pPr>
              <w:jc w:val="right"/>
              <w:rPr>
                <w:rFonts w:asciiTheme="minorHAnsi" w:hAnsiTheme="minorHAnsi" w:cstheme="minorHAnsi"/>
                <w:sz w:val="18"/>
                <w:szCs w:val="18"/>
              </w:rPr>
            </w:pPr>
          </w:p>
        </w:tc>
        <w:tc>
          <w:tcPr>
            <w:tcW w:w="2442" w:type="dxa"/>
            <w:gridSpan w:val="2"/>
          </w:tcPr>
          <w:p w14:paraId="1A45A53A"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1712" w:type="dxa"/>
          </w:tcPr>
          <w:p w14:paraId="7CE067D3"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2726" w:type="dxa"/>
          </w:tcPr>
          <w:p w14:paraId="47FC0DFA"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1985" w:type="dxa"/>
          </w:tcPr>
          <w:p w14:paraId="2BB10145"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3358" w:type="dxa"/>
          </w:tcPr>
          <w:p w14:paraId="408A788D"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r>
      <w:tr w:rsidR="004E7FA9" w:rsidRPr="003B6A69" w14:paraId="207ABD04" w14:textId="77777777" w:rsidTr="00AE6C8E">
        <w:tc>
          <w:tcPr>
            <w:tcW w:w="1298" w:type="dxa"/>
            <w:shd w:val="clear" w:color="auto" w:fill="BFBFBF" w:themeFill="background1" w:themeFillShade="BF"/>
          </w:tcPr>
          <w:p w14:paraId="71165D30" w14:textId="77777777" w:rsidR="004E7FA9" w:rsidRPr="003B6A69" w:rsidRDefault="004E7FA9" w:rsidP="00AE6C8E">
            <w:pPr>
              <w:rPr>
                <w:rFonts w:asciiTheme="minorHAnsi" w:hAnsiTheme="minorHAnsi" w:cstheme="minorHAnsi"/>
                <w:sz w:val="18"/>
                <w:szCs w:val="18"/>
              </w:rPr>
            </w:pPr>
            <w:r w:rsidRPr="003B6A69">
              <w:rPr>
                <w:rFonts w:asciiTheme="minorHAnsi" w:hAnsiTheme="minorHAnsi" w:cstheme="minorHAnsi"/>
                <w:sz w:val="18"/>
                <w:szCs w:val="18"/>
              </w:rPr>
              <w:t>Indicator 9.6</w:t>
            </w:r>
          </w:p>
        </w:tc>
        <w:tc>
          <w:tcPr>
            <w:tcW w:w="13156" w:type="dxa"/>
            <w:gridSpan w:val="7"/>
            <w:shd w:val="clear" w:color="auto" w:fill="BFBFBF" w:themeFill="background1" w:themeFillShade="BF"/>
          </w:tcPr>
          <w:p w14:paraId="0201F759" w14:textId="77777777" w:rsidR="004E7FA9" w:rsidRPr="003B6A69" w:rsidRDefault="004E7FA9" w:rsidP="00AE6C8E">
            <w:pPr>
              <w:rPr>
                <w:rFonts w:asciiTheme="minorHAnsi" w:hAnsiTheme="minorHAnsi" w:cstheme="minorHAnsi"/>
                <w:color w:val="000000"/>
                <w:sz w:val="18"/>
                <w:szCs w:val="18"/>
              </w:rPr>
            </w:pPr>
            <w:r w:rsidRPr="003B6A69">
              <w:rPr>
                <w:rFonts w:asciiTheme="minorHAnsi" w:hAnsiTheme="minorHAnsi" w:cstheme="minorHAnsi"/>
                <w:color w:val="000000"/>
                <w:sz w:val="18"/>
                <w:szCs w:val="18"/>
              </w:rPr>
              <w:t>Quantity of POPs/Mercury containing materials and products directly avoided</w:t>
            </w:r>
          </w:p>
        </w:tc>
      </w:tr>
      <w:tr w:rsidR="004E7FA9" w:rsidRPr="003B6A69" w14:paraId="76372CC5" w14:textId="77777777" w:rsidTr="00AE6C8E">
        <w:tc>
          <w:tcPr>
            <w:tcW w:w="1298" w:type="dxa"/>
          </w:tcPr>
          <w:p w14:paraId="1FB21853" w14:textId="77777777" w:rsidR="004E7FA9" w:rsidRPr="003B6A69" w:rsidRDefault="004E7FA9" w:rsidP="00AE6C8E">
            <w:pPr>
              <w:jc w:val="right"/>
              <w:rPr>
                <w:rFonts w:asciiTheme="minorHAnsi" w:hAnsiTheme="minorHAnsi" w:cstheme="minorHAnsi"/>
                <w:sz w:val="18"/>
                <w:szCs w:val="18"/>
              </w:rPr>
            </w:pPr>
          </w:p>
        </w:tc>
        <w:tc>
          <w:tcPr>
            <w:tcW w:w="933" w:type="dxa"/>
          </w:tcPr>
          <w:p w14:paraId="0E5BF8C7" w14:textId="77777777" w:rsidR="004E7FA9" w:rsidRPr="003B6A69" w:rsidRDefault="004E7FA9" w:rsidP="00AE6C8E">
            <w:pPr>
              <w:jc w:val="right"/>
              <w:rPr>
                <w:rFonts w:asciiTheme="minorHAnsi" w:hAnsiTheme="minorHAnsi" w:cstheme="minorHAnsi"/>
                <w:sz w:val="18"/>
                <w:szCs w:val="18"/>
              </w:rPr>
            </w:pPr>
          </w:p>
        </w:tc>
        <w:tc>
          <w:tcPr>
            <w:tcW w:w="2442" w:type="dxa"/>
            <w:gridSpan w:val="2"/>
          </w:tcPr>
          <w:p w14:paraId="7963AED9" w14:textId="77777777" w:rsidR="004E7FA9" w:rsidRPr="003B6A69" w:rsidRDefault="004E7FA9" w:rsidP="00AE6C8E">
            <w:pPr>
              <w:jc w:val="right"/>
              <w:rPr>
                <w:rFonts w:asciiTheme="minorHAnsi" w:hAnsiTheme="minorHAnsi" w:cstheme="minorHAnsi"/>
                <w:i/>
                <w:color w:val="000000"/>
                <w:sz w:val="18"/>
                <w:szCs w:val="18"/>
              </w:rPr>
            </w:pPr>
          </w:p>
        </w:tc>
        <w:tc>
          <w:tcPr>
            <w:tcW w:w="9781" w:type="dxa"/>
            <w:gridSpan w:val="4"/>
          </w:tcPr>
          <w:p w14:paraId="0037C2C2" w14:textId="77777777" w:rsidR="004E7FA9" w:rsidRPr="003B6A69" w:rsidRDefault="004E7FA9" w:rsidP="00AE6C8E">
            <w:pPr>
              <w:jc w:val="center"/>
              <w:rPr>
                <w:rFonts w:asciiTheme="minorHAnsi" w:hAnsiTheme="minorHAnsi" w:cstheme="minorHAnsi"/>
                <w:color w:val="000000"/>
                <w:sz w:val="18"/>
                <w:szCs w:val="18"/>
              </w:rPr>
            </w:pPr>
            <w:r w:rsidRPr="003B6A69">
              <w:rPr>
                <w:rFonts w:asciiTheme="minorHAnsi" w:hAnsiTheme="minorHAnsi" w:cstheme="minorHAnsi"/>
                <w:color w:val="000000"/>
                <w:sz w:val="18"/>
                <w:szCs w:val="18"/>
              </w:rPr>
              <w:t>Metric Tons</w:t>
            </w:r>
          </w:p>
        </w:tc>
      </w:tr>
      <w:tr w:rsidR="004E7FA9" w:rsidRPr="003B6A69" w14:paraId="28D3E662" w14:textId="77777777" w:rsidTr="00AE6C8E">
        <w:tc>
          <w:tcPr>
            <w:tcW w:w="1298" w:type="dxa"/>
          </w:tcPr>
          <w:p w14:paraId="3DBD666C" w14:textId="77777777" w:rsidR="004E7FA9" w:rsidRPr="003B6A69" w:rsidRDefault="004E7FA9" w:rsidP="00AE6C8E">
            <w:pPr>
              <w:jc w:val="right"/>
              <w:rPr>
                <w:rFonts w:asciiTheme="minorHAnsi" w:hAnsiTheme="minorHAnsi" w:cstheme="minorHAnsi"/>
                <w:sz w:val="18"/>
                <w:szCs w:val="18"/>
              </w:rPr>
            </w:pPr>
          </w:p>
        </w:tc>
        <w:tc>
          <w:tcPr>
            <w:tcW w:w="933" w:type="dxa"/>
          </w:tcPr>
          <w:p w14:paraId="260F11D5" w14:textId="77777777" w:rsidR="004E7FA9" w:rsidRPr="003B6A69" w:rsidRDefault="004E7FA9" w:rsidP="00AE6C8E">
            <w:pPr>
              <w:jc w:val="right"/>
              <w:rPr>
                <w:rFonts w:asciiTheme="minorHAnsi" w:hAnsiTheme="minorHAnsi" w:cstheme="minorHAnsi"/>
                <w:sz w:val="18"/>
                <w:szCs w:val="18"/>
              </w:rPr>
            </w:pPr>
          </w:p>
        </w:tc>
        <w:tc>
          <w:tcPr>
            <w:tcW w:w="2442" w:type="dxa"/>
            <w:gridSpan w:val="2"/>
          </w:tcPr>
          <w:p w14:paraId="2B2BCEA1" w14:textId="77777777" w:rsidR="004E7FA9" w:rsidRPr="003B6A69" w:rsidRDefault="004E7FA9" w:rsidP="00AE6C8E">
            <w:pPr>
              <w:jc w:val="right"/>
              <w:rPr>
                <w:rFonts w:asciiTheme="minorHAnsi" w:hAnsiTheme="minorHAnsi" w:cstheme="minorHAnsi"/>
                <w:i/>
                <w:color w:val="000000"/>
                <w:sz w:val="18"/>
                <w:szCs w:val="18"/>
              </w:rPr>
            </w:pPr>
          </w:p>
        </w:tc>
        <w:tc>
          <w:tcPr>
            <w:tcW w:w="4438" w:type="dxa"/>
            <w:gridSpan w:val="2"/>
          </w:tcPr>
          <w:p w14:paraId="4AA2BD72" w14:textId="77777777" w:rsidR="004E7FA9" w:rsidRPr="003B6A69" w:rsidRDefault="004E7FA9" w:rsidP="00AE6C8E">
            <w:pPr>
              <w:jc w:val="right"/>
              <w:rPr>
                <w:rFonts w:asciiTheme="minorHAnsi" w:hAnsiTheme="minorHAnsi" w:cstheme="minorHAnsi"/>
                <w:i/>
                <w:color w:val="000000"/>
                <w:sz w:val="18"/>
                <w:szCs w:val="18"/>
              </w:rPr>
            </w:pPr>
            <w:r w:rsidRPr="003B6A69">
              <w:rPr>
                <w:rFonts w:asciiTheme="minorHAnsi" w:hAnsiTheme="minorHAnsi" w:cstheme="minorHAnsi"/>
                <w:sz w:val="18"/>
                <w:szCs w:val="18"/>
              </w:rPr>
              <w:t>Expected</w:t>
            </w:r>
          </w:p>
        </w:tc>
        <w:tc>
          <w:tcPr>
            <w:tcW w:w="5343" w:type="dxa"/>
            <w:gridSpan w:val="2"/>
          </w:tcPr>
          <w:p w14:paraId="604A98C7" w14:textId="77777777" w:rsidR="004E7FA9" w:rsidRPr="003B6A69" w:rsidRDefault="004E7FA9" w:rsidP="00AE6C8E">
            <w:pPr>
              <w:jc w:val="right"/>
              <w:rPr>
                <w:rFonts w:asciiTheme="minorHAnsi" w:hAnsiTheme="minorHAnsi" w:cstheme="minorHAnsi"/>
                <w:i/>
                <w:color w:val="000000"/>
                <w:sz w:val="18"/>
                <w:szCs w:val="18"/>
              </w:rPr>
            </w:pPr>
            <w:r w:rsidRPr="003B6A69">
              <w:rPr>
                <w:rFonts w:asciiTheme="minorHAnsi" w:hAnsiTheme="minorHAnsi" w:cstheme="minorHAnsi"/>
                <w:sz w:val="18"/>
                <w:szCs w:val="18"/>
              </w:rPr>
              <w:t>Achieved</w:t>
            </w:r>
          </w:p>
        </w:tc>
      </w:tr>
      <w:tr w:rsidR="004E7FA9" w:rsidRPr="003B6A69" w14:paraId="2C81BB9D" w14:textId="77777777" w:rsidTr="00AE6C8E">
        <w:tc>
          <w:tcPr>
            <w:tcW w:w="1298" w:type="dxa"/>
          </w:tcPr>
          <w:p w14:paraId="6439FA24" w14:textId="77777777" w:rsidR="004E7FA9" w:rsidRPr="003B6A69" w:rsidRDefault="004E7FA9" w:rsidP="00AE6C8E">
            <w:pPr>
              <w:jc w:val="right"/>
              <w:rPr>
                <w:rFonts w:asciiTheme="minorHAnsi" w:hAnsiTheme="minorHAnsi" w:cstheme="minorHAnsi"/>
                <w:sz w:val="18"/>
                <w:szCs w:val="18"/>
              </w:rPr>
            </w:pPr>
          </w:p>
        </w:tc>
        <w:tc>
          <w:tcPr>
            <w:tcW w:w="933" w:type="dxa"/>
          </w:tcPr>
          <w:p w14:paraId="1F3E2E4B" w14:textId="77777777" w:rsidR="004E7FA9" w:rsidRPr="003B6A69" w:rsidRDefault="004E7FA9" w:rsidP="00AE6C8E">
            <w:pPr>
              <w:jc w:val="right"/>
              <w:rPr>
                <w:rFonts w:asciiTheme="minorHAnsi" w:hAnsiTheme="minorHAnsi" w:cstheme="minorHAnsi"/>
                <w:sz w:val="18"/>
                <w:szCs w:val="18"/>
              </w:rPr>
            </w:pPr>
          </w:p>
        </w:tc>
        <w:tc>
          <w:tcPr>
            <w:tcW w:w="2442" w:type="dxa"/>
            <w:gridSpan w:val="2"/>
          </w:tcPr>
          <w:p w14:paraId="2F82A659" w14:textId="77777777" w:rsidR="004E7FA9" w:rsidRPr="003B6A69" w:rsidRDefault="004E7FA9" w:rsidP="00AE6C8E">
            <w:pPr>
              <w:jc w:val="right"/>
              <w:rPr>
                <w:rFonts w:asciiTheme="minorHAnsi" w:hAnsiTheme="minorHAnsi" w:cstheme="minorHAnsi"/>
                <w:i/>
                <w:color w:val="000000"/>
                <w:sz w:val="18"/>
                <w:szCs w:val="18"/>
              </w:rPr>
            </w:pPr>
          </w:p>
        </w:tc>
        <w:tc>
          <w:tcPr>
            <w:tcW w:w="1712" w:type="dxa"/>
          </w:tcPr>
          <w:p w14:paraId="42347987" w14:textId="77777777" w:rsidR="004E7FA9" w:rsidRPr="003B6A69" w:rsidRDefault="004E7FA9" w:rsidP="00AE6C8E">
            <w:pPr>
              <w:jc w:val="right"/>
              <w:rPr>
                <w:rFonts w:asciiTheme="minorHAnsi" w:hAnsiTheme="minorHAnsi" w:cstheme="minorHAnsi"/>
                <w:i/>
                <w:color w:val="000000"/>
                <w:sz w:val="18"/>
                <w:szCs w:val="18"/>
              </w:rPr>
            </w:pPr>
            <w:r w:rsidRPr="003B6A69">
              <w:rPr>
                <w:rFonts w:asciiTheme="minorHAnsi" w:hAnsiTheme="minorHAnsi" w:cstheme="minorHAnsi"/>
                <w:sz w:val="18"/>
                <w:szCs w:val="18"/>
              </w:rPr>
              <w:t>PIF stage</w:t>
            </w:r>
          </w:p>
        </w:tc>
        <w:tc>
          <w:tcPr>
            <w:tcW w:w="2726" w:type="dxa"/>
          </w:tcPr>
          <w:p w14:paraId="7226F7AC" w14:textId="77777777" w:rsidR="004E7FA9" w:rsidRPr="003B6A69" w:rsidRDefault="004E7FA9" w:rsidP="00AE6C8E">
            <w:pPr>
              <w:jc w:val="right"/>
              <w:rPr>
                <w:rFonts w:asciiTheme="minorHAnsi" w:hAnsiTheme="minorHAnsi" w:cstheme="minorHAnsi"/>
                <w:i/>
                <w:color w:val="000000"/>
                <w:sz w:val="18"/>
                <w:szCs w:val="18"/>
              </w:rPr>
            </w:pPr>
            <w:r w:rsidRPr="003B6A69">
              <w:rPr>
                <w:rFonts w:asciiTheme="minorHAnsi" w:hAnsiTheme="minorHAnsi" w:cstheme="minorHAnsi"/>
                <w:sz w:val="18"/>
                <w:szCs w:val="18"/>
              </w:rPr>
              <w:t>Endorsement</w:t>
            </w:r>
          </w:p>
        </w:tc>
        <w:tc>
          <w:tcPr>
            <w:tcW w:w="1985" w:type="dxa"/>
          </w:tcPr>
          <w:p w14:paraId="5BF87433" w14:textId="77777777" w:rsidR="004E7FA9" w:rsidRPr="003B6A69" w:rsidRDefault="004E7FA9" w:rsidP="00AE6C8E">
            <w:pPr>
              <w:jc w:val="right"/>
              <w:rPr>
                <w:rFonts w:asciiTheme="minorHAnsi" w:hAnsiTheme="minorHAnsi" w:cstheme="minorHAnsi"/>
                <w:i/>
                <w:color w:val="000000"/>
                <w:sz w:val="18"/>
                <w:szCs w:val="18"/>
              </w:rPr>
            </w:pPr>
            <w:r w:rsidRPr="003B6A69">
              <w:rPr>
                <w:rFonts w:asciiTheme="minorHAnsi" w:hAnsiTheme="minorHAnsi" w:cstheme="minorHAnsi"/>
                <w:sz w:val="18"/>
                <w:szCs w:val="18"/>
              </w:rPr>
              <w:t>PIF stage</w:t>
            </w:r>
          </w:p>
        </w:tc>
        <w:tc>
          <w:tcPr>
            <w:tcW w:w="3358" w:type="dxa"/>
          </w:tcPr>
          <w:p w14:paraId="658EA5F6" w14:textId="77777777" w:rsidR="004E7FA9" w:rsidRPr="003B6A69" w:rsidRDefault="004E7FA9" w:rsidP="00AE6C8E">
            <w:pPr>
              <w:jc w:val="right"/>
              <w:rPr>
                <w:rFonts w:asciiTheme="minorHAnsi" w:hAnsiTheme="minorHAnsi" w:cstheme="minorHAnsi"/>
                <w:i/>
                <w:color w:val="000000"/>
                <w:sz w:val="18"/>
                <w:szCs w:val="18"/>
              </w:rPr>
            </w:pPr>
            <w:r w:rsidRPr="003B6A69">
              <w:rPr>
                <w:rFonts w:asciiTheme="minorHAnsi" w:hAnsiTheme="minorHAnsi" w:cstheme="minorHAnsi"/>
                <w:sz w:val="18"/>
                <w:szCs w:val="18"/>
              </w:rPr>
              <w:t>Endorsement</w:t>
            </w:r>
          </w:p>
        </w:tc>
      </w:tr>
      <w:tr w:rsidR="004E7FA9" w:rsidRPr="003B6A69" w14:paraId="51CACDB1" w14:textId="77777777" w:rsidTr="00AE6C8E">
        <w:tc>
          <w:tcPr>
            <w:tcW w:w="1298" w:type="dxa"/>
          </w:tcPr>
          <w:p w14:paraId="0807496F" w14:textId="77777777" w:rsidR="004E7FA9" w:rsidRPr="003B6A69" w:rsidRDefault="004E7FA9" w:rsidP="00AE6C8E">
            <w:pPr>
              <w:jc w:val="right"/>
              <w:rPr>
                <w:rFonts w:asciiTheme="minorHAnsi" w:hAnsiTheme="minorHAnsi" w:cstheme="minorHAnsi"/>
                <w:sz w:val="18"/>
                <w:szCs w:val="18"/>
              </w:rPr>
            </w:pPr>
          </w:p>
        </w:tc>
        <w:tc>
          <w:tcPr>
            <w:tcW w:w="933" w:type="dxa"/>
          </w:tcPr>
          <w:p w14:paraId="1A98E12C" w14:textId="77777777" w:rsidR="004E7FA9" w:rsidRPr="003B6A69" w:rsidRDefault="004E7FA9" w:rsidP="00AE6C8E">
            <w:pPr>
              <w:jc w:val="right"/>
              <w:rPr>
                <w:rFonts w:asciiTheme="minorHAnsi" w:hAnsiTheme="minorHAnsi" w:cstheme="minorHAnsi"/>
                <w:sz w:val="18"/>
                <w:szCs w:val="18"/>
              </w:rPr>
            </w:pPr>
          </w:p>
        </w:tc>
        <w:tc>
          <w:tcPr>
            <w:tcW w:w="2442" w:type="dxa"/>
            <w:gridSpan w:val="2"/>
          </w:tcPr>
          <w:p w14:paraId="76031126" w14:textId="77777777" w:rsidR="004E7FA9" w:rsidRPr="003B6A69" w:rsidRDefault="004E7FA9" w:rsidP="00AE6C8E">
            <w:pPr>
              <w:jc w:val="right"/>
              <w:rPr>
                <w:rFonts w:asciiTheme="minorHAnsi" w:hAnsiTheme="minorHAnsi" w:cstheme="minorHAnsi"/>
                <w:i/>
                <w:color w:val="000000"/>
                <w:sz w:val="18"/>
                <w:szCs w:val="18"/>
              </w:rPr>
            </w:pPr>
          </w:p>
        </w:tc>
        <w:tc>
          <w:tcPr>
            <w:tcW w:w="1712" w:type="dxa"/>
          </w:tcPr>
          <w:p w14:paraId="6EB5D989" w14:textId="77777777" w:rsidR="004E7FA9" w:rsidRPr="003B6A69" w:rsidRDefault="004E7FA9" w:rsidP="00AE6C8E">
            <w:pPr>
              <w:jc w:val="right"/>
              <w:rPr>
                <w:rFonts w:asciiTheme="minorHAnsi" w:hAnsiTheme="minorHAnsi" w:cstheme="minorHAnsi"/>
                <w:i/>
                <w:color w:val="000000"/>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2726" w:type="dxa"/>
          </w:tcPr>
          <w:p w14:paraId="51674AFD" w14:textId="77777777" w:rsidR="004E7FA9" w:rsidRPr="003B6A69" w:rsidRDefault="004E7FA9" w:rsidP="00AE6C8E">
            <w:pPr>
              <w:jc w:val="right"/>
              <w:rPr>
                <w:rFonts w:asciiTheme="minorHAnsi" w:hAnsiTheme="minorHAnsi" w:cstheme="minorHAnsi"/>
                <w:i/>
                <w:color w:val="000000"/>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1985" w:type="dxa"/>
          </w:tcPr>
          <w:p w14:paraId="02B4AD3F" w14:textId="77777777" w:rsidR="004E7FA9" w:rsidRPr="003B6A69" w:rsidRDefault="004E7FA9" w:rsidP="00AE6C8E">
            <w:pPr>
              <w:jc w:val="right"/>
              <w:rPr>
                <w:rFonts w:asciiTheme="minorHAnsi" w:hAnsiTheme="minorHAnsi" w:cstheme="minorHAnsi"/>
                <w:i/>
                <w:color w:val="000000"/>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3358" w:type="dxa"/>
          </w:tcPr>
          <w:p w14:paraId="6866FB7D" w14:textId="77777777" w:rsidR="004E7FA9" w:rsidRPr="003B6A69" w:rsidRDefault="004E7FA9" w:rsidP="00AE6C8E">
            <w:pPr>
              <w:jc w:val="right"/>
              <w:rPr>
                <w:rFonts w:asciiTheme="minorHAnsi" w:hAnsiTheme="minorHAnsi" w:cstheme="minorHAnsi"/>
                <w:i/>
                <w:color w:val="000000"/>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r>
      <w:tr w:rsidR="004E7FA9" w:rsidRPr="003B6A69" w14:paraId="0750D0D1" w14:textId="77777777" w:rsidTr="00AE6C8E">
        <w:tc>
          <w:tcPr>
            <w:tcW w:w="1298" w:type="dxa"/>
          </w:tcPr>
          <w:p w14:paraId="6C41E3A1" w14:textId="77777777" w:rsidR="004E7FA9" w:rsidRPr="003B6A69" w:rsidRDefault="004E7FA9" w:rsidP="00AE6C8E">
            <w:pPr>
              <w:jc w:val="right"/>
              <w:rPr>
                <w:rFonts w:asciiTheme="minorHAnsi" w:hAnsiTheme="minorHAnsi" w:cstheme="minorHAnsi"/>
                <w:sz w:val="18"/>
                <w:szCs w:val="18"/>
              </w:rPr>
            </w:pPr>
          </w:p>
        </w:tc>
        <w:tc>
          <w:tcPr>
            <w:tcW w:w="933" w:type="dxa"/>
          </w:tcPr>
          <w:p w14:paraId="36C679A5" w14:textId="77777777" w:rsidR="004E7FA9" w:rsidRPr="003B6A69" w:rsidRDefault="004E7FA9" w:rsidP="00AE6C8E">
            <w:pPr>
              <w:jc w:val="right"/>
              <w:rPr>
                <w:rFonts w:asciiTheme="minorHAnsi" w:hAnsiTheme="minorHAnsi" w:cstheme="minorHAnsi"/>
                <w:sz w:val="18"/>
                <w:szCs w:val="18"/>
              </w:rPr>
            </w:pPr>
          </w:p>
        </w:tc>
        <w:tc>
          <w:tcPr>
            <w:tcW w:w="2442" w:type="dxa"/>
            <w:gridSpan w:val="2"/>
          </w:tcPr>
          <w:p w14:paraId="773586FB" w14:textId="77777777" w:rsidR="004E7FA9" w:rsidRPr="003B6A69" w:rsidRDefault="004E7FA9" w:rsidP="00AE6C8E">
            <w:pPr>
              <w:jc w:val="right"/>
              <w:rPr>
                <w:rFonts w:asciiTheme="minorHAnsi" w:hAnsiTheme="minorHAnsi" w:cstheme="minorHAnsi"/>
                <w:i/>
                <w:color w:val="000000"/>
                <w:sz w:val="18"/>
                <w:szCs w:val="18"/>
              </w:rPr>
            </w:pPr>
          </w:p>
        </w:tc>
        <w:tc>
          <w:tcPr>
            <w:tcW w:w="1712" w:type="dxa"/>
          </w:tcPr>
          <w:p w14:paraId="5B88356E" w14:textId="77777777" w:rsidR="004E7FA9" w:rsidRPr="003B6A69" w:rsidRDefault="004E7FA9" w:rsidP="00AE6C8E">
            <w:pPr>
              <w:jc w:val="right"/>
              <w:rPr>
                <w:rFonts w:asciiTheme="minorHAnsi" w:hAnsiTheme="minorHAnsi" w:cstheme="minorHAnsi"/>
                <w:i/>
                <w:color w:val="000000"/>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2726" w:type="dxa"/>
          </w:tcPr>
          <w:p w14:paraId="1376ACAF" w14:textId="77777777" w:rsidR="004E7FA9" w:rsidRPr="003B6A69" w:rsidRDefault="004E7FA9" w:rsidP="00AE6C8E">
            <w:pPr>
              <w:jc w:val="right"/>
              <w:rPr>
                <w:rFonts w:asciiTheme="minorHAnsi" w:hAnsiTheme="minorHAnsi" w:cstheme="minorHAnsi"/>
                <w:i/>
                <w:color w:val="000000"/>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1985" w:type="dxa"/>
          </w:tcPr>
          <w:p w14:paraId="4ACB6262" w14:textId="77777777" w:rsidR="004E7FA9" w:rsidRPr="003B6A69" w:rsidRDefault="004E7FA9" w:rsidP="00AE6C8E">
            <w:pPr>
              <w:jc w:val="right"/>
              <w:rPr>
                <w:rFonts w:asciiTheme="minorHAnsi" w:hAnsiTheme="minorHAnsi" w:cstheme="minorHAnsi"/>
                <w:i/>
                <w:color w:val="000000"/>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3358" w:type="dxa"/>
          </w:tcPr>
          <w:p w14:paraId="778A14E7" w14:textId="77777777" w:rsidR="004E7FA9" w:rsidRPr="003B6A69" w:rsidRDefault="004E7FA9" w:rsidP="00AE6C8E">
            <w:pPr>
              <w:jc w:val="right"/>
              <w:rPr>
                <w:rFonts w:asciiTheme="minorHAnsi" w:hAnsiTheme="minorHAnsi" w:cstheme="minorHAnsi"/>
                <w:i/>
                <w:color w:val="000000"/>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r>
      <w:tr w:rsidR="004E7FA9" w:rsidRPr="003B6A69" w14:paraId="64950CC4" w14:textId="77777777" w:rsidTr="00AE6C8E">
        <w:tc>
          <w:tcPr>
            <w:tcW w:w="1298" w:type="dxa"/>
            <w:shd w:val="clear" w:color="auto" w:fill="D9D9D9" w:themeFill="background1" w:themeFillShade="D9"/>
          </w:tcPr>
          <w:p w14:paraId="42678ECF" w14:textId="77777777" w:rsidR="004E7FA9" w:rsidRPr="003B6A69" w:rsidRDefault="004E7FA9" w:rsidP="00AE6C8E">
            <w:pPr>
              <w:rPr>
                <w:rFonts w:asciiTheme="minorHAnsi" w:hAnsiTheme="minorHAnsi" w:cstheme="minorHAnsi"/>
                <w:b/>
                <w:sz w:val="18"/>
                <w:szCs w:val="18"/>
              </w:rPr>
            </w:pPr>
            <w:r w:rsidRPr="003B6A69">
              <w:rPr>
                <w:rFonts w:asciiTheme="minorHAnsi" w:hAnsiTheme="minorHAnsi" w:cstheme="minorHAnsi"/>
                <w:b/>
                <w:sz w:val="18"/>
                <w:szCs w:val="18"/>
              </w:rPr>
              <w:t>Core Indicator 10</w:t>
            </w:r>
          </w:p>
        </w:tc>
        <w:tc>
          <w:tcPr>
            <w:tcW w:w="9798" w:type="dxa"/>
            <w:gridSpan w:val="6"/>
            <w:shd w:val="clear" w:color="auto" w:fill="D9D9D9" w:themeFill="background1" w:themeFillShade="D9"/>
          </w:tcPr>
          <w:p w14:paraId="19DE6D79" w14:textId="77777777" w:rsidR="004E7FA9" w:rsidRPr="003B6A69" w:rsidRDefault="004E7FA9" w:rsidP="00AE6C8E">
            <w:pPr>
              <w:rPr>
                <w:rFonts w:asciiTheme="minorHAnsi" w:hAnsiTheme="minorHAnsi" w:cstheme="minorHAnsi"/>
                <w:b/>
                <w:sz w:val="18"/>
                <w:szCs w:val="18"/>
              </w:rPr>
            </w:pPr>
            <w:r w:rsidRPr="003B6A69">
              <w:rPr>
                <w:rFonts w:asciiTheme="minorHAnsi" w:hAnsiTheme="minorHAnsi" w:cstheme="minorHAnsi"/>
                <w:b/>
                <w:sz w:val="18"/>
                <w:szCs w:val="18"/>
              </w:rPr>
              <w:t xml:space="preserve">Reduction, avoidance of emissions of POPs to air from point and non-point sources </w:t>
            </w:r>
          </w:p>
        </w:tc>
        <w:tc>
          <w:tcPr>
            <w:tcW w:w="3358" w:type="dxa"/>
            <w:shd w:val="clear" w:color="auto" w:fill="D9D9D9" w:themeFill="background1" w:themeFillShade="D9"/>
          </w:tcPr>
          <w:p w14:paraId="051A7F5F" w14:textId="77777777" w:rsidR="004E7FA9" w:rsidRPr="003B6A69" w:rsidRDefault="004E7FA9" w:rsidP="00AE6C8E">
            <w:pPr>
              <w:jc w:val="right"/>
              <w:rPr>
                <w:rFonts w:asciiTheme="minorHAnsi" w:hAnsiTheme="minorHAnsi" w:cstheme="minorHAnsi"/>
                <w:b/>
                <w:sz w:val="18"/>
                <w:szCs w:val="18"/>
              </w:rPr>
            </w:pPr>
            <w:r w:rsidRPr="003B6A69">
              <w:rPr>
                <w:rFonts w:asciiTheme="minorHAnsi" w:hAnsiTheme="minorHAnsi" w:cstheme="minorHAnsi"/>
                <w:b/>
                <w:i/>
                <w:color w:val="000000"/>
                <w:sz w:val="18"/>
                <w:szCs w:val="18"/>
              </w:rPr>
              <w:fldChar w:fldCharType="begin">
                <w:ffData>
                  <w:name w:val=""/>
                  <w:enabled/>
                  <w:calcOnExit w:val="0"/>
                  <w:textInput>
                    <w:default w:val="(Grams)"/>
                  </w:textInput>
                </w:ffData>
              </w:fldChar>
            </w:r>
            <w:r w:rsidRPr="003B6A69">
              <w:rPr>
                <w:rFonts w:asciiTheme="minorHAnsi" w:hAnsiTheme="minorHAnsi" w:cstheme="minorHAnsi"/>
                <w:b/>
                <w:i/>
                <w:color w:val="000000"/>
                <w:sz w:val="18"/>
                <w:szCs w:val="18"/>
              </w:rPr>
              <w:instrText xml:space="preserve"> FORMTEXT </w:instrText>
            </w:r>
            <w:r w:rsidRPr="003B6A69">
              <w:rPr>
                <w:rFonts w:asciiTheme="minorHAnsi" w:hAnsiTheme="minorHAnsi" w:cstheme="minorHAnsi"/>
                <w:b/>
                <w:i/>
                <w:color w:val="000000"/>
                <w:sz w:val="18"/>
                <w:szCs w:val="18"/>
              </w:rPr>
            </w:r>
            <w:r w:rsidRPr="003B6A69">
              <w:rPr>
                <w:rFonts w:asciiTheme="minorHAnsi" w:hAnsiTheme="minorHAnsi" w:cstheme="minorHAnsi"/>
                <w:b/>
                <w:i/>
                <w:color w:val="000000"/>
                <w:sz w:val="18"/>
                <w:szCs w:val="18"/>
              </w:rPr>
              <w:fldChar w:fldCharType="separate"/>
            </w:r>
            <w:r w:rsidRPr="003B6A69">
              <w:rPr>
                <w:rFonts w:asciiTheme="minorHAnsi" w:hAnsiTheme="minorHAnsi" w:cstheme="minorHAnsi"/>
                <w:b/>
                <w:i/>
                <w:noProof/>
                <w:color w:val="000000"/>
                <w:sz w:val="18"/>
                <w:szCs w:val="18"/>
              </w:rPr>
              <w:t>(</w:t>
            </w:r>
            <w:r w:rsidRPr="003B6A69">
              <w:rPr>
                <w:rFonts w:asciiTheme="minorHAnsi" w:hAnsiTheme="minorHAnsi" w:cstheme="minorHAnsi"/>
                <w:b/>
                <w:bCs/>
                <w:i/>
                <w:noProof/>
                <w:color w:val="000000"/>
                <w:sz w:val="18"/>
                <w:szCs w:val="18"/>
              </w:rPr>
              <w:t>grams of toxic equivalent gTEQ</w:t>
            </w:r>
            <w:r w:rsidRPr="003B6A69">
              <w:rPr>
                <w:rFonts w:asciiTheme="minorHAnsi" w:hAnsiTheme="minorHAnsi" w:cstheme="minorHAnsi"/>
                <w:b/>
                <w:i/>
                <w:noProof/>
                <w:color w:val="000000"/>
                <w:sz w:val="18"/>
                <w:szCs w:val="18"/>
              </w:rPr>
              <w:t>)</w:t>
            </w:r>
            <w:r w:rsidRPr="003B6A69">
              <w:rPr>
                <w:rFonts w:asciiTheme="minorHAnsi" w:hAnsiTheme="minorHAnsi" w:cstheme="minorHAnsi"/>
                <w:b/>
                <w:i/>
                <w:color w:val="000000"/>
                <w:sz w:val="18"/>
                <w:szCs w:val="18"/>
              </w:rPr>
              <w:fldChar w:fldCharType="end"/>
            </w:r>
          </w:p>
        </w:tc>
      </w:tr>
      <w:tr w:rsidR="004E7FA9" w:rsidRPr="003B6A69" w14:paraId="28A6C6A0" w14:textId="77777777" w:rsidTr="00AE6C8E">
        <w:tc>
          <w:tcPr>
            <w:tcW w:w="1298" w:type="dxa"/>
            <w:shd w:val="clear" w:color="auto" w:fill="BFBFBF" w:themeFill="background1" w:themeFillShade="BF"/>
          </w:tcPr>
          <w:p w14:paraId="4517B051" w14:textId="77777777" w:rsidR="004E7FA9" w:rsidRPr="003B6A69" w:rsidRDefault="004E7FA9" w:rsidP="00AE6C8E">
            <w:pPr>
              <w:rPr>
                <w:rFonts w:asciiTheme="minorHAnsi" w:hAnsiTheme="minorHAnsi" w:cstheme="minorHAnsi"/>
                <w:sz w:val="18"/>
                <w:szCs w:val="18"/>
              </w:rPr>
            </w:pPr>
            <w:r w:rsidRPr="003B6A69">
              <w:rPr>
                <w:rFonts w:asciiTheme="minorHAnsi" w:hAnsiTheme="minorHAnsi" w:cstheme="minorHAnsi"/>
                <w:sz w:val="18"/>
                <w:szCs w:val="18"/>
              </w:rPr>
              <w:t>Indicator 10.1</w:t>
            </w:r>
          </w:p>
        </w:tc>
        <w:tc>
          <w:tcPr>
            <w:tcW w:w="9798" w:type="dxa"/>
            <w:gridSpan w:val="6"/>
            <w:shd w:val="clear" w:color="auto" w:fill="BFBFBF" w:themeFill="background1" w:themeFillShade="BF"/>
          </w:tcPr>
          <w:p w14:paraId="38D3E998" w14:textId="77777777" w:rsidR="004E7FA9" w:rsidRPr="003B6A69" w:rsidRDefault="004E7FA9" w:rsidP="00AE6C8E">
            <w:pPr>
              <w:rPr>
                <w:rFonts w:asciiTheme="minorHAnsi" w:hAnsiTheme="minorHAnsi" w:cstheme="minorHAnsi"/>
                <w:sz w:val="18"/>
                <w:szCs w:val="18"/>
              </w:rPr>
            </w:pPr>
            <w:r w:rsidRPr="003B6A69">
              <w:rPr>
                <w:rFonts w:asciiTheme="minorHAnsi" w:hAnsiTheme="minorHAnsi" w:cstheme="minorHAnsi"/>
                <w:sz w:val="18"/>
                <w:szCs w:val="18"/>
              </w:rPr>
              <w:t>Number of countries with legislation and policy implemented to control emissions of POPs to air</w:t>
            </w:r>
          </w:p>
        </w:tc>
        <w:tc>
          <w:tcPr>
            <w:tcW w:w="3358" w:type="dxa"/>
            <w:shd w:val="clear" w:color="auto" w:fill="BFBFBF" w:themeFill="background1" w:themeFillShade="BF"/>
          </w:tcPr>
          <w:p w14:paraId="34B541B7"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r>
      <w:tr w:rsidR="004E7FA9" w:rsidRPr="003B6A69" w14:paraId="118A86C1" w14:textId="77777777" w:rsidTr="00AE6C8E">
        <w:trPr>
          <w:trHeight w:val="125"/>
        </w:trPr>
        <w:tc>
          <w:tcPr>
            <w:tcW w:w="1298" w:type="dxa"/>
            <w:vMerge w:val="restart"/>
          </w:tcPr>
          <w:p w14:paraId="211EA3FF" w14:textId="77777777" w:rsidR="004E7FA9" w:rsidRPr="003B6A69" w:rsidRDefault="004E7FA9" w:rsidP="00AE6C8E">
            <w:pPr>
              <w:rPr>
                <w:rFonts w:asciiTheme="minorHAnsi" w:hAnsiTheme="minorHAnsi" w:cstheme="minorHAnsi"/>
                <w:sz w:val="18"/>
                <w:szCs w:val="18"/>
              </w:rPr>
            </w:pPr>
          </w:p>
        </w:tc>
        <w:tc>
          <w:tcPr>
            <w:tcW w:w="933" w:type="dxa"/>
            <w:vMerge w:val="restart"/>
          </w:tcPr>
          <w:p w14:paraId="2F862622" w14:textId="77777777" w:rsidR="004E7FA9" w:rsidRPr="003B6A69" w:rsidRDefault="004E7FA9" w:rsidP="00AE6C8E">
            <w:pPr>
              <w:rPr>
                <w:rFonts w:asciiTheme="minorHAnsi" w:hAnsiTheme="minorHAnsi" w:cstheme="minorHAnsi"/>
                <w:sz w:val="18"/>
                <w:szCs w:val="18"/>
              </w:rPr>
            </w:pPr>
          </w:p>
        </w:tc>
        <w:tc>
          <w:tcPr>
            <w:tcW w:w="2442" w:type="dxa"/>
            <w:gridSpan w:val="2"/>
            <w:vMerge w:val="restart"/>
          </w:tcPr>
          <w:p w14:paraId="4871BE8B" w14:textId="77777777" w:rsidR="004E7FA9" w:rsidRPr="003B6A69" w:rsidRDefault="004E7FA9" w:rsidP="00AE6C8E">
            <w:pPr>
              <w:rPr>
                <w:rFonts w:asciiTheme="minorHAnsi" w:hAnsiTheme="minorHAnsi" w:cstheme="minorHAnsi"/>
                <w:sz w:val="18"/>
                <w:szCs w:val="18"/>
              </w:rPr>
            </w:pPr>
          </w:p>
        </w:tc>
        <w:tc>
          <w:tcPr>
            <w:tcW w:w="9781" w:type="dxa"/>
            <w:gridSpan w:val="4"/>
          </w:tcPr>
          <w:p w14:paraId="4EA7AC51"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Number of Countries</w:t>
            </w:r>
          </w:p>
        </w:tc>
      </w:tr>
      <w:tr w:rsidR="004E7FA9" w:rsidRPr="003B6A69" w14:paraId="1FCB3BD7" w14:textId="77777777" w:rsidTr="00AE6C8E">
        <w:trPr>
          <w:trHeight w:val="58"/>
        </w:trPr>
        <w:tc>
          <w:tcPr>
            <w:tcW w:w="1298" w:type="dxa"/>
            <w:vMerge/>
          </w:tcPr>
          <w:p w14:paraId="0A60601A" w14:textId="77777777" w:rsidR="004E7FA9" w:rsidRPr="003B6A69" w:rsidRDefault="004E7FA9" w:rsidP="00AE6C8E">
            <w:pPr>
              <w:rPr>
                <w:rFonts w:asciiTheme="minorHAnsi" w:hAnsiTheme="minorHAnsi" w:cstheme="minorHAnsi"/>
                <w:sz w:val="18"/>
                <w:szCs w:val="18"/>
              </w:rPr>
            </w:pPr>
          </w:p>
        </w:tc>
        <w:tc>
          <w:tcPr>
            <w:tcW w:w="933" w:type="dxa"/>
            <w:vMerge/>
          </w:tcPr>
          <w:p w14:paraId="2E536B96" w14:textId="77777777" w:rsidR="004E7FA9" w:rsidRPr="003B6A69" w:rsidRDefault="004E7FA9" w:rsidP="00AE6C8E">
            <w:pPr>
              <w:rPr>
                <w:rFonts w:asciiTheme="minorHAnsi" w:hAnsiTheme="minorHAnsi" w:cstheme="minorHAnsi"/>
                <w:sz w:val="18"/>
                <w:szCs w:val="18"/>
              </w:rPr>
            </w:pPr>
          </w:p>
        </w:tc>
        <w:tc>
          <w:tcPr>
            <w:tcW w:w="2442" w:type="dxa"/>
            <w:gridSpan w:val="2"/>
            <w:vMerge/>
          </w:tcPr>
          <w:p w14:paraId="51531E6D" w14:textId="77777777" w:rsidR="004E7FA9" w:rsidRPr="003B6A69" w:rsidRDefault="004E7FA9" w:rsidP="00AE6C8E">
            <w:pPr>
              <w:rPr>
                <w:rFonts w:asciiTheme="minorHAnsi" w:hAnsiTheme="minorHAnsi" w:cstheme="minorHAnsi"/>
                <w:sz w:val="18"/>
                <w:szCs w:val="18"/>
              </w:rPr>
            </w:pPr>
          </w:p>
        </w:tc>
        <w:tc>
          <w:tcPr>
            <w:tcW w:w="4438" w:type="dxa"/>
            <w:gridSpan w:val="2"/>
          </w:tcPr>
          <w:p w14:paraId="7CC319A1"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Expected</w:t>
            </w:r>
          </w:p>
        </w:tc>
        <w:tc>
          <w:tcPr>
            <w:tcW w:w="5343" w:type="dxa"/>
            <w:gridSpan w:val="2"/>
          </w:tcPr>
          <w:p w14:paraId="63BB341E"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Achieved</w:t>
            </w:r>
          </w:p>
        </w:tc>
      </w:tr>
      <w:tr w:rsidR="004E7FA9" w:rsidRPr="003B6A69" w14:paraId="2C90B2BA" w14:textId="77777777" w:rsidTr="00AE6C8E">
        <w:trPr>
          <w:trHeight w:val="125"/>
        </w:trPr>
        <w:tc>
          <w:tcPr>
            <w:tcW w:w="1298" w:type="dxa"/>
            <w:vMerge/>
          </w:tcPr>
          <w:p w14:paraId="52C371E2" w14:textId="77777777" w:rsidR="004E7FA9" w:rsidRPr="003B6A69" w:rsidRDefault="004E7FA9" w:rsidP="00AE6C8E">
            <w:pPr>
              <w:rPr>
                <w:rFonts w:asciiTheme="minorHAnsi" w:hAnsiTheme="minorHAnsi" w:cstheme="minorHAnsi"/>
                <w:sz w:val="18"/>
                <w:szCs w:val="18"/>
              </w:rPr>
            </w:pPr>
          </w:p>
        </w:tc>
        <w:tc>
          <w:tcPr>
            <w:tcW w:w="933" w:type="dxa"/>
            <w:vMerge/>
          </w:tcPr>
          <w:p w14:paraId="2EF4CF95" w14:textId="77777777" w:rsidR="004E7FA9" w:rsidRPr="003B6A69" w:rsidRDefault="004E7FA9" w:rsidP="00AE6C8E">
            <w:pPr>
              <w:rPr>
                <w:rFonts w:asciiTheme="minorHAnsi" w:hAnsiTheme="minorHAnsi" w:cstheme="minorHAnsi"/>
                <w:sz w:val="18"/>
                <w:szCs w:val="18"/>
              </w:rPr>
            </w:pPr>
          </w:p>
        </w:tc>
        <w:tc>
          <w:tcPr>
            <w:tcW w:w="2442" w:type="dxa"/>
            <w:gridSpan w:val="2"/>
            <w:vMerge/>
          </w:tcPr>
          <w:p w14:paraId="00CC50DD" w14:textId="77777777" w:rsidR="004E7FA9" w:rsidRPr="003B6A69" w:rsidRDefault="004E7FA9" w:rsidP="00AE6C8E">
            <w:pPr>
              <w:rPr>
                <w:rFonts w:asciiTheme="minorHAnsi" w:hAnsiTheme="minorHAnsi" w:cstheme="minorHAnsi"/>
                <w:sz w:val="18"/>
                <w:szCs w:val="18"/>
              </w:rPr>
            </w:pPr>
          </w:p>
        </w:tc>
        <w:tc>
          <w:tcPr>
            <w:tcW w:w="1712" w:type="dxa"/>
          </w:tcPr>
          <w:p w14:paraId="3946D792"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PIF stage</w:t>
            </w:r>
          </w:p>
        </w:tc>
        <w:tc>
          <w:tcPr>
            <w:tcW w:w="2726" w:type="dxa"/>
          </w:tcPr>
          <w:p w14:paraId="6DC8D919"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Endorsement</w:t>
            </w:r>
          </w:p>
        </w:tc>
        <w:tc>
          <w:tcPr>
            <w:tcW w:w="1985" w:type="dxa"/>
          </w:tcPr>
          <w:p w14:paraId="4D3D9050"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MTR</w:t>
            </w:r>
          </w:p>
        </w:tc>
        <w:tc>
          <w:tcPr>
            <w:tcW w:w="3358" w:type="dxa"/>
          </w:tcPr>
          <w:p w14:paraId="4DD62D32"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TE</w:t>
            </w:r>
          </w:p>
        </w:tc>
      </w:tr>
      <w:tr w:rsidR="004E7FA9" w:rsidRPr="003B6A69" w14:paraId="69B2F38C" w14:textId="77777777" w:rsidTr="00AE6C8E">
        <w:tc>
          <w:tcPr>
            <w:tcW w:w="1298" w:type="dxa"/>
          </w:tcPr>
          <w:p w14:paraId="46256210" w14:textId="77777777" w:rsidR="004E7FA9" w:rsidRPr="003B6A69" w:rsidRDefault="004E7FA9" w:rsidP="00AE6C8E">
            <w:pPr>
              <w:jc w:val="right"/>
              <w:rPr>
                <w:rFonts w:asciiTheme="minorHAnsi" w:hAnsiTheme="minorHAnsi" w:cstheme="minorHAnsi"/>
                <w:sz w:val="18"/>
                <w:szCs w:val="18"/>
              </w:rPr>
            </w:pPr>
          </w:p>
        </w:tc>
        <w:tc>
          <w:tcPr>
            <w:tcW w:w="933" w:type="dxa"/>
          </w:tcPr>
          <w:p w14:paraId="232FC725" w14:textId="77777777" w:rsidR="004E7FA9" w:rsidRPr="003B6A69" w:rsidRDefault="004E7FA9" w:rsidP="00AE6C8E">
            <w:pPr>
              <w:jc w:val="right"/>
              <w:rPr>
                <w:rFonts w:asciiTheme="minorHAnsi" w:hAnsiTheme="minorHAnsi" w:cstheme="minorHAnsi"/>
                <w:sz w:val="18"/>
                <w:szCs w:val="18"/>
              </w:rPr>
            </w:pPr>
          </w:p>
        </w:tc>
        <w:tc>
          <w:tcPr>
            <w:tcW w:w="2442" w:type="dxa"/>
            <w:gridSpan w:val="2"/>
          </w:tcPr>
          <w:p w14:paraId="7AF7AD48" w14:textId="77777777" w:rsidR="004E7FA9" w:rsidRPr="003B6A69" w:rsidRDefault="004E7FA9" w:rsidP="00AE6C8E">
            <w:pPr>
              <w:jc w:val="right"/>
              <w:rPr>
                <w:rFonts w:asciiTheme="minorHAnsi" w:hAnsiTheme="minorHAnsi" w:cstheme="minorHAnsi"/>
                <w:sz w:val="18"/>
                <w:szCs w:val="18"/>
              </w:rPr>
            </w:pPr>
          </w:p>
        </w:tc>
        <w:tc>
          <w:tcPr>
            <w:tcW w:w="1712" w:type="dxa"/>
          </w:tcPr>
          <w:p w14:paraId="0ABF9101"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2726" w:type="dxa"/>
          </w:tcPr>
          <w:p w14:paraId="722A91ED"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1985" w:type="dxa"/>
          </w:tcPr>
          <w:p w14:paraId="662D24A3"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3358" w:type="dxa"/>
          </w:tcPr>
          <w:p w14:paraId="6CE35EA6"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r>
      <w:tr w:rsidR="004E7FA9" w:rsidRPr="003B6A69" w14:paraId="2DFEB4E2" w14:textId="77777777" w:rsidTr="00AE6C8E">
        <w:tc>
          <w:tcPr>
            <w:tcW w:w="1298" w:type="dxa"/>
            <w:shd w:val="clear" w:color="auto" w:fill="BFBFBF" w:themeFill="background1" w:themeFillShade="BF"/>
          </w:tcPr>
          <w:p w14:paraId="11363BC5" w14:textId="77777777" w:rsidR="004E7FA9" w:rsidRPr="003B6A69" w:rsidRDefault="004E7FA9" w:rsidP="00AE6C8E">
            <w:pPr>
              <w:rPr>
                <w:rFonts w:asciiTheme="minorHAnsi" w:hAnsiTheme="minorHAnsi" w:cstheme="minorHAnsi"/>
                <w:sz w:val="18"/>
                <w:szCs w:val="18"/>
              </w:rPr>
            </w:pPr>
            <w:r w:rsidRPr="003B6A69">
              <w:rPr>
                <w:rFonts w:asciiTheme="minorHAnsi" w:hAnsiTheme="minorHAnsi" w:cstheme="minorHAnsi"/>
                <w:sz w:val="18"/>
                <w:szCs w:val="18"/>
              </w:rPr>
              <w:t>Indicator 10.2</w:t>
            </w:r>
          </w:p>
        </w:tc>
        <w:tc>
          <w:tcPr>
            <w:tcW w:w="9798" w:type="dxa"/>
            <w:gridSpan w:val="6"/>
            <w:shd w:val="clear" w:color="auto" w:fill="BFBFBF" w:themeFill="background1" w:themeFillShade="BF"/>
          </w:tcPr>
          <w:p w14:paraId="689FBC58" w14:textId="77777777" w:rsidR="004E7FA9" w:rsidRPr="003B6A69" w:rsidRDefault="004E7FA9" w:rsidP="00AE6C8E">
            <w:pPr>
              <w:rPr>
                <w:rFonts w:asciiTheme="minorHAnsi" w:hAnsiTheme="minorHAnsi" w:cstheme="minorHAnsi"/>
                <w:sz w:val="18"/>
                <w:szCs w:val="18"/>
              </w:rPr>
            </w:pPr>
            <w:r w:rsidRPr="003B6A69">
              <w:rPr>
                <w:rFonts w:asciiTheme="minorHAnsi" w:hAnsiTheme="minorHAnsi" w:cstheme="minorHAnsi"/>
                <w:sz w:val="18"/>
                <w:szCs w:val="18"/>
              </w:rPr>
              <w:t>Number of emission control technologies/practices implemented</w:t>
            </w:r>
          </w:p>
        </w:tc>
        <w:tc>
          <w:tcPr>
            <w:tcW w:w="3358" w:type="dxa"/>
            <w:shd w:val="clear" w:color="auto" w:fill="BFBFBF" w:themeFill="background1" w:themeFillShade="BF"/>
          </w:tcPr>
          <w:p w14:paraId="53097C9F"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r>
      <w:tr w:rsidR="004E7FA9" w:rsidRPr="003B6A69" w14:paraId="71FC6977" w14:textId="77777777" w:rsidTr="00AE6C8E">
        <w:trPr>
          <w:trHeight w:val="125"/>
        </w:trPr>
        <w:tc>
          <w:tcPr>
            <w:tcW w:w="1298" w:type="dxa"/>
            <w:vMerge w:val="restart"/>
          </w:tcPr>
          <w:p w14:paraId="1F6E02C4" w14:textId="77777777" w:rsidR="004E7FA9" w:rsidRPr="003B6A69" w:rsidRDefault="004E7FA9" w:rsidP="00AE6C8E">
            <w:pPr>
              <w:rPr>
                <w:rFonts w:asciiTheme="minorHAnsi" w:hAnsiTheme="minorHAnsi" w:cstheme="minorHAnsi"/>
                <w:sz w:val="18"/>
                <w:szCs w:val="18"/>
              </w:rPr>
            </w:pPr>
          </w:p>
        </w:tc>
        <w:tc>
          <w:tcPr>
            <w:tcW w:w="933" w:type="dxa"/>
            <w:vMerge w:val="restart"/>
          </w:tcPr>
          <w:p w14:paraId="5A6CE9AD" w14:textId="77777777" w:rsidR="004E7FA9" w:rsidRPr="003B6A69" w:rsidRDefault="004E7FA9" w:rsidP="00AE6C8E">
            <w:pPr>
              <w:rPr>
                <w:rFonts w:asciiTheme="minorHAnsi" w:hAnsiTheme="minorHAnsi" w:cstheme="minorHAnsi"/>
                <w:sz w:val="18"/>
                <w:szCs w:val="18"/>
              </w:rPr>
            </w:pPr>
          </w:p>
        </w:tc>
        <w:tc>
          <w:tcPr>
            <w:tcW w:w="2442" w:type="dxa"/>
            <w:gridSpan w:val="2"/>
            <w:vMerge w:val="restart"/>
          </w:tcPr>
          <w:p w14:paraId="1F4D6ED6" w14:textId="77777777" w:rsidR="004E7FA9" w:rsidRPr="003B6A69" w:rsidRDefault="004E7FA9" w:rsidP="00AE6C8E">
            <w:pPr>
              <w:rPr>
                <w:rFonts w:asciiTheme="minorHAnsi" w:hAnsiTheme="minorHAnsi" w:cstheme="minorHAnsi"/>
                <w:sz w:val="18"/>
                <w:szCs w:val="18"/>
              </w:rPr>
            </w:pPr>
          </w:p>
        </w:tc>
        <w:tc>
          <w:tcPr>
            <w:tcW w:w="9781" w:type="dxa"/>
            <w:gridSpan w:val="4"/>
          </w:tcPr>
          <w:p w14:paraId="78A1CB2D"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Number</w:t>
            </w:r>
          </w:p>
        </w:tc>
      </w:tr>
      <w:tr w:rsidR="004E7FA9" w:rsidRPr="003B6A69" w14:paraId="02591C2E" w14:textId="77777777" w:rsidTr="00AE6C8E">
        <w:trPr>
          <w:trHeight w:val="58"/>
        </w:trPr>
        <w:tc>
          <w:tcPr>
            <w:tcW w:w="1298" w:type="dxa"/>
            <w:vMerge/>
          </w:tcPr>
          <w:p w14:paraId="7B66FEA0" w14:textId="77777777" w:rsidR="004E7FA9" w:rsidRPr="003B6A69" w:rsidRDefault="004E7FA9" w:rsidP="00AE6C8E">
            <w:pPr>
              <w:rPr>
                <w:rFonts w:asciiTheme="minorHAnsi" w:hAnsiTheme="minorHAnsi" w:cstheme="minorHAnsi"/>
                <w:sz w:val="18"/>
                <w:szCs w:val="18"/>
              </w:rPr>
            </w:pPr>
          </w:p>
        </w:tc>
        <w:tc>
          <w:tcPr>
            <w:tcW w:w="933" w:type="dxa"/>
            <w:vMerge/>
          </w:tcPr>
          <w:p w14:paraId="39433ED4" w14:textId="77777777" w:rsidR="004E7FA9" w:rsidRPr="003B6A69" w:rsidRDefault="004E7FA9" w:rsidP="00AE6C8E">
            <w:pPr>
              <w:rPr>
                <w:rFonts w:asciiTheme="minorHAnsi" w:hAnsiTheme="minorHAnsi" w:cstheme="minorHAnsi"/>
                <w:sz w:val="18"/>
                <w:szCs w:val="18"/>
              </w:rPr>
            </w:pPr>
          </w:p>
        </w:tc>
        <w:tc>
          <w:tcPr>
            <w:tcW w:w="2442" w:type="dxa"/>
            <w:gridSpan w:val="2"/>
            <w:vMerge/>
          </w:tcPr>
          <w:p w14:paraId="63CE2AD9" w14:textId="77777777" w:rsidR="004E7FA9" w:rsidRPr="003B6A69" w:rsidRDefault="004E7FA9" w:rsidP="00AE6C8E">
            <w:pPr>
              <w:rPr>
                <w:rFonts w:asciiTheme="minorHAnsi" w:hAnsiTheme="minorHAnsi" w:cstheme="minorHAnsi"/>
                <w:sz w:val="18"/>
                <w:szCs w:val="18"/>
              </w:rPr>
            </w:pPr>
          </w:p>
        </w:tc>
        <w:tc>
          <w:tcPr>
            <w:tcW w:w="4438" w:type="dxa"/>
            <w:gridSpan w:val="2"/>
          </w:tcPr>
          <w:p w14:paraId="774EACE2"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Expected</w:t>
            </w:r>
          </w:p>
        </w:tc>
        <w:tc>
          <w:tcPr>
            <w:tcW w:w="5343" w:type="dxa"/>
            <w:gridSpan w:val="2"/>
          </w:tcPr>
          <w:p w14:paraId="204B4314"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Achieved</w:t>
            </w:r>
          </w:p>
        </w:tc>
      </w:tr>
      <w:tr w:rsidR="004E7FA9" w:rsidRPr="003B6A69" w14:paraId="29374389" w14:textId="77777777" w:rsidTr="00AE6C8E">
        <w:trPr>
          <w:trHeight w:val="206"/>
        </w:trPr>
        <w:tc>
          <w:tcPr>
            <w:tcW w:w="1298" w:type="dxa"/>
            <w:vMerge/>
          </w:tcPr>
          <w:p w14:paraId="2F9AAFE2" w14:textId="77777777" w:rsidR="004E7FA9" w:rsidRPr="003B6A69" w:rsidRDefault="004E7FA9" w:rsidP="00AE6C8E">
            <w:pPr>
              <w:rPr>
                <w:rFonts w:asciiTheme="minorHAnsi" w:hAnsiTheme="minorHAnsi" w:cstheme="minorHAnsi"/>
                <w:sz w:val="18"/>
                <w:szCs w:val="18"/>
              </w:rPr>
            </w:pPr>
          </w:p>
        </w:tc>
        <w:tc>
          <w:tcPr>
            <w:tcW w:w="933" w:type="dxa"/>
            <w:vMerge/>
          </w:tcPr>
          <w:p w14:paraId="5C5A3A28" w14:textId="77777777" w:rsidR="004E7FA9" w:rsidRPr="003B6A69" w:rsidRDefault="004E7FA9" w:rsidP="00AE6C8E">
            <w:pPr>
              <w:rPr>
                <w:rFonts w:asciiTheme="minorHAnsi" w:hAnsiTheme="minorHAnsi" w:cstheme="minorHAnsi"/>
                <w:sz w:val="18"/>
                <w:szCs w:val="18"/>
              </w:rPr>
            </w:pPr>
          </w:p>
        </w:tc>
        <w:tc>
          <w:tcPr>
            <w:tcW w:w="2442" w:type="dxa"/>
            <w:gridSpan w:val="2"/>
            <w:vMerge/>
          </w:tcPr>
          <w:p w14:paraId="0C760533" w14:textId="77777777" w:rsidR="004E7FA9" w:rsidRPr="003B6A69" w:rsidRDefault="004E7FA9" w:rsidP="00AE6C8E">
            <w:pPr>
              <w:rPr>
                <w:rFonts w:asciiTheme="minorHAnsi" w:hAnsiTheme="minorHAnsi" w:cstheme="minorHAnsi"/>
                <w:sz w:val="18"/>
                <w:szCs w:val="18"/>
              </w:rPr>
            </w:pPr>
          </w:p>
        </w:tc>
        <w:tc>
          <w:tcPr>
            <w:tcW w:w="1712" w:type="dxa"/>
          </w:tcPr>
          <w:p w14:paraId="26B221E3"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PIF stage</w:t>
            </w:r>
          </w:p>
        </w:tc>
        <w:tc>
          <w:tcPr>
            <w:tcW w:w="2726" w:type="dxa"/>
          </w:tcPr>
          <w:p w14:paraId="1ACAC953"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Endorsement</w:t>
            </w:r>
          </w:p>
        </w:tc>
        <w:tc>
          <w:tcPr>
            <w:tcW w:w="1985" w:type="dxa"/>
          </w:tcPr>
          <w:p w14:paraId="709A300B"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MTR</w:t>
            </w:r>
          </w:p>
        </w:tc>
        <w:tc>
          <w:tcPr>
            <w:tcW w:w="3358" w:type="dxa"/>
          </w:tcPr>
          <w:p w14:paraId="66320D5B"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TE</w:t>
            </w:r>
          </w:p>
        </w:tc>
      </w:tr>
      <w:tr w:rsidR="004E7FA9" w:rsidRPr="003B6A69" w14:paraId="6B3E8347" w14:textId="77777777" w:rsidTr="00AE6C8E">
        <w:tc>
          <w:tcPr>
            <w:tcW w:w="1298" w:type="dxa"/>
          </w:tcPr>
          <w:p w14:paraId="4826B2B0" w14:textId="77777777" w:rsidR="004E7FA9" w:rsidRPr="003B6A69" w:rsidRDefault="004E7FA9" w:rsidP="00AE6C8E">
            <w:pPr>
              <w:jc w:val="right"/>
              <w:rPr>
                <w:rFonts w:asciiTheme="minorHAnsi" w:hAnsiTheme="minorHAnsi" w:cstheme="minorHAnsi"/>
                <w:sz w:val="18"/>
                <w:szCs w:val="18"/>
              </w:rPr>
            </w:pPr>
          </w:p>
        </w:tc>
        <w:tc>
          <w:tcPr>
            <w:tcW w:w="3375" w:type="dxa"/>
            <w:gridSpan w:val="3"/>
          </w:tcPr>
          <w:p w14:paraId="0FA1F490" w14:textId="77777777" w:rsidR="004E7FA9" w:rsidRPr="003B6A69" w:rsidRDefault="004E7FA9" w:rsidP="00AE6C8E">
            <w:pPr>
              <w:jc w:val="right"/>
              <w:rPr>
                <w:rFonts w:asciiTheme="minorHAnsi" w:hAnsiTheme="minorHAnsi" w:cstheme="minorHAnsi"/>
                <w:sz w:val="18"/>
                <w:szCs w:val="18"/>
              </w:rPr>
            </w:pPr>
          </w:p>
        </w:tc>
        <w:tc>
          <w:tcPr>
            <w:tcW w:w="1712" w:type="dxa"/>
          </w:tcPr>
          <w:p w14:paraId="532FFDFF"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2726" w:type="dxa"/>
          </w:tcPr>
          <w:p w14:paraId="732FF6A0"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1985" w:type="dxa"/>
          </w:tcPr>
          <w:p w14:paraId="121553E9"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3358" w:type="dxa"/>
          </w:tcPr>
          <w:p w14:paraId="5740C7D1"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r>
      <w:tr w:rsidR="004E7FA9" w:rsidRPr="003B6A69" w14:paraId="2BCF093A" w14:textId="77777777" w:rsidTr="00AE6C8E">
        <w:tc>
          <w:tcPr>
            <w:tcW w:w="1298" w:type="dxa"/>
            <w:shd w:val="clear" w:color="auto" w:fill="D9D9D9" w:themeFill="background1" w:themeFillShade="D9"/>
          </w:tcPr>
          <w:p w14:paraId="583F1947" w14:textId="77777777" w:rsidR="004E7FA9" w:rsidRPr="003B6A69" w:rsidRDefault="004E7FA9" w:rsidP="00AE6C8E">
            <w:pPr>
              <w:rPr>
                <w:rFonts w:asciiTheme="minorHAnsi" w:hAnsiTheme="minorHAnsi" w:cstheme="minorHAnsi"/>
                <w:b/>
                <w:sz w:val="18"/>
                <w:szCs w:val="18"/>
              </w:rPr>
            </w:pPr>
            <w:r w:rsidRPr="003B6A69">
              <w:rPr>
                <w:rFonts w:asciiTheme="minorHAnsi" w:hAnsiTheme="minorHAnsi" w:cstheme="minorHAnsi"/>
                <w:b/>
                <w:sz w:val="18"/>
                <w:szCs w:val="18"/>
              </w:rPr>
              <w:t>Core Indicator 11</w:t>
            </w:r>
          </w:p>
        </w:tc>
        <w:tc>
          <w:tcPr>
            <w:tcW w:w="9798" w:type="dxa"/>
            <w:gridSpan w:val="6"/>
            <w:shd w:val="clear" w:color="auto" w:fill="D9D9D9" w:themeFill="background1" w:themeFillShade="D9"/>
          </w:tcPr>
          <w:p w14:paraId="07B99495" w14:textId="77777777" w:rsidR="004E7FA9" w:rsidRPr="003B6A69" w:rsidRDefault="004E7FA9" w:rsidP="00AE6C8E">
            <w:pPr>
              <w:rPr>
                <w:rFonts w:asciiTheme="minorHAnsi" w:hAnsiTheme="minorHAnsi" w:cstheme="minorHAnsi"/>
                <w:b/>
                <w:sz w:val="18"/>
                <w:szCs w:val="18"/>
              </w:rPr>
            </w:pPr>
            <w:r w:rsidRPr="003B6A69">
              <w:rPr>
                <w:rFonts w:asciiTheme="minorHAnsi" w:hAnsiTheme="minorHAnsi" w:cstheme="minorHAnsi"/>
                <w:b/>
                <w:sz w:val="18"/>
                <w:szCs w:val="18"/>
              </w:rPr>
              <w:t>Number of direct beneficiaries disaggregated by gender as co-benefit of GEF investment</w:t>
            </w:r>
          </w:p>
        </w:tc>
        <w:tc>
          <w:tcPr>
            <w:tcW w:w="3358" w:type="dxa"/>
            <w:shd w:val="clear" w:color="auto" w:fill="D9D9D9" w:themeFill="background1" w:themeFillShade="D9"/>
          </w:tcPr>
          <w:p w14:paraId="7585DF28" w14:textId="77777777" w:rsidR="004E7FA9" w:rsidRPr="003B6A69" w:rsidRDefault="004E7FA9" w:rsidP="00AE6C8E">
            <w:pPr>
              <w:jc w:val="right"/>
              <w:rPr>
                <w:rFonts w:asciiTheme="minorHAnsi" w:hAnsiTheme="minorHAnsi" w:cstheme="minorHAnsi"/>
                <w:b/>
                <w:sz w:val="18"/>
                <w:szCs w:val="18"/>
              </w:rPr>
            </w:pPr>
            <w:r w:rsidRPr="003B6A69">
              <w:rPr>
                <w:rFonts w:asciiTheme="minorHAnsi" w:hAnsiTheme="minorHAnsi" w:cstheme="minorHAnsi"/>
                <w:b/>
                <w:i/>
                <w:color w:val="000000"/>
                <w:sz w:val="18"/>
                <w:szCs w:val="18"/>
              </w:rPr>
              <w:fldChar w:fldCharType="begin">
                <w:ffData>
                  <w:name w:val=""/>
                  <w:enabled/>
                  <w:calcOnExit w:val="0"/>
                  <w:textInput>
                    <w:default w:val="(Number)"/>
                  </w:textInput>
                </w:ffData>
              </w:fldChar>
            </w:r>
            <w:r w:rsidRPr="003B6A69">
              <w:rPr>
                <w:rFonts w:asciiTheme="minorHAnsi" w:hAnsiTheme="minorHAnsi" w:cstheme="minorHAnsi"/>
                <w:b/>
                <w:i/>
                <w:color w:val="000000"/>
                <w:sz w:val="18"/>
                <w:szCs w:val="18"/>
              </w:rPr>
              <w:instrText xml:space="preserve"> FORMTEXT </w:instrText>
            </w:r>
            <w:r w:rsidRPr="003B6A69">
              <w:rPr>
                <w:rFonts w:asciiTheme="minorHAnsi" w:hAnsiTheme="minorHAnsi" w:cstheme="minorHAnsi"/>
                <w:b/>
                <w:i/>
                <w:color w:val="000000"/>
                <w:sz w:val="18"/>
                <w:szCs w:val="18"/>
              </w:rPr>
            </w:r>
            <w:r w:rsidRPr="003B6A69">
              <w:rPr>
                <w:rFonts w:asciiTheme="minorHAnsi" w:hAnsiTheme="minorHAnsi" w:cstheme="minorHAnsi"/>
                <w:b/>
                <w:i/>
                <w:color w:val="000000"/>
                <w:sz w:val="18"/>
                <w:szCs w:val="18"/>
              </w:rPr>
              <w:fldChar w:fldCharType="separate"/>
            </w:r>
            <w:r w:rsidRPr="003B6A69">
              <w:rPr>
                <w:rFonts w:asciiTheme="minorHAnsi" w:hAnsiTheme="minorHAnsi" w:cstheme="minorHAnsi"/>
                <w:b/>
                <w:i/>
                <w:noProof/>
                <w:color w:val="000000"/>
                <w:sz w:val="18"/>
                <w:szCs w:val="18"/>
              </w:rPr>
              <w:t>(Number)</w:t>
            </w:r>
            <w:r w:rsidRPr="003B6A69">
              <w:rPr>
                <w:rFonts w:asciiTheme="minorHAnsi" w:hAnsiTheme="minorHAnsi" w:cstheme="minorHAnsi"/>
                <w:b/>
                <w:i/>
                <w:color w:val="000000"/>
                <w:sz w:val="18"/>
                <w:szCs w:val="18"/>
              </w:rPr>
              <w:fldChar w:fldCharType="end"/>
            </w:r>
          </w:p>
        </w:tc>
      </w:tr>
      <w:tr w:rsidR="004E7FA9" w:rsidRPr="003B6A69" w14:paraId="29A19A11" w14:textId="77777777" w:rsidTr="00AE6C8E">
        <w:trPr>
          <w:trHeight w:val="58"/>
        </w:trPr>
        <w:tc>
          <w:tcPr>
            <w:tcW w:w="1298" w:type="dxa"/>
            <w:vMerge w:val="restart"/>
          </w:tcPr>
          <w:p w14:paraId="40A1CE1D" w14:textId="77777777" w:rsidR="004E7FA9" w:rsidRPr="003B6A69" w:rsidRDefault="004E7FA9" w:rsidP="00AE6C8E">
            <w:pPr>
              <w:rPr>
                <w:rFonts w:asciiTheme="minorHAnsi" w:hAnsiTheme="minorHAnsi" w:cstheme="minorHAnsi"/>
                <w:sz w:val="18"/>
                <w:szCs w:val="18"/>
              </w:rPr>
            </w:pPr>
          </w:p>
        </w:tc>
        <w:tc>
          <w:tcPr>
            <w:tcW w:w="933" w:type="dxa"/>
            <w:vMerge w:val="restart"/>
          </w:tcPr>
          <w:p w14:paraId="1A6CF26C" w14:textId="77777777" w:rsidR="004E7FA9" w:rsidRPr="003B6A69" w:rsidRDefault="004E7FA9" w:rsidP="00AE6C8E">
            <w:pPr>
              <w:rPr>
                <w:rFonts w:asciiTheme="minorHAnsi" w:hAnsiTheme="minorHAnsi" w:cstheme="minorHAnsi"/>
                <w:sz w:val="18"/>
                <w:szCs w:val="18"/>
              </w:rPr>
            </w:pPr>
          </w:p>
        </w:tc>
        <w:tc>
          <w:tcPr>
            <w:tcW w:w="2442" w:type="dxa"/>
            <w:gridSpan w:val="2"/>
            <w:vMerge w:val="restart"/>
          </w:tcPr>
          <w:p w14:paraId="609CE270" w14:textId="77777777" w:rsidR="004E7FA9" w:rsidRPr="003B6A69" w:rsidRDefault="004E7FA9" w:rsidP="00AE6C8E">
            <w:pPr>
              <w:rPr>
                <w:rFonts w:asciiTheme="minorHAnsi" w:hAnsiTheme="minorHAnsi" w:cstheme="minorHAnsi"/>
                <w:sz w:val="18"/>
                <w:szCs w:val="18"/>
              </w:rPr>
            </w:pPr>
          </w:p>
        </w:tc>
        <w:tc>
          <w:tcPr>
            <w:tcW w:w="9781" w:type="dxa"/>
            <w:gridSpan w:val="4"/>
          </w:tcPr>
          <w:p w14:paraId="7DA7CE48"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 xml:space="preserve">Number </w:t>
            </w:r>
          </w:p>
        </w:tc>
      </w:tr>
      <w:tr w:rsidR="004E7FA9" w:rsidRPr="003B6A69" w14:paraId="1449A72A" w14:textId="77777777" w:rsidTr="00AE6C8E">
        <w:trPr>
          <w:trHeight w:val="161"/>
        </w:trPr>
        <w:tc>
          <w:tcPr>
            <w:tcW w:w="1298" w:type="dxa"/>
            <w:vMerge/>
          </w:tcPr>
          <w:p w14:paraId="37A04608" w14:textId="77777777" w:rsidR="004E7FA9" w:rsidRPr="003B6A69" w:rsidRDefault="004E7FA9" w:rsidP="00AE6C8E">
            <w:pPr>
              <w:rPr>
                <w:rFonts w:asciiTheme="minorHAnsi" w:hAnsiTheme="minorHAnsi" w:cstheme="minorHAnsi"/>
                <w:sz w:val="18"/>
                <w:szCs w:val="18"/>
              </w:rPr>
            </w:pPr>
          </w:p>
        </w:tc>
        <w:tc>
          <w:tcPr>
            <w:tcW w:w="933" w:type="dxa"/>
            <w:vMerge/>
          </w:tcPr>
          <w:p w14:paraId="1AAB822A" w14:textId="77777777" w:rsidR="004E7FA9" w:rsidRPr="003B6A69" w:rsidRDefault="004E7FA9" w:rsidP="00AE6C8E">
            <w:pPr>
              <w:rPr>
                <w:rFonts w:asciiTheme="minorHAnsi" w:hAnsiTheme="minorHAnsi" w:cstheme="minorHAnsi"/>
                <w:sz w:val="18"/>
                <w:szCs w:val="18"/>
              </w:rPr>
            </w:pPr>
          </w:p>
        </w:tc>
        <w:tc>
          <w:tcPr>
            <w:tcW w:w="2442" w:type="dxa"/>
            <w:gridSpan w:val="2"/>
            <w:vMerge/>
          </w:tcPr>
          <w:p w14:paraId="40AD5641" w14:textId="77777777" w:rsidR="004E7FA9" w:rsidRPr="003B6A69" w:rsidRDefault="004E7FA9" w:rsidP="00AE6C8E">
            <w:pPr>
              <w:rPr>
                <w:rFonts w:asciiTheme="minorHAnsi" w:hAnsiTheme="minorHAnsi" w:cstheme="minorHAnsi"/>
                <w:sz w:val="18"/>
                <w:szCs w:val="18"/>
              </w:rPr>
            </w:pPr>
          </w:p>
        </w:tc>
        <w:tc>
          <w:tcPr>
            <w:tcW w:w="4438" w:type="dxa"/>
            <w:gridSpan w:val="2"/>
          </w:tcPr>
          <w:p w14:paraId="54D2E303"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Expected</w:t>
            </w:r>
          </w:p>
        </w:tc>
        <w:tc>
          <w:tcPr>
            <w:tcW w:w="5343" w:type="dxa"/>
            <w:gridSpan w:val="2"/>
          </w:tcPr>
          <w:p w14:paraId="395BDD68" w14:textId="77777777" w:rsidR="004E7FA9" w:rsidRPr="003B6A69" w:rsidRDefault="004E7FA9" w:rsidP="00AE6C8E">
            <w:pPr>
              <w:jc w:val="center"/>
              <w:rPr>
                <w:rFonts w:asciiTheme="minorHAnsi" w:hAnsiTheme="minorHAnsi" w:cstheme="minorHAnsi"/>
                <w:sz w:val="18"/>
                <w:szCs w:val="18"/>
              </w:rPr>
            </w:pPr>
            <w:r w:rsidRPr="003B6A69">
              <w:rPr>
                <w:rFonts w:asciiTheme="minorHAnsi" w:hAnsiTheme="minorHAnsi" w:cstheme="minorHAnsi"/>
                <w:sz w:val="18"/>
                <w:szCs w:val="18"/>
              </w:rPr>
              <w:t>Achieved</w:t>
            </w:r>
          </w:p>
        </w:tc>
      </w:tr>
      <w:tr w:rsidR="004E7FA9" w:rsidRPr="003B6A69" w14:paraId="2E8081EF" w14:textId="77777777" w:rsidTr="00AE6C8E">
        <w:tc>
          <w:tcPr>
            <w:tcW w:w="1298" w:type="dxa"/>
          </w:tcPr>
          <w:p w14:paraId="689EBB90" w14:textId="77777777" w:rsidR="004E7FA9" w:rsidRPr="003B6A69" w:rsidRDefault="004E7FA9" w:rsidP="00AE6C8E">
            <w:pPr>
              <w:jc w:val="right"/>
              <w:rPr>
                <w:rFonts w:asciiTheme="minorHAnsi" w:hAnsiTheme="minorHAnsi" w:cstheme="minorHAnsi"/>
                <w:sz w:val="18"/>
                <w:szCs w:val="18"/>
              </w:rPr>
            </w:pPr>
          </w:p>
        </w:tc>
        <w:tc>
          <w:tcPr>
            <w:tcW w:w="933" w:type="dxa"/>
          </w:tcPr>
          <w:p w14:paraId="2C8E8431" w14:textId="77777777" w:rsidR="004E7FA9" w:rsidRPr="003B6A69" w:rsidRDefault="004E7FA9" w:rsidP="00AE6C8E">
            <w:pPr>
              <w:jc w:val="right"/>
              <w:rPr>
                <w:rFonts w:asciiTheme="minorHAnsi" w:hAnsiTheme="minorHAnsi" w:cstheme="minorHAnsi"/>
                <w:sz w:val="18"/>
                <w:szCs w:val="18"/>
              </w:rPr>
            </w:pPr>
          </w:p>
        </w:tc>
        <w:tc>
          <w:tcPr>
            <w:tcW w:w="2442" w:type="dxa"/>
            <w:gridSpan w:val="2"/>
          </w:tcPr>
          <w:p w14:paraId="72720F75" w14:textId="77777777" w:rsidR="004E7FA9" w:rsidRPr="003B6A69" w:rsidRDefault="004E7FA9" w:rsidP="00AE6C8E">
            <w:pPr>
              <w:jc w:val="right"/>
              <w:rPr>
                <w:rFonts w:asciiTheme="minorHAnsi" w:hAnsiTheme="minorHAnsi" w:cstheme="minorHAnsi"/>
                <w:sz w:val="18"/>
                <w:szCs w:val="18"/>
              </w:rPr>
            </w:pPr>
          </w:p>
        </w:tc>
        <w:tc>
          <w:tcPr>
            <w:tcW w:w="1712" w:type="dxa"/>
          </w:tcPr>
          <w:p w14:paraId="1CC7FC88"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sz w:val="18"/>
                <w:szCs w:val="18"/>
              </w:rPr>
              <w:t>PIF stage</w:t>
            </w:r>
          </w:p>
        </w:tc>
        <w:tc>
          <w:tcPr>
            <w:tcW w:w="2726" w:type="dxa"/>
          </w:tcPr>
          <w:p w14:paraId="3F2FBF27"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sz w:val="18"/>
                <w:szCs w:val="18"/>
              </w:rPr>
              <w:t>Endorsement</w:t>
            </w:r>
          </w:p>
        </w:tc>
        <w:tc>
          <w:tcPr>
            <w:tcW w:w="1985" w:type="dxa"/>
          </w:tcPr>
          <w:p w14:paraId="25C51B87"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sz w:val="18"/>
                <w:szCs w:val="18"/>
              </w:rPr>
              <w:t>MTR</w:t>
            </w:r>
          </w:p>
        </w:tc>
        <w:tc>
          <w:tcPr>
            <w:tcW w:w="3358" w:type="dxa"/>
          </w:tcPr>
          <w:p w14:paraId="15BDD426"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sz w:val="18"/>
                <w:szCs w:val="18"/>
              </w:rPr>
              <w:t>TE</w:t>
            </w:r>
          </w:p>
        </w:tc>
      </w:tr>
      <w:tr w:rsidR="004E7FA9" w:rsidRPr="003B6A69" w14:paraId="270D0E31" w14:textId="77777777" w:rsidTr="00AE6C8E">
        <w:tc>
          <w:tcPr>
            <w:tcW w:w="1298" w:type="dxa"/>
          </w:tcPr>
          <w:p w14:paraId="13057648" w14:textId="77777777" w:rsidR="004E7FA9" w:rsidRPr="003B6A69" w:rsidRDefault="004E7FA9" w:rsidP="00AE6C8E">
            <w:pPr>
              <w:jc w:val="right"/>
              <w:rPr>
                <w:rFonts w:asciiTheme="minorHAnsi" w:hAnsiTheme="minorHAnsi" w:cstheme="minorHAnsi"/>
                <w:sz w:val="18"/>
                <w:szCs w:val="18"/>
              </w:rPr>
            </w:pPr>
          </w:p>
        </w:tc>
        <w:tc>
          <w:tcPr>
            <w:tcW w:w="933" w:type="dxa"/>
          </w:tcPr>
          <w:p w14:paraId="5397746F" w14:textId="77777777" w:rsidR="004E7FA9" w:rsidRPr="003B6A69" w:rsidRDefault="004E7FA9" w:rsidP="00AE6C8E">
            <w:pPr>
              <w:jc w:val="right"/>
              <w:rPr>
                <w:rFonts w:asciiTheme="minorHAnsi" w:hAnsiTheme="minorHAnsi" w:cstheme="minorHAnsi"/>
                <w:sz w:val="18"/>
                <w:szCs w:val="18"/>
              </w:rPr>
            </w:pPr>
          </w:p>
        </w:tc>
        <w:tc>
          <w:tcPr>
            <w:tcW w:w="2442" w:type="dxa"/>
            <w:gridSpan w:val="2"/>
          </w:tcPr>
          <w:p w14:paraId="745A9CB7"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sz w:val="18"/>
                <w:szCs w:val="18"/>
              </w:rPr>
              <w:t>Female</w:t>
            </w:r>
          </w:p>
        </w:tc>
        <w:tc>
          <w:tcPr>
            <w:tcW w:w="1712" w:type="dxa"/>
          </w:tcPr>
          <w:p w14:paraId="533B02E1"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t>27,000</w:t>
            </w:r>
          </w:p>
        </w:tc>
        <w:tc>
          <w:tcPr>
            <w:tcW w:w="2726" w:type="dxa"/>
          </w:tcPr>
          <w:p w14:paraId="19EA48E2"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t>27,000</w:t>
            </w:r>
          </w:p>
        </w:tc>
        <w:tc>
          <w:tcPr>
            <w:tcW w:w="1985" w:type="dxa"/>
          </w:tcPr>
          <w:p w14:paraId="4BFAC318"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3358" w:type="dxa"/>
          </w:tcPr>
          <w:p w14:paraId="6E1B4403"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r>
      <w:tr w:rsidR="004E7FA9" w:rsidRPr="003B6A69" w14:paraId="72FA0C51" w14:textId="77777777" w:rsidTr="00AE6C8E">
        <w:tc>
          <w:tcPr>
            <w:tcW w:w="1298" w:type="dxa"/>
          </w:tcPr>
          <w:p w14:paraId="3AE6453E" w14:textId="77777777" w:rsidR="004E7FA9" w:rsidRPr="003B6A69" w:rsidRDefault="004E7FA9" w:rsidP="00AE6C8E">
            <w:pPr>
              <w:jc w:val="right"/>
              <w:rPr>
                <w:rFonts w:asciiTheme="minorHAnsi" w:hAnsiTheme="minorHAnsi" w:cstheme="minorHAnsi"/>
                <w:sz w:val="18"/>
                <w:szCs w:val="18"/>
              </w:rPr>
            </w:pPr>
          </w:p>
        </w:tc>
        <w:tc>
          <w:tcPr>
            <w:tcW w:w="933" w:type="dxa"/>
          </w:tcPr>
          <w:p w14:paraId="2EFB3464" w14:textId="77777777" w:rsidR="004E7FA9" w:rsidRPr="003B6A69" w:rsidRDefault="004E7FA9" w:rsidP="00AE6C8E">
            <w:pPr>
              <w:jc w:val="right"/>
              <w:rPr>
                <w:rFonts w:asciiTheme="minorHAnsi" w:hAnsiTheme="minorHAnsi" w:cstheme="minorHAnsi"/>
                <w:sz w:val="18"/>
                <w:szCs w:val="18"/>
              </w:rPr>
            </w:pPr>
          </w:p>
        </w:tc>
        <w:tc>
          <w:tcPr>
            <w:tcW w:w="2442" w:type="dxa"/>
            <w:gridSpan w:val="2"/>
          </w:tcPr>
          <w:p w14:paraId="7615A423"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sz w:val="18"/>
                <w:szCs w:val="18"/>
              </w:rPr>
              <w:t>Male</w:t>
            </w:r>
          </w:p>
        </w:tc>
        <w:tc>
          <w:tcPr>
            <w:tcW w:w="1712" w:type="dxa"/>
          </w:tcPr>
          <w:p w14:paraId="3746BB51" w14:textId="44F3AEF9" w:rsidR="004E7FA9" w:rsidRPr="003B6A69" w:rsidRDefault="004E7FA9" w:rsidP="00AE6C8E">
            <w:pPr>
              <w:jc w:val="right"/>
              <w:rPr>
                <w:rFonts w:asciiTheme="minorHAnsi" w:hAnsiTheme="minorHAnsi" w:cstheme="minorHAnsi"/>
                <w:i/>
                <w:color w:val="000000"/>
                <w:sz w:val="18"/>
                <w:szCs w:val="18"/>
              </w:rPr>
            </w:pPr>
            <w:r w:rsidRPr="003B6A69">
              <w:rPr>
                <w:rFonts w:asciiTheme="minorHAnsi" w:hAnsiTheme="minorHAnsi" w:cstheme="minorHAnsi"/>
                <w:i/>
                <w:color w:val="000000"/>
                <w:sz w:val="18"/>
                <w:szCs w:val="18"/>
              </w:rPr>
              <w:t>2</w:t>
            </w:r>
            <w:r w:rsidR="00F36A32">
              <w:rPr>
                <w:rFonts w:asciiTheme="minorHAnsi" w:hAnsiTheme="minorHAnsi" w:cstheme="minorHAnsi"/>
                <w:i/>
                <w:color w:val="000000"/>
                <w:sz w:val="18"/>
                <w:szCs w:val="18"/>
              </w:rPr>
              <w:t>3</w:t>
            </w:r>
            <w:r w:rsidRPr="003B6A69">
              <w:rPr>
                <w:rFonts w:asciiTheme="minorHAnsi" w:hAnsiTheme="minorHAnsi" w:cstheme="minorHAnsi"/>
                <w:i/>
                <w:color w:val="000000"/>
                <w:sz w:val="18"/>
                <w:szCs w:val="18"/>
              </w:rPr>
              <w:t>,000</w:t>
            </w:r>
          </w:p>
        </w:tc>
        <w:tc>
          <w:tcPr>
            <w:tcW w:w="2726" w:type="dxa"/>
          </w:tcPr>
          <w:p w14:paraId="2F8CDBC8" w14:textId="4C512A08" w:rsidR="004E7FA9" w:rsidRPr="003B6A69" w:rsidRDefault="004E7FA9" w:rsidP="00AE6C8E">
            <w:pPr>
              <w:jc w:val="right"/>
              <w:rPr>
                <w:rFonts w:asciiTheme="minorHAnsi" w:hAnsiTheme="minorHAnsi" w:cstheme="minorHAnsi"/>
                <w:i/>
                <w:color w:val="000000"/>
                <w:sz w:val="18"/>
                <w:szCs w:val="18"/>
              </w:rPr>
            </w:pPr>
            <w:r w:rsidRPr="003B6A69">
              <w:rPr>
                <w:rFonts w:asciiTheme="minorHAnsi" w:hAnsiTheme="minorHAnsi" w:cstheme="minorHAnsi"/>
                <w:i/>
                <w:color w:val="000000"/>
                <w:sz w:val="18"/>
                <w:szCs w:val="18"/>
              </w:rPr>
              <w:t>2</w:t>
            </w:r>
            <w:r w:rsidR="00F36A32">
              <w:rPr>
                <w:rFonts w:asciiTheme="minorHAnsi" w:hAnsiTheme="minorHAnsi" w:cstheme="minorHAnsi"/>
                <w:i/>
                <w:color w:val="000000"/>
                <w:sz w:val="18"/>
                <w:szCs w:val="18"/>
              </w:rPr>
              <w:t>3</w:t>
            </w:r>
            <w:r w:rsidRPr="003B6A69">
              <w:rPr>
                <w:rFonts w:asciiTheme="minorHAnsi" w:hAnsiTheme="minorHAnsi" w:cstheme="minorHAnsi"/>
                <w:i/>
                <w:color w:val="000000"/>
                <w:sz w:val="18"/>
                <w:szCs w:val="18"/>
              </w:rPr>
              <w:t>,000</w:t>
            </w:r>
          </w:p>
        </w:tc>
        <w:tc>
          <w:tcPr>
            <w:tcW w:w="1985" w:type="dxa"/>
          </w:tcPr>
          <w:p w14:paraId="49D85AD4" w14:textId="77777777" w:rsidR="004E7FA9" w:rsidRPr="003B6A69" w:rsidRDefault="004E7FA9" w:rsidP="00AE6C8E">
            <w:pPr>
              <w:jc w:val="right"/>
              <w:rPr>
                <w:rFonts w:asciiTheme="minorHAnsi" w:hAnsiTheme="minorHAnsi" w:cstheme="minorHAnsi"/>
                <w:i/>
                <w:color w:val="000000"/>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3358" w:type="dxa"/>
          </w:tcPr>
          <w:p w14:paraId="0C214252" w14:textId="77777777" w:rsidR="004E7FA9" w:rsidRPr="003B6A69" w:rsidRDefault="004E7FA9" w:rsidP="00AE6C8E">
            <w:pPr>
              <w:jc w:val="right"/>
              <w:rPr>
                <w:rFonts w:asciiTheme="minorHAnsi" w:hAnsiTheme="minorHAnsi" w:cstheme="minorHAnsi"/>
                <w:i/>
                <w:color w:val="000000"/>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r>
      <w:tr w:rsidR="004E7FA9" w:rsidRPr="003B6A69" w14:paraId="51C864E4" w14:textId="77777777" w:rsidTr="00AE6C8E">
        <w:tc>
          <w:tcPr>
            <w:tcW w:w="1298" w:type="dxa"/>
          </w:tcPr>
          <w:p w14:paraId="7DB77908" w14:textId="77777777" w:rsidR="004E7FA9" w:rsidRPr="003B6A69" w:rsidRDefault="004E7FA9" w:rsidP="00AE6C8E">
            <w:pPr>
              <w:jc w:val="right"/>
              <w:rPr>
                <w:rFonts w:asciiTheme="minorHAnsi" w:hAnsiTheme="minorHAnsi" w:cstheme="minorHAnsi"/>
                <w:sz w:val="18"/>
                <w:szCs w:val="18"/>
              </w:rPr>
            </w:pPr>
          </w:p>
        </w:tc>
        <w:tc>
          <w:tcPr>
            <w:tcW w:w="933" w:type="dxa"/>
          </w:tcPr>
          <w:p w14:paraId="02AB209F" w14:textId="77777777" w:rsidR="004E7FA9" w:rsidRPr="003B6A69" w:rsidRDefault="004E7FA9" w:rsidP="00AE6C8E">
            <w:pPr>
              <w:jc w:val="right"/>
              <w:rPr>
                <w:rFonts w:asciiTheme="minorHAnsi" w:hAnsiTheme="minorHAnsi" w:cstheme="minorHAnsi"/>
                <w:sz w:val="18"/>
                <w:szCs w:val="18"/>
              </w:rPr>
            </w:pPr>
          </w:p>
        </w:tc>
        <w:tc>
          <w:tcPr>
            <w:tcW w:w="2442" w:type="dxa"/>
            <w:gridSpan w:val="2"/>
          </w:tcPr>
          <w:p w14:paraId="7A0F18D9" w14:textId="77777777" w:rsidR="004E7FA9" w:rsidRPr="003B6A69" w:rsidRDefault="004E7FA9" w:rsidP="00AE6C8E">
            <w:pPr>
              <w:jc w:val="right"/>
              <w:rPr>
                <w:rFonts w:asciiTheme="minorHAnsi" w:hAnsiTheme="minorHAnsi" w:cstheme="minorHAnsi"/>
                <w:sz w:val="18"/>
                <w:szCs w:val="18"/>
              </w:rPr>
            </w:pPr>
            <w:r w:rsidRPr="003B6A69">
              <w:rPr>
                <w:rFonts w:asciiTheme="minorHAnsi" w:hAnsiTheme="minorHAnsi" w:cstheme="minorHAnsi"/>
                <w:i/>
                <w:color w:val="000000"/>
                <w:sz w:val="18"/>
                <w:szCs w:val="18"/>
              </w:rPr>
              <w:t>Total</w:t>
            </w:r>
          </w:p>
        </w:tc>
        <w:tc>
          <w:tcPr>
            <w:tcW w:w="1712" w:type="dxa"/>
          </w:tcPr>
          <w:p w14:paraId="303939AB" w14:textId="77777777" w:rsidR="004E7FA9" w:rsidRPr="003B6A69" w:rsidRDefault="004E7FA9" w:rsidP="00AE6C8E">
            <w:pPr>
              <w:jc w:val="right"/>
              <w:rPr>
                <w:rFonts w:asciiTheme="minorHAnsi" w:hAnsiTheme="minorHAnsi" w:cstheme="minorHAnsi"/>
                <w:i/>
                <w:color w:val="000000"/>
                <w:sz w:val="18"/>
                <w:szCs w:val="18"/>
              </w:rPr>
            </w:pPr>
            <w:r w:rsidRPr="003B6A69">
              <w:rPr>
                <w:rFonts w:asciiTheme="minorHAnsi" w:hAnsiTheme="minorHAnsi" w:cstheme="minorHAnsi"/>
                <w:i/>
                <w:color w:val="000000"/>
                <w:sz w:val="18"/>
                <w:szCs w:val="18"/>
              </w:rPr>
              <w:t>50,000</w:t>
            </w:r>
          </w:p>
        </w:tc>
        <w:tc>
          <w:tcPr>
            <w:tcW w:w="2726" w:type="dxa"/>
          </w:tcPr>
          <w:p w14:paraId="1E6610D7" w14:textId="77777777" w:rsidR="004E7FA9" w:rsidRPr="003B6A69" w:rsidRDefault="004E7FA9" w:rsidP="00AE6C8E">
            <w:pPr>
              <w:jc w:val="right"/>
              <w:rPr>
                <w:rFonts w:asciiTheme="minorHAnsi" w:hAnsiTheme="minorHAnsi" w:cstheme="minorHAnsi"/>
                <w:i/>
                <w:color w:val="000000"/>
                <w:sz w:val="18"/>
                <w:szCs w:val="18"/>
              </w:rPr>
            </w:pPr>
            <w:r w:rsidRPr="003B6A69">
              <w:rPr>
                <w:rFonts w:asciiTheme="minorHAnsi" w:hAnsiTheme="minorHAnsi" w:cstheme="minorHAnsi"/>
                <w:i/>
                <w:color w:val="000000"/>
                <w:sz w:val="18"/>
                <w:szCs w:val="18"/>
              </w:rPr>
              <w:t>50,000</w:t>
            </w:r>
          </w:p>
        </w:tc>
        <w:tc>
          <w:tcPr>
            <w:tcW w:w="1985" w:type="dxa"/>
          </w:tcPr>
          <w:p w14:paraId="4CA0D907" w14:textId="77777777" w:rsidR="004E7FA9" w:rsidRPr="003B6A69" w:rsidRDefault="004E7FA9" w:rsidP="00AE6C8E">
            <w:pPr>
              <w:jc w:val="right"/>
              <w:rPr>
                <w:rFonts w:asciiTheme="minorHAnsi" w:hAnsiTheme="minorHAnsi" w:cstheme="minorHAnsi"/>
                <w:i/>
                <w:color w:val="000000"/>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c>
          <w:tcPr>
            <w:tcW w:w="3358" w:type="dxa"/>
          </w:tcPr>
          <w:p w14:paraId="51B2C1FA" w14:textId="77777777" w:rsidR="004E7FA9" w:rsidRPr="003B6A69" w:rsidRDefault="004E7FA9" w:rsidP="00AE6C8E">
            <w:pPr>
              <w:jc w:val="right"/>
              <w:rPr>
                <w:rFonts w:asciiTheme="minorHAnsi" w:hAnsiTheme="minorHAnsi" w:cstheme="minorHAnsi"/>
                <w:i/>
                <w:color w:val="000000"/>
                <w:sz w:val="18"/>
                <w:szCs w:val="18"/>
              </w:rPr>
            </w:pPr>
            <w:r w:rsidRPr="003B6A69">
              <w:rPr>
                <w:rFonts w:asciiTheme="minorHAnsi" w:hAnsiTheme="minorHAnsi" w:cstheme="minorHAnsi"/>
                <w:i/>
                <w:color w:val="000000"/>
                <w:sz w:val="18"/>
                <w:szCs w:val="18"/>
              </w:rPr>
              <w:fldChar w:fldCharType="begin">
                <w:ffData>
                  <w:name w:val="F_GEB_BD_target"/>
                  <w:enabled/>
                  <w:calcOnExit w:val="0"/>
                  <w:textInput/>
                </w:ffData>
              </w:fldChar>
            </w:r>
            <w:r w:rsidRPr="003B6A69">
              <w:rPr>
                <w:rFonts w:asciiTheme="minorHAnsi" w:hAnsiTheme="minorHAnsi" w:cstheme="minorHAnsi"/>
                <w:i/>
                <w:color w:val="000000"/>
                <w:sz w:val="18"/>
                <w:szCs w:val="18"/>
              </w:rPr>
              <w:instrText xml:space="preserve"> FORMTEXT </w:instrText>
            </w:r>
            <w:r w:rsidRPr="003B6A69">
              <w:rPr>
                <w:rFonts w:asciiTheme="minorHAnsi" w:hAnsiTheme="minorHAnsi" w:cstheme="minorHAnsi"/>
                <w:i/>
                <w:color w:val="000000"/>
                <w:sz w:val="18"/>
                <w:szCs w:val="18"/>
              </w:rPr>
            </w:r>
            <w:r w:rsidRPr="003B6A69">
              <w:rPr>
                <w:rFonts w:asciiTheme="minorHAnsi" w:hAnsiTheme="minorHAnsi" w:cstheme="minorHAnsi"/>
                <w:i/>
                <w:color w:val="000000"/>
                <w:sz w:val="18"/>
                <w:szCs w:val="18"/>
              </w:rPr>
              <w:fldChar w:fldCharType="separate"/>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noProof/>
                <w:color w:val="000000"/>
                <w:sz w:val="18"/>
                <w:szCs w:val="18"/>
              </w:rPr>
              <w:t> </w:t>
            </w:r>
            <w:r w:rsidRPr="003B6A69">
              <w:rPr>
                <w:rFonts w:asciiTheme="minorHAnsi" w:hAnsiTheme="minorHAnsi" w:cstheme="minorHAnsi"/>
                <w:i/>
                <w:color w:val="000000"/>
                <w:sz w:val="18"/>
                <w:szCs w:val="18"/>
              </w:rPr>
              <w:fldChar w:fldCharType="end"/>
            </w:r>
          </w:p>
        </w:tc>
      </w:tr>
    </w:tbl>
    <w:p w14:paraId="0FD36D33" w14:textId="77777777" w:rsidR="004E7FA9" w:rsidRPr="003B6A69" w:rsidRDefault="004E7FA9" w:rsidP="004E7FA9">
      <w:pPr>
        <w:rPr>
          <w:lang w:val="en-GB"/>
        </w:rPr>
      </w:pPr>
    </w:p>
    <w:p w14:paraId="3904AFE9" w14:textId="77777777" w:rsidR="0079324B" w:rsidRPr="003B6A69" w:rsidRDefault="0079324B" w:rsidP="00727173">
      <w:pPr>
        <w:spacing w:after="0"/>
        <w:jc w:val="left"/>
        <w:rPr>
          <w:lang w:val="en-GB"/>
        </w:rPr>
      </w:pPr>
    </w:p>
    <w:p w14:paraId="0EDDFE53" w14:textId="77777777" w:rsidR="006C1C66" w:rsidRPr="003B6A69" w:rsidRDefault="006C1C66" w:rsidP="00727173">
      <w:pPr>
        <w:spacing w:after="0"/>
        <w:jc w:val="left"/>
        <w:rPr>
          <w:lang w:val="en-GB"/>
        </w:rPr>
        <w:sectPr w:rsidR="006C1C66" w:rsidRPr="003B6A69" w:rsidSect="006C1C66">
          <w:pgSz w:w="15840" w:h="12240" w:orient="landscape" w:code="1"/>
          <w:pgMar w:top="720" w:right="720" w:bottom="720" w:left="720" w:header="720" w:footer="720" w:gutter="0"/>
          <w:cols w:space="720"/>
          <w:docGrid w:linePitch="360"/>
        </w:sectPr>
      </w:pPr>
    </w:p>
    <w:p w14:paraId="4E8A6602" w14:textId="5CE3165E" w:rsidR="006C1C66" w:rsidRPr="003B6A69" w:rsidRDefault="006C1C66" w:rsidP="00727173">
      <w:pPr>
        <w:spacing w:after="0"/>
        <w:jc w:val="left"/>
        <w:rPr>
          <w:lang w:val="en-GB"/>
        </w:rPr>
      </w:pPr>
    </w:p>
    <w:p w14:paraId="4171C9A9" w14:textId="47A1765E" w:rsidR="009C4811" w:rsidRPr="003B6A69" w:rsidRDefault="009C4811" w:rsidP="00B24DF3">
      <w:pPr>
        <w:pStyle w:val="Heading2"/>
        <w:rPr>
          <w:lang w:val="en-GB"/>
        </w:rPr>
      </w:pPr>
      <w:bookmarkStart w:id="86" w:name="_Toc82018282"/>
      <w:r w:rsidRPr="003B6A69">
        <w:rPr>
          <w:lang w:val="en-GB"/>
        </w:rPr>
        <w:t xml:space="preserve">Annex </w:t>
      </w:r>
      <w:r w:rsidR="006C1C66" w:rsidRPr="003B6A69">
        <w:rPr>
          <w:lang w:val="en-GB"/>
        </w:rPr>
        <w:t>9</w:t>
      </w:r>
      <w:r w:rsidRPr="003B6A69">
        <w:rPr>
          <w:lang w:val="en-GB"/>
        </w:rPr>
        <w:t>: GEF PA Management Effectiveness T</w:t>
      </w:r>
      <w:r w:rsidR="00A87692" w:rsidRPr="003B6A69">
        <w:rPr>
          <w:lang w:val="en-GB"/>
        </w:rPr>
        <w:t>r</w:t>
      </w:r>
      <w:r w:rsidRPr="003B6A69">
        <w:rPr>
          <w:lang w:val="en-GB"/>
        </w:rPr>
        <w:t>acking Tool</w:t>
      </w:r>
      <w:bookmarkEnd w:id="86"/>
      <w:r w:rsidRPr="003B6A69">
        <w:rPr>
          <w:lang w:val="en-GB"/>
        </w:rPr>
        <w:t xml:space="preserve"> </w:t>
      </w:r>
    </w:p>
    <w:p w14:paraId="455232AF" w14:textId="3E2CB285" w:rsidR="009C4811" w:rsidRPr="003B6A69" w:rsidRDefault="00661293" w:rsidP="009C4811">
      <w:pPr>
        <w:spacing w:after="0"/>
        <w:jc w:val="left"/>
        <w:rPr>
          <w:lang w:val="en-GB"/>
        </w:rPr>
      </w:pPr>
      <w:r w:rsidRPr="003B6A69">
        <w:rPr>
          <w:lang w:val="en-GB"/>
        </w:rPr>
        <w:t>Presented as a separate file</w:t>
      </w:r>
    </w:p>
    <w:p w14:paraId="68CC81E1" w14:textId="458D73C6" w:rsidR="009C4811" w:rsidRPr="003B6A69" w:rsidRDefault="009C4811">
      <w:pPr>
        <w:spacing w:after="0"/>
        <w:jc w:val="left"/>
        <w:rPr>
          <w:lang w:val="en-GB"/>
        </w:rPr>
      </w:pPr>
      <w:r w:rsidRPr="003B6A69">
        <w:rPr>
          <w:lang w:val="en-GB"/>
        </w:rPr>
        <w:br w:type="page"/>
      </w:r>
    </w:p>
    <w:p w14:paraId="5E9F5AA1" w14:textId="77777777" w:rsidR="00FE136B" w:rsidRPr="003B6A69" w:rsidRDefault="00FE136B">
      <w:pPr>
        <w:spacing w:after="0"/>
        <w:jc w:val="left"/>
        <w:rPr>
          <w:lang w:val="en-GB"/>
        </w:rPr>
      </w:pPr>
    </w:p>
    <w:p w14:paraId="6C6B9A83" w14:textId="5AF3CC99" w:rsidR="00FE136B" w:rsidRPr="003B6A69" w:rsidRDefault="00FE136B" w:rsidP="00B24DF3">
      <w:pPr>
        <w:pStyle w:val="Heading2"/>
        <w:rPr>
          <w:lang w:val="en-GB"/>
        </w:rPr>
      </w:pPr>
      <w:bookmarkStart w:id="87" w:name="_Toc82018283"/>
      <w:r w:rsidRPr="003B6A69">
        <w:rPr>
          <w:lang w:val="en-GB"/>
        </w:rPr>
        <w:t xml:space="preserve">Annex </w:t>
      </w:r>
      <w:r w:rsidR="006C1C66" w:rsidRPr="003B6A69">
        <w:rPr>
          <w:lang w:val="en-GB"/>
        </w:rPr>
        <w:t>10</w:t>
      </w:r>
      <w:r w:rsidRPr="003B6A69">
        <w:rPr>
          <w:lang w:val="en-GB"/>
        </w:rPr>
        <w:t>: GEF 7 T</w:t>
      </w:r>
      <w:r w:rsidR="009D09E6" w:rsidRPr="003B6A69">
        <w:rPr>
          <w:lang w:val="en-GB"/>
        </w:rPr>
        <w:t>axonomy</w:t>
      </w:r>
      <w:bookmarkEnd w:id="87"/>
      <w:r w:rsidRPr="003B6A69">
        <w:rPr>
          <w:lang w:val="en-GB"/>
        </w:rPr>
        <w:t xml:space="preserve"> </w:t>
      </w:r>
    </w:p>
    <w:tbl>
      <w:tblPr>
        <w:tblW w:w="5177" w:type="pct"/>
        <w:tblInd w:w="-342" w:type="dxa"/>
        <w:tblLook w:val="04A0" w:firstRow="1" w:lastRow="0" w:firstColumn="1" w:lastColumn="0" w:noHBand="0" w:noVBand="1"/>
      </w:tblPr>
      <w:tblGrid>
        <w:gridCol w:w="2212"/>
        <w:gridCol w:w="2413"/>
        <w:gridCol w:w="3218"/>
        <w:gridCol w:w="3339"/>
      </w:tblGrid>
      <w:tr w:rsidR="00E36E18" w:rsidRPr="00B25CDB" w14:paraId="669644C9" w14:textId="77777777" w:rsidTr="00EB5106">
        <w:trPr>
          <w:trHeight w:val="68"/>
        </w:trPr>
        <w:tc>
          <w:tcPr>
            <w:tcW w:w="989" w:type="pct"/>
            <w:tcBorders>
              <w:top w:val="nil"/>
              <w:left w:val="nil"/>
              <w:bottom w:val="single" w:sz="12" w:space="0" w:color="4472C4"/>
              <w:right w:val="nil"/>
            </w:tcBorders>
            <w:shd w:val="clear" w:color="auto" w:fill="auto"/>
            <w:hideMark/>
          </w:tcPr>
          <w:p w14:paraId="5B0F2B11"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Level 1</w:t>
            </w:r>
          </w:p>
        </w:tc>
        <w:tc>
          <w:tcPr>
            <w:tcW w:w="1079" w:type="pct"/>
            <w:tcBorders>
              <w:top w:val="nil"/>
              <w:left w:val="nil"/>
              <w:bottom w:val="single" w:sz="12" w:space="0" w:color="4472C4"/>
              <w:right w:val="nil"/>
            </w:tcBorders>
            <w:shd w:val="clear" w:color="auto" w:fill="auto"/>
            <w:hideMark/>
          </w:tcPr>
          <w:p w14:paraId="6FF41F3D"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Level 2</w:t>
            </w:r>
          </w:p>
        </w:tc>
        <w:tc>
          <w:tcPr>
            <w:tcW w:w="1439" w:type="pct"/>
            <w:tcBorders>
              <w:top w:val="nil"/>
              <w:left w:val="nil"/>
              <w:bottom w:val="single" w:sz="12" w:space="0" w:color="4472C4"/>
              <w:right w:val="nil"/>
            </w:tcBorders>
            <w:shd w:val="clear" w:color="auto" w:fill="auto"/>
            <w:hideMark/>
          </w:tcPr>
          <w:p w14:paraId="035F5A54"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Level 3</w:t>
            </w:r>
          </w:p>
        </w:tc>
        <w:tc>
          <w:tcPr>
            <w:tcW w:w="1493" w:type="pct"/>
            <w:tcBorders>
              <w:top w:val="nil"/>
              <w:left w:val="nil"/>
              <w:bottom w:val="single" w:sz="12" w:space="0" w:color="4472C4"/>
              <w:right w:val="nil"/>
            </w:tcBorders>
            <w:shd w:val="clear" w:color="auto" w:fill="auto"/>
            <w:hideMark/>
          </w:tcPr>
          <w:p w14:paraId="7C190308"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Level 4</w:t>
            </w:r>
          </w:p>
        </w:tc>
      </w:tr>
      <w:tr w:rsidR="00E36E18" w:rsidRPr="00B25CDB" w14:paraId="1B969292" w14:textId="77777777" w:rsidTr="00EB5106">
        <w:trPr>
          <w:trHeight w:val="51"/>
        </w:trPr>
        <w:tc>
          <w:tcPr>
            <w:tcW w:w="989" w:type="pct"/>
            <w:tcBorders>
              <w:top w:val="single" w:sz="4" w:space="0" w:color="auto"/>
              <w:left w:val="single" w:sz="4" w:space="0" w:color="auto"/>
              <w:bottom w:val="single" w:sz="4" w:space="0" w:color="auto"/>
              <w:right w:val="single" w:sz="4" w:space="0" w:color="auto"/>
            </w:tcBorders>
            <w:shd w:val="clear" w:color="auto" w:fill="auto"/>
            <w:hideMark/>
          </w:tcPr>
          <w:p w14:paraId="2DD9CF07" w14:textId="77777777" w:rsidR="00E36E18" w:rsidRPr="002E0D60" w:rsidRDefault="00E36E18" w:rsidP="00EB5106">
            <w:pPr>
              <w:rPr>
                <w:rFonts w:ascii="Avenir Next Regular" w:hAnsi="Avenir Next Regular" w:cs="Calibri" w:hint="eastAsia"/>
                <w:b/>
                <w:bCs/>
                <w:color w:val="000000"/>
                <w:sz w:val="16"/>
                <w:szCs w:val="16"/>
              </w:rPr>
            </w:pPr>
            <w:r>
              <w:rPr>
                <w:color w:val="000000"/>
                <w:sz w:val="16"/>
                <w:szCs w:val="16"/>
              </w:rPr>
              <w:fldChar w:fldCharType="begin">
                <w:ffData>
                  <w:name w:val=""/>
                  <w:enabled/>
                  <w:calcOnExit w:val="0"/>
                  <w:checkBox>
                    <w:sizeAuto/>
                    <w:default w:val="1"/>
                  </w:checkBox>
                </w:ffData>
              </w:fldChar>
            </w:r>
            <w:r>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Pr>
                <w:color w:val="000000"/>
                <w:sz w:val="16"/>
                <w:szCs w:val="16"/>
              </w:rPr>
              <w:fldChar w:fldCharType="end"/>
            </w:r>
            <w:r w:rsidRPr="002E0D60">
              <w:rPr>
                <w:rFonts w:ascii="Avenir Next Regular" w:hAnsi="Avenir Next Regular" w:cs="Calibri"/>
                <w:b/>
                <w:bCs/>
                <w:color w:val="000000"/>
                <w:sz w:val="16"/>
                <w:szCs w:val="16"/>
              </w:rPr>
              <w:t>Influencing models</w:t>
            </w:r>
          </w:p>
        </w:tc>
        <w:tc>
          <w:tcPr>
            <w:tcW w:w="1079" w:type="pct"/>
            <w:tcBorders>
              <w:top w:val="nil"/>
              <w:left w:val="nil"/>
              <w:bottom w:val="nil"/>
              <w:right w:val="nil"/>
            </w:tcBorders>
            <w:shd w:val="clear" w:color="auto" w:fill="auto"/>
            <w:noWrap/>
            <w:vAlign w:val="bottom"/>
            <w:hideMark/>
          </w:tcPr>
          <w:p w14:paraId="17E80AA0"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single" w:sz="4" w:space="0" w:color="auto"/>
              <w:left w:val="single" w:sz="4" w:space="0" w:color="auto"/>
              <w:bottom w:val="single" w:sz="4" w:space="0" w:color="auto"/>
              <w:right w:val="single" w:sz="4" w:space="0" w:color="auto"/>
            </w:tcBorders>
            <w:shd w:val="clear" w:color="auto" w:fill="auto"/>
            <w:hideMark/>
          </w:tcPr>
          <w:p w14:paraId="3BEC4FC0"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c>
          <w:tcPr>
            <w:tcW w:w="1493" w:type="pct"/>
            <w:tcBorders>
              <w:top w:val="single" w:sz="4" w:space="0" w:color="auto"/>
              <w:left w:val="nil"/>
              <w:bottom w:val="single" w:sz="4" w:space="0" w:color="auto"/>
              <w:right w:val="single" w:sz="4" w:space="0" w:color="auto"/>
            </w:tcBorders>
            <w:shd w:val="clear" w:color="auto" w:fill="auto"/>
            <w:hideMark/>
          </w:tcPr>
          <w:p w14:paraId="73BC585B"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2130400A" w14:textId="77777777" w:rsidTr="00EB5106">
        <w:trPr>
          <w:trHeight w:val="233"/>
        </w:trPr>
        <w:tc>
          <w:tcPr>
            <w:tcW w:w="989" w:type="pct"/>
            <w:tcBorders>
              <w:top w:val="nil"/>
              <w:left w:val="single" w:sz="4" w:space="0" w:color="auto"/>
              <w:bottom w:val="single" w:sz="4" w:space="0" w:color="auto"/>
              <w:right w:val="single" w:sz="4" w:space="0" w:color="auto"/>
            </w:tcBorders>
            <w:shd w:val="clear" w:color="auto" w:fill="auto"/>
            <w:hideMark/>
          </w:tcPr>
          <w:p w14:paraId="7A81BA16"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single" w:sz="4" w:space="0" w:color="auto"/>
              <w:left w:val="nil"/>
              <w:bottom w:val="single" w:sz="4" w:space="0" w:color="auto"/>
              <w:right w:val="single" w:sz="4" w:space="0" w:color="auto"/>
            </w:tcBorders>
            <w:shd w:val="clear" w:color="auto" w:fill="auto"/>
            <w:hideMark/>
          </w:tcPr>
          <w:p w14:paraId="5DCCD008" w14:textId="77777777" w:rsidR="00E36E18" w:rsidRPr="002E0D60" w:rsidRDefault="00E36E18" w:rsidP="00EB5106">
            <w:pPr>
              <w:ind w:left="204" w:hanging="204"/>
              <w:rPr>
                <w:rFonts w:ascii="Avenir Next Regular" w:hAnsi="Avenir Next Regular" w:cs="Calibri" w:hint="eastAsia"/>
                <w:b/>
                <w:bCs/>
                <w:color w:val="000000"/>
                <w:sz w:val="16"/>
                <w:szCs w:val="16"/>
              </w:rPr>
            </w:pPr>
            <w:r>
              <w:rPr>
                <w:color w:val="000000"/>
                <w:sz w:val="16"/>
                <w:szCs w:val="16"/>
              </w:rPr>
              <w:fldChar w:fldCharType="begin">
                <w:ffData>
                  <w:name w:val=""/>
                  <w:enabled/>
                  <w:calcOnExit w:val="0"/>
                  <w:checkBox>
                    <w:sizeAuto/>
                    <w:default w:val="1"/>
                  </w:checkBox>
                </w:ffData>
              </w:fldChar>
            </w:r>
            <w:r>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Pr>
                <w:color w:val="000000"/>
                <w:sz w:val="16"/>
                <w:szCs w:val="16"/>
              </w:rPr>
              <w:fldChar w:fldCharType="end"/>
            </w:r>
            <w:r w:rsidRPr="002E0D60">
              <w:rPr>
                <w:rFonts w:ascii="Avenir Next Regular" w:hAnsi="Avenir Next Regular" w:cs="Calibri"/>
                <w:b/>
                <w:bCs/>
                <w:color w:val="000000"/>
                <w:sz w:val="16"/>
                <w:szCs w:val="16"/>
              </w:rPr>
              <w:t>Transform policy and regulatory environments</w:t>
            </w:r>
          </w:p>
        </w:tc>
        <w:tc>
          <w:tcPr>
            <w:tcW w:w="1439" w:type="pct"/>
            <w:tcBorders>
              <w:top w:val="nil"/>
              <w:left w:val="nil"/>
              <w:bottom w:val="single" w:sz="4" w:space="0" w:color="auto"/>
              <w:right w:val="single" w:sz="4" w:space="0" w:color="auto"/>
            </w:tcBorders>
            <w:shd w:val="clear" w:color="auto" w:fill="auto"/>
            <w:hideMark/>
          </w:tcPr>
          <w:p w14:paraId="1555AE6E"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13117E8A"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2E4E23AB" w14:textId="77777777" w:rsidTr="00EB5106">
        <w:trPr>
          <w:trHeight w:val="386"/>
        </w:trPr>
        <w:tc>
          <w:tcPr>
            <w:tcW w:w="989" w:type="pct"/>
            <w:tcBorders>
              <w:top w:val="nil"/>
              <w:left w:val="single" w:sz="4" w:space="0" w:color="auto"/>
              <w:bottom w:val="single" w:sz="4" w:space="0" w:color="auto"/>
              <w:right w:val="single" w:sz="4" w:space="0" w:color="auto"/>
            </w:tcBorders>
            <w:shd w:val="clear" w:color="auto" w:fill="auto"/>
            <w:hideMark/>
          </w:tcPr>
          <w:p w14:paraId="5315732F"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78F0AAB6" w14:textId="77777777" w:rsidR="00E36E18" w:rsidRPr="002E0D60" w:rsidRDefault="00E36E18" w:rsidP="00EB5106">
            <w:pPr>
              <w:ind w:left="204" w:hanging="204"/>
              <w:rPr>
                <w:rFonts w:ascii="Avenir Next Regular" w:hAnsi="Avenir Next Regular" w:cs="Calibri" w:hint="eastAsia"/>
                <w:b/>
                <w:bCs/>
                <w:color w:val="000000"/>
                <w:sz w:val="16"/>
                <w:szCs w:val="16"/>
              </w:rPr>
            </w:pPr>
            <w:r>
              <w:rPr>
                <w:color w:val="000000"/>
                <w:sz w:val="16"/>
                <w:szCs w:val="16"/>
              </w:rPr>
              <w:fldChar w:fldCharType="begin">
                <w:ffData>
                  <w:name w:val=""/>
                  <w:enabled/>
                  <w:calcOnExit w:val="0"/>
                  <w:checkBox>
                    <w:sizeAuto/>
                    <w:default w:val="1"/>
                  </w:checkBox>
                </w:ffData>
              </w:fldChar>
            </w:r>
            <w:r>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Pr>
                <w:color w:val="000000"/>
                <w:sz w:val="16"/>
                <w:szCs w:val="16"/>
              </w:rPr>
              <w:fldChar w:fldCharType="end"/>
            </w:r>
            <w:r w:rsidRPr="002E0D60">
              <w:rPr>
                <w:rFonts w:ascii="Avenir Next Regular" w:hAnsi="Avenir Next Regular" w:cs="Calibri"/>
                <w:b/>
                <w:bCs/>
                <w:color w:val="000000"/>
                <w:sz w:val="16"/>
                <w:szCs w:val="16"/>
              </w:rPr>
              <w:t>Strengthen institutional capacity and decision-making</w:t>
            </w:r>
          </w:p>
        </w:tc>
        <w:tc>
          <w:tcPr>
            <w:tcW w:w="1439" w:type="pct"/>
            <w:tcBorders>
              <w:top w:val="nil"/>
              <w:left w:val="nil"/>
              <w:bottom w:val="single" w:sz="4" w:space="0" w:color="auto"/>
              <w:right w:val="single" w:sz="4" w:space="0" w:color="auto"/>
            </w:tcBorders>
            <w:shd w:val="clear" w:color="auto" w:fill="auto"/>
            <w:hideMark/>
          </w:tcPr>
          <w:p w14:paraId="43D203C0"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6AE6AB7F"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266B24DF" w14:textId="77777777" w:rsidTr="00EB5106">
        <w:trPr>
          <w:trHeight w:val="89"/>
        </w:trPr>
        <w:tc>
          <w:tcPr>
            <w:tcW w:w="989" w:type="pct"/>
            <w:tcBorders>
              <w:top w:val="nil"/>
              <w:left w:val="single" w:sz="4" w:space="0" w:color="auto"/>
              <w:bottom w:val="single" w:sz="4" w:space="0" w:color="auto"/>
              <w:right w:val="single" w:sz="4" w:space="0" w:color="auto"/>
            </w:tcBorders>
            <w:shd w:val="clear" w:color="auto" w:fill="auto"/>
            <w:hideMark/>
          </w:tcPr>
          <w:p w14:paraId="06BB2CC5"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55B12648" w14:textId="77777777" w:rsidR="00E36E18" w:rsidRPr="002E0D60" w:rsidRDefault="00E36E18" w:rsidP="00EB5106">
            <w:pPr>
              <w:ind w:left="204" w:hanging="204"/>
              <w:rPr>
                <w:rFonts w:ascii="Avenir Next Regular" w:hAnsi="Avenir Next Regular" w:cs="Calibri" w:hint="eastAsia"/>
                <w:b/>
                <w:bCs/>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b/>
                <w:bCs/>
                <w:color w:val="000000"/>
                <w:sz w:val="16"/>
                <w:szCs w:val="16"/>
              </w:rPr>
              <w:t>Convene multi-stakeholder alliances</w:t>
            </w:r>
          </w:p>
        </w:tc>
        <w:tc>
          <w:tcPr>
            <w:tcW w:w="1439" w:type="pct"/>
            <w:tcBorders>
              <w:top w:val="nil"/>
              <w:left w:val="nil"/>
              <w:bottom w:val="single" w:sz="4" w:space="0" w:color="auto"/>
              <w:right w:val="single" w:sz="4" w:space="0" w:color="auto"/>
            </w:tcBorders>
            <w:shd w:val="clear" w:color="auto" w:fill="auto"/>
            <w:hideMark/>
          </w:tcPr>
          <w:p w14:paraId="08167226"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c>
          <w:tcPr>
            <w:tcW w:w="1493" w:type="pct"/>
            <w:tcBorders>
              <w:top w:val="nil"/>
              <w:left w:val="nil"/>
              <w:bottom w:val="single" w:sz="4" w:space="0" w:color="auto"/>
              <w:right w:val="single" w:sz="4" w:space="0" w:color="auto"/>
            </w:tcBorders>
            <w:shd w:val="clear" w:color="auto" w:fill="auto"/>
            <w:noWrap/>
            <w:vAlign w:val="bottom"/>
            <w:hideMark/>
          </w:tcPr>
          <w:p w14:paraId="6025D50C"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r>
      <w:tr w:rsidR="00E36E18" w:rsidRPr="00B25CDB" w14:paraId="4BDDDBEE" w14:textId="77777777" w:rsidTr="00EB5106">
        <w:trPr>
          <w:trHeight w:val="323"/>
        </w:trPr>
        <w:tc>
          <w:tcPr>
            <w:tcW w:w="989" w:type="pct"/>
            <w:tcBorders>
              <w:top w:val="nil"/>
              <w:left w:val="single" w:sz="4" w:space="0" w:color="auto"/>
              <w:bottom w:val="single" w:sz="4" w:space="0" w:color="auto"/>
              <w:right w:val="single" w:sz="4" w:space="0" w:color="auto"/>
            </w:tcBorders>
            <w:shd w:val="clear" w:color="auto" w:fill="auto"/>
            <w:hideMark/>
          </w:tcPr>
          <w:p w14:paraId="77724DFC"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7726A79E" w14:textId="77777777" w:rsidR="00E36E18" w:rsidRPr="002E0D60" w:rsidRDefault="00E36E18" w:rsidP="00EB5106">
            <w:pPr>
              <w:ind w:left="114" w:hanging="114"/>
              <w:rPr>
                <w:rFonts w:ascii="Avenir Next Regular" w:hAnsi="Avenir Next Regular" w:cs="Calibri" w:hint="eastAsia"/>
                <w:b/>
                <w:bCs/>
                <w:color w:val="000000"/>
                <w:sz w:val="16"/>
                <w:szCs w:val="16"/>
              </w:rPr>
            </w:pPr>
            <w:r>
              <w:rPr>
                <w:color w:val="000000"/>
                <w:sz w:val="16"/>
                <w:szCs w:val="16"/>
              </w:rPr>
              <w:fldChar w:fldCharType="begin">
                <w:ffData>
                  <w:name w:val=""/>
                  <w:enabled/>
                  <w:calcOnExit w:val="0"/>
                  <w:checkBox>
                    <w:sizeAuto/>
                    <w:default w:val="1"/>
                  </w:checkBox>
                </w:ffData>
              </w:fldChar>
            </w:r>
            <w:r>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Pr>
                <w:color w:val="000000"/>
                <w:sz w:val="16"/>
                <w:szCs w:val="16"/>
              </w:rPr>
              <w:fldChar w:fldCharType="end"/>
            </w:r>
            <w:r w:rsidRPr="002E0D60">
              <w:rPr>
                <w:rFonts w:ascii="Avenir Next Regular" w:hAnsi="Avenir Next Regular" w:cs="Calibri"/>
                <w:b/>
                <w:bCs/>
                <w:color w:val="000000"/>
                <w:sz w:val="16"/>
                <w:szCs w:val="16"/>
              </w:rPr>
              <w:t>Demonstrate innovative approaches</w:t>
            </w:r>
          </w:p>
        </w:tc>
        <w:tc>
          <w:tcPr>
            <w:tcW w:w="1439" w:type="pct"/>
            <w:tcBorders>
              <w:top w:val="nil"/>
              <w:left w:val="nil"/>
              <w:bottom w:val="single" w:sz="4" w:space="0" w:color="auto"/>
              <w:right w:val="single" w:sz="4" w:space="0" w:color="auto"/>
            </w:tcBorders>
            <w:shd w:val="clear" w:color="auto" w:fill="auto"/>
            <w:hideMark/>
          </w:tcPr>
          <w:p w14:paraId="20F947F8"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164ABA68"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5B3BA322" w14:textId="77777777" w:rsidTr="00EB5106">
        <w:trPr>
          <w:trHeight w:val="305"/>
        </w:trPr>
        <w:tc>
          <w:tcPr>
            <w:tcW w:w="989" w:type="pct"/>
            <w:tcBorders>
              <w:top w:val="nil"/>
              <w:left w:val="single" w:sz="4" w:space="0" w:color="auto"/>
              <w:bottom w:val="single" w:sz="4" w:space="0" w:color="auto"/>
              <w:right w:val="single" w:sz="4" w:space="0" w:color="auto"/>
            </w:tcBorders>
            <w:shd w:val="clear" w:color="auto" w:fill="auto"/>
            <w:hideMark/>
          </w:tcPr>
          <w:p w14:paraId="194B237D"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729D26B5" w14:textId="77777777" w:rsidR="00E36E18" w:rsidRPr="002E0D60" w:rsidRDefault="00E36E18" w:rsidP="00EB5106">
            <w:pPr>
              <w:ind w:left="114" w:hanging="114"/>
              <w:rPr>
                <w:rFonts w:ascii="Avenir Next Regular" w:hAnsi="Avenir Next Regular" w:cs="Calibri" w:hint="eastAsia"/>
                <w:b/>
                <w:bCs/>
                <w:color w:val="000000"/>
                <w:sz w:val="16"/>
                <w:szCs w:val="16"/>
              </w:rPr>
            </w:pPr>
            <w:r>
              <w:rPr>
                <w:color w:val="000000"/>
                <w:sz w:val="16"/>
                <w:szCs w:val="16"/>
              </w:rPr>
              <w:fldChar w:fldCharType="begin">
                <w:ffData>
                  <w:name w:val=""/>
                  <w:enabled/>
                  <w:calcOnExit w:val="0"/>
                  <w:checkBox>
                    <w:sizeAuto/>
                    <w:default w:val="1"/>
                  </w:checkBox>
                </w:ffData>
              </w:fldChar>
            </w:r>
            <w:r>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Pr>
                <w:color w:val="000000"/>
                <w:sz w:val="16"/>
                <w:szCs w:val="16"/>
              </w:rPr>
              <w:fldChar w:fldCharType="end"/>
            </w:r>
            <w:r w:rsidRPr="002E0D60">
              <w:rPr>
                <w:rFonts w:ascii="Avenir Next Regular" w:hAnsi="Avenir Next Regular" w:cs="Calibri"/>
                <w:b/>
                <w:bCs/>
                <w:color w:val="000000"/>
                <w:sz w:val="16"/>
                <w:szCs w:val="16"/>
              </w:rPr>
              <w:t>Deploy innovative financial instruments</w:t>
            </w:r>
          </w:p>
        </w:tc>
        <w:tc>
          <w:tcPr>
            <w:tcW w:w="1439" w:type="pct"/>
            <w:tcBorders>
              <w:top w:val="nil"/>
              <w:left w:val="nil"/>
              <w:bottom w:val="single" w:sz="4" w:space="0" w:color="auto"/>
              <w:right w:val="single" w:sz="4" w:space="0" w:color="auto"/>
            </w:tcBorders>
            <w:shd w:val="clear" w:color="auto" w:fill="auto"/>
            <w:hideMark/>
          </w:tcPr>
          <w:p w14:paraId="11E2E5B8"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48936FFA"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4AD4C01E" w14:textId="77777777" w:rsidTr="00EB5106">
        <w:trPr>
          <w:trHeight w:val="188"/>
        </w:trPr>
        <w:tc>
          <w:tcPr>
            <w:tcW w:w="989" w:type="pct"/>
            <w:tcBorders>
              <w:top w:val="nil"/>
              <w:left w:val="single" w:sz="4" w:space="0" w:color="auto"/>
              <w:bottom w:val="single" w:sz="4" w:space="0" w:color="auto"/>
              <w:right w:val="single" w:sz="4" w:space="0" w:color="auto"/>
            </w:tcBorders>
            <w:shd w:val="clear" w:color="auto" w:fill="auto"/>
            <w:hideMark/>
          </w:tcPr>
          <w:p w14:paraId="19EE3CF9" w14:textId="77777777" w:rsidR="00E36E18" w:rsidRPr="002E0D60" w:rsidRDefault="00E36E18" w:rsidP="00EB5106">
            <w:pPr>
              <w:rPr>
                <w:rFonts w:ascii="Avenir Next Regular" w:hAnsi="Avenir Next Regular" w:cs="Calibri" w:hint="eastAsia"/>
                <w:b/>
                <w:bCs/>
                <w:color w:val="000000"/>
                <w:sz w:val="16"/>
                <w:szCs w:val="16"/>
              </w:rPr>
            </w:pPr>
            <w:r>
              <w:rPr>
                <w:color w:val="000000"/>
                <w:sz w:val="16"/>
                <w:szCs w:val="16"/>
              </w:rPr>
              <w:fldChar w:fldCharType="begin">
                <w:ffData>
                  <w:name w:val=""/>
                  <w:enabled/>
                  <w:calcOnExit w:val="0"/>
                  <w:checkBox>
                    <w:sizeAuto/>
                    <w:default w:val="1"/>
                  </w:checkBox>
                </w:ffData>
              </w:fldChar>
            </w:r>
            <w:r>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Pr>
                <w:color w:val="000000"/>
                <w:sz w:val="16"/>
                <w:szCs w:val="16"/>
              </w:rPr>
              <w:fldChar w:fldCharType="end"/>
            </w:r>
            <w:r w:rsidRPr="002E0D60">
              <w:rPr>
                <w:rFonts w:ascii="Avenir Next Regular" w:hAnsi="Avenir Next Regular" w:cs="Calibri"/>
                <w:b/>
                <w:bCs/>
                <w:color w:val="000000"/>
                <w:sz w:val="16"/>
                <w:szCs w:val="16"/>
              </w:rPr>
              <w:t>Stakeholders</w:t>
            </w:r>
          </w:p>
        </w:tc>
        <w:tc>
          <w:tcPr>
            <w:tcW w:w="1079" w:type="pct"/>
            <w:tcBorders>
              <w:top w:val="nil"/>
              <w:left w:val="nil"/>
              <w:bottom w:val="single" w:sz="4" w:space="0" w:color="auto"/>
              <w:right w:val="single" w:sz="4" w:space="0" w:color="auto"/>
            </w:tcBorders>
            <w:shd w:val="clear" w:color="auto" w:fill="auto"/>
            <w:hideMark/>
          </w:tcPr>
          <w:p w14:paraId="63A5EC54"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6F68447B"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0E180717"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4D63671C" w14:textId="77777777" w:rsidTr="00EB5106">
        <w:trPr>
          <w:trHeight w:val="161"/>
        </w:trPr>
        <w:tc>
          <w:tcPr>
            <w:tcW w:w="989" w:type="pct"/>
            <w:tcBorders>
              <w:top w:val="nil"/>
              <w:left w:val="single" w:sz="4" w:space="0" w:color="auto"/>
              <w:bottom w:val="single" w:sz="4" w:space="0" w:color="auto"/>
              <w:right w:val="single" w:sz="4" w:space="0" w:color="auto"/>
            </w:tcBorders>
            <w:shd w:val="clear" w:color="auto" w:fill="auto"/>
            <w:hideMark/>
          </w:tcPr>
          <w:p w14:paraId="5EDB12AB"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156806CF" w14:textId="77777777" w:rsidR="00E36E18" w:rsidRPr="002E0D60" w:rsidRDefault="00E36E18" w:rsidP="00EB5106">
            <w:pPr>
              <w:rPr>
                <w:rFonts w:ascii="Avenir Next Regular" w:hAnsi="Avenir Next Regular" w:cs="Calibri" w:hint="eastAsia"/>
                <w:b/>
                <w:bCs/>
                <w:color w:val="000000"/>
                <w:sz w:val="16"/>
                <w:szCs w:val="16"/>
              </w:rPr>
            </w:pPr>
            <w:r w:rsidRPr="002E0D60">
              <w:rPr>
                <w:color w:val="000000"/>
                <w:sz w:val="16"/>
                <w:szCs w:val="16"/>
              </w:rPr>
              <w:fldChar w:fldCharType="begin">
                <w:ffData>
                  <w:name w:val="IAP_cities"/>
                  <w:enabled/>
                  <w:calcOnExit w:val="0"/>
                  <w:checkBox>
                    <w:sizeAuto/>
                    <w:default w:val="0"/>
                    <w:checked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b/>
                <w:bCs/>
                <w:color w:val="000000"/>
                <w:sz w:val="16"/>
                <w:szCs w:val="16"/>
              </w:rPr>
              <w:t xml:space="preserve">Indigenous Peoples </w:t>
            </w:r>
          </w:p>
        </w:tc>
        <w:tc>
          <w:tcPr>
            <w:tcW w:w="1439" w:type="pct"/>
            <w:tcBorders>
              <w:top w:val="nil"/>
              <w:left w:val="nil"/>
              <w:bottom w:val="single" w:sz="4" w:space="0" w:color="auto"/>
              <w:right w:val="single" w:sz="4" w:space="0" w:color="auto"/>
            </w:tcBorders>
            <w:shd w:val="clear" w:color="auto" w:fill="auto"/>
            <w:hideMark/>
          </w:tcPr>
          <w:p w14:paraId="52DA0120"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1069FEDF"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701FCE52" w14:textId="77777777" w:rsidTr="00EB5106">
        <w:trPr>
          <w:trHeight w:val="152"/>
        </w:trPr>
        <w:tc>
          <w:tcPr>
            <w:tcW w:w="989" w:type="pct"/>
            <w:tcBorders>
              <w:top w:val="nil"/>
              <w:left w:val="single" w:sz="4" w:space="0" w:color="auto"/>
              <w:bottom w:val="single" w:sz="4" w:space="0" w:color="auto"/>
              <w:right w:val="single" w:sz="4" w:space="0" w:color="auto"/>
            </w:tcBorders>
            <w:shd w:val="clear" w:color="auto" w:fill="auto"/>
            <w:hideMark/>
          </w:tcPr>
          <w:p w14:paraId="79777C8D"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77F23630" w14:textId="77777777" w:rsidR="00E36E18" w:rsidRPr="002E0D60" w:rsidRDefault="00E36E18" w:rsidP="00EB5106">
            <w:pPr>
              <w:rPr>
                <w:rFonts w:ascii="Avenir Next Regular" w:hAnsi="Avenir Next Regular" w:cs="Calibri" w:hint="eastAsia"/>
                <w:b/>
                <w:bCs/>
                <w:color w:val="000000"/>
                <w:sz w:val="16"/>
                <w:szCs w:val="16"/>
              </w:rPr>
            </w:pPr>
            <w:r>
              <w:rPr>
                <w:color w:val="000000"/>
                <w:sz w:val="16"/>
                <w:szCs w:val="16"/>
              </w:rPr>
              <w:fldChar w:fldCharType="begin">
                <w:ffData>
                  <w:name w:val=""/>
                  <w:enabled/>
                  <w:calcOnExit w:val="0"/>
                  <w:checkBox>
                    <w:sizeAuto/>
                    <w:default w:val="1"/>
                  </w:checkBox>
                </w:ffData>
              </w:fldChar>
            </w:r>
            <w:r>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Pr>
                <w:color w:val="000000"/>
                <w:sz w:val="16"/>
                <w:szCs w:val="16"/>
              </w:rPr>
              <w:fldChar w:fldCharType="end"/>
            </w:r>
            <w:r w:rsidRPr="002E0D60">
              <w:rPr>
                <w:rFonts w:ascii="Avenir Next Regular" w:hAnsi="Avenir Next Regular" w:cs="Calibri"/>
                <w:b/>
                <w:bCs/>
                <w:color w:val="000000"/>
                <w:sz w:val="16"/>
                <w:szCs w:val="16"/>
              </w:rPr>
              <w:t>Private Sector</w:t>
            </w:r>
          </w:p>
        </w:tc>
        <w:tc>
          <w:tcPr>
            <w:tcW w:w="1439" w:type="pct"/>
            <w:tcBorders>
              <w:top w:val="nil"/>
              <w:left w:val="nil"/>
              <w:bottom w:val="single" w:sz="4" w:space="0" w:color="auto"/>
              <w:right w:val="single" w:sz="4" w:space="0" w:color="auto"/>
            </w:tcBorders>
            <w:shd w:val="clear" w:color="auto" w:fill="auto"/>
            <w:hideMark/>
          </w:tcPr>
          <w:p w14:paraId="2215D124"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3A0515BD"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526864AD"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hideMark/>
          </w:tcPr>
          <w:p w14:paraId="0F3B17C1"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690AF33E"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64229133" w14:textId="77777777" w:rsidR="00E36E18" w:rsidRPr="002E0D60" w:rsidRDefault="00E36E18" w:rsidP="00EB5106">
            <w:pPr>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Capital providers</w:t>
            </w:r>
          </w:p>
        </w:tc>
        <w:tc>
          <w:tcPr>
            <w:tcW w:w="1493" w:type="pct"/>
            <w:tcBorders>
              <w:top w:val="nil"/>
              <w:left w:val="nil"/>
              <w:bottom w:val="single" w:sz="4" w:space="0" w:color="auto"/>
              <w:right w:val="single" w:sz="4" w:space="0" w:color="auto"/>
            </w:tcBorders>
            <w:shd w:val="clear" w:color="auto" w:fill="auto"/>
            <w:hideMark/>
          </w:tcPr>
          <w:p w14:paraId="1D293F26"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5550CD33" w14:textId="77777777" w:rsidTr="00EB5106">
        <w:trPr>
          <w:trHeight w:val="179"/>
        </w:trPr>
        <w:tc>
          <w:tcPr>
            <w:tcW w:w="989" w:type="pct"/>
            <w:tcBorders>
              <w:top w:val="nil"/>
              <w:left w:val="single" w:sz="4" w:space="0" w:color="auto"/>
              <w:bottom w:val="single" w:sz="4" w:space="0" w:color="auto"/>
              <w:right w:val="single" w:sz="4" w:space="0" w:color="auto"/>
            </w:tcBorders>
            <w:shd w:val="clear" w:color="auto" w:fill="auto"/>
            <w:hideMark/>
          </w:tcPr>
          <w:p w14:paraId="09EB32D1"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1F0939F8"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4001A1DB" w14:textId="77777777" w:rsidR="00E36E18" w:rsidRPr="002E0D60" w:rsidRDefault="00E36E18" w:rsidP="00EB5106">
            <w:pPr>
              <w:ind w:left="150" w:hanging="150"/>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Financial intermediaries and market facilitators</w:t>
            </w:r>
          </w:p>
        </w:tc>
        <w:tc>
          <w:tcPr>
            <w:tcW w:w="1493" w:type="pct"/>
            <w:tcBorders>
              <w:top w:val="nil"/>
              <w:left w:val="nil"/>
              <w:bottom w:val="single" w:sz="4" w:space="0" w:color="auto"/>
              <w:right w:val="single" w:sz="4" w:space="0" w:color="auto"/>
            </w:tcBorders>
            <w:shd w:val="clear" w:color="auto" w:fill="auto"/>
            <w:hideMark/>
          </w:tcPr>
          <w:p w14:paraId="19AB2255"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11CA0DB3" w14:textId="77777777" w:rsidTr="00EB5106">
        <w:trPr>
          <w:trHeight w:val="197"/>
        </w:trPr>
        <w:tc>
          <w:tcPr>
            <w:tcW w:w="989" w:type="pct"/>
            <w:tcBorders>
              <w:top w:val="nil"/>
              <w:left w:val="single" w:sz="4" w:space="0" w:color="auto"/>
              <w:bottom w:val="single" w:sz="4" w:space="0" w:color="auto"/>
              <w:right w:val="single" w:sz="4" w:space="0" w:color="auto"/>
            </w:tcBorders>
            <w:shd w:val="clear" w:color="auto" w:fill="auto"/>
            <w:hideMark/>
          </w:tcPr>
          <w:p w14:paraId="17DD11D2"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1701552C"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292D2F16" w14:textId="77777777" w:rsidR="00E36E18" w:rsidRPr="002E0D60" w:rsidRDefault="00E36E18" w:rsidP="00EB5106">
            <w:pPr>
              <w:rPr>
                <w:rFonts w:ascii="Avenir Next Regular" w:hAnsi="Avenir Next Regular" w:cs="Calibri" w:hint="eastAsia"/>
                <w:color w:val="000000"/>
                <w:sz w:val="16"/>
                <w:szCs w:val="16"/>
              </w:rPr>
            </w:pPr>
            <w:r>
              <w:rPr>
                <w:color w:val="000000"/>
                <w:sz w:val="16"/>
                <w:szCs w:val="16"/>
              </w:rPr>
              <w:fldChar w:fldCharType="begin">
                <w:ffData>
                  <w:name w:val=""/>
                  <w:enabled/>
                  <w:calcOnExit w:val="0"/>
                  <w:checkBox>
                    <w:sizeAuto/>
                    <w:default w:val="1"/>
                  </w:checkBox>
                </w:ffData>
              </w:fldChar>
            </w:r>
            <w:r>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Pr>
                <w:color w:val="000000"/>
                <w:sz w:val="16"/>
                <w:szCs w:val="16"/>
              </w:rPr>
              <w:fldChar w:fldCharType="end"/>
            </w:r>
            <w:r w:rsidRPr="002E0D60">
              <w:rPr>
                <w:rFonts w:ascii="Avenir Next Regular" w:hAnsi="Avenir Next Regular" w:cs="Calibri"/>
                <w:color w:val="000000"/>
                <w:sz w:val="16"/>
                <w:szCs w:val="16"/>
              </w:rPr>
              <w:t>Large corporations</w:t>
            </w:r>
          </w:p>
        </w:tc>
        <w:tc>
          <w:tcPr>
            <w:tcW w:w="1493" w:type="pct"/>
            <w:tcBorders>
              <w:top w:val="nil"/>
              <w:left w:val="nil"/>
              <w:bottom w:val="single" w:sz="4" w:space="0" w:color="auto"/>
              <w:right w:val="single" w:sz="4" w:space="0" w:color="auto"/>
            </w:tcBorders>
            <w:shd w:val="clear" w:color="auto" w:fill="auto"/>
            <w:hideMark/>
          </w:tcPr>
          <w:p w14:paraId="45741803"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0F81E166" w14:textId="77777777" w:rsidTr="00EB5106">
        <w:trPr>
          <w:trHeight w:val="179"/>
        </w:trPr>
        <w:tc>
          <w:tcPr>
            <w:tcW w:w="989" w:type="pct"/>
            <w:tcBorders>
              <w:top w:val="nil"/>
              <w:left w:val="single" w:sz="4" w:space="0" w:color="auto"/>
              <w:bottom w:val="single" w:sz="4" w:space="0" w:color="auto"/>
              <w:right w:val="single" w:sz="4" w:space="0" w:color="auto"/>
            </w:tcBorders>
            <w:shd w:val="clear" w:color="auto" w:fill="auto"/>
            <w:hideMark/>
          </w:tcPr>
          <w:p w14:paraId="0F7C4101"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2CD686F3"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3D03EBF9" w14:textId="77777777" w:rsidR="00E36E18" w:rsidRPr="002E0D60" w:rsidRDefault="00E36E18" w:rsidP="00EB5106">
            <w:pPr>
              <w:rPr>
                <w:rFonts w:ascii="Avenir Next Regular" w:hAnsi="Avenir Next Regular" w:cs="Calibri" w:hint="eastAsia"/>
                <w:color w:val="000000"/>
                <w:sz w:val="16"/>
                <w:szCs w:val="16"/>
              </w:rPr>
            </w:pPr>
            <w:r>
              <w:rPr>
                <w:color w:val="000000"/>
                <w:sz w:val="16"/>
                <w:szCs w:val="16"/>
              </w:rPr>
              <w:fldChar w:fldCharType="begin">
                <w:ffData>
                  <w:name w:val=""/>
                  <w:enabled/>
                  <w:calcOnExit w:val="0"/>
                  <w:checkBox>
                    <w:sizeAuto/>
                    <w:default w:val="1"/>
                  </w:checkBox>
                </w:ffData>
              </w:fldChar>
            </w:r>
            <w:r>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Pr>
                <w:color w:val="000000"/>
                <w:sz w:val="16"/>
                <w:szCs w:val="16"/>
              </w:rPr>
              <w:fldChar w:fldCharType="end"/>
            </w:r>
            <w:r w:rsidRPr="002E0D60">
              <w:rPr>
                <w:rFonts w:ascii="Avenir Next Regular" w:hAnsi="Avenir Next Regular" w:cs="Calibri"/>
                <w:color w:val="000000"/>
                <w:sz w:val="16"/>
                <w:szCs w:val="16"/>
              </w:rPr>
              <w:t>SMEs</w:t>
            </w:r>
          </w:p>
        </w:tc>
        <w:tc>
          <w:tcPr>
            <w:tcW w:w="1493" w:type="pct"/>
            <w:tcBorders>
              <w:top w:val="nil"/>
              <w:left w:val="nil"/>
              <w:bottom w:val="single" w:sz="4" w:space="0" w:color="auto"/>
              <w:right w:val="single" w:sz="4" w:space="0" w:color="auto"/>
            </w:tcBorders>
            <w:shd w:val="clear" w:color="auto" w:fill="auto"/>
            <w:hideMark/>
          </w:tcPr>
          <w:p w14:paraId="5A80852C"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64F4E82C" w14:textId="77777777" w:rsidTr="00EB5106">
        <w:trPr>
          <w:trHeight w:val="152"/>
        </w:trPr>
        <w:tc>
          <w:tcPr>
            <w:tcW w:w="989" w:type="pct"/>
            <w:tcBorders>
              <w:top w:val="nil"/>
              <w:left w:val="single" w:sz="4" w:space="0" w:color="auto"/>
              <w:bottom w:val="single" w:sz="4" w:space="0" w:color="auto"/>
              <w:right w:val="single" w:sz="4" w:space="0" w:color="auto"/>
            </w:tcBorders>
            <w:shd w:val="clear" w:color="auto" w:fill="auto"/>
            <w:hideMark/>
          </w:tcPr>
          <w:p w14:paraId="04B0B590"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0A320EF0"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3D73B473" w14:textId="77777777" w:rsidR="00E36E18" w:rsidRPr="002E0D60" w:rsidRDefault="00E36E18" w:rsidP="00EB5106">
            <w:pPr>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Individuals/Entrepreneurs</w:t>
            </w:r>
          </w:p>
        </w:tc>
        <w:tc>
          <w:tcPr>
            <w:tcW w:w="1493" w:type="pct"/>
            <w:tcBorders>
              <w:top w:val="nil"/>
              <w:left w:val="nil"/>
              <w:bottom w:val="single" w:sz="4" w:space="0" w:color="auto"/>
              <w:right w:val="single" w:sz="4" w:space="0" w:color="auto"/>
            </w:tcBorders>
            <w:shd w:val="clear" w:color="auto" w:fill="auto"/>
            <w:hideMark/>
          </w:tcPr>
          <w:p w14:paraId="1ADE8083"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60E86545"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hideMark/>
          </w:tcPr>
          <w:p w14:paraId="227BBDDF"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002FDE58"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single" w:sz="4" w:space="0" w:color="7F7F7F"/>
              <w:left w:val="single" w:sz="4" w:space="0" w:color="7F7F7F"/>
              <w:bottom w:val="single" w:sz="4" w:space="0" w:color="7F7F7F"/>
              <w:right w:val="single" w:sz="4" w:space="0" w:color="7F7F7F"/>
            </w:tcBorders>
            <w:shd w:val="clear" w:color="auto" w:fill="auto"/>
            <w:hideMark/>
          </w:tcPr>
          <w:p w14:paraId="477190A3" w14:textId="77777777" w:rsidR="00E36E18" w:rsidRPr="002E0D60" w:rsidRDefault="00E36E18" w:rsidP="00EB5106">
            <w:pPr>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Non-Grant Pilot</w:t>
            </w:r>
          </w:p>
        </w:tc>
        <w:tc>
          <w:tcPr>
            <w:tcW w:w="1493" w:type="pct"/>
            <w:tcBorders>
              <w:top w:val="nil"/>
              <w:left w:val="nil"/>
              <w:bottom w:val="nil"/>
              <w:right w:val="nil"/>
            </w:tcBorders>
            <w:shd w:val="clear" w:color="auto" w:fill="auto"/>
            <w:hideMark/>
          </w:tcPr>
          <w:p w14:paraId="6AC69FAB"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33DE7FC8" w14:textId="77777777" w:rsidTr="00EB5106">
        <w:trPr>
          <w:trHeight w:val="161"/>
        </w:trPr>
        <w:tc>
          <w:tcPr>
            <w:tcW w:w="989" w:type="pct"/>
            <w:tcBorders>
              <w:top w:val="nil"/>
              <w:left w:val="single" w:sz="4" w:space="0" w:color="auto"/>
              <w:bottom w:val="single" w:sz="4" w:space="0" w:color="auto"/>
              <w:right w:val="single" w:sz="4" w:space="0" w:color="auto"/>
            </w:tcBorders>
            <w:shd w:val="clear" w:color="auto" w:fill="auto"/>
            <w:hideMark/>
          </w:tcPr>
          <w:p w14:paraId="4E81F589"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6AB57111"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single" w:sz="4" w:space="0" w:color="7F7F7F"/>
              <w:bottom w:val="single" w:sz="4" w:space="0" w:color="7F7F7F"/>
              <w:right w:val="single" w:sz="4" w:space="0" w:color="7F7F7F"/>
            </w:tcBorders>
            <w:shd w:val="clear" w:color="auto" w:fill="auto"/>
            <w:hideMark/>
          </w:tcPr>
          <w:p w14:paraId="4DBF9362" w14:textId="77777777" w:rsidR="00E36E18" w:rsidRPr="002E0D60" w:rsidRDefault="00E36E18" w:rsidP="00EB5106">
            <w:pPr>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Project Reflow</w:t>
            </w:r>
          </w:p>
        </w:tc>
        <w:tc>
          <w:tcPr>
            <w:tcW w:w="1493" w:type="pct"/>
            <w:tcBorders>
              <w:top w:val="nil"/>
              <w:left w:val="nil"/>
              <w:bottom w:val="nil"/>
              <w:right w:val="nil"/>
            </w:tcBorders>
            <w:shd w:val="clear" w:color="auto" w:fill="auto"/>
            <w:hideMark/>
          </w:tcPr>
          <w:p w14:paraId="4985FA42"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0DDD1169" w14:textId="77777777" w:rsidTr="00EB5106">
        <w:trPr>
          <w:trHeight w:val="170"/>
        </w:trPr>
        <w:tc>
          <w:tcPr>
            <w:tcW w:w="989" w:type="pct"/>
            <w:tcBorders>
              <w:top w:val="nil"/>
              <w:left w:val="single" w:sz="4" w:space="0" w:color="auto"/>
              <w:bottom w:val="single" w:sz="4" w:space="0" w:color="auto"/>
              <w:right w:val="single" w:sz="4" w:space="0" w:color="auto"/>
            </w:tcBorders>
            <w:shd w:val="clear" w:color="auto" w:fill="auto"/>
            <w:hideMark/>
          </w:tcPr>
          <w:p w14:paraId="79D8F245"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12D3405F" w14:textId="77777777" w:rsidR="00E36E18" w:rsidRPr="002E0D60" w:rsidRDefault="00E36E18" w:rsidP="00EB5106">
            <w:pPr>
              <w:rPr>
                <w:rFonts w:ascii="Avenir Next Regular" w:hAnsi="Avenir Next Regular" w:cs="Calibri" w:hint="eastAsia"/>
                <w:b/>
                <w:bCs/>
                <w:color w:val="000000"/>
                <w:sz w:val="16"/>
                <w:szCs w:val="16"/>
              </w:rPr>
            </w:pPr>
            <w:r>
              <w:rPr>
                <w:color w:val="000000"/>
                <w:sz w:val="16"/>
                <w:szCs w:val="16"/>
              </w:rPr>
              <w:fldChar w:fldCharType="begin">
                <w:ffData>
                  <w:name w:val=""/>
                  <w:enabled/>
                  <w:calcOnExit w:val="0"/>
                  <w:checkBox>
                    <w:sizeAuto/>
                    <w:default w:val="1"/>
                  </w:checkBox>
                </w:ffData>
              </w:fldChar>
            </w:r>
            <w:r>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Pr>
                <w:color w:val="000000"/>
                <w:sz w:val="16"/>
                <w:szCs w:val="16"/>
              </w:rPr>
              <w:fldChar w:fldCharType="end"/>
            </w:r>
            <w:r w:rsidRPr="002E0D60">
              <w:rPr>
                <w:rFonts w:ascii="Avenir Next Regular" w:hAnsi="Avenir Next Regular" w:cs="Calibri"/>
                <w:b/>
                <w:bCs/>
                <w:color w:val="000000"/>
                <w:sz w:val="16"/>
                <w:szCs w:val="16"/>
              </w:rPr>
              <w:t>Beneficiaries</w:t>
            </w:r>
          </w:p>
        </w:tc>
        <w:tc>
          <w:tcPr>
            <w:tcW w:w="1439" w:type="pct"/>
            <w:tcBorders>
              <w:top w:val="single" w:sz="4" w:space="0" w:color="auto"/>
              <w:left w:val="nil"/>
              <w:bottom w:val="single" w:sz="4" w:space="0" w:color="auto"/>
              <w:right w:val="single" w:sz="4" w:space="0" w:color="auto"/>
            </w:tcBorders>
            <w:shd w:val="clear" w:color="auto" w:fill="auto"/>
            <w:hideMark/>
          </w:tcPr>
          <w:p w14:paraId="4D59475D"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c>
          <w:tcPr>
            <w:tcW w:w="1493" w:type="pct"/>
            <w:tcBorders>
              <w:top w:val="single" w:sz="4" w:space="0" w:color="auto"/>
              <w:left w:val="nil"/>
              <w:bottom w:val="single" w:sz="4" w:space="0" w:color="auto"/>
              <w:right w:val="single" w:sz="4" w:space="0" w:color="auto"/>
            </w:tcBorders>
            <w:shd w:val="clear" w:color="auto" w:fill="auto"/>
            <w:hideMark/>
          </w:tcPr>
          <w:p w14:paraId="7513A63B"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3D4EA77C" w14:textId="77777777" w:rsidTr="00EB5106">
        <w:trPr>
          <w:trHeight w:val="161"/>
        </w:trPr>
        <w:tc>
          <w:tcPr>
            <w:tcW w:w="989" w:type="pct"/>
            <w:tcBorders>
              <w:top w:val="nil"/>
              <w:left w:val="single" w:sz="4" w:space="0" w:color="auto"/>
              <w:bottom w:val="single" w:sz="4" w:space="0" w:color="auto"/>
              <w:right w:val="single" w:sz="4" w:space="0" w:color="auto"/>
            </w:tcBorders>
            <w:shd w:val="clear" w:color="auto" w:fill="auto"/>
            <w:hideMark/>
          </w:tcPr>
          <w:p w14:paraId="74F192E0"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729CA23E" w14:textId="77777777" w:rsidR="00E36E18" w:rsidRPr="002E0D60" w:rsidRDefault="00E36E18" w:rsidP="00EB5106">
            <w:pPr>
              <w:rPr>
                <w:rFonts w:ascii="Avenir Next Regular" w:hAnsi="Avenir Next Regular" w:cs="Calibri" w:hint="eastAsia"/>
                <w:b/>
                <w:bCs/>
                <w:color w:val="000000"/>
                <w:sz w:val="16"/>
                <w:szCs w:val="16"/>
              </w:rPr>
            </w:pPr>
            <w:r>
              <w:rPr>
                <w:color w:val="000000"/>
                <w:sz w:val="16"/>
                <w:szCs w:val="16"/>
              </w:rPr>
              <w:fldChar w:fldCharType="begin">
                <w:ffData>
                  <w:name w:val=""/>
                  <w:enabled/>
                  <w:calcOnExit w:val="0"/>
                  <w:checkBox>
                    <w:sizeAuto/>
                    <w:default w:val="1"/>
                  </w:checkBox>
                </w:ffData>
              </w:fldChar>
            </w:r>
            <w:r>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Pr>
                <w:color w:val="000000"/>
                <w:sz w:val="16"/>
                <w:szCs w:val="16"/>
              </w:rPr>
              <w:fldChar w:fldCharType="end"/>
            </w:r>
            <w:r w:rsidRPr="002E0D60">
              <w:rPr>
                <w:rFonts w:ascii="Avenir Next Regular" w:hAnsi="Avenir Next Regular" w:cs="Calibri"/>
                <w:b/>
                <w:bCs/>
                <w:color w:val="000000"/>
                <w:sz w:val="16"/>
                <w:szCs w:val="16"/>
              </w:rPr>
              <w:t>Local Communities</w:t>
            </w:r>
          </w:p>
        </w:tc>
        <w:tc>
          <w:tcPr>
            <w:tcW w:w="1439" w:type="pct"/>
            <w:tcBorders>
              <w:top w:val="nil"/>
              <w:left w:val="nil"/>
              <w:bottom w:val="single" w:sz="4" w:space="0" w:color="auto"/>
              <w:right w:val="single" w:sz="4" w:space="0" w:color="auto"/>
            </w:tcBorders>
            <w:shd w:val="clear" w:color="auto" w:fill="auto"/>
            <w:hideMark/>
          </w:tcPr>
          <w:p w14:paraId="7E0922ED"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3F8DC86C"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64086391"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hideMark/>
          </w:tcPr>
          <w:p w14:paraId="0D7C0822"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6A50A9C9" w14:textId="77777777" w:rsidR="00E36E18" w:rsidRPr="002E0D60" w:rsidRDefault="00E36E18" w:rsidP="00EB5106">
            <w:pPr>
              <w:rPr>
                <w:rFonts w:ascii="Avenir Next Regular" w:hAnsi="Avenir Next Regular" w:cs="Calibri" w:hint="eastAsia"/>
                <w:b/>
                <w:bCs/>
                <w:color w:val="000000"/>
                <w:sz w:val="16"/>
                <w:szCs w:val="16"/>
              </w:rPr>
            </w:pPr>
            <w:r>
              <w:rPr>
                <w:color w:val="000000"/>
                <w:sz w:val="16"/>
                <w:szCs w:val="16"/>
              </w:rPr>
              <w:fldChar w:fldCharType="begin">
                <w:ffData>
                  <w:name w:val=""/>
                  <w:enabled/>
                  <w:calcOnExit w:val="0"/>
                  <w:checkBox>
                    <w:sizeAuto/>
                    <w:default w:val="1"/>
                  </w:checkBox>
                </w:ffData>
              </w:fldChar>
            </w:r>
            <w:r>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Pr>
                <w:color w:val="000000"/>
                <w:sz w:val="16"/>
                <w:szCs w:val="16"/>
              </w:rPr>
              <w:fldChar w:fldCharType="end"/>
            </w:r>
            <w:r w:rsidRPr="002E0D60">
              <w:rPr>
                <w:rFonts w:ascii="Avenir Next Regular" w:hAnsi="Avenir Next Regular" w:cs="Calibri"/>
                <w:b/>
                <w:bCs/>
                <w:color w:val="000000"/>
                <w:sz w:val="16"/>
                <w:szCs w:val="16"/>
              </w:rPr>
              <w:t>Civil Society</w:t>
            </w:r>
          </w:p>
        </w:tc>
        <w:tc>
          <w:tcPr>
            <w:tcW w:w="1439" w:type="pct"/>
            <w:tcBorders>
              <w:top w:val="nil"/>
              <w:left w:val="nil"/>
              <w:bottom w:val="single" w:sz="4" w:space="0" w:color="auto"/>
              <w:right w:val="single" w:sz="4" w:space="0" w:color="auto"/>
            </w:tcBorders>
            <w:shd w:val="clear" w:color="auto" w:fill="auto"/>
            <w:hideMark/>
          </w:tcPr>
          <w:p w14:paraId="338E6F05"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7A45D4FA"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5FDC2294"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hideMark/>
          </w:tcPr>
          <w:p w14:paraId="30E0AF7B"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36B8DA8D"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6CA51708" w14:textId="77777777" w:rsidR="00E36E18" w:rsidRPr="002E0D60" w:rsidRDefault="00E36E18" w:rsidP="00EB5106">
            <w:pPr>
              <w:rPr>
                <w:rFonts w:ascii="Avenir Next Regular" w:hAnsi="Avenir Next Regular" w:cs="Calibri" w:hint="eastAsia"/>
                <w:color w:val="000000"/>
                <w:sz w:val="16"/>
                <w:szCs w:val="16"/>
              </w:rPr>
            </w:pPr>
            <w:r>
              <w:rPr>
                <w:color w:val="000000"/>
                <w:sz w:val="16"/>
                <w:szCs w:val="16"/>
              </w:rPr>
              <w:fldChar w:fldCharType="begin">
                <w:ffData>
                  <w:name w:val=""/>
                  <w:enabled/>
                  <w:calcOnExit w:val="0"/>
                  <w:checkBox>
                    <w:sizeAuto/>
                    <w:default w:val="1"/>
                  </w:checkBox>
                </w:ffData>
              </w:fldChar>
            </w:r>
            <w:r>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Pr>
                <w:color w:val="000000"/>
                <w:sz w:val="16"/>
                <w:szCs w:val="16"/>
              </w:rPr>
              <w:fldChar w:fldCharType="end"/>
            </w:r>
            <w:r w:rsidRPr="002E0D60">
              <w:rPr>
                <w:rFonts w:ascii="Avenir Next Regular" w:hAnsi="Avenir Next Regular" w:cs="Calibri"/>
                <w:color w:val="000000"/>
                <w:sz w:val="16"/>
                <w:szCs w:val="16"/>
              </w:rPr>
              <w:t xml:space="preserve">Community Based Organization </w:t>
            </w:r>
          </w:p>
        </w:tc>
        <w:tc>
          <w:tcPr>
            <w:tcW w:w="1493" w:type="pct"/>
            <w:tcBorders>
              <w:top w:val="nil"/>
              <w:left w:val="nil"/>
              <w:bottom w:val="single" w:sz="4" w:space="0" w:color="auto"/>
              <w:right w:val="single" w:sz="4" w:space="0" w:color="auto"/>
            </w:tcBorders>
            <w:shd w:val="clear" w:color="auto" w:fill="auto"/>
            <w:hideMark/>
          </w:tcPr>
          <w:p w14:paraId="14717682"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20643854"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hideMark/>
          </w:tcPr>
          <w:p w14:paraId="1B27814D"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55983246"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4ACD9653" w14:textId="77777777" w:rsidR="00E36E18" w:rsidRPr="002E0D60" w:rsidRDefault="00E36E18" w:rsidP="00EB5106">
            <w:pPr>
              <w:rPr>
                <w:rFonts w:ascii="Avenir Next Regular" w:hAnsi="Avenir Next Regular" w:cs="Calibri" w:hint="eastAsia"/>
                <w:color w:val="000000"/>
                <w:sz w:val="16"/>
                <w:szCs w:val="16"/>
              </w:rPr>
            </w:pPr>
            <w:r>
              <w:rPr>
                <w:color w:val="000000"/>
                <w:sz w:val="16"/>
                <w:szCs w:val="16"/>
              </w:rPr>
              <w:fldChar w:fldCharType="begin">
                <w:ffData>
                  <w:name w:val=""/>
                  <w:enabled/>
                  <w:calcOnExit w:val="0"/>
                  <w:checkBox>
                    <w:sizeAuto/>
                    <w:default w:val="1"/>
                  </w:checkBox>
                </w:ffData>
              </w:fldChar>
            </w:r>
            <w:r>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Pr>
                <w:color w:val="000000"/>
                <w:sz w:val="16"/>
                <w:szCs w:val="16"/>
              </w:rPr>
              <w:fldChar w:fldCharType="end"/>
            </w:r>
            <w:r w:rsidRPr="002E0D60">
              <w:rPr>
                <w:rFonts w:ascii="Avenir Next Regular" w:hAnsi="Avenir Next Regular" w:cs="Calibri"/>
                <w:color w:val="000000"/>
                <w:sz w:val="16"/>
                <w:szCs w:val="16"/>
              </w:rPr>
              <w:t>Non-Governmental Organization</w:t>
            </w:r>
          </w:p>
        </w:tc>
        <w:tc>
          <w:tcPr>
            <w:tcW w:w="1493" w:type="pct"/>
            <w:tcBorders>
              <w:top w:val="nil"/>
              <w:left w:val="nil"/>
              <w:bottom w:val="single" w:sz="4" w:space="0" w:color="auto"/>
              <w:right w:val="single" w:sz="4" w:space="0" w:color="auto"/>
            </w:tcBorders>
            <w:shd w:val="clear" w:color="auto" w:fill="auto"/>
            <w:hideMark/>
          </w:tcPr>
          <w:p w14:paraId="4C0CC166"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7B67C253"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hideMark/>
          </w:tcPr>
          <w:p w14:paraId="3FD1B2ED"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6ACA01B7"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62B0BE97" w14:textId="77777777" w:rsidR="00E36E18" w:rsidRPr="002E0D60" w:rsidRDefault="00E36E18" w:rsidP="00EB5106">
            <w:pPr>
              <w:rPr>
                <w:rFonts w:ascii="Avenir Next Regular" w:hAnsi="Avenir Next Regular" w:cs="Calibri" w:hint="eastAsia"/>
                <w:color w:val="000000"/>
                <w:sz w:val="16"/>
                <w:szCs w:val="16"/>
              </w:rPr>
            </w:pPr>
            <w:r>
              <w:rPr>
                <w:color w:val="000000"/>
                <w:sz w:val="16"/>
                <w:szCs w:val="16"/>
              </w:rPr>
              <w:fldChar w:fldCharType="begin">
                <w:ffData>
                  <w:name w:val=""/>
                  <w:enabled/>
                  <w:calcOnExit w:val="0"/>
                  <w:checkBox>
                    <w:sizeAuto/>
                    <w:default w:val="1"/>
                  </w:checkBox>
                </w:ffData>
              </w:fldChar>
            </w:r>
            <w:r>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Pr>
                <w:color w:val="000000"/>
                <w:sz w:val="16"/>
                <w:szCs w:val="16"/>
              </w:rPr>
              <w:fldChar w:fldCharType="end"/>
            </w:r>
            <w:r w:rsidRPr="002E0D60">
              <w:rPr>
                <w:rFonts w:ascii="Avenir Next Regular" w:hAnsi="Avenir Next Regular" w:cs="Calibri"/>
                <w:color w:val="000000"/>
                <w:sz w:val="16"/>
                <w:szCs w:val="16"/>
              </w:rPr>
              <w:t>Academia</w:t>
            </w:r>
          </w:p>
        </w:tc>
        <w:tc>
          <w:tcPr>
            <w:tcW w:w="1493" w:type="pct"/>
            <w:tcBorders>
              <w:top w:val="nil"/>
              <w:left w:val="nil"/>
              <w:bottom w:val="single" w:sz="4" w:space="0" w:color="auto"/>
              <w:right w:val="single" w:sz="4" w:space="0" w:color="auto"/>
            </w:tcBorders>
            <w:shd w:val="clear" w:color="auto" w:fill="auto"/>
            <w:hideMark/>
          </w:tcPr>
          <w:p w14:paraId="318CA376"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787ED17F" w14:textId="77777777" w:rsidTr="00EB5106">
        <w:trPr>
          <w:trHeight w:val="71"/>
        </w:trPr>
        <w:tc>
          <w:tcPr>
            <w:tcW w:w="989" w:type="pct"/>
            <w:tcBorders>
              <w:top w:val="nil"/>
              <w:left w:val="single" w:sz="4" w:space="0" w:color="auto"/>
              <w:bottom w:val="single" w:sz="4" w:space="0" w:color="auto"/>
              <w:right w:val="single" w:sz="4" w:space="0" w:color="auto"/>
            </w:tcBorders>
            <w:shd w:val="clear" w:color="auto" w:fill="auto"/>
            <w:hideMark/>
          </w:tcPr>
          <w:p w14:paraId="5696EFE6"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777E2D3B"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3E9A391A" w14:textId="77777777" w:rsidR="00E36E18" w:rsidRPr="002E0D60" w:rsidRDefault="00E36E18" w:rsidP="00EB5106">
            <w:pPr>
              <w:ind w:left="150" w:hanging="150"/>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Trade Unions and Workers Unions</w:t>
            </w:r>
          </w:p>
        </w:tc>
        <w:tc>
          <w:tcPr>
            <w:tcW w:w="1493" w:type="pct"/>
            <w:tcBorders>
              <w:top w:val="nil"/>
              <w:left w:val="nil"/>
              <w:bottom w:val="single" w:sz="4" w:space="0" w:color="auto"/>
              <w:right w:val="single" w:sz="4" w:space="0" w:color="auto"/>
            </w:tcBorders>
            <w:shd w:val="clear" w:color="auto" w:fill="auto"/>
            <w:hideMark/>
          </w:tcPr>
          <w:p w14:paraId="3D8D8046"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23501C5E" w14:textId="77777777" w:rsidTr="00EB5106">
        <w:trPr>
          <w:trHeight w:val="197"/>
        </w:trPr>
        <w:tc>
          <w:tcPr>
            <w:tcW w:w="989" w:type="pct"/>
            <w:tcBorders>
              <w:top w:val="nil"/>
              <w:left w:val="single" w:sz="4" w:space="0" w:color="auto"/>
              <w:bottom w:val="single" w:sz="4" w:space="0" w:color="auto"/>
              <w:right w:val="single" w:sz="4" w:space="0" w:color="auto"/>
            </w:tcBorders>
            <w:shd w:val="clear" w:color="auto" w:fill="auto"/>
            <w:hideMark/>
          </w:tcPr>
          <w:p w14:paraId="3437EDB3"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60A6A98B" w14:textId="77777777" w:rsidR="00E36E18" w:rsidRPr="002E0D60" w:rsidRDefault="00E36E18" w:rsidP="00EB5106">
            <w:pPr>
              <w:rPr>
                <w:rFonts w:ascii="Avenir Next Regular" w:hAnsi="Avenir Next Regular" w:cs="Calibri" w:hint="eastAsia"/>
                <w:b/>
                <w:bCs/>
                <w:color w:val="000000"/>
                <w:sz w:val="16"/>
                <w:szCs w:val="16"/>
              </w:rPr>
            </w:pPr>
            <w:r>
              <w:rPr>
                <w:color w:val="000000"/>
                <w:sz w:val="16"/>
                <w:szCs w:val="16"/>
              </w:rPr>
              <w:fldChar w:fldCharType="begin">
                <w:ffData>
                  <w:name w:val=""/>
                  <w:enabled/>
                  <w:calcOnExit w:val="0"/>
                  <w:checkBox>
                    <w:sizeAuto/>
                    <w:default w:val="1"/>
                  </w:checkBox>
                </w:ffData>
              </w:fldChar>
            </w:r>
            <w:r>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Pr>
                <w:color w:val="000000"/>
                <w:sz w:val="16"/>
                <w:szCs w:val="16"/>
              </w:rPr>
              <w:fldChar w:fldCharType="end"/>
            </w:r>
            <w:r w:rsidRPr="002E0D60">
              <w:rPr>
                <w:rFonts w:ascii="Avenir Next Regular" w:hAnsi="Avenir Next Regular" w:cs="Calibri"/>
                <w:b/>
                <w:bCs/>
                <w:color w:val="000000"/>
                <w:sz w:val="16"/>
                <w:szCs w:val="16"/>
              </w:rPr>
              <w:t>Type of Engagement</w:t>
            </w:r>
          </w:p>
        </w:tc>
        <w:tc>
          <w:tcPr>
            <w:tcW w:w="1439" w:type="pct"/>
            <w:tcBorders>
              <w:top w:val="nil"/>
              <w:left w:val="nil"/>
              <w:bottom w:val="single" w:sz="4" w:space="0" w:color="auto"/>
              <w:right w:val="single" w:sz="4" w:space="0" w:color="auto"/>
            </w:tcBorders>
            <w:shd w:val="clear" w:color="auto" w:fill="auto"/>
            <w:hideMark/>
          </w:tcPr>
          <w:p w14:paraId="74C31834"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7B847381"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6FEA4FBC" w14:textId="77777777" w:rsidTr="00EB5106">
        <w:trPr>
          <w:trHeight w:val="161"/>
        </w:trPr>
        <w:tc>
          <w:tcPr>
            <w:tcW w:w="989" w:type="pct"/>
            <w:tcBorders>
              <w:top w:val="nil"/>
              <w:left w:val="single" w:sz="4" w:space="0" w:color="auto"/>
              <w:bottom w:val="single" w:sz="4" w:space="0" w:color="auto"/>
              <w:right w:val="single" w:sz="4" w:space="0" w:color="auto"/>
            </w:tcBorders>
            <w:shd w:val="clear" w:color="auto" w:fill="auto"/>
            <w:hideMark/>
          </w:tcPr>
          <w:p w14:paraId="535D0968"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333EAAA8"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0625BAA3" w14:textId="77777777" w:rsidR="00E36E18" w:rsidRPr="002E0D60" w:rsidRDefault="00E36E18" w:rsidP="00EB5106">
            <w:pPr>
              <w:rPr>
                <w:rFonts w:ascii="Avenir Next Regular" w:hAnsi="Avenir Next Regular" w:cs="Calibri" w:hint="eastAsia"/>
                <w:color w:val="000000"/>
                <w:sz w:val="16"/>
                <w:szCs w:val="16"/>
              </w:rPr>
            </w:pPr>
            <w:r>
              <w:rPr>
                <w:color w:val="000000"/>
                <w:sz w:val="16"/>
                <w:szCs w:val="16"/>
              </w:rPr>
              <w:fldChar w:fldCharType="begin">
                <w:ffData>
                  <w:name w:val=""/>
                  <w:enabled/>
                  <w:calcOnExit w:val="0"/>
                  <w:checkBox>
                    <w:sizeAuto/>
                    <w:default w:val="1"/>
                  </w:checkBox>
                </w:ffData>
              </w:fldChar>
            </w:r>
            <w:r>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Pr>
                <w:color w:val="000000"/>
                <w:sz w:val="16"/>
                <w:szCs w:val="16"/>
              </w:rPr>
              <w:fldChar w:fldCharType="end"/>
            </w:r>
            <w:r w:rsidRPr="002E0D60">
              <w:rPr>
                <w:rFonts w:ascii="Avenir Next Regular" w:hAnsi="Avenir Next Regular" w:cs="Calibri"/>
                <w:color w:val="000000"/>
                <w:sz w:val="16"/>
                <w:szCs w:val="16"/>
              </w:rPr>
              <w:t>Information Dissemination</w:t>
            </w:r>
          </w:p>
        </w:tc>
        <w:tc>
          <w:tcPr>
            <w:tcW w:w="1493" w:type="pct"/>
            <w:tcBorders>
              <w:top w:val="nil"/>
              <w:left w:val="nil"/>
              <w:bottom w:val="single" w:sz="4" w:space="0" w:color="auto"/>
              <w:right w:val="single" w:sz="4" w:space="0" w:color="auto"/>
            </w:tcBorders>
            <w:shd w:val="clear" w:color="auto" w:fill="auto"/>
            <w:hideMark/>
          </w:tcPr>
          <w:p w14:paraId="7075BD41"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7ED148E1" w14:textId="77777777" w:rsidTr="00EB5106">
        <w:trPr>
          <w:trHeight w:val="143"/>
        </w:trPr>
        <w:tc>
          <w:tcPr>
            <w:tcW w:w="989" w:type="pct"/>
            <w:tcBorders>
              <w:top w:val="nil"/>
              <w:left w:val="single" w:sz="4" w:space="0" w:color="auto"/>
              <w:bottom w:val="single" w:sz="4" w:space="0" w:color="auto"/>
              <w:right w:val="single" w:sz="4" w:space="0" w:color="auto"/>
            </w:tcBorders>
            <w:shd w:val="clear" w:color="auto" w:fill="auto"/>
            <w:hideMark/>
          </w:tcPr>
          <w:p w14:paraId="0B01D982"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61020D97"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26D050FE" w14:textId="77777777" w:rsidR="00E36E18" w:rsidRPr="002E0D60" w:rsidRDefault="00E36E18" w:rsidP="00EB5106">
            <w:pPr>
              <w:rPr>
                <w:rFonts w:ascii="Avenir Next Regular" w:hAnsi="Avenir Next Regular" w:cs="Calibri" w:hint="eastAsia"/>
                <w:color w:val="000000"/>
                <w:sz w:val="16"/>
                <w:szCs w:val="16"/>
              </w:rPr>
            </w:pPr>
            <w:r>
              <w:rPr>
                <w:color w:val="000000"/>
                <w:sz w:val="16"/>
                <w:szCs w:val="16"/>
              </w:rPr>
              <w:fldChar w:fldCharType="begin">
                <w:ffData>
                  <w:name w:val=""/>
                  <w:enabled/>
                  <w:calcOnExit w:val="0"/>
                  <w:checkBox>
                    <w:sizeAuto/>
                    <w:default w:val="1"/>
                  </w:checkBox>
                </w:ffData>
              </w:fldChar>
            </w:r>
            <w:r>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Pr>
                <w:color w:val="000000"/>
                <w:sz w:val="16"/>
                <w:szCs w:val="16"/>
              </w:rPr>
              <w:fldChar w:fldCharType="end"/>
            </w:r>
            <w:r w:rsidRPr="002E0D60">
              <w:rPr>
                <w:rFonts w:ascii="Avenir Next Regular" w:hAnsi="Avenir Next Regular" w:cs="Calibri"/>
                <w:color w:val="000000"/>
                <w:sz w:val="16"/>
                <w:szCs w:val="16"/>
              </w:rPr>
              <w:t>Partnership</w:t>
            </w:r>
          </w:p>
        </w:tc>
        <w:tc>
          <w:tcPr>
            <w:tcW w:w="1493" w:type="pct"/>
            <w:tcBorders>
              <w:top w:val="nil"/>
              <w:left w:val="nil"/>
              <w:bottom w:val="single" w:sz="4" w:space="0" w:color="auto"/>
              <w:right w:val="single" w:sz="4" w:space="0" w:color="auto"/>
            </w:tcBorders>
            <w:shd w:val="clear" w:color="auto" w:fill="auto"/>
            <w:hideMark/>
          </w:tcPr>
          <w:p w14:paraId="20BFF2C6"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4C35C625"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hideMark/>
          </w:tcPr>
          <w:p w14:paraId="3DE5CD5C"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3404125F"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1B419916" w14:textId="77777777" w:rsidR="00E36E18" w:rsidRPr="002E0D60" w:rsidRDefault="00E36E18" w:rsidP="00EB5106">
            <w:pPr>
              <w:rPr>
                <w:rFonts w:ascii="Avenir Next Regular" w:hAnsi="Avenir Next Regular" w:cs="Calibri" w:hint="eastAsia"/>
                <w:color w:val="000000"/>
                <w:sz w:val="16"/>
                <w:szCs w:val="16"/>
              </w:rPr>
            </w:pPr>
            <w:r>
              <w:rPr>
                <w:color w:val="000000"/>
                <w:sz w:val="16"/>
                <w:szCs w:val="16"/>
              </w:rPr>
              <w:fldChar w:fldCharType="begin">
                <w:ffData>
                  <w:name w:val=""/>
                  <w:enabled/>
                  <w:calcOnExit w:val="0"/>
                  <w:checkBox>
                    <w:sizeAuto/>
                    <w:default w:val="1"/>
                  </w:checkBox>
                </w:ffData>
              </w:fldChar>
            </w:r>
            <w:r>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Pr>
                <w:color w:val="000000"/>
                <w:sz w:val="16"/>
                <w:szCs w:val="16"/>
              </w:rPr>
              <w:fldChar w:fldCharType="end"/>
            </w:r>
            <w:r w:rsidRPr="002E0D60">
              <w:rPr>
                <w:rFonts w:ascii="Avenir Next Regular" w:hAnsi="Avenir Next Regular" w:cs="Calibri"/>
                <w:color w:val="000000"/>
                <w:sz w:val="16"/>
                <w:szCs w:val="16"/>
              </w:rPr>
              <w:t>Consultation</w:t>
            </w:r>
          </w:p>
        </w:tc>
        <w:tc>
          <w:tcPr>
            <w:tcW w:w="1493" w:type="pct"/>
            <w:tcBorders>
              <w:top w:val="nil"/>
              <w:left w:val="nil"/>
              <w:bottom w:val="single" w:sz="4" w:space="0" w:color="auto"/>
              <w:right w:val="single" w:sz="4" w:space="0" w:color="auto"/>
            </w:tcBorders>
            <w:shd w:val="clear" w:color="auto" w:fill="auto"/>
            <w:hideMark/>
          </w:tcPr>
          <w:p w14:paraId="3E9A9AEA"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7CE0751D" w14:textId="77777777" w:rsidTr="00EB5106">
        <w:trPr>
          <w:trHeight w:val="170"/>
        </w:trPr>
        <w:tc>
          <w:tcPr>
            <w:tcW w:w="989" w:type="pct"/>
            <w:tcBorders>
              <w:top w:val="nil"/>
              <w:left w:val="single" w:sz="4" w:space="0" w:color="auto"/>
              <w:bottom w:val="single" w:sz="4" w:space="0" w:color="auto"/>
              <w:right w:val="single" w:sz="4" w:space="0" w:color="auto"/>
            </w:tcBorders>
            <w:shd w:val="clear" w:color="auto" w:fill="auto"/>
            <w:hideMark/>
          </w:tcPr>
          <w:p w14:paraId="45FF49B1"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6DBAD361"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334C2667" w14:textId="77777777" w:rsidR="00E36E18" w:rsidRPr="002E0D60" w:rsidRDefault="00E36E18" w:rsidP="00EB5106">
            <w:pPr>
              <w:rPr>
                <w:rFonts w:ascii="Avenir Next Regular" w:hAnsi="Avenir Next Regular" w:cs="Calibri" w:hint="eastAsia"/>
                <w:color w:val="000000"/>
                <w:sz w:val="16"/>
                <w:szCs w:val="16"/>
              </w:rPr>
            </w:pPr>
            <w:r>
              <w:rPr>
                <w:color w:val="000000"/>
                <w:sz w:val="16"/>
                <w:szCs w:val="16"/>
              </w:rPr>
              <w:fldChar w:fldCharType="begin">
                <w:ffData>
                  <w:name w:val=""/>
                  <w:enabled/>
                  <w:calcOnExit w:val="0"/>
                  <w:checkBox>
                    <w:sizeAuto/>
                    <w:default w:val="1"/>
                  </w:checkBox>
                </w:ffData>
              </w:fldChar>
            </w:r>
            <w:r>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Pr>
                <w:color w:val="000000"/>
                <w:sz w:val="16"/>
                <w:szCs w:val="16"/>
              </w:rPr>
              <w:fldChar w:fldCharType="end"/>
            </w:r>
            <w:r w:rsidRPr="002E0D60">
              <w:rPr>
                <w:rFonts w:ascii="Avenir Next Regular" w:hAnsi="Avenir Next Regular" w:cs="Calibri"/>
                <w:color w:val="000000"/>
                <w:sz w:val="16"/>
                <w:szCs w:val="16"/>
              </w:rPr>
              <w:t>Participation</w:t>
            </w:r>
          </w:p>
        </w:tc>
        <w:tc>
          <w:tcPr>
            <w:tcW w:w="1493" w:type="pct"/>
            <w:tcBorders>
              <w:top w:val="nil"/>
              <w:left w:val="nil"/>
              <w:bottom w:val="single" w:sz="4" w:space="0" w:color="auto"/>
              <w:right w:val="single" w:sz="4" w:space="0" w:color="auto"/>
            </w:tcBorders>
            <w:shd w:val="clear" w:color="auto" w:fill="auto"/>
            <w:hideMark/>
          </w:tcPr>
          <w:p w14:paraId="0B6A0221"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17CF9257" w14:textId="77777777" w:rsidTr="00EB5106">
        <w:trPr>
          <w:trHeight w:val="170"/>
        </w:trPr>
        <w:tc>
          <w:tcPr>
            <w:tcW w:w="989" w:type="pct"/>
            <w:tcBorders>
              <w:top w:val="nil"/>
              <w:left w:val="single" w:sz="4" w:space="0" w:color="auto"/>
              <w:bottom w:val="single" w:sz="4" w:space="0" w:color="auto"/>
              <w:right w:val="single" w:sz="4" w:space="0" w:color="auto"/>
            </w:tcBorders>
            <w:shd w:val="clear" w:color="auto" w:fill="auto"/>
          </w:tcPr>
          <w:p w14:paraId="49F9E487" w14:textId="77777777" w:rsidR="00E36E18" w:rsidRPr="002E0D60" w:rsidRDefault="00E36E18" w:rsidP="00EB5106">
            <w:pPr>
              <w:rPr>
                <w:rFonts w:ascii="Avenir Next Regular" w:hAnsi="Avenir Next Regular" w:cs="Calibri" w:hint="eastAsia"/>
                <w:b/>
                <w:bCs/>
                <w:color w:val="000000"/>
                <w:sz w:val="16"/>
                <w:szCs w:val="16"/>
              </w:rPr>
            </w:pPr>
          </w:p>
        </w:tc>
        <w:tc>
          <w:tcPr>
            <w:tcW w:w="1079" w:type="pct"/>
            <w:tcBorders>
              <w:top w:val="nil"/>
              <w:left w:val="nil"/>
              <w:bottom w:val="single" w:sz="4" w:space="0" w:color="auto"/>
              <w:right w:val="single" w:sz="4" w:space="0" w:color="auto"/>
            </w:tcBorders>
            <w:shd w:val="clear" w:color="auto" w:fill="auto"/>
          </w:tcPr>
          <w:p w14:paraId="12C0E6C9" w14:textId="77777777" w:rsidR="00E36E18" w:rsidRPr="002E0D60" w:rsidRDefault="00E36E18" w:rsidP="00EB5106">
            <w:pPr>
              <w:rPr>
                <w:rFonts w:ascii="Avenir Next Regular" w:hAnsi="Avenir Next Regular" w:cs="Calibri" w:hint="eastAsia"/>
                <w:b/>
                <w:bCs/>
                <w:color w:val="000000"/>
                <w:sz w:val="16"/>
                <w:szCs w:val="16"/>
              </w:rPr>
            </w:pPr>
            <w:r>
              <w:rPr>
                <w:color w:val="000000"/>
                <w:sz w:val="16"/>
                <w:szCs w:val="16"/>
              </w:rPr>
              <w:fldChar w:fldCharType="begin">
                <w:ffData>
                  <w:name w:val=""/>
                  <w:enabled/>
                  <w:calcOnExit w:val="0"/>
                  <w:checkBox>
                    <w:sizeAuto/>
                    <w:default w:val="1"/>
                  </w:checkBox>
                </w:ffData>
              </w:fldChar>
            </w:r>
            <w:r>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Pr>
                <w:color w:val="000000"/>
                <w:sz w:val="16"/>
                <w:szCs w:val="16"/>
              </w:rPr>
              <w:fldChar w:fldCharType="end"/>
            </w:r>
            <w:r w:rsidRPr="002E0D60">
              <w:rPr>
                <w:rFonts w:ascii="Avenir Next Regular" w:hAnsi="Avenir Next Regular" w:cs="Calibri"/>
                <w:b/>
                <w:bCs/>
                <w:color w:val="000000"/>
                <w:sz w:val="16"/>
                <w:szCs w:val="16"/>
              </w:rPr>
              <w:t>Communications</w:t>
            </w:r>
          </w:p>
        </w:tc>
        <w:tc>
          <w:tcPr>
            <w:tcW w:w="1439" w:type="pct"/>
            <w:tcBorders>
              <w:top w:val="nil"/>
              <w:left w:val="nil"/>
              <w:bottom w:val="single" w:sz="4" w:space="0" w:color="auto"/>
              <w:right w:val="single" w:sz="4" w:space="0" w:color="auto"/>
            </w:tcBorders>
            <w:shd w:val="clear" w:color="auto" w:fill="auto"/>
          </w:tcPr>
          <w:p w14:paraId="0D627B66" w14:textId="77777777" w:rsidR="00E36E18" w:rsidRPr="002E0D60" w:rsidRDefault="00E36E18" w:rsidP="00EB5106">
            <w:pPr>
              <w:rPr>
                <w:color w:val="000000"/>
                <w:sz w:val="16"/>
                <w:szCs w:val="16"/>
              </w:rPr>
            </w:pPr>
          </w:p>
        </w:tc>
        <w:tc>
          <w:tcPr>
            <w:tcW w:w="1493" w:type="pct"/>
            <w:tcBorders>
              <w:top w:val="nil"/>
              <w:left w:val="nil"/>
              <w:bottom w:val="single" w:sz="4" w:space="0" w:color="auto"/>
              <w:right w:val="single" w:sz="4" w:space="0" w:color="auto"/>
            </w:tcBorders>
            <w:shd w:val="clear" w:color="auto" w:fill="auto"/>
          </w:tcPr>
          <w:p w14:paraId="1624AB62" w14:textId="77777777" w:rsidR="00E36E18" w:rsidRPr="002E0D60" w:rsidRDefault="00E36E18" w:rsidP="00EB5106">
            <w:pPr>
              <w:rPr>
                <w:rFonts w:ascii="Avenir Next Regular" w:hAnsi="Avenir Next Regular" w:cs="Calibri" w:hint="eastAsia"/>
                <w:color w:val="000000"/>
                <w:sz w:val="16"/>
                <w:szCs w:val="16"/>
              </w:rPr>
            </w:pPr>
          </w:p>
        </w:tc>
      </w:tr>
      <w:tr w:rsidR="00E36E18" w:rsidRPr="00B25CDB" w14:paraId="2844C838" w14:textId="77777777" w:rsidTr="00EB5106">
        <w:trPr>
          <w:trHeight w:val="170"/>
        </w:trPr>
        <w:tc>
          <w:tcPr>
            <w:tcW w:w="989" w:type="pct"/>
            <w:tcBorders>
              <w:top w:val="nil"/>
              <w:left w:val="single" w:sz="4" w:space="0" w:color="auto"/>
              <w:bottom w:val="single" w:sz="4" w:space="0" w:color="auto"/>
              <w:right w:val="single" w:sz="4" w:space="0" w:color="auto"/>
            </w:tcBorders>
            <w:shd w:val="clear" w:color="auto" w:fill="auto"/>
          </w:tcPr>
          <w:p w14:paraId="112DCEE0" w14:textId="77777777" w:rsidR="00E36E18" w:rsidRPr="002E0D60" w:rsidRDefault="00E36E18" w:rsidP="00EB5106">
            <w:pPr>
              <w:rPr>
                <w:rFonts w:ascii="Avenir Next Regular" w:hAnsi="Avenir Next Regular" w:cs="Calibri" w:hint="eastAsia"/>
                <w:b/>
                <w:bCs/>
                <w:color w:val="000000"/>
                <w:sz w:val="16"/>
                <w:szCs w:val="16"/>
              </w:rPr>
            </w:pPr>
          </w:p>
        </w:tc>
        <w:tc>
          <w:tcPr>
            <w:tcW w:w="1079" w:type="pct"/>
            <w:tcBorders>
              <w:top w:val="nil"/>
              <w:left w:val="nil"/>
              <w:bottom w:val="single" w:sz="4" w:space="0" w:color="auto"/>
              <w:right w:val="single" w:sz="4" w:space="0" w:color="auto"/>
            </w:tcBorders>
            <w:shd w:val="clear" w:color="auto" w:fill="auto"/>
          </w:tcPr>
          <w:p w14:paraId="256634DA" w14:textId="77777777" w:rsidR="00E36E18" w:rsidRPr="002E0D60" w:rsidRDefault="00E36E18" w:rsidP="00EB5106">
            <w:pPr>
              <w:rPr>
                <w:color w:val="000000"/>
                <w:sz w:val="16"/>
                <w:szCs w:val="16"/>
              </w:rPr>
            </w:pPr>
          </w:p>
        </w:tc>
        <w:tc>
          <w:tcPr>
            <w:tcW w:w="1439" w:type="pct"/>
            <w:tcBorders>
              <w:top w:val="nil"/>
              <w:left w:val="nil"/>
              <w:bottom w:val="single" w:sz="4" w:space="0" w:color="auto"/>
              <w:right w:val="single" w:sz="4" w:space="0" w:color="auto"/>
            </w:tcBorders>
            <w:shd w:val="clear" w:color="auto" w:fill="auto"/>
          </w:tcPr>
          <w:p w14:paraId="5D0661FD" w14:textId="77777777" w:rsidR="00E36E18" w:rsidRPr="002E0D60" w:rsidRDefault="00E36E18" w:rsidP="00EB5106">
            <w:pPr>
              <w:rPr>
                <w:color w:val="000000"/>
                <w:sz w:val="16"/>
                <w:szCs w:val="16"/>
              </w:rPr>
            </w:pPr>
            <w:r>
              <w:rPr>
                <w:color w:val="000000"/>
                <w:sz w:val="16"/>
                <w:szCs w:val="16"/>
              </w:rPr>
              <w:fldChar w:fldCharType="begin">
                <w:ffData>
                  <w:name w:val=""/>
                  <w:enabled/>
                  <w:calcOnExit w:val="0"/>
                  <w:checkBox>
                    <w:sizeAuto/>
                    <w:default w:val="1"/>
                  </w:checkBox>
                </w:ffData>
              </w:fldChar>
            </w:r>
            <w:r>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Pr>
                <w:color w:val="000000"/>
                <w:sz w:val="16"/>
                <w:szCs w:val="16"/>
              </w:rPr>
              <w:fldChar w:fldCharType="end"/>
            </w:r>
            <w:r w:rsidRPr="002E0D60">
              <w:rPr>
                <w:color w:val="000000"/>
                <w:sz w:val="16"/>
                <w:szCs w:val="16"/>
              </w:rPr>
              <w:t>Awareness Raising</w:t>
            </w:r>
          </w:p>
        </w:tc>
        <w:tc>
          <w:tcPr>
            <w:tcW w:w="1493" w:type="pct"/>
            <w:tcBorders>
              <w:top w:val="nil"/>
              <w:left w:val="nil"/>
              <w:bottom w:val="single" w:sz="4" w:space="0" w:color="auto"/>
              <w:right w:val="single" w:sz="4" w:space="0" w:color="auto"/>
            </w:tcBorders>
            <w:shd w:val="clear" w:color="auto" w:fill="auto"/>
          </w:tcPr>
          <w:p w14:paraId="58EA1C19" w14:textId="77777777" w:rsidR="00E36E18" w:rsidRPr="002E0D60" w:rsidRDefault="00E36E18" w:rsidP="00EB5106">
            <w:pPr>
              <w:rPr>
                <w:rFonts w:ascii="Avenir Next Regular" w:hAnsi="Avenir Next Regular" w:cs="Calibri" w:hint="eastAsia"/>
                <w:color w:val="000000"/>
                <w:sz w:val="16"/>
                <w:szCs w:val="16"/>
              </w:rPr>
            </w:pPr>
          </w:p>
        </w:tc>
      </w:tr>
      <w:tr w:rsidR="00E36E18" w:rsidRPr="00B25CDB" w14:paraId="49E57D43" w14:textId="77777777" w:rsidTr="00EB5106">
        <w:trPr>
          <w:trHeight w:val="170"/>
        </w:trPr>
        <w:tc>
          <w:tcPr>
            <w:tcW w:w="989" w:type="pct"/>
            <w:tcBorders>
              <w:top w:val="nil"/>
              <w:left w:val="single" w:sz="4" w:space="0" w:color="auto"/>
              <w:bottom w:val="single" w:sz="4" w:space="0" w:color="auto"/>
              <w:right w:val="single" w:sz="4" w:space="0" w:color="auto"/>
            </w:tcBorders>
            <w:shd w:val="clear" w:color="auto" w:fill="auto"/>
          </w:tcPr>
          <w:p w14:paraId="71C1DDB7" w14:textId="77777777" w:rsidR="00E36E18" w:rsidRPr="002E0D60" w:rsidRDefault="00E36E18" w:rsidP="00EB5106">
            <w:pPr>
              <w:rPr>
                <w:rFonts w:ascii="Avenir Next Regular" w:hAnsi="Avenir Next Regular" w:cs="Calibri" w:hint="eastAsia"/>
                <w:b/>
                <w:bCs/>
                <w:color w:val="000000"/>
                <w:sz w:val="16"/>
                <w:szCs w:val="16"/>
              </w:rPr>
            </w:pPr>
          </w:p>
        </w:tc>
        <w:tc>
          <w:tcPr>
            <w:tcW w:w="1079" w:type="pct"/>
            <w:tcBorders>
              <w:top w:val="nil"/>
              <w:left w:val="nil"/>
              <w:bottom w:val="single" w:sz="4" w:space="0" w:color="auto"/>
              <w:right w:val="single" w:sz="4" w:space="0" w:color="auto"/>
            </w:tcBorders>
            <w:shd w:val="clear" w:color="auto" w:fill="auto"/>
          </w:tcPr>
          <w:p w14:paraId="3563995C" w14:textId="77777777" w:rsidR="00E36E18" w:rsidRPr="002E0D60" w:rsidRDefault="00E36E18" w:rsidP="00EB5106">
            <w:pPr>
              <w:rPr>
                <w:rFonts w:ascii="Avenir Next Regular" w:hAnsi="Avenir Next Regular" w:cs="Calibri" w:hint="eastAsia"/>
                <w:b/>
                <w:bCs/>
                <w:color w:val="000000"/>
                <w:sz w:val="16"/>
                <w:szCs w:val="16"/>
              </w:rPr>
            </w:pPr>
          </w:p>
        </w:tc>
        <w:tc>
          <w:tcPr>
            <w:tcW w:w="1439" w:type="pct"/>
            <w:tcBorders>
              <w:top w:val="nil"/>
              <w:left w:val="nil"/>
              <w:bottom w:val="single" w:sz="4" w:space="0" w:color="auto"/>
              <w:right w:val="single" w:sz="4" w:space="0" w:color="auto"/>
            </w:tcBorders>
            <w:shd w:val="clear" w:color="auto" w:fill="auto"/>
          </w:tcPr>
          <w:p w14:paraId="48FF3D35" w14:textId="77777777" w:rsidR="00E36E18" w:rsidRPr="002E0D60" w:rsidRDefault="00E36E18" w:rsidP="00EB5106">
            <w:pPr>
              <w:rPr>
                <w:color w:val="000000"/>
                <w:sz w:val="16"/>
                <w:szCs w:val="16"/>
              </w:rPr>
            </w:pPr>
            <w:r>
              <w:rPr>
                <w:color w:val="000000"/>
                <w:sz w:val="16"/>
                <w:szCs w:val="16"/>
              </w:rPr>
              <w:fldChar w:fldCharType="begin">
                <w:ffData>
                  <w:name w:val=""/>
                  <w:enabled/>
                  <w:calcOnExit w:val="0"/>
                  <w:checkBox>
                    <w:sizeAuto/>
                    <w:default w:val="0"/>
                  </w:checkBox>
                </w:ffData>
              </w:fldChar>
            </w:r>
            <w:r>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Pr>
                <w:color w:val="000000"/>
                <w:sz w:val="16"/>
                <w:szCs w:val="16"/>
              </w:rPr>
              <w:fldChar w:fldCharType="end"/>
            </w:r>
            <w:r w:rsidRPr="002E0D60">
              <w:rPr>
                <w:color w:val="000000"/>
                <w:sz w:val="16"/>
                <w:szCs w:val="16"/>
              </w:rPr>
              <w:t>Education</w:t>
            </w:r>
          </w:p>
        </w:tc>
        <w:tc>
          <w:tcPr>
            <w:tcW w:w="1493" w:type="pct"/>
            <w:tcBorders>
              <w:top w:val="nil"/>
              <w:left w:val="nil"/>
              <w:bottom w:val="single" w:sz="4" w:space="0" w:color="auto"/>
              <w:right w:val="single" w:sz="4" w:space="0" w:color="auto"/>
            </w:tcBorders>
            <w:shd w:val="clear" w:color="auto" w:fill="auto"/>
          </w:tcPr>
          <w:p w14:paraId="02DBEB7B" w14:textId="77777777" w:rsidR="00E36E18" w:rsidRPr="002E0D60" w:rsidRDefault="00E36E18" w:rsidP="00EB5106">
            <w:pPr>
              <w:rPr>
                <w:rFonts w:ascii="Avenir Next Regular" w:hAnsi="Avenir Next Regular" w:cs="Calibri" w:hint="eastAsia"/>
                <w:color w:val="000000"/>
                <w:sz w:val="16"/>
                <w:szCs w:val="16"/>
              </w:rPr>
            </w:pPr>
          </w:p>
        </w:tc>
      </w:tr>
      <w:tr w:rsidR="00E36E18" w:rsidRPr="00B25CDB" w14:paraId="444B3B13" w14:textId="77777777" w:rsidTr="00EB5106">
        <w:trPr>
          <w:trHeight w:val="170"/>
        </w:trPr>
        <w:tc>
          <w:tcPr>
            <w:tcW w:w="989" w:type="pct"/>
            <w:tcBorders>
              <w:top w:val="nil"/>
              <w:left w:val="single" w:sz="4" w:space="0" w:color="auto"/>
              <w:bottom w:val="single" w:sz="4" w:space="0" w:color="auto"/>
              <w:right w:val="single" w:sz="4" w:space="0" w:color="auto"/>
            </w:tcBorders>
            <w:shd w:val="clear" w:color="auto" w:fill="auto"/>
          </w:tcPr>
          <w:p w14:paraId="04035A4C" w14:textId="77777777" w:rsidR="00E36E18" w:rsidRPr="002E0D60" w:rsidRDefault="00E36E18" w:rsidP="00EB5106">
            <w:pPr>
              <w:rPr>
                <w:rFonts w:ascii="Avenir Next Regular" w:hAnsi="Avenir Next Regular" w:cs="Calibri" w:hint="eastAsia"/>
                <w:b/>
                <w:bCs/>
                <w:color w:val="000000"/>
                <w:sz w:val="16"/>
                <w:szCs w:val="16"/>
              </w:rPr>
            </w:pPr>
          </w:p>
        </w:tc>
        <w:tc>
          <w:tcPr>
            <w:tcW w:w="1079" w:type="pct"/>
            <w:tcBorders>
              <w:top w:val="nil"/>
              <w:left w:val="nil"/>
              <w:bottom w:val="single" w:sz="4" w:space="0" w:color="auto"/>
              <w:right w:val="single" w:sz="4" w:space="0" w:color="auto"/>
            </w:tcBorders>
            <w:shd w:val="clear" w:color="auto" w:fill="auto"/>
          </w:tcPr>
          <w:p w14:paraId="0FABCFC2" w14:textId="77777777" w:rsidR="00E36E18" w:rsidRPr="002E0D60" w:rsidRDefault="00E36E18" w:rsidP="00EB5106">
            <w:pPr>
              <w:rPr>
                <w:rFonts w:ascii="Avenir Next Regular" w:hAnsi="Avenir Next Regular" w:cs="Calibri" w:hint="eastAsia"/>
                <w:b/>
                <w:bCs/>
                <w:color w:val="000000"/>
                <w:sz w:val="16"/>
                <w:szCs w:val="16"/>
              </w:rPr>
            </w:pPr>
          </w:p>
        </w:tc>
        <w:tc>
          <w:tcPr>
            <w:tcW w:w="1439" w:type="pct"/>
            <w:tcBorders>
              <w:top w:val="nil"/>
              <w:left w:val="nil"/>
              <w:bottom w:val="single" w:sz="4" w:space="0" w:color="auto"/>
              <w:right w:val="single" w:sz="4" w:space="0" w:color="auto"/>
            </w:tcBorders>
            <w:shd w:val="clear" w:color="auto" w:fill="auto"/>
          </w:tcPr>
          <w:p w14:paraId="4D4DF727" w14:textId="77777777" w:rsidR="00E36E18" w:rsidRPr="002E0D60" w:rsidRDefault="00E36E18" w:rsidP="00EB5106">
            <w:pPr>
              <w:rPr>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color w:val="000000"/>
                <w:sz w:val="16"/>
                <w:szCs w:val="16"/>
              </w:rPr>
              <w:t>Public Campaigns</w:t>
            </w:r>
          </w:p>
        </w:tc>
        <w:tc>
          <w:tcPr>
            <w:tcW w:w="1493" w:type="pct"/>
            <w:tcBorders>
              <w:top w:val="nil"/>
              <w:left w:val="nil"/>
              <w:bottom w:val="single" w:sz="4" w:space="0" w:color="auto"/>
              <w:right w:val="single" w:sz="4" w:space="0" w:color="auto"/>
            </w:tcBorders>
            <w:shd w:val="clear" w:color="auto" w:fill="auto"/>
          </w:tcPr>
          <w:p w14:paraId="430F7D6B" w14:textId="77777777" w:rsidR="00E36E18" w:rsidRPr="002E0D60" w:rsidRDefault="00E36E18" w:rsidP="00EB5106">
            <w:pPr>
              <w:rPr>
                <w:rFonts w:ascii="Avenir Next Regular" w:hAnsi="Avenir Next Regular" w:cs="Calibri" w:hint="eastAsia"/>
                <w:color w:val="000000"/>
                <w:sz w:val="16"/>
                <w:szCs w:val="16"/>
              </w:rPr>
            </w:pPr>
          </w:p>
        </w:tc>
      </w:tr>
      <w:tr w:rsidR="00E36E18" w:rsidRPr="00B25CDB" w14:paraId="45B66F02" w14:textId="77777777" w:rsidTr="00EB5106">
        <w:trPr>
          <w:trHeight w:val="170"/>
        </w:trPr>
        <w:tc>
          <w:tcPr>
            <w:tcW w:w="989" w:type="pct"/>
            <w:tcBorders>
              <w:top w:val="nil"/>
              <w:left w:val="single" w:sz="4" w:space="0" w:color="auto"/>
              <w:bottom w:val="single" w:sz="4" w:space="0" w:color="auto"/>
              <w:right w:val="single" w:sz="4" w:space="0" w:color="auto"/>
            </w:tcBorders>
            <w:shd w:val="clear" w:color="auto" w:fill="auto"/>
          </w:tcPr>
          <w:p w14:paraId="15263381" w14:textId="77777777" w:rsidR="00E36E18" w:rsidRPr="002E0D60" w:rsidRDefault="00E36E18" w:rsidP="00EB5106">
            <w:pPr>
              <w:rPr>
                <w:rFonts w:ascii="Avenir Next Regular" w:hAnsi="Avenir Next Regular" w:cs="Calibri" w:hint="eastAsia"/>
                <w:b/>
                <w:bCs/>
                <w:color w:val="000000"/>
                <w:sz w:val="16"/>
                <w:szCs w:val="16"/>
              </w:rPr>
            </w:pPr>
          </w:p>
        </w:tc>
        <w:tc>
          <w:tcPr>
            <w:tcW w:w="1079" w:type="pct"/>
            <w:tcBorders>
              <w:top w:val="nil"/>
              <w:left w:val="nil"/>
              <w:bottom w:val="single" w:sz="4" w:space="0" w:color="auto"/>
              <w:right w:val="single" w:sz="4" w:space="0" w:color="auto"/>
            </w:tcBorders>
            <w:shd w:val="clear" w:color="auto" w:fill="auto"/>
          </w:tcPr>
          <w:p w14:paraId="7592890B" w14:textId="77777777" w:rsidR="00E36E18" w:rsidRPr="002E0D60" w:rsidRDefault="00E36E18" w:rsidP="00EB5106">
            <w:pPr>
              <w:rPr>
                <w:rFonts w:ascii="Avenir Next Regular" w:hAnsi="Avenir Next Regular" w:cs="Calibri" w:hint="eastAsia"/>
                <w:b/>
                <w:bCs/>
                <w:color w:val="000000"/>
                <w:sz w:val="16"/>
                <w:szCs w:val="16"/>
              </w:rPr>
            </w:pPr>
          </w:p>
        </w:tc>
        <w:tc>
          <w:tcPr>
            <w:tcW w:w="1439" w:type="pct"/>
            <w:tcBorders>
              <w:top w:val="nil"/>
              <w:left w:val="nil"/>
              <w:bottom w:val="single" w:sz="4" w:space="0" w:color="auto"/>
              <w:right w:val="single" w:sz="4" w:space="0" w:color="auto"/>
            </w:tcBorders>
            <w:shd w:val="clear" w:color="auto" w:fill="auto"/>
          </w:tcPr>
          <w:p w14:paraId="11A05925" w14:textId="77777777" w:rsidR="00E36E18" w:rsidRPr="002E0D60" w:rsidRDefault="00E36E18" w:rsidP="00EB5106">
            <w:pPr>
              <w:rPr>
                <w:color w:val="000000"/>
                <w:sz w:val="16"/>
                <w:szCs w:val="16"/>
              </w:rPr>
            </w:pPr>
            <w:r>
              <w:rPr>
                <w:color w:val="000000"/>
                <w:sz w:val="16"/>
                <w:szCs w:val="16"/>
              </w:rPr>
              <w:fldChar w:fldCharType="begin">
                <w:ffData>
                  <w:name w:val=""/>
                  <w:enabled/>
                  <w:calcOnExit w:val="0"/>
                  <w:checkBox>
                    <w:sizeAuto/>
                    <w:default w:val="1"/>
                  </w:checkBox>
                </w:ffData>
              </w:fldChar>
            </w:r>
            <w:r>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Pr>
                <w:color w:val="000000"/>
                <w:sz w:val="16"/>
                <w:szCs w:val="16"/>
              </w:rPr>
              <w:fldChar w:fldCharType="end"/>
            </w:r>
            <w:r w:rsidRPr="002E0D60">
              <w:rPr>
                <w:color w:val="000000"/>
                <w:sz w:val="16"/>
                <w:szCs w:val="16"/>
              </w:rPr>
              <w:t>Behavior Change</w:t>
            </w:r>
          </w:p>
        </w:tc>
        <w:tc>
          <w:tcPr>
            <w:tcW w:w="1493" w:type="pct"/>
            <w:tcBorders>
              <w:top w:val="nil"/>
              <w:left w:val="nil"/>
              <w:bottom w:val="single" w:sz="4" w:space="0" w:color="auto"/>
              <w:right w:val="single" w:sz="4" w:space="0" w:color="auto"/>
            </w:tcBorders>
            <w:shd w:val="clear" w:color="auto" w:fill="auto"/>
          </w:tcPr>
          <w:p w14:paraId="4F889484" w14:textId="77777777" w:rsidR="00E36E18" w:rsidRPr="002E0D60" w:rsidRDefault="00E36E18" w:rsidP="00EB5106">
            <w:pPr>
              <w:rPr>
                <w:rFonts w:ascii="Avenir Next Regular" w:hAnsi="Avenir Next Regular" w:cs="Calibri" w:hint="eastAsia"/>
                <w:color w:val="000000"/>
                <w:sz w:val="16"/>
                <w:szCs w:val="16"/>
              </w:rPr>
            </w:pPr>
          </w:p>
        </w:tc>
      </w:tr>
      <w:tr w:rsidR="00E36E18" w:rsidRPr="00B25CDB" w14:paraId="6187E3BA" w14:textId="77777777" w:rsidTr="00EB5106">
        <w:trPr>
          <w:trHeight w:val="170"/>
        </w:trPr>
        <w:tc>
          <w:tcPr>
            <w:tcW w:w="989" w:type="pct"/>
            <w:tcBorders>
              <w:top w:val="nil"/>
              <w:left w:val="single" w:sz="4" w:space="0" w:color="auto"/>
              <w:bottom w:val="single" w:sz="4" w:space="0" w:color="auto"/>
              <w:right w:val="single" w:sz="4" w:space="0" w:color="auto"/>
            </w:tcBorders>
            <w:shd w:val="clear" w:color="auto" w:fill="auto"/>
          </w:tcPr>
          <w:p w14:paraId="02CD7E84" w14:textId="77777777" w:rsidR="00E36E18" w:rsidRPr="002E0D60" w:rsidRDefault="00E36E18" w:rsidP="00EB5106">
            <w:pPr>
              <w:ind w:left="162" w:hanging="162"/>
              <w:rPr>
                <w:rFonts w:ascii="Avenir Next Regular" w:hAnsi="Avenir Next Regular" w:cs="Calibri" w:hint="eastAsia"/>
                <w:b/>
                <w:bCs/>
                <w:color w:val="000000"/>
                <w:sz w:val="16"/>
                <w:szCs w:val="16"/>
              </w:rPr>
            </w:pPr>
            <w:r>
              <w:rPr>
                <w:color w:val="000000"/>
                <w:sz w:val="16"/>
                <w:szCs w:val="16"/>
              </w:rPr>
              <w:fldChar w:fldCharType="begin">
                <w:ffData>
                  <w:name w:val=""/>
                  <w:enabled/>
                  <w:calcOnExit w:val="0"/>
                  <w:checkBox>
                    <w:sizeAuto/>
                    <w:default w:val="1"/>
                  </w:checkBox>
                </w:ffData>
              </w:fldChar>
            </w:r>
            <w:r>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Pr>
                <w:color w:val="000000"/>
                <w:sz w:val="16"/>
                <w:szCs w:val="16"/>
              </w:rPr>
              <w:fldChar w:fldCharType="end"/>
            </w:r>
            <w:r w:rsidRPr="002E0D60">
              <w:rPr>
                <w:rFonts w:ascii="Avenir Next Regular" w:hAnsi="Avenir Next Regular" w:cs="Calibri"/>
                <w:b/>
                <w:bCs/>
                <w:color w:val="000000"/>
                <w:sz w:val="16"/>
                <w:szCs w:val="16"/>
              </w:rPr>
              <w:t>Capacity, Knowledge and Research</w:t>
            </w:r>
          </w:p>
        </w:tc>
        <w:tc>
          <w:tcPr>
            <w:tcW w:w="1079" w:type="pct"/>
            <w:tcBorders>
              <w:top w:val="nil"/>
              <w:left w:val="nil"/>
              <w:bottom w:val="single" w:sz="4" w:space="0" w:color="auto"/>
              <w:right w:val="single" w:sz="4" w:space="0" w:color="auto"/>
            </w:tcBorders>
            <w:shd w:val="clear" w:color="auto" w:fill="auto"/>
          </w:tcPr>
          <w:p w14:paraId="207B38D0" w14:textId="77777777" w:rsidR="00E36E18" w:rsidRPr="002E0D60" w:rsidRDefault="00E36E18" w:rsidP="00EB5106">
            <w:pPr>
              <w:rPr>
                <w:rFonts w:ascii="Avenir Next Regular" w:hAnsi="Avenir Next Regular" w:cs="Calibri" w:hint="eastAsia"/>
                <w:b/>
                <w:bCs/>
                <w:color w:val="000000"/>
                <w:sz w:val="16"/>
                <w:szCs w:val="16"/>
              </w:rPr>
            </w:pPr>
          </w:p>
        </w:tc>
        <w:tc>
          <w:tcPr>
            <w:tcW w:w="1439" w:type="pct"/>
            <w:tcBorders>
              <w:top w:val="nil"/>
              <w:left w:val="nil"/>
              <w:bottom w:val="single" w:sz="4" w:space="0" w:color="auto"/>
              <w:right w:val="single" w:sz="4" w:space="0" w:color="auto"/>
            </w:tcBorders>
            <w:shd w:val="clear" w:color="auto" w:fill="auto"/>
          </w:tcPr>
          <w:p w14:paraId="323F5982" w14:textId="77777777" w:rsidR="00E36E18" w:rsidRPr="002E0D60" w:rsidRDefault="00E36E18" w:rsidP="00EB5106">
            <w:pPr>
              <w:rPr>
                <w:color w:val="000000"/>
                <w:sz w:val="16"/>
                <w:szCs w:val="16"/>
              </w:rPr>
            </w:pPr>
          </w:p>
        </w:tc>
        <w:tc>
          <w:tcPr>
            <w:tcW w:w="1493" w:type="pct"/>
            <w:tcBorders>
              <w:top w:val="nil"/>
              <w:left w:val="nil"/>
              <w:bottom w:val="single" w:sz="4" w:space="0" w:color="auto"/>
              <w:right w:val="single" w:sz="4" w:space="0" w:color="auto"/>
            </w:tcBorders>
            <w:shd w:val="clear" w:color="auto" w:fill="auto"/>
          </w:tcPr>
          <w:p w14:paraId="4359A7D1" w14:textId="77777777" w:rsidR="00E36E18" w:rsidRPr="002E0D60" w:rsidRDefault="00E36E18" w:rsidP="00EB5106">
            <w:pPr>
              <w:rPr>
                <w:rFonts w:ascii="Avenir Next Regular" w:hAnsi="Avenir Next Regular" w:cs="Calibri" w:hint="eastAsia"/>
                <w:color w:val="000000"/>
                <w:sz w:val="16"/>
                <w:szCs w:val="16"/>
              </w:rPr>
            </w:pPr>
          </w:p>
        </w:tc>
      </w:tr>
      <w:tr w:rsidR="00E36E18" w:rsidRPr="00B25CDB" w14:paraId="1428EF46" w14:textId="77777777" w:rsidTr="00EB5106">
        <w:trPr>
          <w:trHeight w:val="170"/>
        </w:trPr>
        <w:tc>
          <w:tcPr>
            <w:tcW w:w="989" w:type="pct"/>
            <w:tcBorders>
              <w:top w:val="nil"/>
              <w:left w:val="single" w:sz="4" w:space="0" w:color="auto"/>
              <w:bottom w:val="single" w:sz="4" w:space="0" w:color="auto"/>
              <w:right w:val="single" w:sz="4" w:space="0" w:color="auto"/>
            </w:tcBorders>
            <w:shd w:val="clear" w:color="auto" w:fill="auto"/>
          </w:tcPr>
          <w:p w14:paraId="35383881" w14:textId="77777777" w:rsidR="00E36E18" w:rsidRPr="002E0D60" w:rsidRDefault="00E36E18" w:rsidP="00EB5106">
            <w:pPr>
              <w:rPr>
                <w:color w:val="000000"/>
                <w:sz w:val="16"/>
                <w:szCs w:val="16"/>
              </w:rPr>
            </w:pPr>
          </w:p>
        </w:tc>
        <w:tc>
          <w:tcPr>
            <w:tcW w:w="1079" w:type="pct"/>
            <w:tcBorders>
              <w:top w:val="nil"/>
              <w:left w:val="nil"/>
              <w:bottom w:val="single" w:sz="4" w:space="0" w:color="auto"/>
              <w:right w:val="single" w:sz="4" w:space="0" w:color="auto"/>
            </w:tcBorders>
            <w:shd w:val="clear" w:color="auto" w:fill="auto"/>
          </w:tcPr>
          <w:p w14:paraId="48DC6FD9" w14:textId="77777777" w:rsidR="00E36E18" w:rsidRPr="002E0D60" w:rsidRDefault="00E36E18" w:rsidP="00EB5106">
            <w:pPr>
              <w:rPr>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b/>
                <w:bCs/>
                <w:color w:val="000000"/>
                <w:sz w:val="16"/>
                <w:szCs w:val="16"/>
              </w:rPr>
              <w:t>Enabling Activities</w:t>
            </w:r>
          </w:p>
        </w:tc>
        <w:tc>
          <w:tcPr>
            <w:tcW w:w="1439" w:type="pct"/>
            <w:tcBorders>
              <w:top w:val="nil"/>
              <w:left w:val="nil"/>
              <w:bottom w:val="single" w:sz="4" w:space="0" w:color="auto"/>
              <w:right w:val="single" w:sz="4" w:space="0" w:color="auto"/>
            </w:tcBorders>
            <w:shd w:val="clear" w:color="auto" w:fill="auto"/>
          </w:tcPr>
          <w:p w14:paraId="4BBBC082" w14:textId="77777777" w:rsidR="00E36E18" w:rsidRPr="002E0D60" w:rsidRDefault="00E36E18" w:rsidP="00EB5106">
            <w:pPr>
              <w:rPr>
                <w:color w:val="000000"/>
                <w:sz w:val="16"/>
                <w:szCs w:val="16"/>
              </w:rPr>
            </w:pPr>
          </w:p>
        </w:tc>
        <w:tc>
          <w:tcPr>
            <w:tcW w:w="1493" w:type="pct"/>
            <w:tcBorders>
              <w:top w:val="nil"/>
              <w:left w:val="nil"/>
              <w:bottom w:val="single" w:sz="4" w:space="0" w:color="auto"/>
              <w:right w:val="single" w:sz="4" w:space="0" w:color="auto"/>
            </w:tcBorders>
            <w:shd w:val="clear" w:color="auto" w:fill="auto"/>
          </w:tcPr>
          <w:p w14:paraId="7CD50B8C" w14:textId="77777777" w:rsidR="00E36E18" w:rsidRPr="002E0D60" w:rsidRDefault="00E36E18" w:rsidP="00EB5106">
            <w:pPr>
              <w:rPr>
                <w:rFonts w:ascii="Avenir Next Regular" w:hAnsi="Avenir Next Regular" w:cs="Calibri" w:hint="eastAsia"/>
                <w:color w:val="000000"/>
                <w:sz w:val="16"/>
                <w:szCs w:val="16"/>
              </w:rPr>
            </w:pPr>
          </w:p>
        </w:tc>
      </w:tr>
      <w:tr w:rsidR="00E36E18" w:rsidRPr="00B25CDB" w14:paraId="74A236DE" w14:textId="77777777" w:rsidTr="00EB5106">
        <w:trPr>
          <w:trHeight w:val="215"/>
        </w:trPr>
        <w:tc>
          <w:tcPr>
            <w:tcW w:w="989" w:type="pct"/>
            <w:tcBorders>
              <w:top w:val="nil"/>
              <w:left w:val="single" w:sz="4" w:space="0" w:color="auto"/>
              <w:bottom w:val="single" w:sz="4" w:space="0" w:color="auto"/>
              <w:right w:val="single" w:sz="4" w:space="0" w:color="auto"/>
            </w:tcBorders>
            <w:shd w:val="clear" w:color="auto" w:fill="auto"/>
          </w:tcPr>
          <w:p w14:paraId="01701C30" w14:textId="77777777" w:rsidR="00E36E18" w:rsidRPr="002E0D60" w:rsidRDefault="00E36E18" w:rsidP="00EB5106">
            <w:pPr>
              <w:rPr>
                <w:rFonts w:ascii="Avenir Next Regular" w:hAnsi="Avenir Next Regular" w:cs="Calibri" w:hint="eastAsia"/>
                <w:b/>
                <w:bCs/>
                <w:color w:val="000000"/>
                <w:sz w:val="16"/>
                <w:szCs w:val="16"/>
              </w:rPr>
            </w:pPr>
          </w:p>
        </w:tc>
        <w:tc>
          <w:tcPr>
            <w:tcW w:w="1079" w:type="pct"/>
            <w:tcBorders>
              <w:top w:val="nil"/>
              <w:left w:val="nil"/>
              <w:bottom w:val="single" w:sz="4" w:space="0" w:color="auto"/>
              <w:right w:val="single" w:sz="4" w:space="0" w:color="auto"/>
            </w:tcBorders>
            <w:shd w:val="clear" w:color="auto" w:fill="auto"/>
          </w:tcPr>
          <w:p w14:paraId="44F6030D" w14:textId="77777777" w:rsidR="00E36E18" w:rsidRPr="002E0D60" w:rsidRDefault="00E36E18" w:rsidP="00EB5106">
            <w:pPr>
              <w:rPr>
                <w:rFonts w:ascii="Avenir Next Regular" w:hAnsi="Avenir Next Regular" w:cs="Calibri" w:hint="eastAsia"/>
                <w:b/>
                <w:bCs/>
                <w:color w:val="000000"/>
                <w:sz w:val="16"/>
                <w:szCs w:val="16"/>
              </w:rPr>
            </w:pPr>
            <w:r>
              <w:rPr>
                <w:color w:val="000000"/>
                <w:sz w:val="16"/>
                <w:szCs w:val="16"/>
              </w:rPr>
              <w:fldChar w:fldCharType="begin">
                <w:ffData>
                  <w:name w:val=""/>
                  <w:enabled/>
                  <w:calcOnExit w:val="0"/>
                  <w:checkBox>
                    <w:sizeAuto/>
                    <w:default w:val="1"/>
                  </w:checkBox>
                </w:ffData>
              </w:fldChar>
            </w:r>
            <w:r>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Pr>
                <w:color w:val="000000"/>
                <w:sz w:val="16"/>
                <w:szCs w:val="16"/>
              </w:rPr>
              <w:fldChar w:fldCharType="end"/>
            </w:r>
            <w:r w:rsidRPr="002E0D60">
              <w:rPr>
                <w:rFonts w:ascii="Avenir Next Regular" w:hAnsi="Avenir Next Regular" w:cs="Calibri"/>
                <w:b/>
                <w:bCs/>
                <w:color w:val="000000"/>
                <w:sz w:val="16"/>
                <w:szCs w:val="16"/>
              </w:rPr>
              <w:t>Capacity Development</w:t>
            </w:r>
          </w:p>
        </w:tc>
        <w:tc>
          <w:tcPr>
            <w:tcW w:w="1439" w:type="pct"/>
            <w:tcBorders>
              <w:top w:val="nil"/>
              <w:left w:val="nil"/>
              <w:bottom w:val="single" w:sz="4" w:space="0" w:color="auto"/>
              <w:right w:val="single" w:sz="4" w:space="0" w:color="auto"/>
            </w:tcBorders>
            <w:shd w:val="clear" w:color="auto" w:fill="auto"/>
          </w:tcPr>
          <w:p w14:paraId="2CDFEA9C" w14:textId="77777777" w:rsidR="00E36E18" w:rsidRPr="002E0D60" w:rsidRDefault="00E36E18" w:rsidP="00EB5106">
            <w:pPr>
              <w:rPr>
                <w:color w:val="000000"/>
                <w:sz w:val="16"/>
                <w:szCs w:val="16"/>
              </w:rPr>
            </w:pPr>
          </w:p>
        </w:tc>
        <w:tc>
          <w:tcPr>
            <w:tcW w:w="1493" w:type="pct"/>
            <w:tcBorders>
              <w:top w:val="nil"/>
              <w:left w:val="nil"/>
              <w:bottom w:val="single" w:sz="4" w:space="0" w:color="auto"/>
              <w:right w:val="single" w:sz="4" w:space="0" w:color="auto"/>
            </w:tcBorders>
            <w:shd w:val="clear" w:color="auto" w:fill="auto"/>
          </w:tcPr>
          <w:p w14:paraId="25381C4B" w14:textId="77777777" w:rsidR="00E36E18" w:rsidRPr="002E0D60" w:rsidRDefault="00E36E18" w:rsidP="00EB5106">
            <w:pPr>
              <w:rPr>
                <w:rFonts w:ascii="Avenir Next Regular" w:hAnsi="Avenir Next Regular" w:cs="Calibri" w:hint="eastAsia"/>
                <w:color w:val="000000"/>
                <w:sz w:val="16"/>
                <w:szCs w:val="16"/>
              </w:rPr>
            </w:pPr>
          </w:p>
        </w:tc>
      </w:tr>
      <w:tr w:rsidR="00E36E18" w:rsidRPr="00B25CDB" w14:paraId="1A01AE92" w14:textId="77777777" w:rsidTr="00EB5106">
        <w:trPr>
          <w:trHeight w:val="170"/>
        </w:trPr>
        <w:tc>
          <w:tcPr>
            <w:tcW w:w="989" w:type="pct"/>
            <w:tcBorders>
              <w:top w:val="nil"/>
              <w:left w:val="single" w:sz="4" w:space="0" w:color="auto"/>
              <w:bottom w:val="single" w:sz="4" w:space="0" w:color="auto"/>
              <w:right w:val="single" w:sz="4" w:space="0" w:color="auto"/>
            </w:tcBorders>
            <w:shd w:val="clear" w:color="auto" w:fill="auto"/>
          </w:tcPr>
          <w:p w14:paraId="0E1FE9BF" w14:textId="77777777" w:rsidR="00E36E18" w:rsidRPr="002E0D60" w:rsidRDefault="00E36E18" w:rsidP="00EB5106">
            <w:pPr>
              <w:rPr>
                <w:rFonts w:ascii="Avenir Next Regular" w:hAnsi="Avenir Next Regular" w:cs="Calibri" w:hint="eastAsia"/>
                <w:b/>
                <w:bCs/>
                <w:color w:val="000000"/>
                <w:sz w:val="16"/>
                <w:szCs w:val="16"/>
              </w:rPr>
            </w:pPr>
          </w:p>
        </w:tc>
        <w:tc>
          <w:tcPr>
            <w:tcW w:w="1079" w:type="pct"/>
            <w:tcBorders>
              <w:top w:val="nil"/>
              <w:left w:val="nil"/>
              <w:bottom w:val="single" w:sz="4" w:space="0" w:color="auto"/>
              <w:right w:val="single" w:sz="4" w:space="0" w:color="auto"/>
            </w:tcBorders>
            <w:shd w:val="clear" w:color="auto" w:fill="auto"/>
          </w:tcPr>
          <w:p w14:paraId="79570B0A" w14:textId="77777777" w:rsidR="00E36E18" w:rsidRPr="002E0D60" w:rsidRDefault="00E36E18" w:rsidP="00EB5106">
            <w:pPr>
              <w:ind w:left="204" w:hanging="204"/>
              <w:rPr>
                <w:rFonts w:ascii="Avenir Next Regular" w:hAnsi="Avenir Next Regular" w:cs="Calibri" w:hint="eastAsia"/>
                <w:b/>
                <w:bCs/>
                <w:color w:val="000000"/>
                <w:sz w:val="16"/>
                <w:szCs w:val="16"/>
              </w:rPr>
            </w:pPr>
            <w:r>
              <w:rPr>
                <w:color w:val="000000"/>
                <w:sz w:val="16"/>
                <w:szCs w:val="16"/>
              </w:rPr>
              <w:fldChar w:fldCharType="begin">
                <w:ffData>
                  <w:name w:val=""/>
                  <w:enabled/>
                  <w:calcOnExit w:val="0"/>
                  <w:checkBox>
                    <w:sizeAuto/>
                    <w:default w:val="1"/>
                  </w:checkBox>
                </w:ffData>
              </w:fldChar>
            </w:r>
            <w:r>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Pr>
                <w:color w:val="000000"/>
                <w:sz w:val="16"/>
                <w:szCs w:val="16"/>
              </w:rPr>
              <w:fldChar w:fldCharType="end"/>
            </w:r>
            <w:r w:rsidRPr="002E0D60">
              <w:rPr>
                <w:rFonts w:ascii="Avenir Next Regular" w:hAnsi="Avenir Next Regular" w:cs="Calibri"/>
                <w:b/>
                <w:bCs/>
                <w:color w:val="000000"/>
                <w:sz w:val="16"/>
                <w:szCs w:val="16"/>
              </w:rPr>
              <w:t>Knowledge Generation and Exchange</w:t>
            </w:r>
          </w:p>
        </w:tc>
        <w:tc>
          <w:tcPr>
            <w:tcW w:w="1439" w:type="pct"/>
            <w:tcBorders>
              <w:top w:val="nil"/>
              <w:left w:val="nil"/>
              <w:bottom w:val="single" w:sz="4" w:space="0" w:color="auto"/>
              <w:right w:val="single" w:sz="4" w:space="0" w:color="auto"/>
            </w:tcBorders>
            <w:shd w:val="clear" w:color="auto" w:fill="auto"/>
          </w:tcPr>
          <w:p w14:paraId="1B4F89DA" w14:textId="77777777" w:rsidR="00E36E18" w:rsidRPr="002E0D60" w:rsidRDefault="00E36E18" w:rsidP="00EB5106">
            <w:pPr>
              <w:rPr>
                <w:color w:val="000000"/>
                <w:sz w:val="16"/>
                <w:szCs w:val="16"/>
              </w:rPr>
            </w:pPr>
          </w:p>
        </w:tc>
        <w:tc>
          <w:tcPr>
            <w:tcW w:w="1493" w:type="pct"/>
            <w:tcBorders>
              <w:top w:val="nil"/>
              <w:left w:val="nil"/>
              <w:bottom w:val="single" w:sz="4" w:space="0" w:color="auto"/>
              <w:right w:val="single" w:sz="4" w:space="0" w:color="auto"/>
            </w:tcBorders>
            <w:shd w:val="clear" w:color="auto" w:fill="auto"/>
          </w:tcPr>
          <w:p w14:paraId="5568368D" w14:textId="77777777" w:rsidR="00E36E18" w:rsidRPr="002E0D60" w:rsidRDefault="00E36E18" w:rsidP="00EB5106">
            <w:pPr>
              <w:rPr>
                <w:rFonts w:ascii="Avenir Next Regular" w:hAnsi="Avenir Next Regular" w:cs="Calibri" w:hint="eastAsia"/>
                <w:color w:val="000000"/>
                <w:sz w:val="16"/>
                <w:szCs w:val="16"/>
              </w:rPr>
            </w:pPr>
          </w:p>
        </w:tc>
      </w:tr>
      <w:tr w:rsidR="00E36E18" w:rsidRPr="00B25CDB" w14:paraId="60C36AF7" w14:textId="77777777" w:rsidTr="00EB5106">
        <w:trPr>
          <w:trHeight w:val="170"/>
        </w:trPr>
        <w:tc>
          <w:tcPr>
            <w:tcW w:w="989" w:type="pct"/>
            <w:tcBorders>
              <w:top w:val="nil"/>
              <w:left w:val="single" w:sz="4" w:space="0" w:color="auto"/>
              <w:bottom w:val="single" w:sz="4" w:space="0" w:color="auto"/>
              <w:right w:val="single" w:sz="4" w:space="0" w:color="auto"/>
            </w:tcBorders>
            <w:shd w:val="clear" w:color="auto" w:fill="auto"/>
          </w:tcPr>
          <w:p w14:paraId="4D92C75E" w14:textId="77777777" w:rsidR="00E36E18" w:rsidRPr="002E0D60" w:rsidRDefault="00E36E18" w:rsidP="00EB5106">
            <w:pPr>
              <w:rPr>
                <w:rFonts w:ascii="Avenir Next Regular" w:hAnsi="Avenir Next Regular" w:cs="Calibri" w:hint="eastAsia"/>
                <w:b/>
                <w:bCs/>
                <w:color w:val="000000"/>
                <w:sz w:val="16"/>
                <w:szCs w:val="16"/>
              </w:rPr>
            </w:pPr>
          </w:p>
        </w:tc>
        <w:tc>
          <w:tcPr>
            <w:tcW w:w="1079" w:type="pct"/>
            <w:tcBorders>
              <w:top w:val="nil"/>
              <w:left w:val="nil"/>
              <w:bottom w:val="single" w:sz="4" w:space="0" w:color="auto"/>
              <w:right w:val="single" w:sz="4" w:space="0" w:color="auto"/>
            </w:tcBorders>
            <w:shd w:val="clear" w:color="auto" w:fill="auto"/>
          </w:tcPr>
          <w:p w14:paraId="12F7410F" w14:textId="77777777" w:rsidR="00E36E18" w:rsidRPr="002E0D60" w:rsidRDefault="00E36E18" w:rsidP="00EB5106">
            <w:pPr>
              <w:rPr>
                <w:rFonts w:ascii="Avenir Next Regular" w:hAnsi="Avenir Next Regular" w:cs="Calibri" w:hint="eastAsia"/>
                <w:b/>
                <w:bCs/>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b/>
                <w:bCs/>
                <w:color w:val="000000"/>
                <w:sz w:val="16"/>
                <w:szCs w:val="16"/>
              </w:rPr>
              <w:t>Targeted Research</w:t>
            </w:r>
          </w:p>
        </w:tc>
        <w:tc>
          <w:tcPr>
            <w:tcW w:w="1439" w:type="pct"/>
            <w:tcBorders>
              <w:top w:val="nil"/>
              <w:left w:val="nil"/>
              <w:bottom w:val="single" w:sz="4" w:space="0" w:color="auto"/>
              <w:right w:val="single" w:sz="4" w:space="0" w:color="auto"/>
            </w:tcBorders>
            <w:shd w:val="clear" w:color="auto" w:fill="auto"/>
          </w:tcPr>
          <w:p w14:paraId="3287A31C" w14:textId="77777777" w:rsidR="00E36E18" w:rsidRPr="002E0D60" w:rsidRDefault="00E36E18" w:rsidP="00EB5106">
            <w:pPr>
              <w:rPr>
                <w:color w:val="000000"/>
                <w:sz w:val="16"/>
                <w:szCs w:val="16"/>
              </w:rPr>
            </w:pPr>
          </w:p>
        </w:tc>
        <w:tc>
          <w:tcPr>
            <w:tcW w:w="1493" w:type="pct"/>
            <w:tcBorders>
              <w:top w:val="nil"/>
              <w:left w:val="nil"/>
              <w:bottom w:val="single" w:sz="4" w:space="0" w:color="auto"/>
              <w:right w:val="single" w:sz="4" w:space="0" w:color="auto"/>
            </w:tcBorders>
            <w:shd w:val="clear" w:color="auto" w:fill="auto"/>
          </w:tcPr>
          <w:p w14:paraId="188927AA" w14:textId="77777777" w:rsidR="00E36E18" w:rsidRPr="002E0D60" w:rsidRDefault="00E36E18" w:rsidP="00EB5106">
            <w:pPr>
              <w:rPr>
                <w:rFonts w:ascii="Avenir Next Regular" w:hAnsi="Avenir Next Regular" w:cs="Calibri" w:hint="eastAsia"/>
                <w:color w:val="000000"/>
                <w:sz w:val="16"/>
                <w:szCs w:val="16"/>
              </w:rPr>
            </w:pPr>
          </w:p>
        </w:tc>
      </w:tr>
      <w:tr w:rsidR="00E36E18" w:rsidRPr="00B25CDB" w14:paraId="4FA60B29" w14:textId="77777777" w:rsidTr="00EB5106">
        <w:trPr>
          <w:trHeight w:val="170"/>
        </w:trPr>
        <w:tc>
          <w:tcPr>
            <w:tcW w:w="989" w:type="pct"/>
            <w:tcBorders>
              <w:top w:val="nil"/>
              <w:left w:val="single" w:sz="4" w:space="0" w:color="auto"/>
              <w:bottom w:val="single" w:sz="4" w:space="0" w:color="auto"/>
              <w:right w:val="single" w:sz="4" w:space="0" w:color="auto"/>
            </w:tcBorders>
            <w:shd w:val="clear" w:color="auto" w:fill="auto"/>
          </w:tcPr>
          <w:p w14:paraId="43EB6723" w14:textId="77777777" w:rsidR="00E36E18" w:rsidRPr="002E0D60" w:rsidRDefault="00E36E18" w:rsidP="00EB5106">
            <w:pPr>
              <w:rPr>
                <w:rFonts w:ascii="Avenir Next Regular" w:hAnsi="Avenir Next Regular" w:cs="Calibri" w:hint="eastAsia"/>
                <w:b/>
                <w:bCs/>
                <w:color w:val="000000"/>
                <w:sz w:val="16"/>
                <w:szCs w:val="16"/>
              </w:rPr>
            </w:pPr>
          </w:p>
        </w:tc>
        <w:tc>
          <w:tcPr>
            <w:tcW w:w="1079" w:type="pct"/>
            <w:tcBorders>
              <w:top w:val="nil"/>
              <w:left w:val="nil"/>
              <w:bottom w:val="single" w:sz="4" w:space="0" w:color="auto"/>
              <w:right w:val="single" w:sz="4" w:space="0" w:color="auto"/>
            </w:tcBorders>
            <w:shd w:val="clear" w:color="auto" w:fill="auto"/>
          </w:tcPr>
          <w:p w14:paraId="38E088A6" w14:textId="77777777" w:rsidR="00E36E18" w:rsidRPr="002E0D60" w:rsidRDefault="00E36E18" w:rsidP="00EB5106">
            <w:pPr>
              <w:rPr>
                <w:rFonts w:ascii="Avenir Next Regular" w:hAnsi="Avenir Next Regular" w:cs="Calibri" w:hint="eastAsia"/>
                <w:b/>
                <w:bCs/>
                <w:color w:val="000000"/>
                <w:sz w:val="16"/>
                <w:szCs w:val="16"/>
              </w:rPr>
            </w:pPr>
            <w:r>
              <w:rPr>
                <w:color w:val="000000"/>
                <w:sz w:val="16"/>
                <w:szCs w:val="16"/>
              </w:rPr>
              <w:fldChar w:fldCharType="begin">
                <w:ffData>
                  <w:name w:val=""/>
                  <w:enabled/>
                  <w:calcOnExit w:val="0"/>
                  <w:checkBox>
                    <w:sizeAuto/>
                    <w:default w:val="1"/>
                  </w:checkBox>
                </w:ffData>
              </w:fldChar>
            </w:r>
            <w:r>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Pr>
                <w:color w:val="000000"/>
                <w:sz w:val="16"/>
                <w:szCs w:val="16"/>
              </w:rPr>
              <w:fldChar w:fldCharType="end"/>
            </w:r>
            <w:r w:rsidRPr="002E0D60">
              <w:rPr>
                <w:rFonts w:ascii="Avenir Next Regular" w:hAnsi="Avenir Next Regular" w:cs="Calibri"/>
                <w:b/>
                <w:bCs/>
                <w:color w:val="000000"/>
                <w:sz w:val="16"/>
                <w:szCs w:val="16"/>
              </w:rPr>
              <w:t>Learning</w:t>
            </w:r>
          </w:p>
        </w:tc>
        <w:tc>
          <w:tcPr>
            <w:tcW w:w="1439" w:type="pct"/>
            <w:tcBorders>
              <w:top w:val="nil"/>
              <w:left w:val="nil"/>
              <w:bottom w:val="single" w:sz="4" w:space="0" w:color="auto"/>
              <w:right w:val="single" w:sz="4" w:space="0" w:color="auto"/>
            </w:tcBorders>
            <w:shd w:val="clear" w:color="auto" w:fill="auto"/>
          </w:tcPr>
          <w:p w14:paraId="18E72777" w14:textId="77777777" w:rsidR="00E36E18" w:rsidRPr="002E0D60" w:rsidRDefault="00E36E18" w:rsidP="00EB5106">
            <w:pPr>
              <w:rPr>
                <w:color w:val="000000"/>
                <w:sz w:val="16"/>
                <w:szCs w:val="16"/>
              </w:rPr>
            </w:pPr>
          </w:p>
        </w:tc>
        <w:tc>
          <w:tcPr>
            <w:tcW w:w="1493" w:type="pct"/>
            <w:tcBorders>
              <w:top w:val="nil"/>
              <w:left w:val="nil"/>
              <w:bottom w:val="single" w:sz="4" w:space="0" w:color="auto"/>
              <w:right w:val="single" w:sz="4" w:space="0" w:color="auto"/>
            </w:tcBorders>
            <w:shd w:val="clear" w:color="auto" w:fill="auto"/>
          </w:tcPr>
          <w:p w14:paraId="76E1CDEE" w14:textId="77777777" w:rsidR="00E36E18" w:rsidRPr="002E0D60" w:rsidRDefault="00E36E18" w:rsidP="00EB5106">
            <w:pPr>
              <w:rPr>
                <w:rFonts w:ascii="Avenir Next Regular" w:hAnsi="Avenir Next Regular" w:cs="Calibri" w:hint="eastAsia"/>
                <w:color w:val="000000"/>
                <w:sz w:val="16"/>
                <w:szCs w:val="16"/>
              </w:rPr>
            </w:pPr>
          </w:p>
        </w:tc>
      </w:tr>
      <w:tr w:rsidR="00E36E18" w:rsidRPr="00B25CDB" w14:paraId="09485AFC" w14:textId="77777777" w:rsidTr="00EB5106">
        <w:trPr>
          <w:trHeight w:val="170"/>
        </w:trPr>
        <w:tc>
          <w:tcPr>
            <w:tcW w:w="989" w:type="pct"/>
            <w:tcBorders>
              <w:top w:val="nil"/>
              <w:left w:val="single" w:sz="4" w:space="0" w:color="auto"/>
              <w:bottom w:val="single" w:sz="4" w:space="0" w:color="auto"/>
              <w:right w:val="single" w:sz="4" w:space="0" w:color="auto"/>
            </w:tcBorders>
            <w:shd w:val="clear" w:color="auto" w:fill="auto"/>
          </w:tcPr>
          <w:p w14:paraId="30070CB8" w14:textId="77777777" w:rsidR="00E36E18" w:rsidRPr="002E0D60" w:rsidRDefault="00E36E18" w:rsidP="00EB5106">
            <w:pPr>
              <w:rPr>
                <w:rFonts w:ascii="Avenir Next Regular" w:hAnsi="Avenir Next Regular" w:cs="Calibri" w:hint="eastAsia"/>
                <w:b/>
                <w:bCs/>
                <w:color w:val="000000"/>
                <w:sz w:val="16"/>
                <w:szCs w:val="16"/>
              </w:rPr>
            </w:pPr>
          </w:p>
        </w:tc>
        <w:tc>
          <w:tcPr>
            <w:tcW w:w="1079" w:type="pct"/>
            <w:tcBorders>
              <w:top w:val="nil"/>
              <w:left w:val="nil"/>
              <w:bottom w:val="single" w:sz="4" w:space="0" w:color="auto"/>
              <w:right w:val="single" w:sz="4" w:space="0" w:color="auto"/>
            </w:tcBorders>
            <w:shd w:val="clear" w:color="auto" w:fill="auto"/>
          </w:tcPr>
          <w:p w14:paraId="197FCD1B" w14:textId="77777777" w:rsidR="00E36E18" w:rsidRPr="002E0D60" w:rsidRDefault="00E36E18" w:rsidP="00EB5106">
            <w:pPr>
              <w:rPr>
                <w:color w:val="000000"/>
                <w:sz w:val="16"/>
                <w:szCs w:val="16"/>
              </w:rPr>
            </w:pPr>
          </w:p>
        </w:tc>
        <w:tc>
          <w:tcPr>
            <w:tcW w:w="1439" w:type="pct"/>
            <w:tcBorders>
              <w:top w:val="nil"/>
              <w:left w:val="nil"/>
              <w:bottom w:val="single" w:sz="4" w:space="0" w:color="auto"/>
              <w:right w:val="single" w:sz="4" w:space="0" w:color="auto"/>
            </w:tcBorders>
            <w:shd w:val="clear" w:color="auto" w:fill="auto"/>
          </w:tcPr>
          <w:p w14:paraId="56EC4B9D" w14:textId="77777777" w:rsidR="00E36E18" w:rsidRPr="002E0D60" w:rsidRDefault="00E36E18" w:rsidP="00EB5106">
            <w:pPr>
              <w:rPr>
                <w:color w:val="000000"/>
                <w:sz w:val="16"/>
                <w:szCs w:val="16"/>
              </w:rPr>
            </w:pPr>
            <w:r>
              <w:rPr>
                <w:color w:val="000000"/>
                <w:sz w:val="16"/>
                <w:szCs w:val="16"/>
              </w:rPr>
              <w:fldChar w:fldCharType="begin">
                <w:ffData>
                  <w:name w:val=""/>
                  <w:enabled/>
                  <w:calcOnExit w:val="0"/>
                  <w:checkBox>
                    <w:sizeAuto/>
                    <w:default w:val="1"/>
                  </w:checkBox>
                </w:ffData>
              </w:fldChar>
            </w:r>
            <w:r>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Pr>
                <w:color w:val="000000"/>
                <w:sz w:val="16"/>
                <w:szCs w:val="16"/>
              </w:rPr>
              <w:fldChar w:fldCharType="end"/>
            </w:r>
            <w:r w:rsidRPr="002E0D60">
              <w:rPr>
                <w:color w:val="000000"/>
                <w:sz w:val="16"/>
                <w:szCs w:val="16"/>
              </w:rPr>
              <w:t>Theory of Change</w:t>
            </w:r>
          </w:p>
        </w:tc>
        <w:tc>
          <w:tcPr>
            <w:tcW w:w="1493" w:type="pct"/>
            <w:tcBorders>
              <w:top w:val="nil"/>
              <w:left w:val="nil"/>
              <w:bottom w:val="single" w:sz="4" w:space="0" w:color="auto"/>
              <w:right w:val="single" w:sz="4" w:space="0" w:color="auto"/>
            </w:tcBorders>
            <w:shd w:val="clear" w:color="auto" w:fill="auto"/>
          </w:tcPr>
          <w:p w14:paraId="421DB8D3" w14:textId="77777777" w:rsidR="00E36E18" w:rsidRPr="002E0D60" w:rsidRDefault="00E36E18" w:rsidP="00EB5106">
            <w:pPr>
              <w:rPr>
                <w:rFonts w:ascii="Avenir Next Regular" w:hAnsi="Avenir Next Regular" w:cs="Calibri" w:hint="eastAsia"/>
                <w:color w:val="000000"/>
                <w:sz w:val="16"/>
                <w:szCs w:val="16"/>
              </w:rPr>
            </w:pPr>
          </w:p>
        </w:tc>
      </w:tr>
      <w:tr w:rsidR="00E36E18" w:rsidRPr="00B25CDB" w14:paraId="5BFB988E" w14:textId="77777777" w:rsidTr="00EB5106">
        <w:trPr>
          <w:trHeight w:val="170"/>
        </w:trPr>
        <w:tc>
          <w:tcPr>
            <w:tcW w:w="989" w:type="pct"/>
            <w:tcBorders>
              <w:top w:val="nil"/>
              <w:left w:val="single" w:sz="4" w:space="0" w:color="auto"/>
              <w:bottom w:val="single" w:sz="4" w:space="0" w:color="auto"/>
              <w:right w:val="single" w:sz="4" w:space="0" w:color="auto"/>
            </w:tcBorders>
            <w:shd w:val="clear" w:color="auto" w:fill="auto"/>
          </w:tcPr>
          <w:p w14:paraId="37D73157" w14:textId="77777777" w:rsidR="00E36E18" w:rsidRPr="002E0D60" w:rsidRDefault="00E36E18" w:rsidP="00EB5106">
            <w:pPr>
              <w:rPr>
                <w:rFonts w:ascii="Avenir Next Regular" w:hAnsi="Avenir Next Regular" w:cs="Calibri" w:hint="eastAsia"/>
                <w:b/>
                <w:bCs/>
                <w:color w:val="000000"/>
                <w:sz w:val="16"/>
                <w:szCs w:val="16"/>
              </w:rPr>
            </w:pPr>
          </w:p>
        </w:tc>
        <w:tc>
          <w:tcPr>
            <w:tcW w:w="1079" w:type="pct"/>
            <w:tcBorders>
              <w:top w:val="nil"/>
              <w:left w:val="nil"/>
              <w:bottom w:val="single" w:sz="4" w:space="0" w:color="auto"/>
              <w:right w:val="single" w:sz="4" w:space="0" w:color="auto"/>
            </w:tcBorders>
            <w:shd w:val="clear" w:color="auto" w:fill="auto"/>
          </w:tcPr>
          <w:p w14:paraId="558CAE7F" w14:textId="77777777" w:rsidR="00E36E18" w:rsidRPr="002E0D60" w:rsidRDefault="00E36E18" w:rsidP="00EB5106">
            <w:pPr>
              <w:rPr>
                <w:rFonts w:ascii="Avenir Next Regular" w:hAnsi="Avenir Next Regular" w:cs="Calibri" w:hint="eastAsia"/>
                <w:b/>
                <w:bCs/>
                <w:color w:val="000000"/>
                <w:sz w:val="16"/>
                <w:szCs w:val="16"/>
              </w:rPr>
            </w:pPr>
          </w:p>
        </w:tc>
        <w:tc>
          <w:tcPr>
            <w:tcW w:w="1439" w:type="pct"/>
            <w:tcBorders>
              <w:top w:val="nil"/>
              <w:left w:val="nil"/>
              <w:bottom w:val="single" w:sz="4" w:space="0" w:color="auto"/>
              <w:right w:val="single" w:sz="4" w:space="0" w:color="auto"/>
            </w:tcBorders>
            <w:shd w:val="clear" w:color="auto" w:fill="auto"/>
          </w:tcPr>
          <w:p w14:paraId="110F1A74" w14:textId="77777777" w:rsidR="00E36E18" w:rsidRPr="002E0D60" w:rsidRDefault="00E36E18" w:rsidP="00EB5106">
            <w:pPr>
              <w:rPr>
                <w:color w:val="000000"/>
                <w:sz w:val="16"/>
                <w:szCs w:val="16"/>
              </w:rPr>
            </w:pPr>
            <w:r>
              <w:rPr>
                <w:color w:val="000000"/>
                <w:sz w:val="16"/>
                <w:szCs w:val="16"/>
              </w:rPr>
              <w:fldChar w:fldCharType="begin">
                <w:ffData>
                  <w:name w:val=""/>
                  <w:enabled/>
                  <w:calcOnExit w:val="0"/>
                  <w:checkBox>
                    <w:sizeAuto/>
                    <w:default w:val="1"/>
                  </w:checkBox>
                </w:ffData>
              </w:fldChar>
            </w:r>
            <w:r>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Pr>
                <w:color w:val="000000"/>
                <w:sz w:val="16"/>
                <w:szCs w:val="16"/>
              </w:rPr>
              <w:fldChar w:fldCharType="end"/>
            </w:r>
            <w:r w:rsidRPr="002E0D60">
              <w:rPr>
                <w:color w:val="000000"/>
                <w:sz w:val="16"/>
                <w:szCs w:val="16"/>
              </w:rPr>
              <w:t>Adaptive Management</w:t>
            </w:r>
          </w:p>
        </w:tc>
        <w:tc>
          <w:tcPr>
            <w:tcW w:w="1493" w:type="pct"/>
            <w:tcBorders>
              <w:top w:val="nil"/>
              <w:left w:val="nil"/>
              <w:bottom w:val="single" w:sz="4" w:space="0" w:color="auto"/>
              <w:right w:val="single" w:sz="4" w:space="0" w:color="auto"/>
            </w:tcBorders>
            <w:shd w:val="clear" w:color="auto" w:fill="auto"/>
          </w:tcPr>
          <w:p w14:paraId="0B767F3A" w14:textId="77777777" w:rsidR="00E36E18" w:rsidRPr="002E0D60" w:rsidRDefault="00E36E18" w:rsidP="00EB5106">
            <w:pPr>
              <w:rPr>
                <w:rFonts w:ascii="Avenir Next Regular" w:hAnsi="Avenir Next Regular" w:cs="Calibri" w:hint="eastAsia"/>
                <w:color w:val="000000"/>
                <w:sz w:val="16"/>
                <w:szCs w:val="16"/>
              </w:rPr>
            </w:pPr>
          </w:p>
        </w:tc>
      </w:tr>
      <w:tr w:rsidR="00E36E18" w:rsidRPr="00B25CDB" w14:paraId="1C989561" w14:textId="77777777" w:rsidTr="00EB5106">
        <w:trPr>
          <w:trHeight w:val="170"/>
        </w:trPr>
        <w:tc>
          <w:tcPr>
            <w:tcW w:w="989" w:type="pct"/>
            <w:tcBorders>
              <w:top w:val="nil"/>
              <w:left w:val="single" w:sz="4" w:space="0" w:color="auto"/>
              <w:bottom w:val="single" w:sz="4" w:space="0" w:color="auto"/>
              <w:right w:val="single" w:sz="4" w:space="0" w:color="auto"/>
            </w:tcBorders>
            <w:shd w:val="clear" w:color="auto" w:fill="auto"/>
          </w:tcPr>
          <w:p w14:paraId="5E185A2C" w14:textId="77777777" w:rsidR="00E36E18" w:rsidRPr="002E0D60" w:rsidRDefault="00E36E18" w:rsidP="00EB5106">
            <w:pPr>
              <w:rPr>
                <w:rFonts w:ascii="Avenir Next Regular" w:hAnsi="Avenir Next Regular" w:cs="Calibri" w:hint="eastAsia"/>
                <w:b/>
                <w:bCs/>
                <w:color w:val="000000"/>
                <w:sz w:val="16"/>
                <w:szCs w:val="16"/>
              </w:rPr>
            </w:pPr>
          </w:p>
        </w:tc>
        <w:tc>
          <w:tcPr>
            <w:tcW w:w="1079" w:type="pct"/>
            <w:tcBorders>
              <w:top w:val="nil"/>
              <w:left w:val="nil"/>
              <w:bottom w:val="single" w:sz="4" w:space="0" w:color="auto"/>
              <w:right w:val="single" w:sz="4" w:space="0" w:color="auto"/>
            </w:tcBorders>
            <w:shd w:val="clear" w:color="auto" w:fill="auto"/>
          </w:tcPr>
          <w:p w14:paraId="67483AF9" w14:textId="77777777" w:rsidR="00E36E18" w:rsidRPr="002E0D60" w:rsidRDefault="00E36E18" w:rsidP="00EB5106">
            <w:pPr>
              <w:rPr>
                <w:rFonts w:ascii="Avenir Next Regular" w:hAnsi="Avenir Next Regular" w:cs="Calibri" w:hint="eastAsia"/>
                <w:b/>
                <w:bCs/>
                <w:color w:val="000000"/>
                <w:sz w:val="16"/>
                <w:szCs w:val="16"/>
              </w:rPr>
            </w:pPr>
          </w:p>
        </w:tc>
        <w:tc>
          <w:tcPr>
            <w:tcW w:w="1439" w:type="pct"/>
            <w:tcBorders>
              <w:top w:val="nil"/>
              <w:left w:val="nil"/>
              <w:bottom w:val="single" w:sz="4" w:space="0" w:color="auto"/>
              <w:right w:val="single" w:sz="4" w:space="0" w:color="auto"/>
            </w:tcBorders>
            <w:shd w:val="clear" w:color="auto" w:fill="auto"/>
          </w:tcPr>
          <w:p w14:paraId="590B5F5C" w14:textId="77777777" w:rsidR="00E36E18" w:rsidRPr="002E0D60" w:rsidRDefault="00E36E18" w:rsidP="00EB5106">
            <w:pPr>
              <w:rPr>
                <w:color w:val="000000"/>
                <w:sz w:val="16"/>
                <w:szCs w:val="16"/>
              </w:rPr>
            </w:pPr>
            <w:r>
              <w:rPr>
                <w:color w:val="000000"/>
                <w:sz w:val="16"/>
                <w:szCs w:val="16"/>
              </w:rPr>
              <w:fldChar w:fldCharType="begin">
                <w:ffData>
                  <w:name w:val=""/>
                  <w:enabled/>
                  <w:calcOnExit w:val="0"/>
                  <w:checkBox>
                    <w:sizeAuto/>
                    <w:default w:val="1"/>
                  </w:checkBox>
                </w:ffData>
              </w:fldChar>
            </w:r>
            <w:r>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Pr>
                <w:color w:val="000000"/>
                <w:sz w:val="16"/>
                <w:szCs w:val="16"/>
              </w:rPr>
              <w:fldChar w:fldCharType="end"/>
            </w:r>
            <w:r w:rsidRPr="002E0D60">
              <w:rPr>
                <w:color w:val="000000"/>
                <w:sz w:val="16"/>
                <w:szCs w:val="16"/>
              </w:rPr>
              <w:t>Indicators to Measure Change</w:t>
            </w:r>
          </w:p>
        </w:tc>
        <w:tc>
          <w:tcPr>
            <w:tcW w:w="1493" w:type="pct"/>
            <w:tcBorders>
              <w:top w:val="nil"/>
              <w:left w:val="nil"/>
              <w:bottom w:val="single" w:sz="4" w:space="0" w:color="auto"/>
              <w:right w:val="single" w:sz="4" w:space="0" w:color="auto"/>
            </w:tcBorders>
            <w:shd w:val="clear" w:color="auto" w:fill="auto"/>
          </w:tcPr>
          <w:p w14:paraId="245644C2" w14:textId="77777777" w:rsidR="00E36E18" w:rsidRPr="002E0D60" w:rsidRDefault="00E36E18" w:rsidP="00EB5106">
            <w:pPr>
              <w:rPr>
                <w:rFonts w:ascii="Avenir Next Regular" w:hAnsi="Avenir Next Regular" w:cs="Calibri" w:hint="eastAsia"/>
                <w:color w:val="000000"/>
                <w:sz w:val="16"/>
                <w:szCs w:val="16"/>
              </w:rPr>
            </w:pPr>
          </w:p>
        </w:tc>
      </w:tr>
      <w:tr w:rsidR="00E36E18" w:rsidRPr="00B25CDB" w14:paraId="2A1FB3A7" w14:textId="77777777" w:rsidTr="00EB5106">
        <w:trPr>
          <w:trHeight w:val="170"/>
        </w:trPr>
        <w:tc>
          <w:tcPr>
            <w:tcW w:w="989" w:type="pct"/>
            <w:tcBorders>
              <w:top w:val="nil"/>
              <w:left w:val="single" w:sz="4" w:space="0" w:color="auto"/>
              <w:bottom w:val="single" w:sz="4" w:space="0" w:color="auto"/>
              <w:right w:val="single" w:sz="4" w:space="0" w:color="auto"/>
            </w:tcBorders>
            <w:shd w:val="clear" w:color="auto" w:fill="auto"/>
          </w:tcPr>
          <w:p w14:paraId="24A767FB" w14:textId="77777777" w:rsidR="00E36E18" w:rsidRPr="002E0D60" w:rsidRDefault="00E36E18" w:rsidP="00EB5106">
            <w:pPr>
              <w:rPr>
                <w:rFonts w:ascii="Avenir Next Regular" w:hAnsi="Avenir Next Regular" w:cs="Calibri" w:hint="eastAsia"/>
                <w:b/>
                <w:bCs/>
                <w:color w:val="000000"/>
                <w:sz w:val="16"/>
                <w:szCs w:val="16"/>
              </w:rPr>
            </w:pPr>
          </w:p>
        </w:tc>
        <w:tc>
          <w:tcPr>
            <w:tcW w:w="1079" w:type="pct"/>
            <w:tcBorders>
              <w:top w:val="nil"/>
              <w:left w:val="nil"/>
              <w:bottom w:val="single" w:sz="4" w:space="0" w:color="auto"/>
              <w:right w:val="single" w:sz="4" w:space="0" w:color="auto"/>
            </w:tcBorders>
            <w:shd w:val="clear" w:color="auto" w:fill="auto"/>
          </w:tcPr>
          <w:p w14:paraId="454CD56F" w14:textId="77777777" w:rsidR="00E36E18" w:rsidRPr="002E0D60" w:rsidRDefault="00E36E18" w:rsidP="00EB5106">
            <w:pPr>
              <w:rPr>
                <w:rFonts w:ascii="Avenir Next Regular" w:hAnsi="Avenir Next Regular" w:cs="Calibri" w:hint="eastAsia"/>
                <w:b/>
                <w:bCs/>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b/>
                <w:bCs/>
                <w:color w:val="000000"/>
                <w:sz w:val="16"/>
                <w:szCs w:val="16"/>
              </w:rPr>
              <w:t>Innovation</w:t>
            </w:r>
          </w:p>
        </w:tc>
        <w:tc>
          <w:tcPr>
            <w:tcW w:w="1439" w:type="pct"/>
            <w:tcBorders>
              <w:top w:val="nil"/>
              <w:left w:val="nil"/>
              <w:bottom w:val="single" w:sz="4" w:space="0" w:color="auto"/>
              <w:right w:val="single" w:sz="4" w:space="0" w:color="auto"/>
            </w:tcBorders>
            <w:shd w:val="clear" w:color="auto" w:fill="auto"/>
          </w:tcPr>
          <w:p w14:paraId="2FA4E794" w14:textId="77777777" w:rsidR="00E36E18" w:rsidRPr="002E0D60" w:rsidRDefault="00E36E18" w:rsidP="00EB5106">
            <w:pPr>
              <w:rPr>
                <w:color w:val="000000"/>
                <w:sz w:val="16"/>
                <w:szCs w:val="16"/>
              </w:rPr>
            </w:pPr>
          </w:p>
        </w:tc>
        <w:tc>
          <w:tcPr>
            <w:tcW w:w="1493" w:type="pct"/>
            <w:tcBorders>
              <w:top w:val="nil"/>
              <w:left w:val="nil"/>
              <w:bottom w:val="single" w:sz="4" w:space="0" w:color="auto"/>
              <w:right w:val="single" w:sz="4" w:space="0" w:color="auto"/>
            </w:tcBorders>
            <w:shd w:val="clear" w:color="auto" w:fill="auto"/>
          </w:tcPr>
          <w:p w14:paraId="6454F3F4" w14:textId="77777777" w:rsidR="00E36E18" w:rsidRPr="002E0D60" w:rsidRDefault="00E36E18" w:rsidP="00EB5106">
            <w:pPr>
              <w:rPr>
                <w:rFonts w:ascii="Avenir Next Regular" w:hAnsi="Avenir Next Regular" w:cs="Calibri" w:hint="eastAsia"/>
                <w:color w:val="000000"/>
                <w:sz w:val="16"/>
                <w:szCs w:val="16"/>
              </w:rPr>
            </w:pPr>
          </w:p>
        </w:tc>
      </w:tr>
      <w:tr w:rsidR="00E36E18" w:rsidRPr="00B25CDB" w14:paraId="33392C2A" w14:textId="77777777" w:rsidTr="00EB5106">
        <w:trPr>
          <w:trHeight w:val="170"/>
        </w:trPr>
        <w:tc>
          <w:tcPr>
            <w:tcW w:w="989" w:type="pct"/>
            <w:tcBorders>
              <w:top w:val="nil"/>
              <w:left w:val="single" w:sz="4" w:space="0" w:color="auto"/>
              <w:bottom w:val="single" w:sz="4" w:space="0" w:color="auto"/>
              <w:right w:val="single" w:sz="4" w:space="0" w:color="auto"/>
            </w:tcBorders>
            <w:shd w:val="clear" w:color="auto" w:fill="auto"/>
            <w:hideMark/>
          </w:tcPr>
          <w:p w14:paraId="1D3BE99C"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1E7DB448" w14:textId="77777777" w:rsidR="00E36E18" w:rsidRPr="002E0D60" w:rsidRDefault="00E36E18" w:rsidP="00EB5106">
            <w:pPr>
              <w:ind w:left="204" w:hanging="204"/>
              <w:rPr>
                <w:rFonts w:ascii="Avenir Next Regular" w:hAnsi="Avenir Next Regular" w:cs="Calibri" w:hint="eastAsia"/>
                <w:b/>
                <w:bCs/>
                <w:color w:val="000000"/>
                <w:sz w:val="16"/>
                <w:szCs w:val="16"/>
              </w:rPr>
            </w:pPr>
            <w:r>
              <w:rPr>
                <w:color w:val="000000"/>
                <w:sz w:val="16"/>
                <w:szCs w:val="16"/>
              </w:rPr>
              <w:fldChar w:fldCharType="begin">
                <w:ffData>
                  <w:name w:val=""/>
                  <w:enabled/>
                  <w:calcOnExit w:val="0"/>
                  <w:checkBox>
                    <w:sizeAuto/>
                    <w:default w:val="1"/>
                  </w:checkBox>
                </w:ffData>
              </w:fldChar>
            </w:r>
            <w:r>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Pr>
                <w:color w:val="000000"/>
                <w:sz w:val="16"/>
                <w:szCs w:val="16"/>
              </w:rPr>
              <w:fldChar w:fldCharType="end"/>
            </w:r>
            <w:r w:rsidRPr="002E0D60">
              <w:rPr>
                <w:rFonts w:ascii="Avenir Next Regular" w:hAnsi="Avenir Next Regular" w:cs="Calibri"/>
                <w:b/>
                <w:bCs/>
                <w:color w:val="000000"/>
                <w:sz w:val="16"/>
                <w:szCs w:val="16"/>
              </w:rPr>
              <w:t>Knowledge and Learning</w:t>
            </w:r>
          </w:p>
        </w:tc>
        <w:tc>
          <w:tcPr>
            <w:tcW w:w="1439" w:type="pct"/>
            <w:tcBorders>
              <w:top w:val="nil"/>
              <w:left w:val="nil"/>
              <w:bottom w:val="single" w:sz="4" w:space="0" w:color="auto"/>
              <w:right w:val="single" w:sz="4" w:space="0" w:color="auto"/>
            </w:tcBorders>
            <w:shd w:val="clear" w:color="auto" w:fill="auto"/>
          </w:tcPr>
          <w:p w14:paraId="5779E0E2" w14:textId="77777777" w:rsidR="00E36E18" w:rsidRPr="002E0D60" w:rsidRDefault="00E36E18" w:rsidP="00EB5106">
            <w:pPr>
              <w:rPr>
                <w:rFonts w:ascii="Avenir Next Regular" w:hAnsi="Avenir Next Regular" w:cs="Calibri" w:hint="eastAsia"/>
                <w:color w:val="000000"/>
                <w:sz w:val="16"/>
                <w:szCs w:val="16"/>
              </w:rPr>
            </w:pPr>
          </w:p>
        </w:tc>
        <w:tc>
          <w:tcPr>
            <w:tcW w:w="1493" w:type="pct"/>
            <w:tcBorders>
              <w:top w:val="nil"/>
              <w:left w:val="nil"/>
              <w:bottom w:val="single" w:sz="4" w:space="0" w:color="auto"/>
              <w:right w:val="single" w:sz="4" w:space="0" w:color="auto"/>
            </w:tcBorders>
            <w:shd w:val="clear" w:color="auto" w:fill="auto"/>
            <w:hideMark/>
          </w:tcPr>
          <w:p w14:paraId="79B516D0"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7E94C3D4" w14:textId="77777777" w:rsidTr="00EB5106">
        <w:trPr>
          <w:trHeight w:val="170"/>
        </w:trPr>
        <w:tc>
          <w:tcPr>
            <w:tcW w:w="989" w:type="pct"/>
            <w:tcBorders>
              <w:top w:val="nil"/>
              <w:left w:val="single" w:sz="4" w:space="0" w:color="auto"/>
              <w:bottom w:val="single" w:sz="4" w:space="0" w:color="auto"/>
              <w:right w:val="single" w:sz="4" w:space="0" w:color="auto"/>
            </w:tcBorders>
            <w:shd w:val="clear" w:color="auto" w:fill="auto"/>
          </w:tcPr>
          <w:p w14:paraId="336011D0" w14:textId="77777777" w:rsidR="00E36E18" w:rsidRPr="002E0D60" w:rsidRDefault="00E36E18" w:rsidP="00EB5106">
            <w:pPr>
              <w:rPr>
                <w:rFonts w:ascii="Avenir Next Regular" w:hAnsi="Avenir Next Regular" w:cs="Calibri" w:hint="eastAsia"/>
                <w:b/>
                <w:bCs/>
                <w:color w:val="000000"/>
                <w:sz w:val="16"/>
                <w:szCs w:val="16"/>
              </w:rPr>
            </w:pPr>
          </w:p>
        </w:tc>
        <w:tc>
          <w:tcPr>
            <w:tcW w:w="1079" w:type="pct"/>
            <w:tcBorders>
              <w:top w:val="nil"/>
              <w:left w:val="nil"/>
              <w:bottom w:val="single" w:sz="4" w:space="0" w:color="auto"/>
              <w:right w:val="single" w:sz="4" w:space="0" w:color="auto"/>
            </w:tcBorders>
            <w:shd w:val="clear" w:color="auto" w:fill="auto"/>
          </w:tcPr>
          <w:p w14:paraId="07982824" w14:textId="77777777" w:rsidR="00E36E18" w:rsidRPr="002E0D60" w:rsidRDefault="00E36E18" w:rsidP="00EB5106">
            <w:pPr>
              <w:rPr>
                <w:color w:val="000000"/>
                <w:sz w:val="16"/>
                <w:szCs w:val="16"/>
              </w:rPr>
            </w:pPr>
          </w:p>
        </w:tc>
        <w:tc>
          <w:tcPr>
            <w:tcW w:w="1439" w:type="pct"/>
            <w:tcBorders>
              <w:top w:val="nil"/>
              <w:left w:val="nil"/>
              <w:bottom w:val="single" w:sz="4" w:space="0" w:color="auto"/>
              <w:right w:val="single" w:sz="4" w:space="0" w:color="auto"/>
            </w:tcBorders>
            <w:shd w:val="clear" w:color="auto" w:fill="auto"/>
          </w:tcPr>
          <w:p w14:paraId="73489CCE" w14:textId="77777777" w:rsidR="00E36E18" w:rsidRPr="002E0D60" w:rsidRDefault="00E36E18" w:rsidP="00EB5106">
            <w:pPr>
              <w:rPr>
                <w:color w:val="000000"/>
                <w:sz w:val="16"/>
                <w:szCs w:val="16"/>
              </w:rPr>
            </w:pPr>
            <w:r>
              <w:rPr>
                <w:color w:val="000000"/>
                <w:sz w:val="16"/>
                <w:szCs w:val="16"/>
              </w:rPr>
              <w:fldChar w:fldCharType="begin">
                <w:ffData>
                  <w:name w:val=""/>
                  <w:enabled/>
                  <w:calcOnExit w:val="0"/>
                  <w:checkBox>
                    <w:sizeAuto/>
                    <w:default w:val="1"/>
                  </w:checkBox>
                </w:ffData>
              </w:fldChar>
            </w:r>
            <w:r>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Pr>
                <w:color w:val="000000"/>
                <w:sz w:val="16"/>
                <w:szCs w:val="16"/>
              </w:rPr>
              <w:fldChar w:fldCharType="end"/>
            </w:r>
            <w:r w:rsidRPr="002E0D60">
              <w:rPr>
                <w:rFonts w:ascii="Avenir Next Regular" w:hAnsi="Avenir Next Regular" w:cs="Calibri"/>
                <w:color w:val="000000"/>
                <w:sz w:val="16"/>
                <w:szCs w:val="16"/>
              </w:rPr>
              <w:t>Knowledge Management</w:t>
            </w:r>
          </w:p>
        </w:tc>
        <w:tc>
          <w:tcPr>
            <w:tcW w:w="1493" w:type="pct"/>
            <w:tcBorders>
              <w:top w:val="nil"/>
              <w:left w:val="nil"/>
              <w:bottom w:val="single" w:sz="4" w:space="0" w:color="auto"/>
              <w:right w:val="single" w:sz="4" w:space="0" w:color="auto"/>
            </w:tcBorders>
            <w:shd w:val="clear" w:color="auto" w:fill="auto"/>
          </w:tcPr>
          <w:p w14:paraId="43B47FB9" w14:textId="77777777" w:rsidR="00E36E18" w:rsidRPr="002E0D60" w:rsidRDefault="00E36E18" w:rsidP="00EB5106">
            <w:pPr>
              <w:rPr>
                <w:rFonts w:ascii="Avenir Next Regular" w:hAnsi="Avenir Next Regular" w:cs="Calibri" w:hint="eastAsia"/>
                <w:color w:val="000000"/>
                <w:sz w:val="16"/>
                <w:szCs w:val="16"/>
              </w:rPr>
            </w:pPr>
          </w:p>
        </w:tc>
      </w:tr>
      <w:tr w:rsidR="00E36E18" w:rsidRPr="00B25CDB" w14:paraId="1AFA0562" w14:textId="77777777" w:rsidTr="00EB5106">
        <w:trPr>
          <w:trHeight w:val="170"/>
        </w:trPr>
        <w:tc>
          <w:tcPr>
            <w:tcW w:w="989" w:type="pct"/>
            <w:tcBorders>
              <w:top w:val="nil"/>
              <w:left w:val="single" w:sz="4" w:space="0" w:color="auto"/>
              <w:bottom w:val="single" w:sz="4" w:space="0" w:color="auto"/>
              <w:right w:val="single" w:sz="4" w:space="0" w:color="auto"/>
            </w:tcBorders>
            <w:shd w:val="clear" w:color="auto" w:fill="auto"/>
            <w:hideMark/>
          </w:tcPr>
          <w:p w14:paraId="2C29A43D"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548E7454"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78118EE2" w14:textId="77777777" w:rsidR="00E36E18" w:rsidRPr="002E0D60" w:rsidRDefault="00E36E18" w:rsidP="00EB5106">
            <w:pPr>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Innovation</w:t>
            </w:r>
          </w:p>
        </w:tc>
        <w:tc>
          <w:tcPr>
            <w:tcW w:w="1493" w:type="pct"/>
            <w:tcBorders>
              <w:top w:val="nil"/>
              <w:left w:val="nil"/>
              <w:bottom w:val="single" w:sz="4" w:space="0" w:color="auto"/>
              <w:right w:val="single" w:sz="4" w:space="0" w:color="auto"/>
            </w:tcBorders>
            <w:shd w:val="clear" w:color="auto" w:fill="auto"/>
            <w:hideMark/>
          </w:tcPr>
          <w:p w14:paraId="54A3622C"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41976164" w14:textId="77777777" w:rsidTr="00EB5106">
        <w:trPr>
          <w:trHeight w:val="161"/>
        </w:trPr>
        <w:tc>
          <w:tcPr>
            <w:tcW w:w="989" w:type="pct"/>
            <w:tcBorders>
              <w:top w:val="nil"/>
              <w:left w:val="single" w:sz="4" w:space="0" w:color="auto"/>
              <w:bottom w:val="single" w:sz="4" w:space="0" w:color="auto"/>
              <w:right w:val="single" w:sz="4" w:space="0" w:color="auto"/>
            </w:tcBorders>
            <w:shd w:val="clear" w:color="auto" w:fill="auto"/>
            <w:hideMark/>
          </w:tcPr>
          <w:p w14:paraId="04AD3A73"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04A809F3"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3D925D49" w14:textId="77777777" w:rsidR="00E36E18" w:rsidRPr="002E0D60" w:rsidRDefault="00E36E18" w:rsidP="00EB5106">
            <w:pPr>
              <w:rPr>
                <w:rFonts w:ascii="Avenir Next Regular" w:hAnsi="Avenir Next Regular" w:cs="Calibri" w:hint="eastAsia"/>
                <w:color w:val="000000"/>
                <w:sz w:val="16"/>
                <w:szCs w:val="16"/>
              </w:rPr>
            </w:pPr>
            <w:r>
              <w:rPr>
                <w:color w:val="000000"/>
                <w:sz w:val="16"/>
                <w:szCs w:val="16"/>
              </w:rPr>
              <w:fldChar w:fldCharType="begin">
                <w:ffData>
                  <w:name w:val=""/>
                  <w:enabled/>
                  <w:calcOnExit w:val="0"/>
                  <w:checkBox>
                    <w:sizeAuto/>
                    <w:default w:val="1"/>
                  </w:checkBox>
                </w:ffData>
              </w:fldChar>
            </w:r>
            <w:r>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Pr>
                <w:color w:val="000000"/>
                <w:sz w:val="16"/>
                <w:szCs w:val="16"/>
              </w:rPr>
              <w:fldChar w:fldCharType="end"/>
            </w:r>
            <w:r w:rsidRPr="002E0D60">
              <w:rPr>
                <w:rFonts w:ascii="Avenir Next Regular" w:hAnsi="Avenir Next Regular" w:cs="Calibri"/>
                <w:color w:val="000000"/>
                <w:sz w:val="16"/>
                <w:szCs w:val="16"/>
              </w:rPr>
              <w:t>Capacity Development</w:t>
            </w:r>
          </w:p>
        </w:tc>
        <w:tc>
          <w:tcPr>
            <w:tcW w:w="1493" w:type="pct"/>
            <w:tcBorders>
              <w:top w:val="nil"/>
              <w:left w:val="nil"/>
              <w:bottom w:val="single" w:sz="4" w:space="0" w:color="auto"/>
              <w:right w:val="single" w:sz="4" w:space="0" w:color="auto"/>
            </w:tcBorders>
            <w:shd w:val="clear" w:color="auto" w:fill="auto"/>
            <w:hideMark/>
          </w:tcPr>
          <w:p w14:paraId="3311813A"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757386D9"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hideMark/>
          </w:tcPr>
          <w:p w14:paraId="67801291"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37552B54"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596C0982" w14:textId="77777777" w:rsidR="00E36E18" w:rsidRPr="002E0D60" w:rsidRDefault="00E36E18" w:rsidP="00EB5106">
            <w:pPr>
              <w:rPr>
                <w:rFonts w:ascii="Avenir Next Regular" w:hAnsi="Avenir Next Regular" w:cs="Calibri" w:hint="eastAsia"/>
                <w:color w:val="000000"/>
                <w:sz w:val="16"/>
                <w:szCs w:val="16"/>
              </w:rPr>
            </w:pPr>
            <w:r>
              <w:rPr>
                <w:color w:val="000000"/>
                <w:sz w:val="16"/>
                <w:szCs w:val="16"/>
              </w:rPr>
              <w:fldChar w:fldCharType="begin">
                <w:ffData>
                  <w:name w:val=""/>
                  <w:enabled/>
                  <w:calcOnExit w:val="0"/>
                  <w:checkBox>
                    <w:sizeAuto/>
                    <w:default w:val="1"/>
                  </w:checkBox>
                </w:ffData>
              </w:fldChar>
            </w:r>
            <w:r>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Pr>
                <w:color w:val="000000"/>
                <w:sz w:val="16"/>
                <w:szCs w:val="16"/>
              </w:rPr>
              <w:fldChar w:fldCharType="end"/>
            </w:r>
            <w:r w:rsidRPr="002E0D60">
              <w:rPr>
                <w:rFonts w:ascii="Avenir Next Regular" w:hAnsi="Avenir Next Regular" w:cs="Calibri"/>
                <w:color w:val="000000"/>
                <w:sz w:val="16"/>
                <w:szCs w:val="16"/>
              </w:rPr>
              <w:t>Learning</w:t>
            </w:r>
          </w:p>
        </w:tc>
        <w:tc>
          <w:tcPr>
            <w:tcW w:w="1493" w:type="pct"/>
            <w:tcBorders>
              <w:top w:val="nil"/>
              <w:left w:val="nil"/>
              <w:bottom w:val="single" w:sz="4" w:space="0" w:color="auto"/>
              <w:right w:val="single" w:sz="4" w:space="0" w:color="auto"/>
            </w:tcBorders>
            <w:shd w:val="clear" w:color="auto" w:fill="auto"/>
            <w:hideMark/>
          </w:tcPr>
          <w:p w14:paraId="20B5B1D2"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5F22DF50" w14:textId="77777777" w:rsidTr="00EB5106">
        <w:trPr>
          <w:trHeight w:val="359"/>
        </w:trPr>
        <w:tc>
          <w:tcPr>
            <w:tcW w:w="989" w:type="pct"/>
            <w:tcBorders>
              <w:top w:val="nil"/>
              <w:left w:val="single" w:sz="4" w:space="0" w:color="auto"/>
              <w:bottom w:val="single" w:sz="4" w:space="0" w:color="auto"/>
              <w:right w:val="single" w:sz="4" w:space="0" w:color="auto"/>
            </w:tcBorders>
            <w:shd w:val="clear" w:color="auto" w:fill="auto"/>
            <w:hideMark/>
          </w:tcPr>
          <w:p w14:paraId="6C09308F" w14:textId="77777777" w:rsidR="00E36E18" w:rsidRPr="002E0D60" w:rsidRDefault="00E36E18" w:rsidP="00EB5106">
            <w:pPr>
              <w:rPr>
                <w:rFonts w:ascii="Avenir Next Regular" w:hAnsi="Avenir Next Regular" w:cs="Calibri" w:hint="eastAsia"/>
                <w:b/>
                <w:bCs/>
                <w:iCs/>
                <w:color w:val="000000"/>
                <w:sz w:val="16"/>
                <w:szCs w:val="16"/>
              </w:rPr>
            </w:pPr>
            <w:r w:rsidRPr="002E0D60">
              <w:rPr>
                <w:rFonts w:ascii="Avenir Next Regular" w:hAnsi="Avenir Next Regular" w:cs="Calibri"/>
                <w:b/>
                <w:bCs/>
                <w:i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3798D65C" w14:textId="77777777" w:rsidR="00E36E18" w:rsidRPr="002E0D60" w:rsidRDefault="00E36E18" w:rsidP="00EB5106">
            <w:pPr>
              <w:ind w:left="114" w:hanging="114"/>
              <w:rPr>
                <w:rFonts w:ascii="Avenir Next Regular" w:hAnsi="Avenir Next Regular" w:cs="Calibri" w:hint="eastAsia"/>
                <w:b/>
                <w:bCs/>
                <w:color w:val="000000"/>
                <w:sz w:val="16"/>
                <w:szCs w:val="16"/>
              </w:rPr>
            </w:pPr>
            <w:r>
              <w:rPr>
                <w:color w:val="000000"/>
                <w:sz w:val="16"/>
                <w:szCs w:val="16"/>
              </w:rPr>
              <w:fldChar w:fldCharType="begin">
                <w:ffData>
                  <w:name w:val=""/>
                  <w:enabled/>
                  <w:calcOnExit w:val="0"/>
                  <w:checkBox>
                    <w:sizeAuto/>
                    <w:default w:val="1"/>
                  </w:checkBox>
                </w:ffData>
              </w:fldChar>
            </w:r>
            <w:r>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Pr>
                <w:color w:val="000000"/>
                <w:sz w:val="16"/>
                <w:szCs w:val="16"/>
              </w:rPr>
              <w:fldChar w:fldCharType="end"/>
            </w:r>
            <w:r w:rsidRPr="002E0D60">
              <w:rPr>
                <w:rFonts w:ascii="Avenir Next Regular" w:hAnsi="Avenir Next Regular" w:cs="Calibri"/>
                <w:b/>
                <w:bCs/>
                <w:color w:val="000000"/>
                <w:sz w:val="16"/>
                <w:szCs w:val="16"/>
              </w:rPr>
              <w:t>Stakeholder Engagement Plan</w:t>
            </w:r>
          </w:p>
        </w:tc>
        <w:tc>
          <w:tcPr>
            <w:tcW w:w="1439" w:type="pct"/>
            <w:tcBorders>
              <w:top w:val="single" w:sz="4" w:space="0" w:color="auto"/>
              <w:left w:val="nil"/>
              <w:bottom w:val="single" w:sz="4" w:space="0" w:color="auto"/>
              <w:right w:val="single" w:sz="4" w:space="0" w:color="auto"/>
            </w:tcBorders>
            <w:shd w:val="clear" w:color="auto" w:fill="auto"/>
            <w:hideMark/>
          </w:tcPr>
          <w:p w14:paraId="7D645D5C"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0E5E9FBD"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4B4D3AB7"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hideMark/>
          </w:tcPr>
          <w:p w14:paraId="57DDEF1B" w14:textId="77777777" w:rsidR="00E36E18" w:rsidRPr="002E0D60" w:rsidRDefault="00E36E18" w:rsidP="00EB5106">
            <w:pPr>
              <w:rPr>
                <w:rFonts w:ascii="Avenir Next Regular" w:hAnsi="Avenir Next Regular" w:cs="Calibri" w:hint="eastAsia"/>
                <w:b/>
                <w:bCs/>
                <w:color w:val="000000"/>
                <w:sz w:val="16"/>
                <w:szCs w:val="16"/>
              </w:rPr>
            </w:pPr>
            <w:r>
              <w:rPr>
                <w:color w:val="000000"/>
                <w:sz w:val="16"/>
                <w:szCs w:val="16"/>
              </w:rPr>
              <w:fldChar w:fldCharType="begin">
                <w:ffData>
                  <w:name w:val=""/>
                  <w:enabled/>
                  <w:calcOnExit w:val="0"/>
                  <w:checkBox>
                    <w:sizeAuto/>
                    <w:default w:val="1"/>
                  </w:checkBox>
                </w:ffData>
              </w:fldChar>
            </w:r>
            <w:r>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Pr>
                <w:color w:val="000000"/>
                <w:sz w:val="16"/>
                <w:szCs w:val="16"/>
              </w:rPr>
              <w:fldChar w:fldCharType="end"/>
            </w:r>
            <w:r w:rsidRPr="002E0D60">
              <w:rPr>
                <w:rFonts w:ascii="Avenir Next Regular" w:hAnsi="Avenir Next Regular" w:cs="Calibri"/>
                <w:b/>
                <w:bCs/>
                <w:color w:val="000000"/>
                <w:sz w:val="16"/>
                <w:szCs w:val="16"/>
              </w:rPr>
              <w:t xml:space="preserve">Gender Equality </w:t>
            </w:r>
          </w:p>
        </w:tc>
        <w:tc>
          <w:tcPr>
            <w:tcW w:w="1079" w:type="pct"/>
            <w:tcBorders>
              <w:top w:val="nil"/>
              <w:left w:val="nil"/>
              <w:bottom w:val="single" w:sz="4" w:space="0" w:color="auto"/>
              <w:right w:val="single" w:sz="4" w:space="0" w:color="auto"/>
            </w:tcBorders>
            <w:shd w:val="clear" w:color="auto" w:fill="auto"/>
            <w:hideMark/>
          </w:tcPr>
          <w:p w14:paraId="782ABFFD"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1B143D4E"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72809E7E"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15C96F88"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hideMark/>
          </w:tcPr>
          <w:p w14:paraId="6CD24A88"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5A822B41" w14:textId="77777777" w:rsidR="00E36E18" w:rsidRPr="002E0D60" w:rsidRDefault="00E36E18" w:rsidP="00EB5106">
            <w:pPr>
              <w:rPr>
                <w:rFonts w:ascii="Avenir Next Regular" w:hAnsi="Avenir Next Regular" w:cs="Calibri" w:hint="eastAsia"/>
                <w:b/>
                <w:bCs/>
                <w:color w:val="000000"/>
                <w:sz w:val="16"/>
                <w:szCs w:val="16"/>
              </w:rPr>
            </w:pPr>
            <w:r>
              <w:rPr>
                <w:color w:val="000000"/>
                <w:sz w:val="16"/>
                <w:szCs w:val="16"/>
              </w:rPr>
              <w:fldChar w:fldCharType="begin">
                <w:ffData>
                  <w:name w:val=""/>
                  <w:enabled/>
                  <w:calcOnExit w:val="0"/>
                  <w:checkBox>
                    <w:sizeAuto/>
                    <w:default w:val="1"/>
                  </w:checkBox>
                </w:ffData>
              </w:fldChar>
            </w:r>
            <w:r>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Pr>
                <w:color w:val="000000"/>
                <w:sz w:val="16"/>
                <w:szCs w:val="16"/>
              </w:rPr>
              <w:fldChar w:fldCharType="end"/>
            </w:r>
            <w:r w:rsidRPr="002E0D60">
              <w:rPr>
                <w:rFonts w:ascii="Avenir Next Regular" w:hAnsi="Avenir Next Regular" w:cs="Calibri"/>
                <w:b/>
                <w:bCs/>
                <w:color w:val="000000"/>
                <w:sz w:val="16"/>
                <w:szCs w:val="16"/>
              </w:rPr>
              <w:t>Gender Mainstreaming</w:t>
            </w:r>
          </w:p>
        </w:tc>
        <w:tc>
          <w:tcPr>
            <w:tcW w:w="1439" w:type="pct"/>
            <w:tcBorders>
              <w:top w:val="nil"/>
              <w:left w:val="nil"/>
              <w:bottom w:val="single" w:sz="4" w:space="0" w:color="auto"/>
              <w:right w:val="single" w:sz="4" w:space="0" w:color="auto"/>
            </w:tcBorders>
            <w:shd w:val="clear" w:color="auto" w:fill="auto"/>
          </w:tcPr>
          <w:p w14:paraId="4EC25386" w14:textId="77777777" w:rsidR="00E36E18" w:rsidRPr="002E0D60" w:rsidRDefault="00E36E18" w:rsidP="00EB5106">
            <w:pPr>
              <w:rPr>
                <w:rFonts w:ascii="Avenir Next Regular" w:hAnsi="Avenir Next Regular" w:cs="Calibri" w:hint="eastAsia"/>
                <w:color w:val="000000"/>
                <w:sz w:val="16"/>
                <w:szCs w:val="16"/>
              </w:rPr>
            </w:pPr>
          </w:p>
        </w:tc>
        <w:tc>
          <w:tcPr>
            <w:tcW w:w="1493" w:type="pct"/>
            <w:tcBorders>
              <w:top w:val="nil"/>
              <w:left w:val="nil"/>
              <w:bottom w:val="single" w:sz="4" w:space="0" w:color="auto"/>
              <w:right w:val="single" w:sz="4" w:space="0" w:color="auto"/>
            </w:tcBorders>
            <w:shd w:val="clear" w:color="auto" w:fill="auto"/>
            <w:hideMark/>
          </w:tcPr>
          <w:p w14:paraId="100B1FA3"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3EB4F0FA"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tcPr>
          <w:p w14:paraId="6BC87A89" w14:textId="77777777" w:rsidR="00E36E18" w:rsidRPr="002E0D60" w:rsidRDefault="00E36E18" w:rsidP="00EB5106">
            <w:pPr>
              <w:rPr>
                <w:rFonts w:ascii="Avenir Next Regular" w:hAnsi="Avenir Next Regular" w:cs="Calibri" w:hint="eastAsia"/>
                <w:b/>
                <w:bCs/>
                <w:color w:val="000000"/>
                <w:sz w:val="16"/>
                <w:szCs w:val="16"/>
              </w:rPr>
            </w:pPr>
          </w:p>
        </w:tc>
        <w:tc>
          <w:tcPr>
            <w:tcW w:w="1079" w:type="pct"/>
            <w:tcBorders>
              <w:top w:val="nil"/>
              <w:left w:val="nil"/>
              <w:bottom w:val="single" w:sz="4" w:space="0" w:color="auto"/>
              <w:right w:val="single" w:sz="4" w:space="0" w:color="auto"/>
            </w:tcBorders>
            <w:shd w:val="clear" w:color="auto" w:fill="auto"/>
          </w:tcPr>
          <w:p w14:paraId="0511DA93" w14:textId="77777777" w:rsidR="00E36E18" w:rsidRPr="002E0D60" w:rsidRDefault="00E36E18" w:rsidP="00EB5106">
            <w:pPr>
              <w:rPr>
                <w:color w:val="000000"/>
                <w:sz w:val="16"/>
                <w:szCs w:val="16"/>
              </w:rPr>
            </w:pPr>
          </w:p>
        </w:tc>
        <w:tc>
          <w:tcPr>
            <w:tcW w:w="1439" w:type="pct"/>
            <w:tcBorders>
              <w:top w:val="nil"/>
              <w:left w:val="nil"/>
              <w:bottom w:val="single" w:sz="4" w:space="0" w:color="auto"/>
              <w:right w:val="single" w:sz="4" w:space="0" w:color="auto"/>
            </w:tcBorders>
            <w:shd w:val="clear" w:color="auto" w:fill="auto"/>
          </w:tcPr>
          <w:p w14:paraId="18FAF62C"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xml:space="preserve"> </w:t>
            </w: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Beneficiaries</w:t>
            </w:r>
          </w:p>
        </w:tc>
        <w:tc>
          <w:tcPr>
            <w:tcW w:w="1493" w:type="pct"/>
            <w:tcBorders>
              <w:top w:val="nil"/>
              <w:left w:val="nil"/>
              <w:bottom w:val="single" w:sz="4" w:space="0" w:color="auto"/>
              <w:right w:val="single" w:sz="4" w:space="0" w:color="auto"/>
            </w:tcBorders>
            <w:shd w:val="clear" w:color="auto" w:fill="auto"/>
          </w:tcPr>
          <w:p w14:paraId="6EC2B55F" w14:textId="77777777" w:rsidR="00E36E18" w:rsidRPr="002E0D60" w:rsidRDefault="00E36E18" w:rsidP="00EB5106">
            <w:pPr>
              <w:rPr>
                <w:rFonts w:ascii="Avenir Next Regular" w:hAnsi="Avenir Next Regular" w:cs="Calibri" w:hint="eastAsia"/>
                <w:color w:val="000000"/>
                <w:sz w:val="16"/>
                <w:szCs w:val="16"/>
              </w:rPr>
            </w:pPr>
          </w:p>
        </w:tc>
      </w:tr>
      <w:tr w:rsidR="00E36E18" w:rsidRPr="00B25CDB" w14:paraId="3157A4B3" w14:textId="77777777" w:rsidTr="00EB5106">
        <w:trPr>
          <w:trHeight w:val="143"/>
        </w:trPr>
        <w:tc>
          <w:tcPr>
            <w:tcW w:w="989" w:type="pct"/>
            <w:tcBorders>
              <w:top w:val="nil"/>
              <w:left w:val="single" w:sz="4" w:space="0" w:color="auto"/>
              <w:bottom w:val="single" w:sz="4" w:space="0" w:color="auto"/>
              <w:right w:val="single" w:sz="4" w:space="0" w:color="auto"/>
            </w:tcBorders>
            <w:shd w:val="clear" w:color="auto" w:fill="auto"/>
            <w:hideMark/>
          </w:tcPr>
          <w:p w14:paraId="3E8D7D37"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55096B04"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tcPr>
          <w:p w14:paraId="655B4F98"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xml:space="preserve"> </w:t>
            </w: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Women groups</w:t>
            </w:r>
          </w:p>
        </w:tc>
        <w:tc>
          <w:tcPr>
            <w:tcW w:w="1493" w:type="pct"/>
            <w:tcBorders>
              <w:top w:val="nil"/>
              <w:left w:val="nil"/>
              <w:bottom w:val="single" w:sz="4" w:space="0" w:color="auto"/>
              <w:right w:val="single" w:sz="4" w:space="0" w:color="auto"/>
            </w:tcBorders>
            <w:shd w:val="clear" w:color="auto" w:fill="auto"/>
            <w:hideMark/>
          </w:tcPr>
          <w:p w14:paraId="7B095D92"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79BF98D8" w14:textId="77777777" w:rsidTr="00EB5106">
        <w:trPr>
          <w:trHeight w:val="125"/>
        </w:trPr>
        <w:tc>
          <w:tcPr>
            <w:tcW w:w="989" w:type="pct"/>
            <w:tcBorders>
              <w:top w:val="nil"/>
              <w:left w:val="single" w:sz="4" w:space="0" w:color="auto"/>
              <w:bottom w:val="single" w:sz="4" w:space="0" w:color="auto"/>
              <w:right w:val="single" w:sz="4" w:space="0" w:color="auto"/>
            </w:tcBorders>
            <w:shd w:val="clear" w:color="auto" w:fill="auto"/>
            <w:hideMark/>
          </w:tcPr>
          <w:p w14:paraId="0A5627D8"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26434184"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tcPr>
          <w:p w14:paraId="7D3539B2"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xml:space="preserve"> </w:t>
            </w:r>
            <w:r>
              <w:rPr>
                <w:color w:val="000000"/>
                <w:sz w:val="16"/>
                <w:szCs w:val="16"/>
              </w:rPr>
              <w:fldChar w:fldCharType="begin">
                <w:ffData>
                  <w:name w:val=""/>
                  <w:enabled/>
                  <w:calcOnExit w:val="0"/>
                  <w:checkBox>
                    <w:sizeAuto/>
                    <w:default w:val="1"/>
                  </w:checkBox>
                </w:ffData>
              </w:fldChar>
            </w:r>
            <w:r>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Pr>
                <w:color w:val="000000"/>
                <w:sz w:val="16"/>
                <w:szCs w:val="16"/>
              </w:rPr>
              <w:fldChar w:fldCharType="end"/>
            </w:r>
            <w:r w:rsidRPr="002E0D60">
              <w:rPr>
                <w:rFonts w:ascii="Avenir Next Regular" w:hAnsi="Avenir Next Regular" w:cs="Calibri"/>
                <w:color w:val="000000"/>
                <w:sz w:val="16"/>
                <w:szCs w:val="16"/>
              </w:rPr>
              <w:t>Sex-disaggregated indicators</w:t>
            </w:r>
          </w:p>
        </w:tc>
        <w:tc>
          <w:tcPr>
            <w:tcW w:w="1493" w:type="pct"/>
            <w:tcBorders>
              <w:top w:val="nil"/>
              <w:left w:val="nil"/>
              <w:bottom w:val="single" w:sz="4" w:space="0" w:color="auto"/>
              <w:right w:val="single" w:sz="4" w:space="0" w:color="auto"/>
            </w:tcBorders>
            <w:shd w:val="clear" w:color="auto" w:fill="auto"/>
            <w:hideMark/>
          </w:tcPr>
          <w:p w14:paraId="7DF34C35"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20BEB7AD"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hideMark/>
          </w:tcPr>
          <w:p w14:paraId="46577F98"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25C6BE11"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tcPr>
          <w:p w14:paraId="54764F77"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xml:space="preserve"> </w:t>
            </w: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Gender-sensitive indicators</w:t>
            </w:r>
          </w:p>
        </w:tc>
        <w:tc>
          <w:tcPr>
            <w:tcW w:w="1493" w:type="pct"/>
            <w:tcBorders>
              <w:top w:val="nil"/>
              <w:left w:val="nil"/>
              <w:bottom w:val="single" w:sz="4" w:space="0" w:color="auto"/>
              <w:right w:val="single" w:sz="4" w:space="0" w:color="auto"/>
            </w:tcBorders>
            <w:shd w:val="clear" w:color="auto" w:fill="auto"/>
            <w:hideMark/>
          </w:tcPr>
          <w:p w14:paraId="59D37866"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42A7EA08" w14:textId="77777777" w:rsidTr="00EB5106">
        <w:trPr>
          <w:trHeight w:val="143"/>
        </w:trPr>
        <w:tc>
          <w:tcPr>
            <w:tcW w:w="989" w:type="pct"/>
            <w:tcBorders>
              <w:top w:val="nil"/>
              <w:left w:val="single" w:sz="4" w:space="0" w:color="auto"/>
              <w:bottom w:val="single" w:sz="4" w:space="0" w:color="auto"/>
              <w:right w:val="single" w:sz="4" w:space="0" w:color="auto"/>
            </w:tcBorders>
            <w:shd w:val="clear" w:color="auto" w:fill="auto"/>
            <w:hideMark/>
          </w:tcPr>
          <w:p w14:paraId="4F991A6C"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3F979260" w14:textId="77777777" w:rsidR="00E36E18" w:rsidRPr="002E0D60" w:rsidRDefault="00E36E18" w:rsidP="00EB5106">
            <w:pPr>
              <w:rPr>
                <w:rFonts w:ascii="Avenir Next Regular" w:hAnsi="Avenir Next Regular" w:cs="Calibri" w:hint="eastAsia"/>
                <w:b/>
                <w:bCs/>
                <w:color w:val="000000"/>
                <w:sz w:val="16"/>
                <w:szCs w:val="16"/>
              </w:rPr>
            </w:pPr>
            <w:r>
              <w:rPr>
                <w:color w:val="000000"/>
                <w:sz w:val="16"/>
                <w:szCs w:val="16"/>
              </w:rPr>
              <w:fldChar w:fldCharType="begin">
                <w:ffData>
                  <w:name w:val=""/>
                  <w:enabled/>
                  <w:calcOnExit w:val="0"/>
                  <w:checkBox>
                    <w:sizeAuto/>
                    <w:default w:val="1"/>
                  </w:checkBox>
                </w:ffData>
              </w:fldChar>
            </w:r>
            <w:r>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Pr>
                <w:color w:val="000000"/>
                <w:sz w:val="16"/>
                <w:szCs w:val="16"/>
              </w:rPr>
              <w:fldChar w:fldCharType="end"/>
            </w:r>
            <w:r w:rsidRPr="002E0D60">
              <w:rPr>
                <w:rFonts w:ascii="Avenir Next Regular" w:hAnsi="Avenir Next Regular" w:cs="Calibri"/>
                <w:b/>
                <w:bCs/>
                <w:color w:val="000000"/>
                <w:sz w:val="16"/>
                <w:szCs w:val="16"/>
              </w:rPr>
              <w:t>Gender results areas</w:t>
            </w:r>
          </w:p>
        </w:tc>
        <w:tc>
          <w:tcPr>
            <w:tcW w:w="1439" w:type="pct"/>
            <w:tcBorders>
              <w:top w:val="nil"/>
              <w:left w:val="nil"/>
              <w:bottom w:val="single" w:sz="4" w:space="0" w:color="auto"/>
              <w:right w:val="single" w:sz="4" w:space="0" w:color="auto"/>
            </w:tcBorders>
            <w:shd w:val="clear" w:color="auto" w:fill="auto"/>
          </w:tcPr>
          <w:p w14:paraId="34D7515B" w14:textId="77777777" w:rsidR="00E36E18" w:rsidRPr="002E0D60" w:rsidRDefault="00E36E18" w:rsidP="00EB5106">
            <w:pPr>
              <w:rPr>
                <w:rFonts w:ascii="Avenir Next Regular" w:hAnsi="Avenir Next Regular" w:cs="Calibri" w:hint="eastAsia"/>
                <w:color w:val="000000"/>
                <w:sz w:val="16"/>
                <w:szCs w:val="16"/>
              </w:rPr>
            </w:pPr>
          </w:p>
        </w:tc>
        <w:tc>
          <w:tcPr>
            <w:tcW w:w="1493" w:type="pct"/>
            <w:tcBorders>
              <w:top w:val="nil"/>
              <w:left w:val="nil"/>
              <w:bottom w:val="single" w:sz="4" w:space="0" w:color="auto"/>
              <w:right w:val="single" w:sz="4" w:space="0" w:color="auto"/>
            </w:tcBorders>
            <w:shd w:val="clear" w:color="auto" w:fill="auto"/>
            <w:hideMark/>
          </w:tcPr>
          <w:p w14:paraId="4358D9CA"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6B9D5E7F" w14:textId="77777777" w:rsidTr="00EB5106">
        <w:trPr>
          <w:trHeight w:val="143"/>
        </w:trPr>
        <w:tc>
          <w:tcPr>
            <w:tcW w:w="989" w:type="pct"/>
            <w:tcBorders>
              <w:top w:val="nil"/>
              <w:left w:val="single" w:sz="4" w:space="0" w:color="auto"/>
              <w:bottom w:val="single" w:sz="4" w:space="0" w:color="auto"/>
              <w:right w:val="single" w:sz="4" w:space="0" w:color="auto"/>
            </w:tcBorders>
            <w:shd w:val="clear" w:color="auto" w:fill="auto"/>
          </w:tcPr>
          <w:p w14:paraId="3ECA11F8" w14:textId="77777777" w:rsidR="00E36E18" w:rsidRPr="002E0D60" w:rsidRDefault="00E36E18" w:rsidP="00EB5106">
            <w:pPr>
              <w:rPr>
                <w:rFonts w:ascii="Avenir Next Regular" w:hAnsi="Avenir Next Regular" w:cs="Calibri" w:hint="eastAsia"/>
                <w:b/>
                <w:bCs/>
                <w:color w:val="000000"/>
                <w:sz w:val="16"/>
                <w:szCs w:val="16"/>
              </w:rPr>
            </w:pPr>
          </w:p>
        </w:tc>
        <w:tc>
          <w:tcPr>
            <w:tcW w:w="1079" w:type="pct"/>
            <w:tcBorders>
              <w:top w:val="nil"/>
              <w:left w:val="nil"/>
              <w:bottom w:val="single" w:sz="4" w:space="0" w:color="auto"/>
              <w:right w:val="single" w:sz="4" w:space="0" w:color="auto"/>
            </w:tcBorders>
            <w:shd w:val="clear" w:color="auto" w:fill="auto"/>
          </w:tcPr>
          <w:p w14:paraId="6920217F" w14:textId="77777777" w:rsidR="00E36E18" w:rsidRPr="002E0D60" w:rsidRDefault="00E36E18" w:rsidP="00EB5106">
            <w:pPr>
              <w:rPr>
                <w:color w:val="000000"/>
                <w:sz w:val="16"/>
                <w:szCs w:val="16"/>
              </w:rPr>
            </w:pPr>
          </w:p>
        </w:tc>
        <w:tc>
          <w:tcPr>
            <w:tcW w:w="1439" w:type="pct"/>
            <w:tcBorders>
              <w:top w:val="nil"/>
              <w:left w:val="nil"/>
              <w:bottom w:val="single" w:sz="4" w:space="0" w:color="auto"/>
              <w:right w:val="single" w:sz="4" w:space="0" w:color="auto"/>
            </w:tcBorders>
            <w:shd w:val="clear" w:color="auto" w:fill="auto"/>
          </w:tcPr>
          <w:p w14:paraId="10B1ED24" w14:textId="77777777" w:rsidR="00E36E18" w:rsidRPr="002E0D60" w:rsidRDefault="00E36E18" w:rsidP="00EB5106">
            <w:pPr>
              <w:ind w:left="150" w:hanging="150"/>
              <w:rPr>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Access and control over natural resources</w:t>
            </w:r>
          </w:p>
        </w:tc>
        <w:tc>
          <w:tcPr>
            <w:tcW w:w="1493" w:type="pct"/>
            <w:tcBorders>
              <w:top w:val="nil"/>
              <w:left w:val="nil"/>
              <w:bottom w:val="single" w:sz="4" w:space="0" w:color="auto"/>
              <w:right w:val="single" w:sz="4" w:space="0" w:color="auto"/>
            </w:tcBorders>
            <w:shd w:val="clear" w:color="auto" w:fill="auto"/>
          </w:tcPr>
          <w:p w14:paraId="14E3360D" w14:textId="77777777" w:rsidR="00E36E18" w:rsidRPr="002E0D60" w:rsidRDefault="00E36E18" w:rsidP="00EB5106">
            <w:pPr>
              <w:rPr>
                <w:rFonts w:ascii="Avenir Next Regular" w:hAnsi="Avenir Next Regular" w:cs="Calibri" w:hint="eastAsia"/>
                <w:color w:val="000000"/>
                <w:sz w:val="16"/>
                <w:szCs w:val="16"/>
              </w:rPr>
            </w:pPr>
          </w:p>
        </w:tc>
      </w:tr>
      <w:tr w:rsidR="00E36E18" w:rsidRPr="00B25CDB" w14:paraId="1135AF97" w14:textId="77777777" w:rsidTr="00EB5106">
        <w:trPr>
          <w:trHeight w:val="143"/>
        </w:trPr>
        <w:tc>
          <w:tcPr>
            <w:tcW w:w="989" w:type="pct"/>
            <w:tcBorders>
              <w:top w:val="nil"/>
              <w:left w:val="single" w:sz="4" w:space="0" w:color="auto"/>
              <w:bottom w:val="single" w:sz="4" w:space="0" w:color="auto"/>
              <w:right w:val="single" w:sz="4" w:space="0" w:color="auto"/>
            </w:tcBorders>
            <w:shd w:val="clear" w:color="auto" w:fill="auto"/>
            <w:hideMark/>
          </w:tcPr>
          <w:p w14:paraId="0F3F1CCF"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0340EF9E"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tcPr>
          <w:p w14:paraId="6D353FA3" w14:textId="77777777" w:rsidR="00E36E18" w:rsidRPr="002E0D60" w:rsidRDefault="00E36E18" w:rsidP="00EB5106">
            <w:pPr>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Participation and leadership</w:t>
            </w:r>
          </w:p>
        </w:tc>
        <w:tc>
          <w:tcPr>
            <w:tcW w:w="1493" w:type="pct"/>
            <w:tcBorders>
              <w:top w:val="nil"/>
              <w:left w:val="nil"/>
              <w:bottom w:val="single" w:sz="4" w:space="0" w:color="auto"/>
              <w:right w:val="single" w:sz="4" w:space="0" w:color="auto"/>
            </w:tcBorders>
            <w:shd w:val="clear" w:color="auto" w:fill="auto"/>
            <w:hideMark/>
          </w:tcPr>
          <w:p w14:paraId="2ED735BF"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659497BA"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hideMark/>
          </w:tcPr>
          <w:p w14:paraId="539DE71B"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6BB7D9F0"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tcPr>
          <w:p w14:paraId="0730B1F2" w14:textId="77777777" w:rsidR="00E36E18" w:rsidRPr="002E0D60" w:rsidRDefault="00E36E18" w:rsidP="00EB5106">
            <w:pPr>
              <w:rPr>
                <w:rFonts w:ascii="Avenir Next Regular" w:hAnsi="Avenir Next Regular" w:cs="Calibri" w:hint="eastAsia"/>
                <w:color w:val="000000"/>
                <w:sz w:val="16"/>
                <w:szCs w:val="16"/>
              </w:rPr>
            </w:pPr>
            <w:r>
              <w:rPr>
                <w:color w:val="000000"/>
                <w:sz w:val="16"/>
                <w:szCs w:val="16"/>
              </w:rPr>
              <w:fldChar w:fldCharType="begin">
                <w:ffData>
                  <w:name w:val=""/>
                  <w:enabled/>
                  <w:calcOnExit w:val="0"/>
                  <w:checkBox>
                    <w:sizeAuto/>
                    <w:default w:val="1"/>
                  </w:checkBox>
                </w:ffData>
              </w:fldChar>
            </w:r>
            <w:r>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Pr>
                <w:color w:val="000000"/>
                <w:sz w:val="16"/>
                <w:szCs w:val="16"/>
              </w:rPr>
              <w:fldChar w:fldCharType="end"/>
            </w:r>
            <w:r w:rsidRPr="002E0D60">
              <w:rPr>
                <w:rFonts w:ascii="Avenir Next Regular" w:hAnsi="Avenir Next Regular" w:cs="Calibri"/>
                <w:color w:val="000000"/>
                <w:sz w:val="16"/>
                <w:szCs w:val="16"/>
              </w:rPr>
              <w:t>Access to benefits and services</w:t>
            </w:r>
          </w:p>
        </w:tc>
        <w:tc>
          <w:tcPr>
            <w:tcW w:w="1493" w:type="pct"/>
            <w:tcBorders>
              <w:top w:val="nil"/>
              <w:left w:val="nil"/>
              <w:bottom w:val="single" w:sz="4" w:space="0" w:color="auto"/>
              <w:right w:val="single" w:sz="4" w:space="0" w:color="auto"/>
            </w:tcBorders>
            <w:shd w:val="clear" w:color="auto" w:fill="auto"/>
            <w:hideMark/>
          </w:tcPr>
          <w:p w14:paraId="722737CD"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38D18ACD"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hideMark/>
          </w:tcPr>
          <w:p w14:paraId="108D95E9"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22BCCF3B"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tcPr>
          <w:p w14:paraId="4066DE21" w14:textId="77777777" w:rsidR="00E36E18" w:rsidRPr="002E0D60" w:rsidRDefault="00E36E18" w:rsidP="00EB5106">
            <w:pPr>
              <w:rPr>
                <w:rFonts w:ascii="Avenir Next Regular" w:hAnsi="Avenir Next Regular" w:cs="Calibri" w:hint="eastAsia"/>
                <w:color w:val="000000"/>
                <w:sz w:val="16"/>
                <w:szCs w:val="16"/>
              </w:rPr>
            </w:pPr>
            <w:r>
              <w:rPr>
                <w:color w:val="000000"/>
                <w:sz w:val="16"/>
                <w:szCs w:val="16"/>
              </w:rPr>
              <w:fldChar w:fldCharType="begin">
                <w:ffData>
                  <w:name w:val=""/>
                  <w:enabled/>
                  <w:calcOnExit w:val="0"/>
                  <w:checkBox>
                    <w:sizeAuto/>
                    <w:default w:val="1"/>
                  </w:checkBox>
                </w:ffData>
              </w:fldChar>
            </w:r>
            <w:r>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Pr>
                <w:color w:val="000000"/>
                <w:sz w:val="16"/>
                <w:szCs w:val="16"/>
              </w:rPr>
              <w:fldChar w:fldCharType="end"/>
            </w:r>
            <w:r w:rsidRPr="002E0D60">
              <w:rPr>
                <w:rFonts w:ascii="Avenir Next Regular" w:hAnsi="Avenir Next Regular" w:cs="Calibri"/>
                <w:color w:val="000000"/>
                <w:sz w:val="16"/>
                <w:szCs w:val="16"/>
              </w:rPr>
              <w:t>Capacity development</w:t>
            </w:r>
          </w:p>
        </w:tc>
        <w:tc>
          <w:tcPr>
            <w:tcW w:w="1493" w:type="pct"/>
            <w:tcBorders>
              <w:top w:val="nil"/>
              <w:left w:val="nil"/>
              <w:bottom w:val="single" w:sz="4" w:space="0" w:color="auto"/>
              <w:right w:val="single" w:sz="4" w:space="0" w:color="auto"/>
            </w:tcBorders>
            <w:shd w:val="clear" w:color="auto" w:fill="auto"/>
            <w:hideMark/>
          </w:tcPr>
          <w:p w14:paraId="45646DB5"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30CD1D74" w14:textId="77777777" w:rsidTr="00EB5106">
        <w:trPr>
          <w:trHeight w:val="143"/>
        </w:trPr>
        <w:tc>
          <w:tcPr>
            <w:tcW w:w="989" w:type="pct"/>
            <w:tcBorders>
              <w:top w:val="nil"/>
              <w:left w:val="single" w:sz="4" w:space="0" w:color="auto"/>
              <w:bottom w:val="single" w:sz="4" w:space="0" w:color="auto"/>
              <w:right w:val="single" w:sz="4" w:space="0" w:color="auto"/>
            </w:tcBorders>
            <w:shd w:val="clear" w:color="auto" w:fill="auto"/>
            <w:hideMark/>
          </w:tcPr>
          <w:p w14:paraId="59C6B057"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3667D997"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single" w:sz="4" w:space="0" w:color="7F7F7F"/>
              <w:left w:val="single" w:sz="4" w:space="0" w:color="7F7F7F"/>
              <w:bottom w:val="single" w:sz="4" w:space="0" w:color="7F7F7F"/>
              <w:right w:val="single" w:sz="4" w:space="0" w:color="7F7F7F"/>
            </w:tcBorders>
            <w:shd w:val="clear" w:color="auto" w:fill="auto"/>
          </w:tcPr>
          <w:p w14:paraId="4913437B" w14:textId="77777777" w:rsidR="00E36E18" w:rsidRPr="002E0D60" w:rsidRDefault="00E36E18" w:rsidP="00EB5106">
            <w:pPr>
              <w:rPr>
                <w:rFonts w:ascii="Avenir Next Regular" w:hAnsi="Avenir Next Regular" w:cs="Calibri" w:hint="eastAsia"/>
                <w:color w:val="000000"/>
                <w:sz w:val="16"/>
                <w:szCs w:val="16"/>
              </w:rPr>
            </w:pPr>
            <w:r>
              <w:rPr>
                <w:color w:val="000000"/>
                <w:sz w:val="16"/>
                <w:szCs w:val="16"/>
              </w:rPr>
              <w:fldChar w:fldCharType="begin">
                <w:ffData>
                  <w:name w:val=""/>
                  <w:enabled/>
                  <w:calcOnExit w:val="0"/>
                  <w:checkBox>
                    <w:sizeAuto/>
                    <w:default w:val="1"/>
                  </w:checkBox>
                </w:ffData>
              </w:fldChar>
            </w:r>
            <w:r>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Pr>
                <w:color w:val="000000"/>
                <w:sz w:val="16"/>
                <w:szCs w:val="16"/>
              </w:rPr>
              <w:fldChar w:fldCharType="end"/>
            </w:r>
            <w:r w:rsidRPr="002E0D60">
              <w:rPr>
                <w:rFonts w:ascii="Avenir Next Regular" w:hAnsi="Avenir Next Regular" w:cs="Calibri"/>
                <w:color w:val="000000"/>
                <w:sz w:val="16"/>
                <w:szCs w:val="16"/>
              </w:rPr>
              <w:t>Awareness raising</w:t>
            </w:r>
          </w:p>
        </w:tc>
        <w:tc>
          <w:tcPr>
            <w:tcW w:w="1493" w:type="pct"/>
            <w:tcBorders>
              <w:top w:val="nil"/>
              <w:left w:val="nil"/>
              <w:bottom w:val="nil"/>
              <w:right w:val="nil"/>
            </w:tcBorders>
            <w:shd w:val="clear" w:color="auto" w:fill="auto"/>
            <w:hideMark/>
          </w:tcPr>
          <w:p w14:paraId="0310A66C"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52A6B8DD" w14:textId="77777777" w:rsidTr="00EB5106">
        <w:trPr>
          <w:trHeight w:val="125"/>
        </w:trPr>
        <w:tc>
          <w:tcPr>
            <w:tcW w:w="989" w:type="pct"/>
            <w:tcBorders>
              <w:top w:val="nil"/>
              <w:left w:val="single" w:sz="4" w:space="0" w:color="auto"/>
              <w:bottom w:val="single" w:sz="4" w:space="0" w:color="auto"/>
              <w:right w:val="single" w:sz="4" w:space="0" w:color="auto"/>
            </w:tcBorders>
            <w:shd w:val="clear" w:color="auto" w:fill="auto"/>
            <w:hideMark/>
          </w:tcPr>
          <w:p w14:paraId="47EFC907"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54FFF2E0"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single" w:sz="4" w:space="0" w:color="7F7F7F"/>
              <w:bottom w:val="single" w:sz="4" w:space="0" w:color="7F7F7F"/>
              <w:right w:val="single" w:sz="4" w:space="0" w:color="7F7F7F"/>
            </w:tcBorders>
            <w:shd w:val="clear" w:color="auto" w:fill="auto"/>
          </w:tcPr>
          <w:p w14:paraId="7A155356" w14:textId="77777777" w:rsidR="00E36E18" w:rsidRPr="002E0D60" w:rsidRDefault="00E36E18" w:rsidP="00EB5106">
            <w:pPr>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Knowledge generation</w:t>
            </w:r>
          </w:p>
        </w:tc>
        <w:tc>
          <w:tcPr>
            <w:tcW w:w="1493" w:type="pct"/>
            <w:tcBorders>
              <w:top w:val="nil"/>
              <w:left w:val="nil"/>
              <w:bottom w:val="nil"/>
              <w:right w:val="nil"/>
            </w:tcBorders>
            <w:shd w:val="clear" w:color="auto" w:fill="auto"/>
            <w:hideMark/>
          </w:tcPr>
          <w:p w14:paraId="1F2B13E3"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515A83BF" w14:textId="77777777" w:rsidTr="00EB5106">
        <w:trPr>
          <w:trHeight w:val="179"/>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610EE879" w14:textId="77777777" w:rsidR="00E36E18" w:rsidRPr="002E0D60" w:rsidRDefault="00E36E18" w:rsidP="00EB5106">
            <w:pPr>
              <w:rPr>
                <w:rFonts w:ascii="Avenir Next Regular" w:hAnsi="Avenir Next Regular" w:cs="Calibri" w:hint="eastAsia"/>
                <w:b/>
                <w:bCs/>
                <w:color w:val="000000"/>
                <w:sz w:val="16"/>
                <w:szCs w:val="16"/>
              </w:rPr>
            </w:pPr>
            <w:r>
              <w:rPr>
                <w:color w:val="000000"/>
                <w:sz w:val="16"/>
                <w:szCs w:val="16"/>
              </w:rPr>
              <w:fldChar w:fldCharType="begin">
                <w:ffData>
                  <w:name w:val=""/>
                  <w:enabled/>
                  <w:calcOnExit w:val="0"/>
                  <w:checkBox>
                    <w:sizeAuto/>
                    <w:default w:val="1"/>
                  </w:checkBox>
                </w:ffData>
              </w:fldChar>
            </w:r>
            <w:r>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Pr>
                <w:color w:val="000000"/>
                <w:sz w:val="16"/>
                <w:szCs w:val="16"/>
              </w:rPr>
              <w:fldChar w:fldCharType="end"/>
            </w:r>
            <w:r w:rsidRPr="002E0D60">
              <w:rPr>
                <w:rFonts w:ascii="Avenir Next Regular" w:hAnsi="Avenir Next Regular" w:cs="Calibri"/>
                <w:b/>
                <w:bCs/>
                <w:color w:val="000000"/>
                <w:sz w:val="16"/>
                <w:szCs w:val="16"/>
              </w:rPr>
              <w:t>Focal Areas/Theme</w:t>
            </w:r>
          </w:p>
        </w:tc>
        <w:tc>
          <w:tcPr>
            <w:tcW w:w="1079" w:type="pct"/>
            <w:tcBorders>
              <w:top w:val="nil"/>
              <w:left w:val="nil"/>
              <w:bottom w:val="single" w:sz="4" w:space="0" w:color="auto"/>
              <w:right w:val="single" w:sz="4" w:space="0" w:color="auto"/>
            </w:tcBorders>
            <w:shd w:val="clear" w:color="auto" w:fill="auto"/>
          </w:tcPr>
          <w:p w14:paraId="13F96345" w14:textId="77777777" w:rsidR="00E36E18" w:rsidRPr="002E0D60" w:rsidRDefault="00E36E18" w:rsidP="00EB5106">
            <w:pPr>
              <w:rPr>
                <w:rFonts w:ascii="Avenir Next Regular" w:hAnsi="Avenir Next Regular" w:cs="Calibri" w:hint="eastAsia"/>
                <w:b/>
                <w:bCs/>
                <w:color w:val="000000"/>
                <w:sz w:val="16"/>
                <w:szCs w:val="16"/>
              </w:rPr>
            </w:pPr>
          </w:p>
        </w:tc>
        <w:tc>
          <w:tcPr>
            <w:tcW w:w="1439" w:type="pct"/>
            <w:tcBorders>
              <w:top w:val="single" w:sz="4" w:space="0" w:color="auto"/>
              <w:left w:val="nil"/>
              <w:bottom w:val="single" w:sz="4" w:space="0" w:color="auto"/>
              <w:right w:val="single" w:sz="4" w:space="0" w:color="auto"/>
            </w:tcBorders>
            <w:shd w:val="clear" w:color="auto" w:fill="auto"/>
            <w:hideMark/>
          </w:tcPr>
          <w:p w14:paraId="61620476"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single" w:sz="4" w:space="0" w:color="auto"/>
              <w:left w:val="nil"/>
              <w:bottom w:val="single" w:sz="4" w:space="0" w:color="auto"/>
              <w:right w:val="single" w:sz="4" w:space="0" w:color="auto"/>
            </w:tcBorders>
            <w:shd w:val="clear" w:color="auto" w:fill="auto"/>
            <w:hideMark/>
          </w:tcPr>
          <w:p w14:paraId="08521E21"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0D578AD0" w14:textId="77777777" w:rsidTr="00EB5106">
        <w:trPr>
          <w:trHeight w:val="179"/>
        </w:trPr>
        <w:tc>
          <w:tcPr>
            <w:tcW w:w="989" w:type="pct"/>
            <w:tcBorders>
              <w:top w:val="nil"/>
              <w:left w:val="single" w:sz="4" w:space="0" w:color="auto"/>
              <w:bottom w:val="single" w:sz="4" w:space="0" w:color="auto"/>
              <w:right w:val="single" w:sz="4" w:space="0" w:color="auto"/>
            </w:tcBorders>
            <w:shd w:val="clear" w:color="auto" w:fill="auto"/>
            <w:noWrap/>
            <w:vAlign w:val="bottom"/>
          </w:tcPr>
          <w:p w14:paraId="187D133A" w14:textId="77777777" w:rsidR="00E36E18" w:rsidRPr="002E0D60" w:rsidRDefault="00E36E18" w:rsidP="00EB5106">
            <w:pPr>
              <w:rPr>
                <w:color w:val="000000"/>
                <w:sz w:val="16"/>
                <w:szCs w:val="16"/>
              </w:rPr>
            </w:pPr>
          </w:p>
        </w:tc>
        <w:tc>
          <w:tcPr>
            <w:tcW w:w="1079" w:type="pct"/>
            <w:tcBorders>
              <w:top w:val="nil"/>
              <w:left w:val="nil"/>
              <w:bottom w:val="single" w:sz="4" w:space="0" w:color="auto"/>
              <w:right w:val="single" w:sz="4" w:space="0" w:color="auto"/>
            </w:tcBorders>
            <w:shd w:val="clear" w:color="auto" w:fill="auto"/>
          </w:tcPr>
          <w:p w14:paraId="11574D93" w14:textId="77777777" w:rsidR="00E36E18" w:rsidRPr="002E0D60" w:rsidRDefault="00E36E18" w:rsidP="00EB5106">
            <w:pPr>
              <w:rPr>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b/>
                <w:bCs/>
                <w:color w:val="000000"/>
                <w:sz w:val="16"/>
                <w:szCs w:val="16"/>
              </w:rPr>
              <w:t>Integrated Programs</w:t>
            </w:r>
          </w:p>
        </w:tc>
        <w:tc>
          <w:tcPr>
            <w:tcW w:w="1439" w:type="pct"/>
            <w:tcBorders>
              <w:top w:val="single" w:sz="4" w:space="0" w:color="auto"/>
              <w:left w:val="nil"/>
              <w:bottom w:val="single" w:sz="4" w:space="0" w:color="auto"/>
              <w:right w:val="single" w:sz="4" w:space="0" w:color="auto"/>
            </w:tcBorders>
            <w:shd w:val="clear" w:color="auto" w:fill="auto"/>
          </w:tcPr>
          <w:p w14:paraId="5D47A80A" w14:textId="77777777" w:rsidR="00E36E18" w:rsidRPr="002E0D60" w:rsidRDefault="00E36E18" w:rsidP="00EB5106">
            <w:pPr>
              <w:rPr>
                <w:rFonts w:ascii="Avenir Next Regular" w:hAnsi="Avenir Next Regular" w:cs="Calibri" w:hint="eastAsia"/>
                <w:iCs/>
                <w:color w:val="000000"/>
                <w:sz w:val="16"/>
                <w:szCs w:val="16"/>
              </w:rPr>
            </w:pPr>
          </w:p>
        </w:tc>
        <w:tc>
          <w:tcPr>
            <w:tcW w:w="1493" w:type="pct"/>
            <w:tcBorders>
              <w:top w:val="single" w:sz="4" w:space="0" w:color="auto"/>
              <w:left w:val="nil"/>
              <w:bottom w:val="single" w:sz="4" w:space="0" w:color="auto"/>
              <w:right w:val="single" w:sz="4" w:space="0" w:color="auto"/>
            </w:tcBorders>
            <w:shd w:val="clear" w:color="auto" w:fill="auto"/>
          </w:tcPr>
          <w:p w14:paraId="210664D9" w14:textId="77777777" w:rsidR="00E36E18" w:rsidRPr="002E0D60" w:rsidRDefault="00E36E18" w:rsidP="00EB5106">
            <w:pPr>
              <w:rPr>
                <w:rFonts w:ascii="Avenir Next Regular" w:hAnsi="Avenir Next Regular" w:cs="Calibri" w:hint="eastAsia"/>
                <w:color w:val="000000"/>
                <w:sz w:val="16"/>
                <w:szCs w:val="16"/>
              </w:rPr>
            </w:pPr>
          </w:p>
        </w:tc>
      </w:tr>
      <w:tr w:rsidR="00E36E18" w:rsidRPr="00B25CDB" w14:paraId="356E0DE7" w14:textId="77777777" w:rsidTr="00EB5106">
        <w:trPr>
          <w:trHeight w:val="224"/>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727506F4"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0E98C417"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15A76D2A" w14:textId="77777777" w:rsidR="00E36E18" w:rsidRPr="002E0D60" w:rsidRDefault="00E36E18" w:rsidP="00EB5106">
            <w:pPr>
              <w:ind w:left="150" w:hanging="150"/>
              <w:rPr>
                <w:rFonts w:ascii="Avenir Next Regular" w:hAnsi="Avenir Next Regular" w:cs="Calibri" w:hint="eastAsia"/>
                <w:iCs/>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iCs/>
                <w:color w:val="000000"/>
                <w:sz w:val="16"/>
                <w:szCs w:val="16"/>
              </w:rPr>
              <w:t>Commodity Supply Chains (</w:t>
            </w:r>
            <w:r w:rsidRPr="002E0D60">
              <w:rPr>
                <w:rStyle w:val="FootnoteReference"/>
                <w:rFonts w:ascii="Avenir Next Regular" w:hAnsi="Avenir Next Regular" w:cs="Calibri"/>
                <w:iCs/>
                <w:color w:val="000000"/>
                <w:sz w:val="16"/>
                <w:szCs w:val="16"/>
              </w:rPr>
              <w:footnoteReference w:id="20"/>
            </w:r>
            <w:r w:rsidRPr="002E0D60">
              <w:rPr>
                <w:rFonts w:ascii="Avenir Next Regular" w:hAnsi="Avenir Next Regular" w:cs="Calibri"/>
                <w:iCs/>
                <w:color w:val="000000"/>
                <w:sz w:val="16"/>
                <w:szCs w:val="16"/>
              </w:rPr>
              <w:t>Good Growth Partnership)  </w:t>
            </w:r>
          </w:p>
        </w:tc>
        <w:tc>
          <w:tcPr>
            <w:tcW w:w="1493" w:type="pct"/>
            <w:tcBorders>
              <w:top w:val="nil"/>
              <w:left w:val="nil"/>
              <w:bottom w:val="single" w:sz="4" w:space="0" w:color="auto"/>
              <w:right w:val="single" w:sz="4" w:space="0" w:color="auto"/>
            </w:tcBorders>
            <w:shd w:val="clear" w:color="auto" w:fill="auto"/>
            <w:hideMark/>
          </w:tcPr>
          <w:p w14:paraId="5313B0AF"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72AF8D09" w14:textId="77777777" w:rsidTr="00EB5106">
        <w:trPr>
          <w:trHeight w:val="233"/>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5A183913"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6E5265CA"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6A17F90E"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34BA85E6" w14:textId="77777777" w:rsidR="00E36E18" w:rsidRPr="002E0D60" w:rsidRDefault="00E36E18" w:rsidP="00EB5106">
            <w:pPr>
              <w:ind w:left="192" w:hanging="192"/>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Sustainable Commodities Production</w:t>
            </w:r>
          </w:p>
        </w:tc>
      </w:tr>
      <w:tr w:rsidR="00E36E18" w:rsidRPr="00B25CDB" w14:paraId="74514C5F" w14:textId="77777777" w:rsidTr="00EB5106">
        <w:trPr>
          <w:trHeight w:val="89"/>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53C29338"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6A96BC69"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33C6E5A8"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70652BE1" w14:textId="77777777" w:rsidR="00E36E18" w:rsidRPr="002E0D60" w:rsidRDefault="00E36E18" w:rsidP="00EB5106">
            <w:pPr>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Deforestation-free Sourcing</w:t>
            </w:r>
          </w:p>
        </w:tc>
      </w:tr>
      <w:tr w:rsidR="00E36E18" w:rsidRPr="00B25CDB" w14:paraId="2FD1FD24" w14:textId="77777777" w:rsidTr="00EB5106">
        <w:trPr>
          <w:trHeight w:val="161"/>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6DEBDF9B"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0CEE2A55"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27DABD72"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0DA28B98" w14:textId="77777777" w:rsidR="00E36E18" w:rsidRPr="002E0D60" w:rsidRDefault="00E36E18" w:rsidP="00EB5106">
            <w:pPr>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Financial Screening Tools</w:t>
            </w:r>
          </w:p>
        </w:tc>
      </w:tr>
      <w:tr w:rsidR="00E36E18" w:rsidRPr="00B25CDB" w14:paraId="41809C3B" w14:textId="77777777" w:rsidTr="00EB5106">
        <w:trPr>
          <w:trHeight w:val="9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25E92D64"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7D7F0A99"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0DC69568"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165E7A25" w14:textId="77777777" w:rsidR="00E36E18" w:rsidRPr="002E0D60" w:rsidRDefault="00E36E18" w:rsidP="00EB5106">
            <w:pPr>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High Conservation Value Forests</w:t>
            </w:r>
          </w:p>
        </w:tc>
      </w:tr>
      <w:tr w:rsidR="00E36E18" w:rsidRPr="00B25CDB" w14:paraId="4ADD0962" w14:textId="77777777" w:rsidTr="00EB5106">
        <w:trPr>
          <w:trHeight w:val="170"/>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7DF66583"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70A149DF"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769BF6CE"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58583458" w14:textId="77777777" w:rsidR="00E36E18" w:rsidRPr="002E0D60" w:rsidRDefault="00E36E18" w:rsidP="00EB5106">
            <w:pPr>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High Carbon Stocks Forests</w:t>
            </w:r>
          </w:p>
        </w:tc>
      </w:tr>
      <w:tr w:rsidR="00E36E18" w:rsidRPr="00B25CDB" w14:paraId="2F3A4F37" w14:textId="77777777" w:rsidTr="00EB5106">
        <w:trPr>
          <w:trHeight w:val="143"/>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1CBDC048"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36864F2B"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5997E343"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32F6557C" w14:textId="77777777" w:rsidR="00E36E18" w:rsidRPr="002E0D60" w:rsidRDefault="00E36E18" w:rsidP="00EB5106">
            <w:pPr>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Soybean Supply Chain</w:t>
            </w:r>
          </w:p>
        </w:tc>
      </w:tr>
      <w:tr w:rsidR="00E36E18" w:rsidRPr="00B25CDB" w14:paraId="4CB44400"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6AFDAA4C"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207B2417"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2F245136"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1F4C49B4" w14:textId="77777777" w:rsidR="00E36E18" w:rsidRPr="002E0D60" w:rsidRDefault="00E36E18" w:rsidP="00EB5106">
            <w:pPr>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Oil Palm Supply Chain</w:t>
            </w:r>
          </w:p>
        </w:tc>
      </w:tr>
      <w:tr w:rsidR="00E36E18" w:rsidRPr="00B25CDB" w14:paraId="685C66E2" w14:textId="77777777" w:rsidTr="00EB5106">
        <w:trPr>
          <w:trHeight w:val="161"/>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3AA18406"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6152B3B8"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3CC57602"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7E4CEE3C" w14:textId="77777777" w:rsidR="00E36E18" w:rsidRPr="002E0D60" w:rsidRDefault="00E36E18" w:rsidP="00EB5106">
            <w:pPr>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Beef Supply Chain</w:t>
            </w:r>
          </w:p>
        </w:tc>
      </w:tr>
      <w:tr w:rsidR="00E36E18" w:rsidRPr="00B25CDB" w14:paraId="3A3B9C61" w14:textId="77777777" w:rsidTr="00EB5106">
        <w:trPr>
          <w:trHeight w:val="89"/>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3BE3EC4E"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31ED3E02"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7570AC1D"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7E87C91F" w14:textId="77777777" w:rsidR="00E36E18" w:rsidRPr="002E0D60" w:rsidRDefault="00E36E18" w:rsidP="00EB5106">
            <w:pPr>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Smallholder Farmers</w:t>
            </w:r>
          </w:p>
        </w:tc>
      </w:tr>
      <w:tr w:rsidR="00E36E18" w:rsidRPr="00B25CDB" w14:paraId="0731DE22" w14:textId="77777777" w:rsidTr="00EB5106">
        <w:trPr>
          <w:trHeight w:val="170"/>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1BEB014B"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219D5BBC"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2CD50BB2"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042E81B0" w14:textId="77777777" w:rsidR="00E36E18" w:rsidRPr="002E0D60" w:rsidRDefault="00E36E18" w:rsidP="00EB5106">
            <w:pPr>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Adaptive Management</w:t>
            </w:r>
          </w:p>
        </w:tc>
      </w:tr>
      <w:tr w:rsidR="00E36E18" w:rsidRPr="00B25CDB" w14:paraId="03B99A0B"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1F2383BD"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3081A4C8"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789B4C31" w14:textId="77777777" w:rsidR="00E36E18" w:rsidRPr="002E0D60" w:rsidRDefault="00E36E18" w:rsidP="00EB5106">
            <w:pPr>
              <w:ind w:left="150" w:hanging="150"/>
              <w:rPr>
                <w:rFonts w:ascii="Avenir Next Regular" w:hAnsi="Avenir Next Regular" w:cs="Calibri" w:hint="eastAsia"/>
                <w:iCs/>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iCs/>
                <w:color w:val="000000"/>
                <w:sz w:val="16"/>
                <w:szCs w:val="16"/>
              </w:rPr>
              <w:t>Food Security in Sub-Sahara Africa     </w:t>
            </w:r>
          </w:p>
        </w:tc>
        <w:tc>
          <w:tcPr>
            <w:tcW w:w="1493" w:type="pct"/>
            <w:tcBorders>
              <w:top w:val="nil"/>
              <w:left w:val="nil"/>
              <w:bottom w:val="single" w:sz="4" w:space="0" w:color="auto"/>
              <w:right w:val="single" w:sz="4" w:space="0" w:color="auto"/>
            </w:tcBorders>
            <w:shd w:val="clear" w:color="auto" w:fill="auto"/>
            <w:hideMark/>
          </w:tcPr>
          <w:p w14:paraId="78C6F533"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31CC4163" w14:textId="77777777" w:rsidTr="00EB5106">
        <w:trPr>
          <w:trHeight w:val="170"/>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02575CDC"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6C92149F"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3B2E1A84"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72BC0301" w14:textId="77777777" w:rsidR="00E36E18" w:rsidRPr="002E0D60" w:rsidRDefault="00E36E18" w:rsidP="00EB5106">
            <w:pPr>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Resilience (climate and shocks)</w:t>
            </w:r>
          </w:p>
        </w:tc>
      </w:tr>
      <w:tr w:rsidR="00E36E18" w:rsidRPr="00B25CDB" w14:paraId="17D95328" w14:textId="77777777" w:rsidTr="00EB5106">
        <w:trPr>
          <w:trHeight w:val="161"/>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03F54EE8"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74E0C8E2"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6E87858D"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601B7160" w14:textId="77777777" w:rsidR="00E36E18" w:rsidRPr="002E0D60" w:rsidRDefault="00E36E18" w:rsidP="00EB5106">
            <w:pPr>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Sustainable Production Systems</w:t>
            </w:r>
          </w:p>
        </w:tc>
      </w:tr>
      <w:tr w:rsidR="00E36E18" w:rsidRPr="00B25CDB" w14:paraId="375E85A3" w14:textId="77777777" w:rsidTr="00EB5106">
        <w:trPr>
          <w:trHeight w:val="143"/>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0757F2DC"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540CA6C8"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04671DBA"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02EC1E99" w14:textId="77777777" w:rsidR="00E36E18" w:rsidRPr="002E0D60" w:rsidRDefault="00E36E18" w:rsidP="00EB5106">
            <w:pPr>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Agroecosystems</w:t>
            </w:r>
          </w:p>
        </w:tc>
      </w:tr>
      <w:tr w:rsidR="00E36E18" w:rsidRPr="00B25CDB" w14:paraId="3B2D38EB" w14:textId="77777777" w:rsidTr="00EB5106">
        <w:trPr>
          <w:trHeight w:val="125"/>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40397E95"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78B9E5BA"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0EAF1B57"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6EB89B5D" w14:textId="77777777" w:rsidR="00E36E18" w:rsidRPr="002E0D60" w:rsidRDefault="00E36E18" w:rsidP="00EB5106">
            <w:pPr>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Land and Soil Health</w:t>
            </w:r>
          </w:p>
        </w:tc>
      </w:tr>
      <w:tr w:rsidR="00E36E18" w:rsidRPr="00B25CDB" w14:paraId="125D948C" w14:textId="77777777" w:rsidTr="00EB5106">
        <w:trPr>
          <w:trHeight w:val="107"/>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50ED6C35"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3F5D091E"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6F3391E5"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287101C4" w14:textId="77777777" w:rsidR="00E36E18" w:rsidRPr="002E0D60" w:rsidRDefault="00E36E18" w:rsidP="00EB5106">
            <w:pPr>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Diversified Farming</w:t>
            </w:r>
          </w:p>
        </w:tc>
      </w:tr>
      <w:tr w:rsidR="00E36E18" w:rsidRPr="00B25CDB" w14:paraId="36ACB70F" w14:textId="77777777" w:rsidTr="00EB5106">
        <w:trPr>
          <w:trHeight w:val="143"/>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2B187842"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64CA34B2"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3C547DC3"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1069674D" w14:textId="77777777" w:rsidR="00E36E18" w:rsidRPr="002E0D60" w:rsidRDefault="00E36E18" w:rsidP="00EB5106">
            <w:pPr>
              <w:ind w:left="192" w:hanging="192"/>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Integrated Land and Water Management</w:t>
            </w:r>
          </w:p>
        </w:tc>
      </w:tr>
      <w:tr w:rsidR="00E36E18" w:rsidRPr="00B25CDB" w14:paraId="1DF7523A" w14:textId="77777777" w:rsidTr="00EB5106">
        <w:trPr>
          <w:trHeight w:val="116"/>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1AF79C3C"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28315ED9"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09107564"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5774268A" w14:textId="77777777" w:rsidR="00E36E18" w:rsidRPr="002E0D60" w:rsidRDefault="00E36E18" w:rsidP="00EB5106">
            <w:pPr>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Smallholder Farming</w:t>
            </w:r>
          </w:p>
        </w:tc>
      </w:tr>
      <w:tr w:rsidR="00E36E18" w:rsidRPr="00B25CDB" w14:paraId="42C416F2" w14:textId="77777777" w:rsidTr="00EB5106">
        <w:trPr>
          <w:trHeight w:val="170"/>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341A4999"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6F8633D8"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0A7FC754"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630E9DAE" w14:textId="77777777" w:rsidR="00E36E18" w:rsidRPr="002E0D60" w:rsidRDefault="00E36E18" w:rsidP="00EB5106">
            <w:pPr>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Small and Medium Enterprises</w:t>
            </w:r>
          </w:p>
        </w:tc>
      </w:tr>
      <w:tr w:rsidR="00E36E18" w:rsidRPr="00B25CDB" w14:paraId="46AB06F8" w14:textId="77777777" w:rsidTr="00EB5106">
        <w:trPr>
          <w:trHeight w:val="143"/>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77B1099E"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5DCAEC15"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4CCFBADE"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5840BD4D" w14:textId="77777777" w:rsidR="00E36E18" w:rsidRPr="002E0D60" w:rsidRDefault="00E36E18" w:rsidP="00EB5106">
            <w:pPr>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Crop Genetic Diversity</w:t>
            </w:r>
          </w:p>
        </w:tc>
      </w:tr>
      <w:tr w:rsidR="00E36E18" w:rsidRPr="00B25CDB" w14:paraId="5D572EDD" w14:textId="77777777" w:rsidTr="00EB5106">
        <w:trPr>
          <w:trHeight w:val="134"/>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2A372353"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2052E8B8"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27B68BD9"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211FD5BB" w14:textId="77777777" w:rsidR="00E36E18" w:rsidRPr="002E0D60" w:rsidRDefault="00E36E18" w:rsidP="00EB5106">
            <w:pPr>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Food Value Chains</w:t>
            </w:r>
          </w:p>
        </w:tc>
      </w:tr>
      <w:tr w:rsidR="00E36E18" w:rsidRPr="00B25CDB" w14:paraId="6C5CB173"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74ADBC82"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4825BA77"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6A6F4F27"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4B3C88E6" w14:textId="77777777" w:rsidR="00E36E18" w:rsidRPr="002E0D60" w:rsidRDefault="00E36E18" w:rsidP="00EB5106">
            <w:pPr>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Gender Dimensions</w:t>
            </w:r>
          </w:p>
        </w:tc>
      </w:tr>
      <w:tr w:rsidR="00E36E18" w:rsidRPr="00B25CDB" w14:paraId="74A8266D" w14:textId="77777777" w:rsidTr="00EB5106">
        <w:trPr>
          <w:trHeight w:val="179"/>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3B107713"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lastRenderedPageBreak/>
              <w:t> </w:t>
            </w:r>
          </w:p>
        </w:tc>
        <w:tc>
          <w:tcPr>
            <w:tcW w:w="1079" w:type="pct"/>
            <w:tcBorders>
              <w:top w:val="nil"/>
              <w:left w:val="nil"/>
              <w:bottom w:val="single" w:sz="4" w:space="0" w:color="auto"/>
              <w:right w:val="single" w:sz="4" w:space="0" w:color="auto"/>
            </w:tcBorders>
            <w:shd w:val="clear" w:color="auto" w:fill="auto"/>
            <w:hideMark/>
          </w:tcPr>
          <w:p w14:paraId="01B4D5C5"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11798D15"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7F26200A" w14:textId="77777777" w:rsidR="00E36E18" w:rsidRPr="002E0D60" w:rsidRDefault="00E36E18" w:rsidP="00EB5106">
            <w:pPr>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Multi-stakeholder Platforms</w:t>
            </w:r>
          </w:p>
        </w:tc>
      </w:tr>
      <w:tr w:rsidR="00E36E18" w:rsidRPr="00B25CDB" w14:paraId="2931275A" w14:textId="77777777" w:rsidTr="00EB5106">
        <w:trPr>
          <w:trHeight w:val="341"/>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71D71B1B"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6437D038"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4C3BE676" w14:textId="77777777" w:rsidR="00E36E18" w:rsidRPr="002E0D60" w:rsidRDefault="00E36E18" w:rsidP="00EB5106">
            <w:pPr>
              <w:ind w:left="150" w:hanging="150"/>
              <w:rPr>
                <w:rFonts w:ascii="Avenir Next Regular" w:hAnsi="Avenir Next Regular" w:cs="Calibri" w:hint="eastAsia"/>
                <w:iCs/>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iCs/>
                <w:color w:val="000000"/>
                <w:sz w:val="16"/>
                <w:szCs w:val="16"/>
              </w:rPr>
              <w:t>Food Systems, Land Use and Restoration</w:t>
            </w:r>
          </w:p>
        </w:tc>
        <w:tc>
          <w:tcPr>
            <w:tcW w:w="1493" w:type="pct"/>
            <w:tcBorders>
              <w:top w:val="nil"/>
              <w:left w:val="nil"/>
              <w:bottom w:val="single" w:sz="4" w:space="0" w:color="auto"/>
              <w:right w:val="single" w:sz="4" w:space="0" w:color="auto"/>
            </w:tcBorders>
            <w:shd w:val="clear" w:color="auto" w:fill="auto"/>
            <w:hideMark/>
          </w:tcPr>
          <w:p w14:paraId="310508D9"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2DCF7359"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5DBF7C37"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160D1FA0"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10830835"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0DDE8CE2" w14:textId="77777777" w:rsidR="00E36E18" w:rsidRPr="002E0D60" w:rsidRDefault="00E36E18" w:rsidP="00EB5106">
            <w:pPr>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Sustainable Food Systems</w:t>
            </w:r>
          </w:p>
        </w:tc>
      </w:tr>
      <w:tr w:rsidR="00E36E18" w:rsidRPr="00B25CDB" w14:paraId="703736D0" w14:textId="77777777" w:rsidTr="00EB5106">
        <w:trPr>
          <w:trHeight w:val="179"/>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0A88EE7C"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4231B3A9"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07C61F1C"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56A417F0" w14:textId="77777777" w:rsidR="00E36E18" w:rsidRPr="002E0D60" w:rsidRDefault="00E36E18" w:rsidP="00EB5106">
            <w:pPr>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Landscape Restoration</w:t>
            </w:r>
          </w:p>
        </w:tc>
      </w:tr>
      <w:tr w:rsidR="00E36E18" w:rsidRPr="00B25CDB" w14:paraId="38A51E6B"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113EC798"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307BD9C7"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1A5E6CAE"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337C0A55" w14:textId="77777777" w:rsidR="00E36E18" w:rsidRPr="002E0D60" w:rsidRDefault="00E36E18" w:rsidP="00EB5106">
            <w:pPr>
              <w:ind w:left="192" w:hanging="192"/>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Sustainable Commodity Production</w:t>
            </w:r>
          </w:p>
        </w:tc>
      </w:tr>
      <w:tr w:rsidR="00E36E18" w:rsidRPr="00B25CDB" w14:paraId="24D2E6A7" w14:textId="77777777" w:rsidTr="00EB5106">
        <w:trPr>
          <w:trHeight w:val="179"/>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318CC9E9"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012ABDB9"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5FBD2005"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75825A66" w14:textId="77777777" w:rsidR="00E36E18" w:rsidRPr="002E0D60" w:rsidRDefault="00E36E18" w:rsidP="00EB5106">
            <w:pPr>
              <w:ind w:left="192" w:hanging="192"/>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Comprehensive Land Use Planning</w:t>
            </w:r>
          </w:p>
        </w:tc>
      </w:tr>
      <w:tr w:rsidR="00E36E18" w:rsidRPr="00B25CDB" w14:paraId="283529D6" w14:textId="77777777" w:rsidTr="00EB5106">
        <w:trPr>
          <w:trHeight w:val="62"/>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49E76836"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4D95CDC3"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07038C22"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2E23A31C" w14:textId="77777777" w:rsidR="00E36E18" w:rsidRPr="002E0D60" w:rsidRDefault="00E36E18" w:rsidP="00EB5106">
            <w:pPr>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Integrated Landscapes</w:t>
            </w:r>
          </w:p>
        </w:tc>
      </w:tr>
      <w:tr w:rsidR="00E36E18" w:rsidRPr="00B25CDB" w14:paraId="7CB36237"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1A92C738"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0BF165F8"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46E19E87"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588B8D2A" w14:textId="77777777" w:rsidR="00E36E18" w:rsidRPr="002E0D60" w:rsidRDefault="00E36E18" w:rsidP="00EB5106">
            <w:pPr>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Food Value Chains</w:t>
            </w:r>
          </w:p>
        </w:tc>
      </w:tr>
      <w:tr w:rsidR="00E36E18" w:rsidRPr="00B25CDB" w14:paraId="67C71E34" w14:textId="77777777" w:rsidTr="00EB5106">
        <w:trPr>
          <w:trHeight w:val="161"/>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08CBCFA5"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0DE9A391"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5734B51C"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1C14DF4C" w14:textId="77777777" w:rsidR="00E36E18" w:rsidRPr="002E0D60" w:rsidRDefault="00E36E18" w:rsidP="00EB5106">
            <w:pPr>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Deforestation-free Sourcing</w:t>
            </w:r>
          </w:p>
        </w:tc>
      </w:tr>
      <w:tr w:rsidR="00E36E18" w:rsidRPr="00B25CDB" w14:paraId="06C3A33B" w14:textId="77777777" w:rsidTr="00EB5106">
        <w:trPr>
          <w:trHeight w:val="143"/>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5CDEA88D"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64F50622"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26F9292F"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3FADB9F4" w14:textId="77777777" w:rsidR="00E36E18" w:rsidRPr="002E0D60" w:rsidRDefault="00E36E18" w:rsidP="00EB5106">
            <w:pPr>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Smallholder Farmers</w:t>
            </w:r>
          </w:p>
        </w:tc>
      </w:tr>
      <w:tr w:rsidR="00E36E18" w:rsidRPr="00B25CDB" w14:paraId="0E2DBEF1"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1A59BCE4"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7FB041FA"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27E01B25" w14:textId="77777777" w:rsidR="00E36E18" w:rsidRPr="002E0D60" w:rsidRDefault="00E36E18" w:rsidP="00EB5106">
            <w:pPr>
              <w:rPr>
                <w:rFonts w:ascii="Avenir Next Regular" w:hAnsi="Avenir Next Regular" w:cs="Calibri" w:hint="eastAsia"/>
                <w:iCs/>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iCs/>
                <w:color w:val="000000"/>
                <w:sz w:val="16"/>
                <w:szCs w:val="16"/>
              </w:rPr>
              <w:t>Sustainable Cities</w:t>
            </w:r>
          </w:p>
        </w:tc>
        <w:tc>
          <w:tcPr>
            <w:tcW w:w="1493" w:type="pct"/>
            <w:tcBorders>
              <w:top w:val="nil"/>
              <w:left w:val="nil"/>
              <w:bottom w:val="single" w:sz="4" w:space="0" w:color="auto"/>
              <w:right w:val="single" w:sz="4" w:space="0" w:color="auto"/>
            </w:tcBorders>
            <w:shd w:val="clear" w:color="auto" w:fill="auto"/>
            <w:hideMark/>
          </w:tcPr>
          <w:p w14:paraId="5B7E0FB7"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0F7A57E8" w14:textId="77777777" w:rsidTr="00EB5106">
        <w:trPr>
          <w:trHeight w:val="179"/>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0C02E6C4"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665B9E0E"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63CB6968"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0D97B152" w14:textId="77777777" w:rsidR="00E36E18" w:rsidRPr="002E0D60" w:rsidRDefault="00E36E18" w:rsidP="00EB5106">
            <w:pPr>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Integrated urban planning</w:t>
            </w:r>
          </w:p>
        </w:tc>
      </w:tr>
      <w:tr w:rsidR="00E36E18" w:rsidRPr="00B25CDB" w14:paraId="37083701" w14:textId="77777777" w:rsidTr="00EB5106">
        <w:trPr>
          <w:trHeight w:val="62"/>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638B0CD6"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6878585D"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6BE2D3D4"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77E5695E" w14:textId="77777777" w:rsidR="00E36E18" w:rsidRPr="002E0D60" w:rsidRDefault="00E36E18" w:rsidP="00EB5106">
            <w:pPr>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Urban sustainability framework</w:t>
            </w:r>
          </w:p>
        </w:tc>
      </w:tr>
      <w:tr w:rsidR="00E36E18" w:rsidRPr="00B25CDB" w14:paraId="2C32AE1F"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513304F1"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2D517AC0"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29DEF27D"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69097DF9" w14:textId="77777777" w:rsidR="00E36E18" w:rsidRPr="002E0D60" w:rsidRDefault="00E36E18" w:rsidP="00EB5106">
            <w:pPr>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Transport and Mobility</w:t>
            </w:r>
          </w:p>
        </w:tc>
      </w:tr>
      <w:tr w:rsidR="00E36E18" w:rsidRPr="00B25CDB" w14:paraId="1509729D" w14:textId="77777777" w:rsidTr="00EB5106">
        <w:trPr>
          <w:trHeight w:val="116"/>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2F4EADFC"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78756466"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4A99A4AD"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034F5200" w14:textId="77777777" w:rsidR="00E36E18" w:rsidRPr="002E0D60" w:rsidRDefault="00E36E18" w:rsidP="00EB5106">
            <w:pPr>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Buildings</w:t>
            </w:r>
          </w:p>
        </w:tc>
      </w:tr>
      <w:tr w:rsidR="00E36E18" w:rsidRPr="00B25CDB" w14:paraId="04CEFFD8" w14:textId="77777777" w:rsidTr="00EB5106">
        <w:trPr>
          <w:trHeight w:val="107"/>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267EB5C0"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660F4085"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722B09E0"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7826D53A" w14:textId="77777777" w:rsidR="00E36E18" w:rsidRPr="002E0D60" w:rsidRDefault="00E36E18" w:rsidP="00EB5106">
            <w:pPr>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Municipal waste management</w:t>
            </w:r>
          </w:p>
        </w:tc>
      </w:tr>
      <w:tr w:rsidR="00E36E18" w:rsidRPr="00B25CDB" w14:paraId="086BD433"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1439B8FE"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057AB29B"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4F229EFA"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7E39BF46" w14:textId="77777777" w:rsidR="00E36E18" w:rsidRPr="002E0D60" w:rsidRDefault="00E36E18" w:rsidP="00EB5106">
            <w:pPr>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Green space</w:t>
            </w:r>
          </w:p>
        </w:tc>
      </w:tr>
      <w:tr w:rsidR="00E36E18" w:rsidRPr="00B25CDB" w14:paraId="469F57E2" w14:textId="77777777" w:rsidTr="00EB5106">
        <w:trPr>
          <w:trHeight w:val="71"/>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2BB84E11"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5897BC17"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501796FF"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340889E8" w14:textId="77777777" w:rsidR="00E36E18" w:rsidRPr="002E0D60" w:rsidRDefault="00E36E18" w:rsidP="00EB5106">
            <w:pPr>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Urban Biodiversity</w:t>
            </w:r>
          </w:p>
        </w:tc>
      </w:tr>
      <w:tr w:rsidR="00E36E18" w:rsidRPr="00B25CDB" w14:paraId="1DDC48D1" w14:textId="77777777" w:rsidTr="00EB5106">
        <w:trPr>
          <w:trHeight w:val="134"/>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69FB4155"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6706379D"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749064CA"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627782A8" w14:textId="77777777" w:rsidR="00E36E18" w:rsidRPr="002E0D60" w:rsidRDefault="00E36E18" w:rsidP="00EB5106">
            <w:pPr>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Urban Food Systems</w:t>
            </w:r>
          </w:p>
        </w:tc>
      </w:tr>
      <w:tr w:rsidR="00E36E18" w:rsidRPr="00B25CDB" w14:paraId="72D17B89" w14:textId="77777777" w:rsidTr="00EB5106">
        <w:trPr>
          <w:trHeight w:val="125"/>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26E22EFA"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4E30F760"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478EED73"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51382ADF" w14:textId="77777777" w:rsidR="00E36E18" w:rsidRPr="002E0D60" w:rsidRDefault="00E36E18" w:rsidP="00EB5106">
            <w:pPr>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Energy efficiency</w:t>
            </w:r>
          </w:p>
        </w:tc>
      </w:tr>
      <w:tr w:rsidR="00E36E18" w:rsidRPr="00B25CDB" w14:paraId="5984CBFA" w14:textId="77777777" w:rsidTr="00EB5106">
        <w:trPr>
          <w:trHeight w:val="18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697D1E65"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0003EAA0"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314CBF1D"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684C7DD9" w14:textId="77777777" w:rsidR="00E36E18" w:rsidRPr="002E0D60" w:rsidRDefault="00E36E18" w:rsidP="00EB5106">
            <w:pPr>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Municipal Financing</w:t>
            </w:r>
          </w:p>
        </w:tc>
      </w:tr>
      <w:tr w:rsidR="00E36E18" w:rsidRPr="00B25CDB" w14:paraId="691B920B" w14:textId="77777777" w:rsidTr="00EB5106">
        <w:trPr>
          <w:trHeight w:val="179"/>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56922BC2"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40A58792"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294EBA91"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4C580DF0" w14:textId="77777777" w:rsidR="00E36E18" w:rsidRPr="002E0D60" w:rsidRDefault="00E36E18" w:rsidP="00EB5106">
            <w:pPr>
              <w:ind w:left="192" w:hanging="180"/>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Global Platform for Sustainable Cities</w:t>
            </w:r>
          </w:p>
        </w:tc>
      </w:tr>
      <w:tr w:rsidR="00E36E18" w:rsidRPr="00B25CDB" w14:paraId="3FB7D879"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61BE9260"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670259AB"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6036EB6E"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35F2D3E5" w14:textId="77777777" w:rsidR="00E36E18" w:rsidRPr="002E0D60" w:rsidRDefault="00E36E18" w:rsidP="00EB5106">
            <w:pPr>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Urban Resilience</w:t>
            </w:r>
          </w:p>
        </w:tc>
      </w:tr>
      <w:tr w:rsidR="00E36E18" w:rsidRPr="00B25CDB" w14:paraId="7497801A"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0AF88376"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7AD7EFC0" w14:textId="77777777" w:rsidR="00E36E18" w:rsidRPr="002E0D60" w:rsidRDefault="00E36E18" w:rsidP="00EB5106">
            <w:pPr>
              <w:rPr>
                <w:rFonts w:ascii="Avenir Next Regular" w:hAnsi="Avenir Next Regular" w:cs="Calibri" w:hint="eastAsia"/>
                <w:b/>
                <w:bCs/>
                <w:color w:val="000000"/>
                <w:sz w:val="16"/>
                <w:szCs w:val="16"/>
              </w:rPr>
            </w:pPr>
            <w:r>
              <w:rPr>
                <w:color w:val="000000"/>
                <w:sz w:val="16"/>
                <w:szCs w:val="16"/>
              </w:rPr>
              <w:fldChar w:fldCharType="begin">
                <w:ffData>
                  <w:name w:val=""/>
                  <w:enabled/>
                  <w:calcOnExit w:val="0"/>
                  <w:checkBox>
                    <w:sizeAuto/>
                    <w:default w:val="1"/>
                  </w:checkBox>
                </w:ffData>
              </w:fldChar>
            </w:r>
            <w:r>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Pr>
                <w:color w:val="000000"/>
                <w:sz w:val="16"/>
                <w:szCs w:val="16"/>
              </w:rPr>
              <w:fldChar w:fldCharType="end"/>
            </w:r>
            <w:r w:rsidRPr="002E0D60">
              <w:rPr>
                <w:rFonts w:ascii="Avenir Next Regular" w:hAnsi="Avenir Next Regular" w:cs="Calibri"/>
                <w:b/>
                <w:bCs/>
                <w:color w:val="000000"/>
                <w:sz w:val="16"/>
                <w:szCs w:val="16"/>
              </w:rPr>
              <w:t>Biodiversity</w:t>
            </w:r>
          </w:p>
        </w:tc>
        <w:tc>
          <w:tcPr>
            <w:tcW w:w="1439" w:type="pct"/>
            <w:tcBorders>
              <w:top w:val="nil"/>
              <w:left w:val="nil"/>
              <w:bottom w:val="single" w:sz="4" w:space="0" w:color="auto"/>
              <w:right w:val="single" w:sz="4" w:space="0" w:color="auto"/>
            </w:tcBorders>
            <w:shd w:val="clear" w:color="auto" w:fill="auto"/>
            <w:hideMark/>
          </w:tcPr>
          <w:p w14:paraId="49158732"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59F0591C"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7B22290C"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731A6C17"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57B197EE"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531E5CC0" w14:textId="77777777" w:rsidR="00E36E18" w:rsidRPr="002E0D60" w:rsidRDefault="00E36E18" w:rsidP="00EB5106">
            <w:pPr>
              <w:rPr>
                <w:rFonts w:ascii="Avenir Next Regular" w:hAnsi="Avenir Next Regular" w:cs="Calibri" w:hint="eastAsia"/>
                <w:iCs/>
                <w:color w:val="000000"/>
                <w:sz w:val="16"/>
                <w:szCs w:val="16"/>
              </w:rPr>
            </w:pPr>
            <w:r>
              <w:rPr>
                <w:color w:val="000000"/>
                <w:sz w:val="16"/>
                <w:szCs w:val="16"/>
              </w:rPr>
              <w:fldChar w:fldCharType="begin">
                <w:ffData>
                  <w:name w:val=""/>
                  <w:enabled/>
                  <w:calcOnExit w:val="0"/>
                  <w:checkBox>
                    <w:sizeAuto/>
                    <w:default w:val="1"/>
                  </w:checkBox>
                </w:ffData>
              </w:fldChar>
            </w:r>
            <w:r>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Pr>
                <w:color w:val="000000"/>
                <w:sz w:val="16"/>
                <w:szCs w:val="16"/>
              </w:rPr>
              <w:fldChar w:fldCharType="end"/>
            </w:r>
            <w:r w:rsidRPr="002E0D60">
              <w:rPr>
                <w:rFonts w:ascii="Avenir Next Regular" w:hAnsi="Avenir Next Regular" w:cs="Calibri"/>
                <w:iCs/>
                <w:color w:val="000000"/>
                <w:sz w:val="16"/>
                <w:szCs w:val="16"/>
              </w:rPr>
              <w:t>Protected Areas and Landscapes</w:t>
            </w:r>
          </w:p>
        </w:tc>
        <w:tc>
          <w:tcPr>
            <w:tcW w:w="1493" w:type="pct"/>
            <w:tcBorders>
              <w:top w:val="nil"/>
              <w:left w:val="nil"/>
              <w:bottom w:val="single" w:sz="4" w:space="0" w:color="auto"/>
              <w:right w:val="single" w:sz="4" w:space="0" w:color="auto"/>
            </w:tcBorders>
            <w:shd w:val="clear" w:color="auto" w:fill="auto"/>
            <w:hideMark/>
          </w:tcPr>
          <w:p w14:paraId="4ED9230A"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14DA6ABF"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688D9935"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1B3B7D2B"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543D9836"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5A05354B" w14:textId="77777777" w:rsidR="00E36E18" w:rsidRPr="002E0D60" w:rsidRDefault="00E36E18" w:rsidP="00EB5106">
            <w:pPr>
              <w:rPr>
                <w:rFonts w:ascii="Avenir Next Regular" w:hAnsi="Avenir Next Regular" w:cs="Calibri" w:hint="eastAsia"/>
                <w:color w:val="000000"/>
                <w:sz w:val="16"/>
                <w:szCs w:val="16"/>
              </w:rPr>
            </w:pPr>
            <w:r>
              <w:rPr>
                <w:color w:val="000000"/>
                <w:sz w:val="16"/>
                <w:szCs w:val="16"/>
              </w:rPr>
              <w:fldChar w:fldCharType="begin">
                <w:ffData>
                  <w:name w:val=""/>
                  <w:enabled/>
                  <w:calcOnExit w:val="0"/>
                  <w:checkBox>
                    <w:sizeAuto/>
                    <w:default w:val="1"/>
                  </w:checkBox>
                </w:ffData>
              </w:fldChar>
            </w:r>
            <w:r>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Pr>
                <w:color w:val="000000"/>
                <w:sz w:val="16"/>
                <w:szCs w:val="16"/>
              </w:rPr>
              <w:fldChar w:fldCharType="end"/>
            </w:r>
            <w:r w:rsidRPr="002E0D60">
              <w:rPr>
                <w:rFonts w:ascii="Avenir Next Regular" w:hAnsi="Avenir Next Regular" w:cs="Calibri"/>
                <w:color w:val="000000"/>
                <w:sz w:val="16"/>
                <w:szCs w:val="16"/>
              </w:rPr>
              <w:t>Terrestrial Protected Areas</w:t>
            </w:r>
          </w:p>
        </w:tc>
      </w:tr>
      <w:tr w:rsidR="00E36E18" w:rsidRPr="00B25CDB" w14:paraId="649ABD13"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1A3DD577"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5132F2EC"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2A9E2685"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10388D8B" w14:textId="77777777" w:rsidR="00E36E18" w:rsidRPr="002E0D60" w:rsidRDefault="00E36E18" w:rsidP="00EB5106">
            <w:pPr>
              <w:ind w:left="192" w:hanging="192"/>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Coastal and Marine Protected Areas</w:t>
            </w:r>
          </w:p>
        </w:tc>
      </w:tr>
      <w:tr w:rsidR="00E36E18" w:rsidRPr="00B25CDB" w14:paraId="53CFE063"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1F5468DB"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04476311"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41B03DEB"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214449CC" w14:textId="77777777" w:rsidR="00E36E18" w:rsidRPr="002E0D60" w:rsidRDefault="00E36E18" w:rsidP="00EB5106">
            <w:pPr>
              <w:rPr>
                <w:rFonts w:ascii="Avenir Next Regular" w:hAnsi="Avenir Next Regular" w:cs="Calibri" w:hint="eastAsia"/>
                <w:color w:val="000000"/>
                <w:sz w:val="16"/>
                <w:szCs w:val="16"/>
              </w:rPr>
            </w:pPr>
            <w:r>
              <w:rPr>
                <w:color w:val="000000"/>
                <w:sz w:val="16"/>
                <w:szCs w:val="16"/>
              </w:rPr>
              <w:fldChar w:fldCharType="begin">
                <w:ffData>
                  <w:name w:val=""/>
                  <w:enabled/>
                  <w:calcOnExit w:val="0"/>
                  <w:checkBox>
                    <w:sizeAuto/>
                    <w:default w:val="1"/>
                  </w:checkBox>
                </w:ffData>
              </w:fldChar>
            </w:r>
            <w:r>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Pr>
                <w:color w:val="000000"/>
                <w:sz w:val="16"/>
                <w:szCs w:val="16"/>
              </w:rPr>
              <w:fldChar w:fldCharType="end"/>
            </w:r>
            <w:r w:rsidRPr="002E0D60">
              <w:rPr>
                <w:rFonts w:ascii="Avenir Next Regular" w:hAnsi="Avenir Next Regular" w:cs="Calibri"/>
                <w:color w:val="000000"/>
                <w:sz w:val="16"/>
                <w:szCs w:val="16"/>
              </w:rPr>
              <w:t>Productive Landscapes</w:t>
            </w:r>
          </w:p>
        </w:tc>
      </w:tr>
      <w:tr w:rsidR="00E36E18" w:rsidRPr="00B25CDB" w14:paraId="21B59785"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68E02887"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7A7FB8D4"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10E28B8A"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5E0FDD9C" w14:textId="77777777" w:rsidR="00E36E18" w:rsidRPr="002E0D60" w:rsidRDefault="00E36E18" w:rsidP="00EB5106">
            <w:pPr>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Productive Seascapes</w:t>
            </w:r>
          </w:p>
        </w:tc>
      </w:tr>
      <w:tr w:rsidR="00E36E18" w:rsidRPr="00B25CDB" w14:paraId="07ACBCC5" w14:textId="77777777" w:rsidTr="00EB5106">
        <w:trPr>
          <w:trHeight w:val="251"/>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4E8287BB"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009DF68A"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4707CB4C"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110F012C" w14:textId="77777777" w:rsidR="00E36E18" w:rsidRPr="002E0D60" w:rsidRDefault="00E36E18" w:rsidP="00EB5106">
            <w:pPr>
              <w:ind w:left="192" w:hanging="192"/>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Community Based Natural Resource Management</w:t>
            </w:r>
          </w:p>
        </w:tc>
      </w:tr>
      <w:tr w:rsidR="00E36E18" w:rsidRPr="00B25CDB" w14:paraId="5E5F65E4" w14:textId="77777777" w:rsidTr="00EB5106">
        <w:trPr>
          <w:trHeight w:val="71"/>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08D2857F"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0F5807E5"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3F339CDB" w14:textId="77777777" w:rsidR="00E36E18" w:rsidRPr="002E0D60" w:rsidRDefault="00E36E18" w:rsidP="00EB5106">
            <w:pPr>
              <w:rPr>
                <w:rFonts w:ascii="Avenir Next Regular" w:hAnsi="Avenir Next Regular" w:cs="Calibri" w:hint="eastAsia"/>
                <w:iCs/>
                <w:color w:val="000000"/>
                <w:sz w:val="16"/>
                <w:szCs w:val="16"/>
              </w:rPr>
            </w:pPr>
            <w:r>
              <w:rPr>
                <w:color w:val="000000"/>
                <w:sz w:val="16"/>
                <w:szCs w:val="16"/>
              </w:rPr>
              <w:fldChar w:fldCharType="begin">
                <w:ffData>
                  <w:name w:val=""/>
                  <w:enabled/>
                  <w:calcOnExit w:val="0"/>
                  <w:checkBox>
                    <w:sizeAuto/>
                    <w:default w:val="1"/>
                  </w:checkBox>
                </w:ffData>
              </w:fldChar>
            </w:r>
            <w:r>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Pr>
                <w:color w:val="000000"/>
                <w:sz w:val="16"/>
                <w:szCs w:val="16"/>
              </w:rPr>
              <w:fldChar w:fldCharType="end"/>
            </w:r>
            <w:r w:rsidRPr="002E0D60">
              <w:rPr>
                <w:rFonts w:ascii="Avenir Next Regular" w:hAnsi="Avenir Next Regular" w:cs="Calibri"/>
                <w:iCs/>
                <w:color w:val="000000"/>
                <w:sz w:val="16"/>
                <w:szCs w:val="16"/>
              </w:rPr>
              <w:t>Mainstreaming</w:t>
            </w:r>
          </w:p>
        </w:tc>
        <w:tc>
          <w:tcPr>
            <w:tcW w:w="1493" w:type="pct"/>
            <w:tcBorders>
              <w:top w:val="nil"/>
              <w:left w:val="nil"/>
              <w:bottom w:val="single" w:sz="4" w:space="0" w:color="auto"/>
              <w:right w:val="single" w:sz="4" w:space="0" w:color="auto"/>
            </w:tcBorders>
            <w:shd w:val="clear" w:color="auto" w:fill="auto"/>
            <w:hideMark/>
          </w:tcPr>
          <w:p w14:paraId="3A154E08"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45C79DE6"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0CD4C5A1"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59AE773F"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152189DA"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42B21B21" w14:textId="77777777" w:rsidR="00E36E18" w:rsidRPr="002E0D60" w:rsidRDefault="00E36E18" w:rsidP="00EB5106">
            <w:pPr>
              <w:ind w:left="192" w:hanging="192"/>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Extractive Industries (oil, gas, mining)</w:t>
            </w:r>
          </w:p>
        </w:tc>
      </w:tr>
      <w:tr w:rsidR="00E36E18" w:rsidRPr="00B25CDB" w14:paraId="3552B26F" w14:textId="77777777" w:rsidTr="00EB5106">
        <w:trPr>
          <w:trHeight w:val="125"/>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16016363"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4E4E96D8"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37FDBA0E"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1BD77FE8" w14:textId="77777777" w:rsidR="00E36E18" w:rsidRPr="002E0D60" w:rsidRDefault="00E36E18" w:rsidP="00EB5106">
            <w:pPr>
              <w:ind w:left="192" w:hanging="192"/>
              <w:rPr>
                <w:rFonts w:ascii="Avenir Next Regular" w:hAnsi="Avenir Next Regular" w:cs="Calibri" w:hint="eastAsia"/>
                <w:color w:val="000000"/>
                <w:sz w:val="16"/>
                <w:szCs w:val="16"/>
              </w:rPr>
            </w:pPr>
            <w:r>
              <w:rPr>
                <w:color w:val="000000"/>
                <w:sz w:val="16"/>
                <w:szCs w:val="16"/>
              </w:rPr>
              <w:fldChar w:fldCharType="begin">
                <w:ffData>
                  <w:name w:val=""/>
                  <w:enabled/>
                  <w:calcOnExit w:val="0"/>
                  <w:checkBox>
                    <w:sizeAuto/>
                    <w:default w:val="1"/>
                  </w:checkBox>
                </w:ffData>
              </w:fldChar>
            </w:r>
            <w:r>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Pr>
                <w:color w:val="000000"/>
                <w:sz w:val="16"/>
                <w:szCs w:val="16"/>
              </w:rPr>
              <w:fldChar w:fldCharType="end"/>
            </w:r>
            <w:r w:rsidRPr="002E0D60">
              <w:rPr>
                <w:rFonts w:ascii="Avenir Next Regular" w:hAnsi="Avenir Next Regular" w:cs="Calibri"/>
                <w:color w:val="000000"/>
                <w:sz w:val="16"/>
                <w:szCs w:val="16"/>
              </w:rPr>
              <w:t>Forestry (Including HCVF and REDD+)</w:t>
            </w:r>
          </w:p>
        </w:tc>
      </w:tr>
      <w:tr w:rsidR="00E36E18" w:rsidRPr="00B25CDB" w14:paraId="3492490B"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40942D48"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0F99FEA6"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21CAD177"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7CD28DAE" w14:textId="77777777" w:rsidR="00E36E18" w:rsidRPr="002E0D60" w:rsidRDefault="00E36E18" w:rsidP="00EB5106">
            <w:pPr>
              <w:rPr>
                <w:rFonts w:ascii="Avenir Next Regular" w:hAnsi="Avenir Next Regular" w:cs="Calibri" w:hint="eastAsia"/>
                <w:color w:val="000000"/>
                <w:sz w:val="16"/>
                <w:szCs w:val="16"/>
              </w:rPr>
            </w:pPr>
            <w:r>
              <w:rPr>
                <w:color w:val="000000"/>
                <w:sz w:val="16"/>
                <w:szCs w:val="16"/>
              </w:rPr>
              <w:fldChar w:fldCharType="begin">
                <w:ffData>
                  <w:name w:val=""/>
                  <w:enabled/>
                  <w:calcOnExit w:val="0"/>
                  <w:checkBox>
                    <w:sizeAuto/>
                    <w:default w:val="1"/>
                  </w:checkBox>
                </w:ffData>
              </w:fldChar>
            </w:r>
            <w:r>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Pr>
                <w:color w:val="000000"/>
                <w:sz w:val="16"/>
                <w:szCs w:val="16"/>
              </w:rPr>
              <w:fldChar w:fldCharType="end"/>
            </w:r>
            <w:r w:rsidRPr="002E0D60">
              <w:rPr>
                <w:rFonts w:ascii="Avenir Next Regular" w:hAnsi="Avenir Next Regular" w:cs="Calibri"/>
                <w:color w:val="000000"/>
                <w:sz w:val="16"/>
                <w:szCs w:val="16"/>
              </w:rPr>
              <w:t>Tourism</w:t>
            </w:r>
          </w:p>
        </w:tc>
      </w:tr>
      <w:tr w:rsidR="00E36E18" w:rsidRPr="00B25CDB" w14:paraId="02CB4ADF" w14:textId="77777777" w:rsidTr="00EB5106">
        <w:trPr>
          <w:trHeight w:val="89"/>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6B08F626"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51D7F0C3"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643C447A"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771BDBC7" w14:textId="77777777" w:rsidR="00E36E18" w:rsidRPr="002E0D60" w:rsidRDefault="00E36E18" w:rsidP="00EB5106">
            <w:pPr>
              <w:rPr>
                <w:rFonts w:ascii="Avenir Next Regular" w:hAnsi="Avenir Next Regular" w:cs="Calibri" w:hint="eastAsia"/>
                <w:color w:val="000000"/>
                <w:sz w:val="16"/>
                <w:szCs w:val="16"/>
              </w:rPr>
            </w:pPr>
            <w:r>
              <w:rPr>
                <w:color w:val="000000"/>
                <w:sz w:val="16"/>
                <w:szCs w:val="16"/>
              </w:rPr>
              <w:fldChar w:fldCharType="begin">
                <w:ffData>
                  <w:name w:val=""/>
                  <w:enabled/>
                  <w:calcOnExit w:val="0"/>
                  <w:checkBox>
                    <w:sizeAuto/>
                    <w:default w:val="1"/>
                  </w:checkBox>
                </w:ffData>
              </w:fldChar>
            </w:r>
            <w:r>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Pr>
                <w:color w:val="000000"/>
                <w:sz w:val="16"/>
                <w:szCs w:val="16"/>
              </w:rPr>
              <w:fldChar w:fldCharType="end"/>
            </w:r>
            <w:r w:rsidRPr="002E0D60">
              <w:rPr>
                <w:rFonts w:ascii="Avenir Next Regular" w:hAnsi="Avenir Next Regular" w:cs="Calibri"/>
                <w:color w:val="000000"/>
                <w:sz w:val="16"/>
                <w:szCs w:val="16"/>
              </w:rPr>
              <w:t>Agriculture &amp; agrobiodiversity</w:t>
            </w:r>
          </w:p>
        </w:tc>
      </w:tr>
      <w:tr w:rsidR="00E36E18" w:rsidRPr="00B25CDB" w14:paraId="2EFF61A3" w14:textId="77777777" w:rsidTr="00EB5106">
        <w:trPr>
          <w:trHeight w:val="161"/>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4C03FDF1"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5031D17B"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223E3EBE"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48F9B772" w14:textId="77777777" w:rsidR="00E36E18" w:rsidRPr="002E0D60" w:rsidRDefault="00E36E18" w:rsidP="00EB5106">
            <w:pPr>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Fisheries</w:t>
            </w:r>
          </w:p>
        </w:tc>
      </w:tr>
      <w:tr w:rsidR="00E36E18" w:rsidRPr="00B25CDB" w14:paraId="251700F1" w14:textId="77777777" w:rsidTr="00EB5106">
        <w:trPr>
          <w:trHeight w:val="143"/>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16518029"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4FAE657B"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70780F8D"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48F97554" w14:textId="77777777" w:rsidR="00E36E18" w:rsidRPr="002E0D60" w:rsidRDefault="00E36E18" w:rsidP="00EB5106">
            <w:pPr>
              <w:rPr>
                <w:rFonts w:ascii="Avenir Next Regular" w:hAnsi="Avenir Next Regular" w:cs="Calibri" w:hint="eastAsia"/>
                <w:color w:val="000000"/>
                <w:sz w:val="16"/>
                <w:szCs w:val="16"/>
              </w:rPr>
            </w:pPr>
            <w:r>
              <w:rPr>
                <w:color w:val="000000"/>
                <w:sz w:val="16"/>
                <w:szCs w:val="16"/>
              </w:rPr>
              <w:fldChar w:fldCharType="begin">
                <w:ffData>
                  <w:name w:val=""/>
                  <w:enabled/>
                  <w:calcOnExit w:val="0"/>
                  <w:checkBox>
                    <w:sizeAuto/>
                    <w:default w:val="0"/>
                  </w:checkBox>
                </w:ffData>
              </w:fldChar>
            </w:r>
            <w:r>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Pr>
                <w:color w:val="000000"/>
                <w:sz w:val="16"/>
                <w:szCs w:val="16"/>
              </w:rPr>
              <w:fldChar w:fldCharType="end"/>
            </w:r>
            <w:r w:rsidRPr="002E0D60">
              <w:rPr>
                <w:rFonts w:ascii="Avenir Next Regular" w:hAnsi="Avenir Next Regular" w:cs="Calibri"/>
                <w:color w:val="000000"/>
                <w:sz w:val="16"/>
                <w:szCs w:val="16"/>
              </w:rPr>
              <w:t>Infrastructure</w:t>
            </w:r>
          </w:p>
        </w:tc>
      </w:tr>
      <w:tr w:rsidR="00E36E18" w:rsidRPr="00B25CDB" w14:paraId="750F00AE" w14:textId="77777777" w:rsidTr="00EB5106">
        <w:trPr>
          <w:trHeight w:val="125"/>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7E8BE6D4"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58234594"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5C3134A0"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66BCD39C" w14:textId="77777777" w:rsidR="00E36E18" w:rsidRPr="002E0D60" w:rsidRDefault="00E36E18" w:rsidP="00EB5106">
            <w:pPr>
              <w:ind w:left="192" w:hanging="192"/>
              <w:rPr>
                <w:rFonts w:ascii="Avenir Next Regular" w:hAnsi="Avenir Next Regular" w:cs="Calibri" w:hint="eastAsia"/>
                <w:color w:val="000000"/>
                <w:sz w:val="16"/>
                <w:szCs w:val="16"/>
              </w:rPr>
            </w:pPr>
            <w:r>
              <w:rPr>
                <w:color w:val="000000"/>
                <w:sz w:val="16"/>
                <w:szCs w:val="16"/>
              </w:rPr>
              <w:fldChar w:fldCharType="begin">
                <w:ffData>
                  <w:name w:val=""/>
                  <w:enabled/>
                  <w:calcOnExit w:val="0"/>
                  <w:checkBox>
                    <w:sizeAuto/>
                    <w:default w:val="1"/>
                  </w:checkBox>
                </w:ffData>
              </w:fldChar>
            </w:r>
            <w:r>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Pr>
                <w:color w:val="000000"/>
                <w:sz w:val="16"/>
                <w:szCs w:val="16"/>
              </w:rPr>
              <w:fldChar w:fldCharType="end"/>
            </w:r>
            <w:r w:rsidRPr="002E0D60">
              <w:rPr>
                <w:rFonts w:ascii="Avenir Next Regular" w:hAnsi="Avenir Next Regular" w:cs="Calibri"/>
                <w:color w:val="000000"/>
                <w:sz w:val="16"/>
                <w:szCs w:val="16"/>
              </w:rPr>
              <w:t>Certification (National Standards)</w:t>
            </w:r>
          </w:p>
        </w:tc>
      </w:tr>
      <w:tr w:rsidR="00E36E18" w:rsidRPr="00B25CDB" w14:paraId="608E48C4" w14:textId="77777777" w:rsidTr="00EB5106">
        <w:trPr>
          <w:trHeight w:val="251"/>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5B99FA76"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3D2A6665"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1EA70F41"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0A00ECEF" w14:textId="77777777" w:rsidR="00E36E18" w:rsidRPr="002E0D60" w:rsidRDefault="00E36E18" w:rsidP="00EB5106">
            <w:pPr>
              <w:ind w:left="192" w:hanging="192"/>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Certification (International Standards)</w:t>
            </w:r>
          </w:p>
        </w:tc>
      </w:tr>
      <w:tr w:rsidR="00E36E18" w:rsidRPr="00B25CDB" w14:paraId="6EBF90B7" w14:textId="77777777" w:rsidTr="00EB5106">
        <w:trPr>
          <w:trHeight w:val="125"/>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4D8A6D08"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52859FFA"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6B570C04" w14:textId="77777777" w:rsidR="00E36E18" w:rsidRPr="002E0D60" w:rsidRDefault="00E36E18" w:rsidP="00EB5106">
            <w:pPr>
              <w:rPr>
                <w:rFonts w:ascii="Avenir Next Regular" w:hAnsi="Avenir Next Regular" w:cs="Calibri" w:hint="eastAsia"/>
                <w:iCs/>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iCs/>
                <w:color w:val="000000"/>
                <w:sz w:val="16"/>
                <w:szCs w:val="16"/>
              </w:rPr>
              <w:t xml:space="preserve">Species </w:t>
            </w:r>
          </w:p>
        </w:tc>
        <w:tc>
          <w:tcPr>
            <w:tcW w:w="1493" w:type="pct"/>
            <w:tcBorders>
              <w:top w:val="nil"/>
              <w:left w:val="nil"/>
              <w:bottom w:val="single" w:sz="4" w:space="0" w:color="auto"/>
              <w:right w:val="single" w:sz="4" w:space="0" w:color="auto"/>
            </w:tcBorders>
            <w:shd w:val="clear" w:color="auto" w:fill="auto"/>
            <w:hideMark/>
          </w:tcPr>
          <w:p w14:paraId="0574D943"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0AFFAB86" w14:textId="77777777" w:rsidTr="00EB5106">
        <w:trPr>
          <w:trHeight w:val="197"/>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461FB138"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48DE8B2F"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1C8E5BC0"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1C6287C7" w14:textId="77777777" w:rsidR="00E36E18" w:rsidRPr="002E0D60" w:rsidRDefault="00E36E18" w:rsidP="00EB5106">
            <w:pPr>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Illegal Wildlife Trade</w:t>
            </w:r>
          </w:p>
        </w:tc>
      </w:tr>
      <w:tr w:rsidR="00E36E18" w:rsidRPr="00B25CDB" w14:paraId="1BC6F4FC" w14:textId="77777777" w:rsidTr="00EB5106">
        <w:trPr>
          <w:trHeight w:val="89"/>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0D63D913"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4A8B5384"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5E0FCFD5"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1FA51943" w14:textId="77777777" w:rsidR="00E36E18" w:rsidRPr="002E0D60" w:rsidRDefault="00E36E18" w:rsidP="00EB5106">
            <w:pPr>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 xml:space="preserve">Threatened Species </w:t>
            </w:r>
          </w:p>
        </w:tc>
      </w:tr>
      <w:tr w:rsidR="00E36E18" w:rsidRPr="00B25CDB" w14:paraId="6873C9D4" w14:textId="77777777" w:rsidTr="00EB5106">
        <w:trPr>
          <w:trHeight w:val="152"/>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3AB132A0"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3AEFFE1D"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23F47E25"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75982296" w14:textId="77777777" w:rsidR="00E36E18" w:rsidRPr="002E0D60" w:rsidRDefault="00E36E18" w:rsidP="00EB5106">
            <w:pPr>
              <w:ind w:left="192" w:hanging="192"/>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Wildlife for Sustainable Development</w:t>
            </w:r>
          </w:p>
        </w:tc>
      </w:tr>
      <w:tr w:rsidR="00E36E18" w:rsidRPr="00B25CDB" w14:paraId="6F1C5F18" w14:textId="77777777" w:rsidTr="00EB5106">
        <w:trPr>
          <w:trHeight w:val="233"/>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3D12B53D"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11BFBC3B"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03A4D976"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663735EB" w14:textId="77777777" w:rsidR="00E36E18" w:rsidRPr="002E0D60" w:rsidRDefault="00E36E18" w:rsidP="00EB5106">
            <w:pPr>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Crop Wild Relatives</w:t>
            </w:r>
          </w:p>
        </w:tc>
      </w:tr>
      <w:tr w:rsidR="00E36E18" w:rsidRPr="00B25CDB" w14:paraId="48FB0D0D"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2E791D0C"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775C1C9D"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23C2A946"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7DE4AE2E" w14:textId="77777777" w:rsidR="00E36E18" w:rsidRPr="002E0D60" w:rsidRDefault="00E36E18" w:rsidP="00EB5106">
            <w:pPr>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Plant Genetic Resources</w:t>
            </w:r>
          </w:p>
        </w:tc>
      </w:tr>
      <w:tr w:rsidR="00E36E18" w:rsidRPr="00B25CDB" w14:paraId="4601EC8E" w14:textId="77777777" w:rsidTr="00EB5106">
        <w:trPr>
          <w:trHeight w:val="143"/>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62308CC1"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7B94AA91"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11607071"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3BC66AF4" w14:textId="77777777" w:rsidR="00E36E18" w:rsidRPr="002E0D60" w:rsidRDefault="00E36E18" w:rsidP="00EB5106">
            <w:pPr>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Animal Genetic Resources</w:t>
            </w:r>
          </w:p>
        </w:tc>
      </w:tr>
      <w:tr w:rsidR="00E36E18" w:rsidRPr="00B25CDB" w14:paraId="55D159A7" w14:textId="77777777" w:rsidTr="00EB5106">
        <w:trPr>
          <w:trHeight w:val="134"/>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52DCDC3A"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7DF97256"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65A44234"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698CB38F" w14:textId="77777777" w:rsidR="00E36E18" w:rsidRPr="002E0D60" w:rsidRDefault="00E36E18" w:rsidP="00EB5106">
            <w:pPr>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Livestock Wild Relatives</w:t>
            </w:r>
          </w:p>
        </w:tc>
      </w:tr>
      <w:tr w:rsidR="00E36E18" w:rsidRPr="00B25CDB" w14:paraId="5F390351" w14:textId="77777777" w:rsidTr="00EB5106">
        <w:trPr>
          <w:trHeight w:val="107"/>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5B693A4D"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6EEE859E"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4F8902F2"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5642E431" w14:textId="77777777" w:rsidR="00E36E18" w:rsidRPr="002E0D60" w:rsidRDefault="00E36E18" w:rsidP="00EB5106">
            <w:pPr>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Invasive Alien Species (IAS)</w:t>
            </w:r>
          </w:p>
        </w:tc>
      </w:tr>
      <w:tr w:rsidR="00E36E18" w:rsidRPr="00B25CDB" w14:paraId="1A6083BC" w14:textId="77777777" w:rsidTr="00EB5106">
        <w:trPr>
          <w:trHeight w:val="9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29411A43"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41993C07"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2EA0C185" w14:textId="77777777" w:rsidR="00E36E18" w:rsidRPr="002E0D60" w:rsidRDefault="00E36E18" w:rsidP="00EB5106">
            <w:pPr>
              <w:rPr>
                <w:rFonts w:ascii="Avenir Next Regular" w:hAnsi="Avenir Next Regular" w:cs="Calibri" w:hint="eastAsia"/>
                <w:iCs/>
                <w:color w:val="000000"/>
                <w:sz w:val="16"/>
                <w:szCs w:val="16"/>
              </w:rPr>
            </w:pPr>
            <w:r>
              <w:rPr>
                <w:color w:val="000000"/>
                <w:sz w:val="16"/>
                <w:szCs w:val="16"/>
              </w:rPr>
              <w:fldChar w:fldCharType="begin">
                <w:ffData>
                  <w:name w:val=""/>
                  <w:enabled/>
                  <w:calcOnExit w:val="0"/>
                  <w:checkBox>
                    <w:sizeAuto/>
                    <w:default w:val="1"/>
                  </w:checkBox>
                </w:ffData>
              </w:fldChar>
            </w:r>
            <w:r>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Pr>
                <w:color w:val="000000"/>
                <w:sz w:val="16"/>
                <w:szCs w:val="16"/>
              </w:rPr>
              <w:fldChar w:fldCharType="end"/>
            </w:r>
            <w:r w:rsidRPr="002E0D60">
              <w:rPr>
                <w:rFonts w:ascii="Avenir Next Regular" w:hAnsi="Avenir Next Regular" w:cs="Calibri"/>
                <w:iCs/>
                <w:color w:val="000000"/>
                <w:sz w:val="16"/>
                <w:szCs w:val="16"/>
              </w:rPr>
              <w:t>Biomes</w:t>
            </w:r>
          </w:p>
        </w:tc>
        <w:tc>
          <w:tcPr>
            <w:tcW w:w="1493" w:type="pct"/>
            <w:tcBorders>
              <w:top w:val="nil"/>
              <w:left w:val="nil"/>
              <w:bottom w:val="single" w:sz="4" w:space="0" w:color="auto"/>
              <w:right w:val="single" w:sz="4" w:space="0" w:color="auto"/>
            </w:tcBorders>
            <w:shd w:val="clear" w:color="auto" w:fill="auto"/>
            <w:hideMark/>
          </w:tcPr>
          <w:p w14:paraId="682CD126"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61897FE9"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03AA907A"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lastRenderedPageBreak/>
              <w:t> </w:t>
            </w:r>
          </w:p>
        </w:tc>
        <w:tc>
          <w:tcPr>
            <w:tcW w:w="1079" w:type="pct"/>
            <w:tcBorders>
              <w:top w:val="nil"/>
              <w:left w:val="nil"/>
              <w:bottom w:val="single" w:sz="4" w:space="0" w:color="auto"/>
              <w:right w:val="single" w:sz="4" w:space="0" w:color="auto"/>
            </w:tcBorders>
            <w:shd w:val="clear" w:color="auto" w:fill="auto"/>
            <w:hideMark/>
          </w:tcPr>
          <w:p w14:paraId="41754F3E"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4C6DDCD5"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2DBDB305" w14:textId="77777777" w:rsidR="00E36E18" w:rsidRPr="002E0D60" w:rsidRDefault="00E36E18" w:rsidP="00EB5106">
            <w:pPr>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Mangroves</w:t>
            </w:r>
          </w:p>
        </w:tc>
      </w:tr>
      <w:tr w:rsidR="00E36E18" w:rsidRPr="00B25CDB" w14:paraId="7F63BA5D"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72FCF737"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6DA4F68F"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6C93B645"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79C46BAD" w14:textId="77777777" w:rsidR="00E36E18" w:rsidRPr="002E0D60" w:rsidRDefault="00E36E18" w:rsidP="00EB5106">
            <w:pPr>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Coral Reefs</w:t>
            </w:r>
          </w:p>
        </w:tc>
      </w:tr>
      <w:tr w:rsidR="00E36E18" w:rsidRPr="00B25CDB" w14:paraId="6016E2C4"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2FF17EFE"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5EA19DD4"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7930B9C2"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5D534F52" w14:textId="77777777" w:rsidR="00E36E18" w:rsidRPr="002E0D60" w:rsidRDefault="00E36E18" w:rsidP="00EB5106">
            <w:pPr>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Sea Grasses</w:t>
            </w:r>
          </w:p>
        </w:tc>
      </w:tr>
      <w:tr w:rsidR="00E36E18" w:rsidRPr="00B25CDB" w14:paraId="2B433AE7"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69065B35"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33E5F093"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174AF598"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31BC98EB" w14:textId="77777777" w:rsidR="00E36E18" w:rsidRPr="002E0D60" w:rsidRDefault="00E36E18" w:rsidP="00EB5106">
            <w:pPr>
              <w:rPr>
                <w:rFonts w:ascii="Avenir Next Regular" w:hAnsi="Avenir Next Regular" w:cs="Calibri" w:hint="eastAsia"/>
                <w:color w:val="000000"/>
                <w:sz w:val="16"/>
                <w:szCs w:val="16"/>
              </w:rPr>
            </w:pPr>
            <w:r>
              <w:rPr>
                <w:color w:val="000000"/>
                <w:sz w:val="16"/>
                <w:szCs w:val="16"/>
              </w:rPr>
              <w:fldChar w:fldCharType="begin">
                <w:ffData>
                  <w:name w:val=""/>
                  <w:enabled/>
                  <w:calcOnExit w:val="0"/>
                  <w:checkBox>
                    <w:sizeAuto/>
                    <w:default w:val="1"/>
                  </w:checkBox>
                </w:ffData>
              </w:fldChar>
            </w:r>
            <w:r>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Pr>
                <w:color w:val="000000"/>
                <w:sz w:val="16"/>
                <w:szCs w:val="16"/>
              </w:rPr>
              <w:fldChar w:fldCharType="end"/>
            </w:r>
            <w:r w:rsidRPr="002E0D60">
              <w:rPr>
                <w:rFonts w:ascii="Avenir Next Regular" w:hAnsi="Avenir Next Regular" w:cs="Calibri"/>
                <w:color w:val="000000"/>
                <w:sz w:val="16"/>
                <w:szCs w:val="16"/>
              </w:rPr>
              <w:t>Wetlands</w:t>
            </w:r>
          </w:p>
        </w:tc>
      </w:tr>
      <w:tr w:rsidR="00E36E18" w:rsidRPr="00B25CDB" w14:paraId="48D278DE" w14:textId="77777777" w:rsidTr="00EB5106">
        <w:trPr>
          <w:trHeight w:val="179"/>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4D3766FD"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6176E527"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294202EE"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64771E4E" w14:textId="77777777" w:rsidR="00E36E18" w:rsidRPr="002E0D60" w:rsidRDefault="00E36E18" w:rsidP="00EB5106">
            <w:pPr>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Rivers</w:t>
            </w:r>
          </w:p>
        </w:tc>
      </w:tr>
      <w:tr w:rsidR="00E36E18" w:rsidRPr="00B25CDB" w14:paraId="4C7B2BD0" w14:textId="77777777" w:rsidTr="00EB5106">
        <w:trPr>
          <w:trHeight w:val="170"/>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4D73B104"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6A5AD485"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3997EC00"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1445953E" w14:textId="77777777" w:rsidR="00E36E18" w:rsidRPr="002E0D60" w:rsidRDefault="00E36E18" w:rsidP="00EB5106">
            <w:pPr>
              <w:rPr>
                <w:rFonts w:ascii="Avenir Next Regular" w:hAnsi="Avenir Next Regular" w:cs="Calibri" w:hint="eastAsia"/>
                <w:color w:val="000000"/>
                <w:sz w:val="16"/>
                <w:szCs w:val="16"/>
              </w:rPr>
            </w:pPr>
            <w:r>
              <w:rPr>
                <w:color w:val="000000"/>
                <w:sz w:val="16"/>
                <w:szCs w:val="16"/>
              </w:rPr>
              <w:fldChar w:fldCharType="begin">
                <w:ffData>
                  <w:name w:val=""/>
                  <w:enabled/>
                  <w:calcOnExit w:val="0"/>
                  <w:checkBox>
                    <w:sizeAuto/>
                    <w:default w:val="1"/>
                  </w:checkBox>
                </w:ffData>
              </w:fldChar>
            </w:r>
            <w:r>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Pr>
                <w:color w:val="000000"/>
                <w:sz w:val="16"/>
                <w:szCs w:val="16"/>
              </w:rPr>
              <w:fldChar w:fldCharType="end"/>
            </w:r>
            <w:r w:rsidRPr="002E0D60">
              <w:rPr>
                <w:rFonts w:ascii="Avenir Next Regular" w:hAnsi="Avenir Next Regular" w:cs="Calibri"/>
                <w:color w:val="000000"/>
                <w:sz w:val="16"/>
                <w:szCs w:val="16"/>
              </w:rPr>
              <w:t>Lakes</w:t>
            </w:r>
          </w:p>
        </w:tc>
      </w:tr>
      <w:tr w:rsidR="00E36E18" w:rsidRPr="00B25CDB" w14:paraId="046A5903"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2C4C9E8F"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126B9F2E"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45C66946"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67C179CB" w14:textId="77777777" w:rsidR="00E36E18" w:rsidRPr="002E0D60" w:rsidRDefault="00E36E18" w:rsidP="00EB5106">
            <w:pPr>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Tropical Rain Forests</w:t>
            </w:r>
          </w:p>
        </w:tc>
      </w:tr>
      <w:tr w:rsidR="00E36E18" w:rsidRPr="00B25CDB" w14:paraId="1F22DFEE"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7EE569A7"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42133A42"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76AEC2ED"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2978ECD8" w14:textId="77777777" w:rsidR="00E36E18" w:rsidRPr="002E0D60" w:rsidRDefault="00E36E18" w:rsidP="00EB5106">
            <w:pPr>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Tropical Dry Forests</w:t>
            </w:r>
          </w:p>
        </w:tc>
      </w:tr>
      <w:tr w:rsidR="00E36E18" w:rsidRPr="00B25CDB" w14:paraId="0C2D0F98" w14:textId="77777777" w:rsidTr="00EB5106">
        <w:trPr>
          <w:trHeight w:val="125"/>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17F56F8D"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3DC52FA4"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50C181FD"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2AA4B7D4" w14:textId="77777777" w:rsidR="00E36E18" w:rsidRPr="002E0D60" w:rsidRDefault="00E36E18" w:rsidP="00EB5106">
            <w:pPr>
              <w:rPr>
                <w:rFonts w:ascii="Avenir Next Regular" w:hAnsi="Avenir Next Regular" w:cs="Calibri" w:hint="eastAsia"/>
                <w:color w:val="000000"/>
                <w:sz w:val="16"/>
                <w:szCs w:val="16"/>
              </w:rPr>
            </w:pPr>
            <w:r>
              <w:rPr>
                <w:color w:val="000000"/>
                <w:sz w:val="16"/>
                <w:szCs w:val="16"/>
              </w:rPr>
              <w:fldChar w:fldCharType="begin">
                <w:ffData>
                  <w:name w:val=""/>
                  <w:enabled/>
                  <w:calcOnExit w:val="0"/>
                  <w:checkBox>
                    <w:sizeAuto/>
                    <w:default w:val="1"/>
                  </w:checkBox>
                </w:ffData>
              </w:fldChar>
            </w:r>
            <w:r>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Pr>
                <w:color w:val="000000"/>
                <w:sz w:val="16"/>
                <w:szCs w:val="16"/>
              </w:rPr>
              <w:fldChar w:fldCharType="end"/>
            </w:r>
            <w:r w:rsidRPr="002E0D60">
              <w:rPr>
                <w:rFonts w:ascii="Avenir Next Regular" w:hAnsi="Avenir Next Regular" w:cs="Calibri"/>
                <w:color w:val="000000"/>
                <w:sz w:val="16"/>
                <w:szCs w:val="16"/>
              </w:rPr>
              <w:t>Temperate Forests</w:t>
            </w:r>
          </w:p>
        </w:tc>
      </w:tr>
      <w:tr w:rsidR="00E36E18" w:rsidRPr="00B25CDB" w14:paraId="3139EA92"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37BBE9F3"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3F0ADDCD"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1EEBE91A"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5B5A45F0" w14:textId="77777777" w:rsidR="00E36E18" w:rsidRPr="002E0D60" w:rsidRDefault="00E36E18" w:rsidP="00EB5106">
            <w:pPr>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 xml:space="preserve">Grasslands </w:t>
            </w:r>
          </w:p>
        </w:tc>
      </w:tr>
      <w:tr w:rsidR="00E36E18" w:rsidRPr="00B25CDB" w14:paraId="173B24D2" w14:textId="77777777" w:rsidTr="00EB5106">
        <w:trPr>
          <w:trHeight w:val="89"/>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15E8A979"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19BA56E8"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1CA4D4DB"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7A868F7A" w14:textId="77777777" w:rsidR="00E36E18" w:rsidRPr="002E0D60" w:rsidRDefault="00E36E18" w:rsidP="00EB5106">
            <w:pPr>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Paramo</w:t>
            </w:r>
          </w:p>
        </w:tc>
      </w:tr>
      <w:tr w:rsidR="00E36E18" w:rsidRPr="00B25CDB" w14:paraId="28F34769" w14:textId="77777777" w:rsidTr="00EB5106">
        <w:trPr>
          <w:trHeight w:val="152"/>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53005C89"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4FEAE237"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00F527C9"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5803E84A" w14:textId="77777777" w:rsidR="00E36E18" w:rsidRPr="002E0D60" w:rsidRDefault="00E36E18" w:rsidP="00EB5106">
            <w:pPr>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Desert</w:t>
            </w:r>
          </w:p>
        </w:tc>
      </w:tr>
      <w:tr w:rsidR="00E36E18" w:rsidRPr="00B25CDB" w14:paraId="4F5C2544" w14:textId="77777777" w:rsidTr="00EB5106">
        <w:trPr>
          <w:trHeight w:val="233"/>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180754FF"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6C5489E9"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023B903B" w14:textId="77777777" w:rsidR="00E36E18" w:rsidRPr="002E0D60" w:rsidRDefault="00E36E18" w:rsidP="00EB5106">
            <w:pPr>
              <w:rPr>
                <w:rFonts w:ascii="Avenir Next Regular" w:hAnsi="Avenir Next Regular" w:cs="Calibri" w:hint="eastAsia"/>
                <w:iCs/>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iCs/>
                <w:color w:val="000000"/>
                <w:sz w:val="16"/>
                <w:szCs w:val="16"/>
              </w:rPr>
              <w:t>Financial and Accounting</w:t>
            </w:r>
          </w:p>
        </w:tc>
        <w:tc>
          <w:tcPr>
            <w:tcW w:w="1493" w:type="pct"/>
            <w:tcBorders>
              <w:top w:val="nil"/>
              <w:left w:val="nil"/>
              <w:bottom w:val="single" w:sz="4" w:space="0" w:color="auto"/>
              <w:right w:val="single" w:sz="4" w:space="0" w:color="auto"/>
            </w:tcBorders>
            <w:shd w:val="clear" w:color="auto" w:fill="auto"/>
            <w:hideMark/>
          </w:tcPr>
          <w:p w14:paraId="4218E028"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53B98A18" w14:textId="77777777" w:rsidTr="00EB5106">
        <w:trPr>
          <w:trHeight w:val="161"/>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1D0E7E2B"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500AF0A4"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4EBEA62F"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02FA346A" w14:textId="77777777" w:rsidR="00E36E18" w:rsidRPr="002E0D60" w:rsidRDefault="00E36E18" w:rsidP="00EB5106">
            <w:pPr>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 xml:space="preserve">Payment for Ecosystem Services </w:t>
            </w:r>
          </w:p>
        </w:tc>
      </w:tr>
      <w:tr w:rsidR="00E36E18" w:rsidRPr="00B25CDB" w14:paraId="3D555270" w14:textId="77777777" w:rsidTr="00EB5106">
        <w:trPr>
          <w:trHeight w:val="420"/>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0FF38E6B"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0DAB653B"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0357516B"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47DB2633" w14:textId="77777777" w:rsidR="00E36E18" w:rsidRPr="002E0D60" w:rsidRDefault="00E36E18" w:rsidP="00EB5106">
            <w:pPr>
              <w:ind w:left="192" w:hanging="192"/>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Natural Capital Assessment and Accounting</w:t>
            </w:r>
          </w:p>
        </w:tc>
      </w:tr>
      <w:tr w:rsidR="00E36E18" w:rsidRPr="00B25CDB" w14:paraId="77A7DB72"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0D485959"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2B9869D3"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112089DD"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28559E55" w14:textId="77777777" w:rsidR="00E36E18" w:rsidRPr="002E0D60" w:rsidRDefault="00E36E18" w:rsidP="00EB5106">
            <w:pPr>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Conservation Trust Funds</w:t>
            </w:r>
          </w:p>
        </w:tc>
      </w:tr>
      <w:tr w:rsidR="00E36E18" w:rsidRPr="00B25CDB" w14:paraId="620B0B2F" w14:textId="77777777" w:rsidTr="00EB5106">
        <w:trPr>
          <w:trHeight w:val="80"/>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7D9AA9EF"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31762A0A"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1D3790FC"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77C1D4BB" w14:textId="77777777" w:rsidR="00E36E18" w:rsidRPr="002E0D60" w:rsidRDefault="00E36E18" w:rsidP="00EB5106">
            <w:pPr>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Conservation Finance</w:t>
            </w:r>
          </w:p>
        </w:tc>
      </w:tr>
      <w:tr w:rsidR="00E36E18" w:rsidRPr="00B25CDB" w14:paraId="00088B9F"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5CB8F0A6"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3DF503B2"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7B9B9303" w14:textId="77777777" w:rsidR="00E36E18" w:rsidRPr="002E0D60" w:rsidRDefault="00E36E18" w:rsidP="00EB5106">
            <w:pPr>
              <w:ind w:left="150" w:hanging="150"/>
              <w:rPr>
                <w:rFonts w:ascii="Avenir Next Regular" w:hAnsi="Avenir Next Regular" w:cs="Calibri" w:hint="eastAsia"/>
                <w:iCs/>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iCs/>
                <w:color w:val="000000"/>
                <w:sz w:val="16"/>
                <w:szCs w:val="16"/>
              </w:rPr>
              <w:t>Supplementary Protocol to the CBD</w:t>
            </w:r>
          </w:p>
        </w:tc>
        <w:tc>
          <w:tcPr>
            <w:tcW w:w="1493" w:type="pct"/>
            <w:tcBorders>
              <w:top w:val="nil"/>
              <w:left w:val="nil"/>
              <w:bottom w:val="single" w:sz="4" w:space="0" w:color="auto"/>
              <w:right w:val="single" w:sz="4" w:space="0" w:color="auto"/>
            </w:tcBorders>
            <w:shd w:val="clear" w:color="auto" w:fill="auto"/>
            <w:hideMark/>
          </w:tcPr>
          <w:p w14:paraId="1A63C1A5"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571DE468" w14:textId="77777777" w:rsidTr="00EB5106">
        <w:trPr>
          <w:trHeight w:val="9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62E0FA79"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6BF5D823"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51719892"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0DF6FB93" w14:textId="77777777" w:rsidR="00E36E18" w:rsidRPr="002E0D60" w:rsidRDefault="00E36E18" w:rsidP="00EB5106">
            <w:pPr>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Biosafety</w:t>
            </w:r>
          </w:p>
        </w:tc>
      </w:tr>
      <w:tr w:rsidR="00E36E18" w:rsidRPr="00B25CDB" w14:paraId="6E93A222"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30D057DA"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43C71984"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482AB631"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299C5C74" w14:textId="77777777" w:rsidR="00E36E18" w:rsidRPr="002E0D60" w:rsidRDefault="00E36E18" w:rsidP="00EB5106">
            <w:pPr>
              <w:ind w:left="192" w:hanging="192"/>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Access to Genetic Resources Benefit Sharing</w:t>
            </w:r>
          </w:p>
        </w:tc>
      </w:tr>
      <w:tr w:rsidR="00E36E18" w:rsidRPr="00B25CDB" w14:paraId="03DC69AD" w14:textId="77777777" w:rsidTr="00EB5106">
        <w:trPr>
          <w:trHeight w:val="179"/>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30BFE3F2"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4C987C7A" w14:textId="77777777" w:rsidR="00E36E18" w:rsidRPr="002E0D60" w:rsidRDefault="00E36E18" w:rsidP="00EB5106">
            <w:pPr>
              <w:rPr>
                <w:rFonts w:ascii="Avenir Next Regular" w:hAnsi="Avenir Next Regular" w:cs="Calibri" w:hint="eastAsia"/>
                <w:b/>
                <w:bCs/>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b/>
                <w:bCs/>
                <w:color w:val="000000"/>
                <w:sz w:val="16"/>
                <w:szCs w:val="16"/>
              </w:rPr>
              <w:t>Forests</w:t>
            </w:r>
          </w:p>
        </w:tc>
        <w:tc>
          <w:tcPr>
            <w:tcW w:w="1439" w:type="pct"/>
            <w:tcBorders>
              <w:top w:val="nil"/>
              <w:left w:val="nil"/>
              <w:bottom w:val="single" w:sz="4" w:space="0" w:color="auto"/>
              <w:right w:val="single" w:sz="4" w:space="0" w:color="auto"/>
            </w:tcBorders>
            <w:shd w:val="clear" w:color="auto" w:fill="auto"/>
          </w:tcPr>
          <w:p w14:paraId="10EC2BB1" w14:textId="77777777" w:rsidR="00E36E18" w:rsidRPr="002E0D60" w:rsidRDefault="00E36E18" w:rsidP="00EB5106">
            <w:pPr>
              <w:rPr>
                <w:rFonts w:ascii="Avenir Next Regular" w:hAnsi="Avenir Next Regular" w:cs="Calibri" w:hint="eastAsia"/>
                <w:iCs/>
                <w:color w:val="000000"/>
                <w:sz w:val="16"/>
                <w:szCs w:val="16"/>
              </w:rPr>
            </w:pPr>
          </w:p>
        </w:tc>
        <w:tc>
          <w:tcPr>
            <w:tcW w:w="1493" w:type="pct"/>
            <w:tcBorders>
              <w:top w:val="nil"/>
              <w:left w:val="nil"/>
              <w:bottom w:val="single" w:sz="4" w:space="0" w:color="auto"/>
              <w:right w:val="single" w:sz="4" w:space="0" w:color="auto"/>
            </w:tcBorders>
            <w:shd w:val="clear" w:color="auto" w:fill="auto"/>
            <w:hideMark/>
          </w:tcPr>
          <w:p w14:paraId="4F54D0D5"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1809534F"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39CED3B6"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4E9CB9FE"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6D982D0C" w14:textId="77777777" w:rsidR="00E36E18" w:rsidRPr="002E0D60" w:rsidRDefault="00E36E18" w:rsidP="00EB5106">
            <w:pPr>
              <w:ind w:left="150" w:hanging="150"/>
              <w:rPr>
                <w:rFonts w:ascii="Avenir Next Regular" w:hAnsi="Avenir Next Regular" w:cs="Calibri" w:hint="eastAsia"/>
                <w:iCs/>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iCs/>
                <w:color w:val="000000"/>
                <w:sz w:val="16"/>
                <w:szCs w:val="16"/>
              </w:rPr>
              <w:t>Forest and Landscape Restoration</w:t>
            </w:r>
          </w:p>
        </w:tc>
        <w:tc>
          <w:tcPr>
            <w:tcW w:w="1493" w:type="pct"/>
            <w:tcBorders>
              <w:top w:val="nil"/>
              <w:left w:val="nil"/>
              <w:bottom w:val="single" w:sz="4" w:space="0" w:color="auto"/>
              <w:right w:val="single" w:sz="4" w:space="0" w:color="auto"/>
            </w:tcBorders>
            <w:shd w:val="clear" w:color="auto" w:fill="auto"/>
          </w:tcPr>
          <w:p w14:paraId="02051528" w14:textId="77777777" w:rsidR="00E36E18" w:rsidRPr="002E0D60" w:rsidRDefault="00E36E18" w:rsidP="00EB5106">
            <w:pPr>
              <w:rPr>
                <w:rFonts w:ascii="Avenir Next Regular" w:hAnsi="Avenir Next Regular" w:cs="Calibri" w:hint="eastAsia"/>
                <w:color w:val="000000"/>
                <w:sz w:val="16"/>
                <w:szCs w:val="16"/>
              </w:rPr>
            </w:pPr>
          </w:p>
        </w:tc>
      </w:tr>
      <w:tr w:rsidR="00E36E18" w:rsidRPr="00B25CDB" w14:paraId="7A6C7FBA"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tcPr>
          <w:p w14:paraId="38CDC4E2" w14:textId="77777777" w:rsidR="00E36E18" w:rsidRPr="002E0D60" w:rsidRDefault="00E36E18" w:rsidP="00EB5106">
            <w:pPr>
              <w:rPr>
                <w:rFonts w:ascii="Avenir Next Regular" w:hAnsi="Avenir Next Regular" w:cs="Calibri" w:hint="eastAsia"/>
                <w:b/>
                <w:bCs/>
                <w:color w:val="000000"/>
                <w:sz w:val="16"/>
                <w:szCs w:val="16"/>
              </w:rPr>
            </w:pPr>
          </w:p>
        </w:tc>
        <w:tc>
          <w:tcPr>
            <w:tcW w:w="1079" w:type="pct"/>
            <w:tcBorders>
              <w:top w:val="nil"/>
              <w:left w:val="nil"/>
              <w:bottom w:val="single" w:sz="4" w:space="0" w:color="auto"/>
              <w:right w:val="single" w:sz="4" w:space="0" w:color="auto"/>
            </w:tcBorders>
            <w:shd w:val="clear" w:color="auto" w:fill="auto"/>
          </w:tcPr>
          <w:p w14:paraId="4906F202" w14:textId="77777777" w:rsidR="00E36E18" w:rsidRPr="002E0D60" w:rsidRDefault="00E36E18" w:rsidP="00EB5106">
            <w:pPr>
              <w:rPr>
                <w:rFonts w:ascii="Avenir Next Regular" w:hAnsi="Avenir Next Regular" w:cs="Calibri" w:hint="eastAsia"/>
                <w:b/>
                <w:bCs/>
                <w:color w:val="000000"/>
                <w:sz w:val="16"/>
                <w:szCs w:val="16"/>
              </w:rPr>
            </w:pPr>
          </w:p>
        </w:tc>
        <w:tc>
          <w:tcPr>
            <w:tcW w:w="1439" w:type="pct"/>
            <w:tcBorders>
              <w:top w:val="nil"/>
              <w:left w:val="nil"/>
              <w:bottom w:val="single" w:sz="4" w:space="0" w:color="auto"/>
              <w:right w:val="single" w:sz="4" w:space="0" w:color="auto"/>
            </w:tcBorders>
            <w:shd w:val="clear" w:color="auto" w:fill="auto"/>
          </w:tcPr>
          <w:p w14:paraId="2A7F23C0" w14:textId="77777777" w:rsidR="00E36E18" w:rsidRPr="002E0D60" w:rsidRDefault="00E36E18" w:rsidP="00EB5106">
            <w:pPr>
              <w:rPr>
                <w:color w:val="000000"/>
                <w:sz w:val="16"/>
                <w:szCs w:val="16"/>
              </w:rPr>
            </w:pPr>
          </w:p>
        </w:tc>
        <w:tc>
          <w:tcPr>
            <w:tcW w:w="1493" w:type="pct"/>
            <w:tcBorders>
              <w:top w:val="nil"/>
              <w:left w:val="nil"/>
              <w:bottom w:val="single" w:sz="4" w:space="0" w:color="auto"/>
              <w:right w:val="single" w:sz="4" w:space="0" w:color="auto"/>
            </w:tcBorders>
            <w:shd w:val="clear" w:color="auto" w:fill="auto"/>
          </w:tcPr>
          <w:p w14:paraId="6A8B3B3D" w14:textId="77777777" w:rsidR="00E36E18" w:rsidRPr="002E0D60" w:rsidRDefault="00E36E18" w:rsidP="00EB5106">
            <w:pPr>
              <w:rPr>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REDD/REDD+</w:t>
            </w:r>
          </w:p>
        </w:tc>
      </w:tr>
      <w:tr w:rsidR="00E36E18" w:rsidRPr="00B25CDB" w14:paraId="1DA634B1" w14:textId="77777777" w:rsidTr="00EB5106">
        <w:trPr>
          <w:trHeight w:val="18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2F6D0A57"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05328A8B"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7EF9AF4A" w14:textId="77777777" w:rsidR="00E36E18" w:rsidRPr="002E0D60" w:rsidRDefault="00E36E18" w:rsidP="00EB5106">
            <w:pPr>
              <w:rPr>
                <w:rFonts w:ascii="Avenir Next Regular" w:hAnsi="Avenir Next Regular" w:cs="Calibri" w:hint="eastAsia"/>
                <w:iCs/>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iCs/>
                <w:color w:val="000000"/>
                <w:sz w:val="16"/>
                <w:szCs w:val="16"/>
              </w:rPr>
              <w:t>Forest</w:t>
            </w:r>
          </w:p>
        </w:tc>
        <w:tc>
          <w:tcPr>
            <w:tcW w:w="1493" w:type="pct"/>
            <w:tcBorders>
              <w:top w:val="nil"/>
              <w:left w:val="nil"/>
              <w:bottom w:val="single" w:sz="4" w:space="0" w:color="auto"/>
              <w:right w:val="single" w:sz="4" w:space="0" w:color="auto"/>
            </w:tcBorders>
            <w:shd w:val="clear" w:color="auto" w:fill="auto"/>
            <w:hideMark/>
          </w:tcPr>
          <w:p w14:paraId="4BC69DF2"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471E2E47" w14:textId="77777777" w:rsidTr="00EB5106">
        <w:trPr>
          <w:trHeight w:val="161"/>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0C4033BC"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160D6713"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1B380B16"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500E13E6" w14:textId="77777777" w:rsidR="00E36E18" w:rsidRPr="002E0D60" w:rsidRDefault="00E36E18" w:rsidP="00EB5106">
            <w:pPr>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Amazon</w:t>
            </w:r>
          </w:p>
        </w:tc>
      </w:tr>
      <w:tr w:rsidR="00E36E18" w:rsidRPr="00B25CDB" w14:paraId="0E05E1EC" w14:textId="77777777" w:rsidTr="00EB5106">
        <w:trPr>
          <w:trHeight w:val="107"/>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6BE23DD2"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616A8DEF"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4FD3F259"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11052916" w14:textId="77777777" w:rsidR="00E36E18" w:rsidRPr="002E0D60" w:rsidRDefault="00E36E18" w:rsidP="00EB5106">
            <w:pPr>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Congo</w:t>
            </w:r>
          </w:p>
        </w:tc>
      </w:tr>
      <w:tr w:rsidR="00E36E18" w:rsidRPr="00B25CDB" w14:paraId="5093B547"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12B8E5AA"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5A4F76CF"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358DCB0D"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1BB38220" w14:textId="77777777" w:rsidR="00E36E18" w:rsidRPr="002E0D60" w:rsidRDefault="00E36E18" w:rsidP="00EB5106">
            <w:pPr>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Drylands</w:t>
            </w:r>
          </w:p>
        </w:tc>
      </w:tr>
      <w:tr w:rsidR="00E36E18" w:rsidRPr="00B25CDB" w14:paraId="6F5A15D8" w14:textId="77777777" w:rsidTr="00EB5106">
        <w:trPr>
          <w:trHeight w:val="161"/>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4D9E52B6"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4DD7FBDD" w14:textId="77777777" w:rsidR="00E36E18" w:rsidRPr="002E0D60" w:rsidRDefault="00E36E18" w:rsidP="00EB5106">
            <w:pPr>
              <w:rPr>
                <w:rFonts w:ascii="Avenir Next Regular" w:hAnsi="Avenir Next Regular" w:cs="Calibri" w:hint="eastAsia"/>
                <w:b/>
                <w:bCs/>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b/>
                <w:bCs/>
                <w:color w:val="000000"/>
                <w:sz w:val="16"/>
                <w:szCs w:val="16"/>
              </w:rPr>
              <w:t>Land Degradation</w:t>
            </w:r>
          </w:p>
        </w:tc>
        <w:tc>
          <w:tcPr>
            <w:tcW w:w="1439" w:type="pct"/>
            <w:tcBorders>
              <w:top w:val="nil"/>
              <w:left w:val="nil"/>
              <w:bottom w:val="single" w:sz="4" w:space="0" w:color="auto"/>
              <w:right w:val="single" w:sz="4" w:space="0" w:color="auto"/>
            </w:tcBorders>
            <w:shd w:val="clear" w:color="auto" w:fill="auto"/>
            <w:hideMark/>
          </w:tcPr>
          <w:p w14:paraId="71E62EC4"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269CFB1C"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4502337C"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6E04F3E8"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4F0DEF9C"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64AE15E7" w14:textId="77777777" w:rsidR="00E36E18" w:rsidRPr="002E0D60" w:rsidRDefault="00E36E18" w:rsidP="00EB5106">
            <w:pPr>
              <w:rPr>
                <w:rFonts w:ascii="Avenir Next Regular" w:hAnsi="Avenir Next Regular" w:cs="Calibri" w:hint="eastAsia"/>
                <w:iCs/>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iCs/>
                <w:color w:val="000000"/>
                <w:sz w:val="16"/>
                <w:szCs w:val="16"/>
              </w:rPr>
              <w:t>Sustainable Land Management</w:t>
            </w:r>
          </w:p>
        </w:tc>
        <w:tc>
          <w:tcPr>
            <w:tcW w:w="1493" w:type="pct"/>
            <w:tcBorders>
              <w:top w:val="nil"/>
              <w:left w:val="nil"/>
              <w:bottom w:val="single" w:sz="4" w:space="0" w:color="auto"/>
              <w:right w:val="single" w:sz="4" w:space="0" w:color="auto"/>
            </w:tcBorders>
            <w:shd w:val="clear" w:color="auto" w:fill="auto"/>
            <w:hideMark/>
          </w:tcPr>
          <w:p w14:paraId="058B1DC8"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677909A0" w14:textId="77777777" w:rsidTr="00EB5106">
        <w:trPr>
          <w:trHeight w:val="420"/>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007DEDDF"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7A1B44F9"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0331F0CF"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2DEFE6E1" w14:textId="77777777" w:rsidR="00E36E18" w:rsidRPr="002E0D60" w:rsidRDefault="00E36E18" w:rsidP="00EB5106">
            <w:pPr>
              <w:ind w:left="192" w:hanging="192"/>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 xml:space="preserve">Restoration and Rehabilitation of Degraded Lands </w:t>
            </w:r>
          </w:p>
        </w:tc>
      </w:tr>
      <w:tr w:rsidR="00E36E18" w:rsidRPr="00B25CDB" w14:paraId="3C1E93CA" w14:textId="77777777" w:rsidTr="00EB5106">
        <w:trPr>
          <w:trHeight w:val="18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29731F56"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vAlign w:val="bottom"/>
            <w:hideMark/>
          </w:tcPr>
          <w:p w14:paraId="4085E269"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6B4BAA83"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50D951A9" w14:textId="77777777" w:rsidR="00E36E18" w:rsidRPr="002E0D60" w:rsidRDefault="00E36E18" w:rsidP="00EB5106">
            <w:pPr>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Ecosystem Approach</w:t>
            </w:r>
          </w:p>
        </w:tc>
      </w:tr>
      <w:tr w:rsidR="00E36E18" w:rsidRPr="00B25CDB" w14:paraId="2BA8BE7D" w14:textId="77777777" w:rsidTr="00EB5106">
        <w:trPr>
          <w:trHeight w:val="251"/>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7C188C96"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54D65F63"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3F162D69"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50D8E3D2" w14:textId="77777777" w:rsidR="00E36E18" w:rsidRPr="002E0D60" w:rsidRDefault="00E36E18" w:rsidP="00EB5106">
            <w:pPr>
              <w:ind w:left="192" w:hanging="192"/>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Integrated and Cross-sectoral approach</w:t>
            </w:r>
          </w:p>
        </w:tc>
      </w:tr>
      <w:tr w:rsidR="00E36E18" w:rsidRPr="00B25CDB" w14:paraId="290747D8"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03A09B07"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4368184F"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0B797475"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4D75533E" w14:textId="77777777" w:rsidR="00E36E18" w:rsidRPr="002E0D60" w:rsidRDefault="00E36E18" w:rsidP="00EB5106">
            <w:pPr>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Community-Based NRM</w:t>
            </w:r>
          </w:p>
        </w:tc>
      </w:tr>
      <w:tr w:rsidR="00E36E18" w:rsidRPr="00B25CDB" w14:paraId="3FE4BD80"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175BE68A"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3BA7F108"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34D6A2E3"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2933B648" w14:textId="77777777" w:rsidR="00E36E18" w:rsidRPr="002E0D60" w:rsidRDefault="00E36E18" w:rsidP="00EB5106">
            <w:pPr>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Sustainable Livelihoods</w:t>
            </w:r>
          </w:p>
        </w:tc>
      </w:tr>
      <w:tr w:rsidR="00E36E18" w:rsidRPr="00B25CDB" w14:paraId="24F523B2"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4546AD11"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436A4FA6"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607E716A"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6DD1CEBD" w14:textId="77777777" w:rsidR="00E36E18" w:rsidRPr="002E0D60" w:rsidRDefault="00E36E18" w:rsidP="00EB5106">
            <w:pPr>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Income Generating Activities</w:t>
            </w:r>
          </w:p>
        </w:tc>
      </w:tr>
      <w:tr w:rsidR="00E36E18" w:rsidRPr="00B25CDB" w14:paraId="67CC6F72" w14:textId="77777777" w:rsidTr="00EB5106">
        <w:trPr>
          <w:trHeight w:val="134"/>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6B672107"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6E6B00AD"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1A05E5DC"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6F4FE9E2" w14:textId="77777777" w:rsidR="00E36E18" w:rsidRPr="002E0D60" w:rsidRDefault="00E36E18" w:rsidP="00EB5106">
            <w:pPr>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Sustainable Agriculture</w:t>
            </w:r>
          </w:p>
        </w:tc>
      </w:tr>
      <w:tr w:rsidR="00E36E18" w:rsidRPr="00B25CDB" w14:paraId="4E8938BF" w14:textId="77777777" w:rsidTr="00EB5106">
        <w:trPr>
          <w:trHeight w:val="107"/>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28DC5B6E"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28AC5DD5"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77988A2B"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31F99300" w14:textId="77777777" w:rsidR="00E36E18" w:rsidRPr="002E0D60" w:rsidRDefault="00E36E18" w:rsidP="00EB5106">
            <w:pPr>
              <w:ind w:left="192" w:hanging="192"/>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Sustainable Pasture Management</w:t>
            </w:r>
          </w:p>
        </w:tc>
      </w:tr>
      <w:tr w:rsidR="00E36E18" w:rsidRPr="00B25CDB" w14:paraId="7DC0725D" w14:textId="77777777" w:rsidTr="00EB5106">
        <w:trPr>
          <w:trHeight w:val="420"/>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0152D7C0"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622B847D"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3A86A1E7"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59FDEED6" w14:textId="77777777" w:rsidR="00E36E18" w:rsidRPr="002E0D60" w:rsidRDefault="00E36E18" w:rsidP="00EB5106">
            <w:pPr>
              <w:ind w:left="192" w:hanging="192"/>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Sustainable Forest/Woodland Management</w:t>
            </w:r>
          </w:p>
        </w:tc>
      </w:tr>
      <w:tr w:rsidR="00E36E18" w:rsidRPr="00B25CDB" w14:paraId="1878E366" w14:textId="77777777" w:rsidTr="00EB5106">
        <w:trPr>
          <w:trHeight w:val="420"/>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5AF045D5"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4EB3D385"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63C678AB"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501032C7" w14:textId="77777777" w:rsidR="00E36E18" w:rsidRPr="002E0D60" w:rsidRDefault="00E36E18" w:rsidP="00EB5106">
            <w:pPr>
              <w:ind w:left="192" w:hanging="192"/>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Improved Soil and Water Management Techniques</w:t>
            </w:r>
          </w:p>
        </w:tc>
      </w:tr>
      <w:tr w:rsidR="00E36E18" w:rsidRPr="00B25CDB" w14:paraId="5ADB2092"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70B87121"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6ED8FE37"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159D6E4E"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539D7695" w14:textId="77777777" w:rsidR="00E36E18" w:rsidRPr="002E0D60" w:rsidRDefault="00E36E18" w:rsidP="00EB5106">
            <w:pPr>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Sustainable Fire Management</w:t>
            </w:r>
          </w:p>
        </w:tc>
      </w:tr>
      <w:tr w:rsidR="00E36E18" w:rsidRPr="00B25CDB" w14:paraId="375A08DF" w14:textId="77777777" w:rsidTr="00EB5106">
        <w:trPr>
          <w:trHeight w:val="125"/>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237D7734"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1F52CA87"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46305F34"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48C136A4" w14:textId="77777777" w:rsidR="00E36E18" w:rsidRPr="002E0D60" w:rsidRDefault="00E36E18" w:rsidP="00EB5106">
            <w:pPr>
              <w:ind w:left="192" w:hanging="192"/>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Drought Mitigation/Early Warning</w:t>
            </w:r>
          </w:p>
        </w:tc>
      </w:tr>
      <w:tr w:rsidR="00E36E18" w:rsidRPr="00B25CDB" w14:paraId="0C40383F" w14:textId="77777777" w:rsidTr="00EB5106">
        <w:trPr>
          <w:trHeight w:val="143"/>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14131DF1"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3C70729B"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40E965CC" w14:textId="77777777" w:rsidR="00E36E18" w:rsidRPr="002E0D60" w:rsidRDefault="00E36E18" w:rsidP="00EB5106">
            <w:pPr>
              <w:rPr>
                <w:rFonts w:ascii="Avenir Next Regular" w:hAnsi="Avenir Next Regular" w:cs="Calibri" w:hint="eastAsia"/>
                <w:iCs/>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iCs/>
                <w:color w:val="000000"/>
                <w:sz w:val="16"/>
                <w:szCs w:val="16"/>
              </w:rPr>
              <w:t>Land Degradation Neutrality</w:t>
            </w:r>
          </w:p>
        </w:tc>
        <w:tc>
          <w:tcPr>
            <w:tcW w:w="1493" w:type="pct"/>
            <w:tcBorders>
              <w:top w:val="nil"/>
              <w:left w:val="nil"/>
              <w:bottom w:val="single" w:sz="4" w:space="0" w:color="auto"/>
              <w:right w:val="single" w:sz="4" w:space="0" w:color="auto"/>
            </w:tcBorders>
            <w:shd w:val="clear" w:color="auto" w:fill="auto"/>
            <w:hideMark/>
          </w:tcPr>
          <w:p w14:paraId="54F31382"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191EB884"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16BA9072"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0E442ACD"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682AB597"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498547C2" w14:textId="77777777" w:rsidR="00E36E18" w:rsidRPr="002E0D60" w:rsidRDefault="00E36E18" w:rsidP="00EB5106">
            <w:pPr>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Land Productivity</w:t>
            </w:r>
          </w:p>
        </w:tc>
      </w:tr>
      <w:tr w:rsidR="00E36E18" w:rsidRPr="00B25CDB" w14:paraId="5DDD5592" w14:textId="77777777" w:rsidTr="00EB5106">
        <w:trPr>
          <w:trHeight w:val="107"/>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4A996E07"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7B1EE6B8"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6B861B6D"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12D704BC" w14:textId="77777777" w:rsidR="00E36E18" w:rsidRPr="002E0D60" w:rsidRDefault="00E36E18" w:rsidP="00EB5106">
            <w:pPr>
              <w:ind w:left="192" w:hanging="192"/>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Land Cover and Land cover change</w:t>
            </w:r>
          </w:p>
        </w:tc>
      </w:tr>
      <w:tr w:rsidR="00E36E18" w:rsidRPr="00B25CDB" w14:paraId="4CF23110" w14:textId="77777777" w:rsidTr="00EB5106">
        <w:trPr>
          <w:trHeight w:val="179"/>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0F28A180"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24C86EB6"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384C1356"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598E8E33" w14:textId="77777777" w:rsidR="00E36E18" w:rsidRPr="002E0D60" w:rsidRDefault="00E36E18" w:rsidP="00EB5106">
            <w:pPr>
              <w:ind w:left="192" w:hanging="192"/>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Carbon stocks above or below ground</w:t>
            </w:r>
          </w:p>
        </w:tc>
      </w:tr>
      <w:tr w:rsidR="00E36E18" w:rsidRPr="00B25CDB" w14:paraId="6AC2697D"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02511A4B"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7C6A5CCD"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17770F1A" w14:textId="77777777" w:rsidR="00E36E18" w:rsidRPr="002E0D60" w:rsidRDefault="00E36E18" w:rsidP="00EB5106">
            <w:pPr>
              <w:rPr>
                <w:rFonts w:ascii="Avenir Next Regular" w:hAnsi="Avenir Next Regular" w:cs="Calibri" w:hint="eastAsia"/>
                <w:iCs/>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iCs/>
                <w:color w:val="000000"/>
                <w:sz w:val="16"/>
                <w:szCs w:val="16"/>
              </w:rPr>
              <w:t>Food Security</w:t>
            </w:r>
          </w:p>
        </w:tc>
        <w:tc>
          <w:tcPr>
            <w:tcW w:w="1493" w:type="pct"/>
            <w:tcBorders>
              <w:top w:val="nil"/>
              <w:left w:val="nil"/>
              <w:bottom w:val="single" w:sz="4" w:space="0" w:color="auto"/>
              <w:right w:val="single" w:sz="4" w:space="0" w:color="auto"/>
            </w:tcBorders>
            <w:shd w:val="clear" w:color="auto" w:fill="auto"/>
            <w:hideMark/>
          </w:tcPr>
          <w:p w14:paraId="4D8B0EC5"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3EC7782A" w14:textId="77777777" w:rsidTr="00EB5106">
        <w:trPr>
          <w:trHeight w:val="143"/>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3F55DD04"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5C0CBEEA" w14:textId="77777777" w:rsidR="00E36E18" w:rsidRPr="002E0D60" w:rsidRDefault="00E36E18" w:rsidP="00EB5106">
            <w:pPr>
              <w:rPr>
                <w:rFonts w:ascii="Avenir Next Regular" w:hAnsi="Avenir Next Regular" w:cs="Calibri" w:hint="eastAsia"/>
                <w:b/>
                <w:bCs/>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b/>
                <w:bCs/>
                <w:color w:val="000000"/>
                <w:sz w:val="16"/>
                <w:szCs w:val="16"/>
              </w:rPr>
              <w:t>International Waters</w:t>
            </w:r>
          </w:p>
        </w:tc>
        <w:tc>
          <w:tcPr>
            <w:tcW w:w="1439" w:type="pct"/>
            <w:tcBorders>
              <w:top w:val="nil"/>
              <w:left w:val="nil"/>
              <w:bottom w:val="single" w:sz="4" w:space="0" w:color="auto"/>
              <w:right w:val="single" w:sz="4" w:space="0" w:color="auto"/>
            </w:tcBorders>
            <w:shd w:val="clear" w:color="auto" w:fill="auto"/>
            <w:noWrap/>
            <w:vAlign w:val="bottom"/>
            <w:hideMark/>
          </w:tcPr>
          <w:p w14:paraId="7004F664"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noWrap/>
            <w:vAlign w:val="bottom"/>
            <w:hideMark/>
          </w:tcPr>
          <w:p w14:paraId="096D3CF0"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70B2E297"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0559A6D9"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lastRenderedPageBreak/>
              <w:t> </w:t>
            </w:r>
          </w:p>
        </w:tc>
        <w:tc>
          <w:tcPr>
            <w:tcW w:w="1079" w:type="pct"/>
            <w:tcBorders>
              <w:top w:val="nil"/>
              <w:left w:val="nil"/>
              <w:bottom w:val="single" w:sz="4" w:space="0" w:color="auto"/>
              <w:right w:val="single" w:sz="4" w:space="0" w:color="auto"/>
            </w:tcBorders>
            <w:shd w:val="clear" w:color="auto" w:fill="auto"/>
            <w:hideMark/>
          </w:tcPr>
          <w:p w14:paraId="5B62802A"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vAlign w:val="center"/>
            <w:hideMark/>
          </w:tcPr>
          <w:p w14:paraId="6CDBA0F9" w14:textId="77777777" w:rsidR="00E36E18" w:rsidRPr="002E0D60" w:rsidRDefault="00E36E18" w:rsidP="00EB5106">
            <w:pPr>
              <w:rPr>
                <w:rFonts w:ascii="Avenir Next Regular" w:hAnsi="Avenir Next Regular" w:cs="Calibri" w:hint="eastAsia"/>
                <w:iCs/>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iCs/>
                <w:color w:val="000000"/>
                <w:sz w:val="16"/>
                <w:szCs w:val="16"/>
              </w:rPr>
              <w:t xml:space="preserve">Ship </w:t>
            </w:r>
          </w:p>
        </w:tc>
        <w:tc>
          <w:tcPr>
            <w:tcW w:w="1493" w:type="pct"/>
            <w:tcBorders>
              <w:top w:val="nil"/>
              <w:left w:val="nil"/>
              <w:bottom w:val="single" w:sz="4" w:space="0" w:color="auto"/>
              <w:right w:val="single" w:sz="4" w:space="0" w:color="auto"/>
            </w:tcBorders>
            <w:shd w:val="clear" w:color="auto" w:fill="auto"/>
            <w:hideMark/>
          </w:tcPr>
          <w:p w14:paraId="40BB68DE"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4C082C13"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19ABA1CF"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686B4BDA"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vAlign w:val="center"/>
            <w:hideMark/>
          </w:tcPr>
          <w:p w14:paraId="7749D93C" w14:textId="77777777" w:rsidR="00E36E18" w:rsidRPr="002E0D60" w:rsidRDefault="00E36E18" w:rsidP="00EB5106">
            <w:pPr>
              <w:rPr>
                <w:rFonts w:ascii="Avenir Next Regular" w:hAnsi="Avenir Next Regular" w:cs="Calibri" w:hint="eastAsia"/>
                <w:iCs/>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iCs/>
                <w:color w:val="000000"/>
                <w:sz w:val="16"/>
                <w:szCs w:val="16"/>
              </w:rPr>
              <w:t>Coastal</w:t>
            </w:r>
          </w:p>
        </w:tc>
        <w:tc>
          <w:tcPr>
            <w:tcW w:w="1493" w:type="pct"/>
            <w:tcBorders>
              <w:top w:val="nil"/>
              <w:left w:val="nil"/>
              <w:bottom w:val="single" w:sz="4" w:space="0" w:color="auto"/>
              <w:right w:val="single" w:sz="4" w:space="0" w:color="auto"/>
            </w:tcBorders>
            <w:shd w:val="clear" w:color="auto" w:fill="auto"/>
            <w:hideMark/>
          </w:tcPr>
          <w:p w14:paraId="671FDA57"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0CFCDF2F"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tcPr>
          <w:p w14:paraId="708FA107" w14:textId="77777777" w:rsidR="00E36E18" w:rsidRPr="002E0D60" w:rsidRDefault="00E36E18" w:rsidP="00EB5106">
            <w:pPr>
              <w:rPr>
                <w:rFonts w:ascii="Avenir Next Regular" w:hAnsi="Avenir Next Regular" w:cs="Calibri" w:hint="eastAsia"/>
                <w:b/>
                <w:bCs/>
                <w:color w:val="000000"/>
                <w:sz w:val="16"/>
                <w:szCs w:val="16"/>
              </w:rPr>
            </w:pPr>
          </w:p>
        </w:tc>
        <w:tc>
          <w:tcPr>
            <w:tcW w:w="1079" w:type="pct"/>
            <w:tcBorders>
              <w:top w:val="nil"/>
              <w:left w:val="nil"/>
              <w:bottom w:val="single" w:sz="4" w:space="0" w:color="auto"/>
              <w:right w:val="single" w:sz="4" w:space="0" w:color="auto"/>
            </w:tcBorders>
            <w:shd w:val="clear" w:color="auto" w:fill="auto"/>
          </w:tcPr>
          <w:p w14:paraId="5121785C" w14:textId="77777777" w:rsidR="00E36E18" w:rsidRPr="002E0D60" w:rsidRDefault="00E36E18" w:rsidP="00EB5106">
            <w:pPr>
              <w:rPr>
                <w:rFonts w:ascii="Avenir Next Regular" w:hAnsi="Avenir Next Regular" w:cs="Calibri" w:hint="eastAsia"/>
                <w:b/>
                <w:bCs/>
                <w:color w:val="000000"/>
                <w:sz w:val="16"/>
                <w:szCs w:val="16"/>
              </w:rPr>
            </w:pPr>
          </w:p>
        </w:tc>
        <w:tc>
          <w:tcPr>
            <w:tcW w:w="1439" w:type="pct"/>
            <w:tcBorders>
              <w:top w:val="nil"/>
              <w:left w:val="nil"/>
              <w:bottom w:val="single" w:sz="4" w:space="0" w:color="auto"/>
              <w:right w:val="single" w:sz="4" w:space="0" w:color="auto"/>
            </w:tcBorders>
            <w:shd w:val="clear" w:color="auto" w:fill="auto"/>
            <w:vAlign w:val="center"/>
          </w:tcPr>
          <w:p w14:paraId="0C135424" w14:textId="77777777" w:rsidR="00E36E18" w:rsidRPr="002E0D60" w:rsidRDefault="00E36E18" w:rsidP="00EB5106">
            <w:pPr>
              <w:rPr>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color w:val="000000"/>
                <w:sz w:val="16"/>
                <w:szCs w:val="16"/>
              </w:rPr>
              <w:t>Freshwater</w:t>
            </w:r>
          </w:p>
        </w:tc>
        <w:tc>
          <w:tcPr>
            <w:tcW w:w="1493" w:type="pct"/>
            <w:tcBorders>
              <w:top w:val="nil"/>
              <w:left w:val="nil"/>
              <w:bottom w:val="single" w:sz="4" w:space="0" w:color="auto"/>
              <w:right w:val="single" w:sz="4" w:space="0" w:color="auto"/>
            </w:tcBorders>
            <w:shd w:val="clear" w:color="auto" w:fill="auto"/>
          </w:tcPr>
          <w:p w14:paraId="5C8FA013" w14:textId="77777777" w:rsidR="00E36E18" w:rsidRPr="002E0D60" w:rsidRDefault="00E36E18" w:rsidP="00EB5106">
            <w:pPr>
              <w:rPr>
                <w:rFonts w:ascii="Avenir Next Regular" w:hAnsi="Avenir Next Regular" w:cs="Calibri" w:hint="eastAsia"/>
                <w:color w:val="000000"/>
                <w:sz w:val="16"/>
                <w:szCs w:val="16"/>
              </w:rPr>
            </w:pPr>
          </w:p>
        </w:tc>
      </w:tr>
      <w:tr w:rsidR="00E36E18" w:rsidRPr="00B25CDB" w14:paraId="7BA1F95E" w14:textId="77777777" w:rsidTr="00EB5106">
        <w:trPr>
          <w:trHeight w:val="80"/>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5C0ABF3A"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2356F3E8"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vAlign w:val="center"/>
          </w:tcPr>
          <w:p w14:paraId="59D7CAF8" w14:textId="77777777" w:rsidR="00E36E18" w:rsidRPr="002E0D60" w:rsidRDefault="00E36E18" w:rsidP="00EB5106">
            <w:pPr>
              <w:rPr>
                <w:rFonts w:ascii="Avenir Next Regular" w:hAnsi="Avenir Next Regular" w:cs="Calibri" w:hint="eastAsia"/>
                <w:iCs/>
                <w:color w:val="000000"/>
                <w:sz w:val="16"/>
                <w:szCs w:val="16"/>
              </w:rPr>
            </w:pPr>
          </w:p>
        </w:tc>
        <w:tc>
          <w:tcPr>
            <w:tcW w:w="1493" w:type="pct"/>
            <w:tcBorders>
              <w:top w:val="nil"/>
              <w:left w:val="nil"/>
              <w:bottom w:val="single" w:sz="4" w:space="0" w:color="auto"/>
              <w:right w:val="single" w:sz="4" w:space="0" w:color="auto"/>
            </w:tcBorders>
            <w:shd w:val="clear" w:color="auto" w:fill="auto"/>
            <w:vAlign w:val="center"/>
            <w:hideMark/>
          </w:tcPr>
          <w:p w14:paraId="46927511" w14:textId="77777777" w:rsidR="00E36E18" w:rsidRPr="002E0D60" w:rsidRDefault="00E36E18" w:rsidP="00EB5106">
            <w:pPr>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iCs/>
                <w:color w:val="000000"/>
                <w:sz w:val="16"/>
                <w:szCs w:val="16"/>
              </w:rPr>
              <w:t>Aquifer</w:t>
            </w:r>
          </w:p>
        </w:tc>
      </w:tr>
      <w:tr w:rsidR="00E36E18" w:rsidRPr="00B25CDB" w14:paraId="0DC81C11"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0FE89672"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vAlign w:val="bottom"/>
            <w:hideMark/>
          </w:tcPr>
          <w:p w14:paraId="68E03A4D"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vAlign w:val="center"/>
          </w:tcPr>
          <w:p w14:paraId="7D298039" w14:textId="77777777" w:rsidR="00E36E18" w:rsidRPr="002E0D60" w:rsidRDefault="00E36E18" w:rsidP="00EB5106">
            <w:pPr>
              <w:rPr>
                <w:rFonts w:ascii="Avenir Next Regular" w:hAnsi="Avenir Next Regular" w:cs="Calibri" w:hint="eastAsia"/>
                <w:iCs/>
                <w:color w:val="000000"/>
                <w:sz w:val="16"/>
                <w:szCs w:val="16"/>
              </w:rPr>
            </w:pPr>
          </w:p>
        </w:tc>
        <w:tc>
          <w:tcPr>
            <w:tcW w:w="1493" w:type="pct"/>
            <w:tcBorders>
              <w:top w:val="nil"/>
              <w:left w:val="nil"/>
              <w:bottom w:val="single" w:sz="4" w:space="0" w:color="auto"/>
              <w:right w:val="single" w:sz="4" w:space="0" w:color="auto"/>
            </w:tcBorders>
            <w:shd w:val="clear" w:color="auto" w:fill="auto"/>
            <w:vAlign w:val="center"/>
            <w:hideMark/>
          </w:tcPr>
          <w:p w14:paraId="3C290C42" w14:textId="77777777" w:rsidR="00E36E18" w:rsidRPr="002E0D60" w:rsidRDefault="00E36E18" w:rsidP="00EB5106">
            <w:pPr>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iCs/>
                <w:color w:val="000000"/>
                <w:sz w:val="16"/>
                <w:szCs w:val="16"/>
              </w:rPr>
              <w:t>River Basin</w:t>
            </w:r>
          </w:p>
        </w:tc>
      </w:tr>
      <w:tr w:rsidR="00E36E18" w:rsidRPr="00B25CDB" w14:paraId="2B9B2EB0"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50E974B8"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272F87B1"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vAlign w:val="center"/>
          </w:tcPr>
          <w:p w14:paraId="65756AC3" w14:textId="77777777" w:rsidR="00E36E18" w:rsidRPr="002E0D60" w:rsidRDefault="00E36E18" w:rsidP="00EB5106">
            <w:pPr>
              <w:rPr>
                <w:rFonts w:ascii="Avenir Next Regular" w:hAnsi="Avenir Next Regular" w:cs="Calibri" w:hint="eastAsia"/>
                <w:iCs/>
                <w:color w:val="000000"/>
                <w:sz w:val="16"/>
                <w:szCs w:val="16"/>
              </w:rPr>
            </w:pPr>
          </w:p>
        </w:tc>
        <w:tc>
          <w:tcPr>
            <w:tcW w:w="1493" w:type="pct"/>
            <w:tcBorders>
              <w:top w:val="nil"/>
              <w:left w:val="nil"/>
              <w:bottom w:val="single" w:sz="4" w:space="0" w:color="auto"/>
              <w:right w:val="single" w:sz="4" w:space="0" w:color="auto"/>
            </w:tcBorders>
            <w:shd w:val="clear" w:color="auto" w:fill="auto"/>
            <w:vAlign w:val="center"/>
            <w:hideMark/>
          </w:tcPr>
          <w:p w14:paraId="648DB665" w14:textId="77777777" w:rsidR="00E36E18" w:rsidRPr="002E0D60" w:rsidRDefault="00E36E18" w:rsidP="00EB5106">
            <w:pPr>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iCs/>
                <w:color w:val="000000"/>
                <w:sz w:val="16"/>
                <w:szCs w:val="16"/>
              </w:rPr>
              <w:t>Lake Basin</w:t>
            </w:r>
          </w:p>
        </w:tc>
      </w:tr>
      <w:tr w:rsidR="00E36E18" w:rsidRPr="00B25CDB" w14:paraId="23E08687"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7B5AE249"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68A80E3E"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vAlign w:val="center"/>
            <w:hideMark/>
          </w:tcPr>
          <w:p w14:paraId="123746F4" w14:textId="77777777" w:rsidR="00E36E18" w:rsidRPr="002E0D60" w:rsidRDefault="00E36E18" w:rsidP="00EB5106">
            <w:pPr>
              <w:rPr>
                <w:rFonts w:ascii="Avenir Next Regular" w:hAnsi="Avenir Next Regular" w:cs="Calibri" w:hint="eastAsia"/>
                <w:iCs/>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iCs/>
                <w:color w:val="000000"/>
                <w:sz w:val="16"/>
                <w:szCs w:val="16"/>
              </w:rPr>
              <w:t>Learning</w:t>
            </w:r>
          </w:p>
        </w:tc>
        <w:tc>
          <w:tcPr>
            <w:tcW w:w="1493" w:type="pct"/>
            <w:tcBorders>
              <w:top w:val="nil"/>
              <w:left w:val="nil"/>
              <w:bottom w:val="single" w:sz="4" w:space="0" w:color="auto"/>
              <w:right w:val="single" w:sz="4" w:space="0" w:color="auto"/>
            </w:tcBorders>
            <w:shd w:val="clear" w:color="auto" w:fill="auto"/>
            <w:hideMark/>
          </w:tcPr>
          <w:p w14:paraId="6DA9BDBA"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3FE4FC7D"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7795A98E"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4396957C"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vAlign w:val="center"/>
            <w:hideMark/>
          </w:tcPr>
          <w:p w14:paraId="02F19B47" w14:textId="77777777" w:rsidR="00E36E18" w:rsidRPr="002E0D60" w:rsidRDefault="00E36E18" w:rsidP="00EB5106">
            <w:pPr>
              <w:rPr>
                <w:rFonts w:ascii="Avenir Next Regular" w:hAnsi="Avenir Next Regular" w:cs="Calibri" w:hint="eastAsia"/>
                <w:iCs/>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iCs/>
                <w:color w:val="000000"/>
                <w:sz w:val="16"/>
                <w:szCs w:val="16"/>
              </w:rPr>
              <w:t>Fisheries</w:t>
            </w:r>
          </w:p>
        </w:tc>
        <w:tc>
          <w:tcPr>
            <w:tcW w:w="1493" w:type="pct"/>
            <w:tcBorders>
              <w:top w:val="nil"/>
              <w:left w:val="nil"/>
              <w:bottom w:val="single" w:sz="4" w:space="0" w:color="auto"/>
              <w:right w:val="single" w:sz="4" w:space="0" w:color="auto"/>
            </w:tcBorders>
            <w:shd w:val="clear" w:color="auto" w:fill="auto"/>
            <w:hideMark/>
          </w:tcPr>
          <w:p w14:paraId="09DEB57C"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21C841A0"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4EB718D9"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61411865"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vAlign w:val="center"/>
            <w:hideMark/>
          </w:tcPr>
          <w:p w14:paraId="1951B32F" w14:textId="77777777" w:rsidR="00E36E18" w:rsidRPr="002E0D60" w:rsidRDefault="00E36E18" w:rsidP="00EB5106">
            <w:pPr>
              <w:rPr>
                <w:rFonts w:ascii="Avenir Next Regular" w:hAnsi="Avenir Next Regular" w:cs="Calibri" w:hint="eastAsia"/>
                <w:iCs/>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iCs/>
                <w:color w:val="000000"/>
                <w:sz w:val="16"/>
                <w:szCs w:val="16"/>
              </w:rPr>
              <w:t>Persistent toxic substances</w:t>
            </w:r>
          </w:p>
        </w:tc>
        <w:tc>
          <w:tcPr>
            <w:tcW w:w="1493" w:type="pct"/>
            <w:tcBorders>
              <w:top w:val="nil"/>
              <w:left w:val="nil"/>
              <w:bottom w:val="single" w:sz="4" w:space="0" w:color="auto"/>
              <w:right w:val="single" w:sz="4" w:space="0" w:color="auto"/>
            </w:tcBorders>
            <w:shd w:val="clear" w:color="auto" w:fill="auto"/>
            <w:hideMark/>
          </w:tcPr>
          <w:p w14:paraId="6E53D967"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6FE0A350"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1A8A5EAF"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495F24F5"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vAlign w:val="center"/>
            <w:hideMark/>
          </w:tcPr>
          <w:p w14:paraId="6219AC7C" w14:textId="77777777" w:rsidR="00E36E18" w:rsidRPr="002E0D60" w:rsidRDefault="00E36E18" w:rsidP="00EB5106">
            <w:pPr>
              <w:rPr>
                <w:rFonts w:ascii="Avenir Next Regular" w:hAnsi="Avenir Next Regular" w:cs="Calibri" w:hint="eastAsia"/>
                <w:iCs/>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proofErr w:type="gramStart"/>
            <w:r w:rsidRPr="002E0D60">
              <w:rPr>
                <w:rFonts w:ascii="Avenir Next Regular" w:hAnsi="Avenir Next Regular" w:cs="Calibri"/>
                <w:iCs/>
                <w:color w:val="000000"/>
                <w:sz w:val="16"/>
                <w:szCs w:val="16"/>
              </w:rPr>
              <w:t>SIDS :</w:t>
            </w:r>
            <w:proofErr w:type="gramEnd"/>
            <w:r w:rsidRPr="002E0D60">
              <w:rPr>
                <w:rFonts w:ascii="Avenir Next Regular" w:hAnsi="Avenir Next Regular" w:cs="Calibri"/>
                <w:iCs/>
                <w:color w:val="000000"/>
                <w:sz w:val="16"/>
                <w:szCs w:val="16"/>
              </w:rPr>
              <w:t xml:space="preserve"> Small Island Dev States</w:t>
            </w:r>
          </w:p>
        </w:tc>
        <w:tc>
          <w:tcPr>
            <w:tcW w:w="1493" w:type="pct"/>
            <w:tcBorders>
              <w:top w:val="nil"/>
              <w:left w:val="nil"/>
              <w:bottom w:val="single" w:sz="4" w:space="0" w:color="auto"/>
              <w:right w:val="single" w:sz="4" w:space="0" w:color="auto"/>
            </w:tcBorders>
            <w:shd w:val="clear" w:color="auto" w:fill="auto"/>
            <w:hideMark/>
          </w:tcPr>
          <w:p w14:paraId="0DFAF6F4"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42C6A16E"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17E62881"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73AC9AD3"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vAlign w:val="center"/>
            <w:hideMark/>
          </w:tcPr>
          <w:p w14:paraId="3FBC992C" w14:textId="77777777" w:rsidR="00E36E18" w:rsidRPr="002E0D60" w:rsidRDefault="00E36E18" w:rsidP="00EB5106">
            <w:pPr>
              <w:rPr>
                <w:rFonts w:ascii="Avenir Next Regular" w:hAnsi="Avenir Next Regular" w:cs="Calibri" w:hint="eastAsia"/>
                <w:iCs/>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iCs/>
                <w:color w:val="000000"/>
                <w:sz w:val="16"/>
                <w:szCs w:val="16"/>
              </w:rPr>
              <w:t>Targeted Research</w:t>
            </w:r>
          </w:p>
        </w:tc>
        <w:tc>
          <w:tcPr>
            <w:tcW w:w="1493" w:type="pct"/>
            <w:tcBorders>
              <w:top w:val="nil"/>
              <w:left w:val="nil"/>
              <w:bottom w:val="single" w:sz="4" w:space="0" w:color="auto"/>
              <w:right w:val="single" w:sz="4" w:space="0" w:color="auto"/>
            </w:tcBorders>
            <w:shd w:val="clear" w:color="auto" w:fill="auto"/>
            <w:hideMark/>
          </w:tcPr>
          <w:p w14:paraId="414D0506"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4793FF04"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tcPr>
          <w:p w14:paraId="592BC22A" w14:textId="77777777" w:rsidR="00E36E18" w:rsidRPr="002E0D60" w:rsidRDefault="00E36E18" w:rsidP="00EB5106">
            <w:pPr>
              <w:rPr>
                <w:rFonts w:ascii="Avenir Next Regular" w:hAnsi="Avenir Next Regular" w:cs="Calibri" w:hint="eastAsia"/>
                <w:b/>
                <w:bCs/>
                <w:color w:val="000000"/>
                <w:sz w:val="16"/>
                <w:szCs w:val="16"/>
              </w:rPr>
            </w:pPr>
          </w:p>
        </w:tc>
        <w:tc>
          <w:tcPr>
            <w:tcW w:w="1079" w:type="pct"/>
            <w:tcBorders>
              <w:top w:val="nil"/>
              <w:left w:val="nil"/>
              <w:bottom w:val="single" w:sz="4" w:space="0" w:color="auto"/>
              <w:right w:val="single" w:sz="4" w:space="0" w:color="auto"/>
            </w:tcBorders>
            <w:shd w:val="clear" w:color="auto" w:fill="auto"/>
          </w:tcPr>
          <w:p w14:paraId="7EC4B0DA" w14:textId="77777777" w:rsidR="00E36E18" w:rsidRPr="002E0D60" w:rsidRDefault="00E36E18" w:rsidP="00EB5106">
            <w:pPr>
              <w:rPr>
                <w:rFonts w:ascii="Avenir Next Regular" w:hAnsi="Avenir Next Regular" w:cs="Calibri" w:hint="eastAsia"/>
                <w:b/>
                <w:bCs/>
                <w:color w:val="000000"/>
                <w:sz w:val="16"/>
                <w:szCs w:val="16"/>
              </w:rPr>
            </w:pPr>
          </w:p>
        </w:tc>
        <w:tc>
          <w:tcPr>
            <w:tcW w:w="1439" w:type="pct"/>
            <w:tcBorders>
              <w:top w:val="nil"/>
              <w:left w:val="nil"/>
              <w:bottom w:val="single" w:sz="4" w:space="0" w:color="auto"/>
              <w:right w:val="single" w:sz="4" w:space="0" w:color="auto"/>
            </w:tcBorders>
            <w:shd w:val="clear" w:color="auto" w:fill="auto"/>
            <w:vAlign w:val="center"/>
          </w:tcPr>
          <w:p w14:paraId="5AC1951A" w14:textId="77777777" w:rsidR="00E36E18" w:rsidRPr="002E0D60" w:rsidRDefault="00E36E18" w:rsidP="00EB5106">
            <w:pPr>
              <w:rPr>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color w:val="000000"/>
                <w:sz w:val="16"/>
                <w:szCs w:val="16"/>
              </w:rPr>
              <w:t>Pollution</w:t>
            </w:r>
          </w:p>
        </w:tc>
        <w:tc>
          <w:tcPr>
            <w:tcW w:w="1493" w:type="pct"/>
            <w:tcBorders>
              <w:top w:val="nil"/>
              <w:left w:val="nil"/>
              <w:bottom w:val="single" w:sz="4" w:space="0" w:color="auto"/>
              <w:right w:val="single" w:sz="4" w:space="0" w:color="auto"/>
            </w:tcBorders>
            <w:shd w:val="clear" w:color="auto" w:fill="auto"/>
          </w:tcPr>
          <w:p w14:paraId="4F81F4AA" w14:textId="77777777" w:rsidR="00E36E18" w:rsidRPr="002E0D60" w:rsidRDefault="00E36E18" w:rsidP="00EB5106">
            <w:pPr>
              <w:rPr>
                <w:rFonts w:ascii="Avenir Next Regular" w:hAnsi="Avenir Next Regular" w:cs="Calibri" w:hint="eastAsia"/>
                <w:color w:val="000000"/>
                <w:sz w:val="16"/>
                <w:szCs w:val="16"/>
              </w:rPr>
            </w:pPr>
          </w:p>
        </w:tc>
      </w:tr>
      <w:tr w:rsidR="00E36E18" w:rsidRPr="00B25CDB" w14:paraId="6DB66962"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tcPr>
          <w:p w14:paraId="13AB0D74" w14:textId="77777777" w:rsidR="00E36E18" w:rsidRPr="002E0D60" w:rsidRDefault="00E36E18" w:rsidP="00EB5106">
            <w:pPr>
              <w:rPr>
                <w:rFonts w:ascii="Avenir Next Regular" w:hAnsi="Avenir Next Regular" w:cs="Calibri" w:hint="eastAsia"/>
                <w:b/>
                <w:bCs/>
                <w:color w:val="000000"/>
                <w:sz w:val="16"/>
                <w:szCs w:val="16"/>
              </w:rPr>
            </w:pPr>
          </w:p>
        </w:tc>
        <w:tc>
          <w:tcPr>
            <w:tcW w:w="1079" w:type="pct"/>
            <w:tcBorders>
              <w:top w:val="nil"/>
              <w:left w:val="nil"/>
              <w:bottom w:val="single" w:sz="4" w:space="0" w:color="auto"/>
              <w:right w:val="single" w:sz="4" w:space="0" w:color="auto"/>
            </w:tcBorders>
            <w:shd w:val="clear" w:color="auto" w:fill="auto"/>
          </w:tcPr>
          <w:p w14:paraId="242FDC2E" w14:textId="77777777" w:rsidR="00E36E18" w:rsidRPr="002E0D60" w:rsidRDefault="00E36E18" w:rsidP="00EB5106">
            <w:pPr>
              <w:rPr>
                <w:rFonts w:ascii="Avenir Next Regular" w:hAnsi="Avenir Next Regular" w:cs="Calibri" w:hint="eastAsia"/>
                <w:b/>
                <w:bCs/>
                <w:color w:val="000000"/>
                <w:sz w:val="16"/>
                <w:szCs w:val="16"/>
              </w:rPr>
            </w:pPr>
          </w:p>
        </w:tc>
        <w:tc>
          <w:tcPr>
            <w:tcW w:w="1439" w:type="pct"/>
            <w:tcBorders>
              <w:top w:val="nil"/>
              <w:left w:val="nil"/>
              <w:bottom w:val="single" w:sz="4" w:space="0" w:color="auto"/>
              <w:right w:val="single" w:sz="4" w:space="0" w:color="auto"/>
            </w:tcBorders>
            <w:shd w:val="clear" w:color="auto" w:fill="auto"/>
            <w:vAlign w:val="center"/>
          </w:tcPr>
          <w:p w14:paraId="5B1E9DA9" w14:textId="77777777" w:rsidR="00E36E18" w:rsidRPr="002E0D60" w:rsidRDefault="00E36E18" w:rsidP="00EB5106">
            <w:pPr>
              <w:rPr>
                <w:color w:val="000000"/>
                <w:sz w:val="16"/>
                <w:szCs w:val="16"/>
              </w:rPr>
            </w:pPr>
          </w:p>
        </w:tc>
        <w:tc>
          <w:tcPr>
            <w:tcW w:w="1493" w:type="pct"/>
            <w:tcBorders>
              <w:top w:val="nil"/>
              <w:left w:val="nil"/>
              <w:bottom w:val="single" w:sz="4" w:space="0" w:color="auto"/>
              <w:right w:val="single" w:sz="4" w:space="0" w:color="auto"/>
            </w:tcBorders>
            <w:shd w:val="clear" w:color="auto" w:fill="auto"/>
          </w:tcPr>
          <w:p w14:paraId="40934B24" w14:textId="77777777" w:rsidR="00E36E18" w:rsidRPr="002E0D60" w:rsidRDefault="00E36E18" w:rsidP="00EB5106">
            <w:pPr>
              <w:rPr>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Persistent toxic substances</w:t>
            </w:r>
          </w:p>
        </w:tc>
      </w:tr>
      <w:tr w:rsidR="00E36E18" w:rsidRPr="00B25CDB" w14:paraId="370D7F33"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09F5D57B"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370B9358"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vAlign w:val="center"/>
          </w:tcPr>
          <w:p w14:paraId="522071A2" w14:textId="77777777" w:rsidR="00E36E18" w:rsidRPr="002E0D60" w:rsidRDefault="00E36E18" w:rsidP="00EB5106">
            <w:pPr>
              <w:rPr>
                <w:rFonts w:ascii="Avenir Next Regular" w:hAnsi="Avenir Next Regular" w:cs="Calibri" w:hint="eastAsia"/>
                <w:iCs/>
                <w:color w:val="000000"/>
                <w:sz w:val="16"/>
                <w:szCs w:val="16"/>
              </w:rPr>
            </w:pPr>
          </w:p>
        </w:tc>
        <w:tc>
          <w:tcPr>
            <w:tcW w:w="1493" w:type="pct"/>
            <w:tcBorders>
              <w:top w:val="nil"/>
              <w:left w:val="nil"/>
              <w:bottom w:val="single" w:sz="4" w:space="0" w:color="auto"/>
              <w:right w:val="single" w:sz="4" w:space="0" w:color="auto"/>
            </w:tcBorders>
            <w:shd w:val="clear" w:color="auto" w:fill="auto"/>
            <w:hideMark/>
          </w:tcPr>
          <w:p w14:paraId="41B42573" w14:textId="77777777" w:rsidR="00E36E18" w:rsidRPr="002E0D60" w:rsidRDefault="00E36E18" w:rsidP="00EB5106">
            <w:pPr>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iCs/>
                <w:color w:val="000000"/>
                <w:sz w:val="16"/>
                <w:szCs w:val="16"/>
              </w:rPr>
              <w:t>Plastics</w:t>
            </w:r>
          </w:p>
        </w:tc>
      </w:tr>
      <w:tr w:rsidR="00E36E18" w:rsidRPr="00B25CDB" w14:paraId="61989D69" w14:textId="77777777" w:rsidTr="00EB5106">
        <w:trPr>
          <w:trHeight w:val="40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1BD599E0"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6C7CF1C0"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vAlign w:val="center"/>
            <w:hideMark/>
          </w:tcPr>
          <w:p w14:paraId="1053489E"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66157E3B" w14:textId="77777777" w:rsidR="00E36E18" w:rsidRPr="002E0D60" w:rsidRDefault="00E36E18" w:rsidP="00EB5106">
            <w:pPr>
              <w:ind w:left="192" w:hanging="192"/>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Nutrient pollution from all sectors except wastewater</w:t>
            </w:r>
          </w:p>
        </w:tc>
      </w:tr>
      <w:tr w:rsidR="00E36E18" w:rsidRPr="00B25CDB" w14:paraId="7A00D030"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36DBA847"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23D36B2F"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vAlign w:val="center"/>
            <w:hideMark/>
          </w:tcPr>
          <w:p w14:paraId="00C3B72E"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6F570FAA" w14:textId="77777777" w:rsidR="00E36E18" w:rsidRPr="002E0D60" w:rsidRDefault="00E36E18" w:rsidP="00EB5106">
            <w:pPr>
              <w:ind w:left="192" w:hanging="192"/>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Nutrient pollution from Wastewater</w:t>
            </w:r>
          </w:p>
        </w:tc>
      </w:tr>
      <w:tr w:rsidR="00E36E18" w:rsidRPr="00B25CDB" w14:paraId="70BA6292" w14:textId="77777777" w:rsidTr="00EB5106">
        <w:trPr>
          <w:trHeight w:val="36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0C3FA851"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0128EE0B"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vAlign w:val="center"/>
            <w:hideMark/>
          </w:tcPr>
          <w:p w14:paraId="1A40BB78" w14:textId="77777777" w:rsidR="00E36E18" w:rsidRPr="002E0D60" w:rsidRDefault="00E36E18" w:rsidP="00EB5106">
            <w:pPr>
              <w:ind w:left="150" w:hanging="150"/>
              <w:rPr>
                <w:rFonts w:ascii="Avenir Next Regular" w:hAnsi="Avenir Next Regular" w:cs="Calibri" w:hint="eastAsia"/>
                <w:iCs/>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iCs/>
                <w:color w:val="000000"/>
                <w:sz w:val="16"/>
                <w:szCs w:val="16"/>
              </w:rPr>
              <w:t>Transboundary Diagnostic Analysis and Strategic Action Plan preparation</w:t>
            </w:r>
          </w:p>
        </w:tc>
        <w:tc>
          <w:tcPr>
            <w:tcW w:w="1493" w:type="pct"/>
            <w:tcBorders>
              <w:top w:val="nil"/>
              <w:left w:val="nil"/>
              <w:bottom w:val="single" w:sz="4" w:space="0" w:color="auto"/>
              <w:right w:val="single" w:sz="4" w:space="0" w:color="auto"/>
            </w:tcBorders>
            <w:shd w:val="clear" w:color="auto" w:fill="auto"/>
            <w:hideMark/>
          </w:tcPr>
          <w:p w14:paraId="4064A929"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3B6EE152" w14:textId="77777777" w:rsidTr="00EB5106">
        <w:trPr>
          <w:trHeight w:val="161"/>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396466F0"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5BCDCE3E"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vAlign w:val="center"/>
            <w:hideMark/>
          </w:tcPr>
          <w:p w14:paraId="016DFE30" w14:textId="77777777" w:rsidR="00E36E18" w:rsidRPr="002E0D60" w:rsidRDefault="00E36E18" w:rsidP="00EB5106">
            <w:pPr>
              <w:ind w:left="150" w:hanging="150"/>
              <w:rPr>
                <w:rFonts w:ascii="Avenir Next Regular" w:hAnsi="Avenir Next Regular" w:cs="Calibri" w:hint="eastAsia"/>
                <w:iCs/>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iCs/>
                <w:color w:val="000000"/>
                <w:sz w:val="16"/>
                <w:szCs w:val="16"/>
              </w:rPr>
              <w:t>Strategic Action Plan Implementation</w:t>
            </w:r>
          </w:p>
        </w:tc>
        <w:tc>
          <w:tcPr>
            <w:tcW w:w="1493" w:type="pct"/>
            <w:tcBorders>
              <w:top w:val="nil"/>
              <w:left w:val="nil"/>
              <w:bottom w:val="single" w:sz="4" w:space="0" w:color="auto"/>
              <w:right w:val="single" w:sz="4" w:space="0" w:color="auto"/>
            </w:tcBorders>
            <w:shd w:val="clear" w:color="auto" w:fill="auto"/>
            <w:hideMark/>
          </w:tcPr>
          <w:p w14:paraId="73BD2CDC"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6C996C16"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27C6CD4C"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10BEB388"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vAlign w:val="center"/>
            <w:hideMark/>
          </w:tcPr>
          <w:p w14:paraId="7EFA107D" w14:textId="77777777" w:rsidR="00E36E18" w:rsidRPr="002E0D60" w:rsidRDefault="00E36E18" w:rsidP="00EB5106">
            <w:pPr>
              <w:ind w:left="150" w:hanging="150"/>
              <w:rPr>
                <w:rFonts w:ascii="Avenir Next Regular" w:hAnsi="Avenir Next Regular" w:cs="Calibri" w:hint="eastAsia"/>
                <w:iCs/>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iCs/>
                <w:color w:val="000000"/>
                <w:sz w:val="16"/>
                <w:szCs w:val="16"/>
              </w:rPr>
              <w:t>Areas Beyond National Jurisdiction</w:t>
            </w:r>
          </w:p>
        </w:tc>
        <w:tc>
          <w:tcPr>
            <w:tcW w:w="1493" w:type="pct"/>
            <w:tcBorders>
              <w:top w:val="nil"/>
              <w:left w:val="nil"/>
              <w:bottom w:val="single" w:sz="4" w:space="0" w:color="auto"/>
              <w:right w:val="single" w:sz="4" w:space="0" w:color="auto"/>
            </w:tcBorders>
            <w:shd w:val="clear" w:color="auto" w:fill="auto"/>
            <w:hideMark/>
          </w:tcPr>
          <w:p w14:paraId="5A57926E"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1C2B6EAC"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54D477EF"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7609F40C"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vAlign w:val="center"/>
            <w:hideMark/>
          </w:tcPr>
          <w:p w14:paraId="76E46399" w14:textId="77777777" w:rsidR="00E36E18" w:rsidRPr="002E0D60" w:rsidRDefault="00E36E18" w:rsidP="00EB5106">
            <w:pPr>
              <w:rPr>
                <w:rFonts w:ascii="Avenir Next Regular" w:hAnsi="Avenir Next Regular" w:cs="Calibri" w:hint="eastAsia"/>
                <w:iCs/>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iCs/>
                <w:color w:val="000000"/>
                <w:sz w:val="16"/>
                <w:szCs w:val="16"/>
              </w:rPr>
              <w:t>Large Marine Ecosystems</w:t>
            </w:r>
          </w:p>
        </w:tc>
        <w:tc>
          <w:tcPr>
            <w:tcW w:w="1493" w:type="pct"/>
            <w:tcBorders>
              <w:top w:val="nil"/>
              <w:left w:val="nil"/>
              <w:bottom w:val="single" w:sz="4" w:space="0" w:color="auto"/>
              <w:right w:val="single" w:sz="4" w:space="0" w:color="auto"/>
            </w:tcBorders>
            <w:shd w:val="clear" w:color="auto" w:fill="auto"/>
            <w:hideMark/>
          </w:tcPr>
          <w:p w14:paraId="32CDCC82"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7661C0BC"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49416EFC"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6E4BA3B8"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vAlign w:val="center"/>
            <w:hideMark/>
          </w:tcPr>
          <w:p w14:paraId="66D4B271" w14:textId="77777777" w:rsidR="00E36E18" w:rsidRPr="002E0D60" w:rsidRDefault="00E36E18" w:rsidP="00EB5106">
            <w:pPr>
              <w:rPr>
                <w:rFonts w:ascii="Avenir Next Regular" w:hAnsi="Avenir Next Regular" w:cs="Calibri" w:hint="eastAsia"/>
                <w:iCs/>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iCs/>
                <w:color w:val="000000"/>
                <w:sz w:val="16"/>
                <w:szCs w:val="16"/>
              </w:rPr>
              <w:t>Private Sector</w:t>
            </w:r>
          </w:p>
        </w:tc>
        <w:tc>
          <w:tcPr>
            <w:tcW w:w="1493" w:type="pct"/>
            <w:tcBorders>
              <w:top w:val="nil"/>
              <w:left w:val="nil"/>
              <w:bottom w:val="single" w:sz="4" w:space="0" w:color="auto"/>
              <w:right w:val="single" w:sz="4" w:space="0" w:color="auto"/>
            </w:tcBorders>
            <w:shd w:val="clear" w:color="auto" w:fill="auto"/>
            <w:hideMark/>
          </w:tcPr>
          <w:p w14:paraId="08CE88C6"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0CC0FDD2"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1F2BDDF7"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70EF1555"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vAlign w:val="center"/>
            <w:hideMark/>
          </w:tcPr>
          <w:p w14:paraId="1F125E75" w14:textId="77777777" w:rsidR="00E36E18" w:rsidRPr="002E0D60" w:rsidRDefault="00E36E18" w:rsidP="00EB5106">
            <w:pPr>
              <w:rPr>
                <w:rFonts w:ascii="Avenir Next Regular" w:hAnsi="Avenir Next Regular" w:cs="Calibri" w:hint="eastAsia"/>
                <w:iCs/>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iCs/>
                <w:color w:val="000000"/>
                <w:sz w:val="16"/>
                <w:szCs w:val="16"/>
              </w:rPr>
              <w:t>Aquaculture</w:t>
            </w:r>
          </w:p>
        </w:tc>
        <w:tc>
          <w:tcPr>
            <w:tcW w:w="1493" w:type="pct"/>
            <w:tcBorders>
              <w:top w:val="nil"/>
              <w:left w:val="nil"/>
              <w:bottom w:val="single" w:sz="4" w:space="0" w:color="auto"/>
              <w:right w:val="single" w:sz="4" w:space="0" w:color="auto"/>
            </w:tcBorders>
            <w:shd w:val="clear" w:color="auto" w:fill="auto"/>
            <w:hideMark/>
          </w:tcPr>
          <w:p w14:paraId="1EBE7CA8"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7048C0BE"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62D60B06"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4871C5B0"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vAlign w:val="center"/>
            <w:hideMark/>
          </w:tcPr>
          <w:p w14:paraId="4FB9C8FA" w14:textId="77777777" w:rsidR="00E36E18" w:rsidRPr="002E0D60" w:rsidRDefault="00E36E18" w:rsidP="00EB5106">
            <w:pPr>
              <w:rPr>
                <w:rFonts w:ascii="Avenir Next Regular" w:hAnsi="Avenir Next Regular" w:cs="Calibri" w:hint="eastAsia"/>
                <w:iCs/>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iCs/>
                <w:color w:val="000000"/>
                <w:sz w:val="16"/>
                <w:szCs w:val="16"/>
              </w:rPr>
              <w:t>Marine Protected Area</w:t>
            </w:r>
          </w:p>
        </w:tc>
        <w:tc>
          <w:tcPr>
            <w:tcW w:w="1493" w:type="pct"/>
            <w:tcBorders>
              <w:top w:val="nil"/>
              <w:left w:val="nil"/>
              <w:bottom w:val="single" w:sz="4" w:space="0" w:color="auto"/>
              <w:right w:val="single" w:sz="4" w:space="0" w:color="auto"/>
            </w:tcBorders>
            <w:shd w:val="clear" w:color="auto" w:fill="auto"/>
            <w:hideMark/>
          </w:tcPr>
          <w:p w14:paraId="25600912"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72C90293"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3217249F"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3CE4BB4F"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vAlign w:val="center"/>
            <w:hideMark/>
          </w:tcPr>
          <w:p w14:paraId="2DF28D7B" w14:textId="77777777" w:rsidR="00E36E18" w:rsidRPr="002E0D60" w:rsidRDefault="00E36E18" w:rsidP="00EB5106">
            <w:pPr>
              <w:rPr>
                <w:rFonts w:ascii="Avenir Next Regular" w:hAnsi="Avenir Next Regular" w:cs="Calibri" w:hint="eastAsia"/>
                <w:iCs/>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iCs/>
                <w:color w:val="000000"/>
                <w:sz w:val="16"/>
                <w:szCs w:val="16"/>
              </w:rPr>
              <w:t>Biomes</w:t>
            </w:r>
          </w:p>
        </w:tc>
        <w:tc>
          <w:tcPr>
            <w:tcW w:w="1493" w:type="pct"/>
            <w:tcBorders>
              <w:top w:val="nil"/>
              <w:left w:val="nil"/>
              <w:bottom w:val="single" w:sz="4" w:space="0" w:color="auto"/>
              <w:right w:val="single" w:sz="4" w:space="0" w:color="auto"/>
            </w:tcBorders>
            <w:shd w:val="clear" w:color="auto" w:fill="auto"/>
            <w:hideMark/>
          </w:tcPr>
          <w:p w14:paraId="4D2A81F9"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369D5F76"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2474A86E"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2A6E5483"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vAlign w:val="center"/>
            <w:hideMark/>
          </w:tcPr>
          <w:p w14:paraId="65ACE32E"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vAlign w:val="center"/>
            <w:hideMark/>
          </w:tcPr>
          <w:p w14:paraId="34944164" w14:textId="77777777" w:rsidR="00E36E18" w:rsidRPr="002E0D60" w:rsidRDefault="00E36E18" w:rsidP="00EB5106">
            <w:pPr>
              <w:rPr>
                <w:rFonts w:ascii="Avenir Next Regular" w:hAnsi="Avenir Next Regular" w:cs="Calibri" w:hint="eastAsia"/>
                <w:iCs/>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iCs/>
                <w:color w:val="000000"/>
                <w:sz w:val="16"/>
                <w:szCs w:val="16"/>
              </w:rPr>
              <w:t>Mangrove</w:t>
            </w:r>
          </w:p>
        </w:tc>
      </w:tr>
      <w:tr w:rsidR="00E36E18" w:rsidRPr="00B25CDB" w14:paraId="5EE14B5D"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4E640C4E"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6F38EF63"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vAlign w:val="center"/>
            <w:hideMark/>
          </w:tcPr>
          <w:p w14:paraId="7644AE1C"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vAlign w:val="center"/>
            <w:hideMark/>
          </w:tcPr>
          <w:p w14:paraId="43D85FD5" w14:textId="77777777" w:rsidR="00E36E18" w:rsidRPr="002E0D60" w:rsidRDefault="00E36E18" w:rsidP="00EB5106">
            <w:pPr>
              <w:rPr>
                <w:rFonts w:ascii="Avenir Next Regular" w:hAnsi="Avenir Next Regular" w:cs="Calibri" w:hint="eastAsia"/>
                <w:iCs/>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iCs/>
                <w:color w:val="000000"/>
                <w:sz w:val="16"/>
                <w:szCs w:val="16"/>
              </w:rPr>
              <w:t>Coral Reefs</w:t>
            </w:r>
          </w:p>
        </w:tc>
      </w:tr>
      <w:tr w:rsidR="00E36E18" w:rsidRPr="00B25CDB" w14:paraId="53CBEAEB"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04151896"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385CF840"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vAlign w:val="center"/>
            <w:hideMark/>
          </w:tcPr>
          <w:p w14:paraId="61AC8D35"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vAlign w:val="center"/>
            <w:hideMark/>
          </w:tcPr>
          <w:p w14:paraId="33B221EA" w14:textId="77777777" w:rsidR="00E36E18" w:rsidRPr="002E0D60" w:rsidRDefault="00E36E18" w:rsidP="00EB5106">
            <w:pPr>
              <w:rPr>
                <w:rFonts w:ascii="Avenir Next Regular" w:hAnsi="Avenir Next Regular" w:cs="Calibri" w:hint="eastAsia"/>
                <w:iCs/>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iCs/>
                <w:color w:val="000000"/>
                <w:sz w:val="16"/>
                <w:szCs w:val="16"/>
              </w:rPr>
              <w:t>Seagrasses</w:t>
            </w:r>
          </w:p>
        </w:tc>
      </w:tr>
      <w:tr w:rsidR="00E36E18" w:rsidRPr="00B25CDB" w14:paraId="7643AC0F"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51001C33"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0C46C0C6"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vAlign w:val="center"/>
            <w:hideMark/>
          </w:tcPr>
          <w:p w14:paraId="115E2328"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vAlign w:val="center"/>
            <w:hideMark/>
          </w:tcPr>
          <w:p w14:paraId="637763FC" w14:textId="77777777" w:rsidR="00E36E18" w:rsidRPr="002E0D60" w:rsidRDefault="00E36E18" w:rsidP="00EB5106">
            <w:pPr>
              <w:rPr>
                <w:rFonts w:ascii="Avenir Next Regular" w:hAnsi="Avenir Next Regular" w:cs="Calibri" w:hint="eastAsia"/>
                <w:iCs/>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iCs/>
                <w:color w:val="000000"/>
                <w:sz w:val="16"/>
                <w:szCs w:val="16"/>
              </w:rPr>
              <w:t>Polar Ecosystems</w:t>
            </w:r>
          </w:p>
        </w:tc>
      </w:tr>
      <w:tr w:rsidR="00E36E18" w:rsidRPr="00B25CDB" w14:paraId="5E023F92"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1D2CC2C6"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5938DB34"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vAlign w:val="center"/>
            <w:hideMark/>
          </w:tcPr>
          <w:p w14:paraId="753E3959"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vAlign w:val="center"/>
            <w:hideMark/>
          </w:tcPr>
          <w:p w14:paraId="6F2AF4E7" w14:textId="77777777" w:rsidR="00E36E18" w:rsidRPr="002E0D60" w:rsidRDefault="00E36E18" w:rsidP="00EB5106">
            <w:pPr>
              <w:rPr>
                <w:rFonts w:ascii="Avenir Next Regular" w:hAnsi="Avenir Next Regular" w:cs="Calibri" w:hint="eastAsia"/>
                <w:iCs/>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iCs/>
                <w:color w:val="000000"/>
                <w:sz w:val="16"/>
                <w:szCs w:val="16"/>
              </w:rPr>
              <w:t>Constructed Wetlands</w:t>
            </w:r>
          </w:p>
        </w:tc>
      </w:tr>
      <w:tr w:rsidR="00E36E18" w:rsidRPr="00B25CDB" w14:paraId="471FE441"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174DB569"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1B3529CE" w14:textId="77777777" w:rsidR="00E36E18" w:rsidRPr="002E0D60" w:rsidRDefault="00E36E18" w:rsidP="00EB5106">
            <w:pPr>
              <w:rPr>
                <w:rFonts w:ascii="Avenir Next Regular" w:hAnsi="Avenir Next Regular" w:cs="Calibri" w:hint="eastAsia"/>
                <w:b/>
                <w:bCs/>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b/>
                <w:bCs/>
                <w:color w:val="000000"/>
                <w:sz w:val="16"/>
                <w:szCs w:val="16"/>
              </w:rPr>
              <w:t>Chemicals and Waste</w:t>
            </w:r>
          </w:p>
        </w:tc>
        <w:tc>
          <w:tcPr>
            <w:tcW w:w="1439" w:type="pct"/>
            <w:tcBorders>
              <w:top w:val="nil"/>
              <w:left w:val="nil"/>
              <w:bottom w:val="single" w:sz="4" w:space="0" w:color="auto"/>
              <w:right w:val="single" w:sz="4" w:space="0" w:color="auto"/>
            </w:tcBorders>
            <w:shd w:val="clear" w:color="auto" w:fill="auto"/>
          </w:tcPr>
          <w:p w14:paraId="61918133" w14:textId="77777777" w:rsidR="00E36E18" w:rsidRPr="002E0D60" w:rsidRDefault="00E36E18" w:rsidP="00EB5106">
            <w:pPr>
              <w:rPr>
                <w:rFonts w:ascii="Avenir Next Regular" w:hAnsi="Avenir Next Regular" w:cs="Calibri" w:hint="eastAsia"/>
                <w:iCs/>
                <w:color w:val="000000"/>
                <w:sz w:val="16"/>
                <w:szCs w:val="16"/>
              </w:rPr>
            </w:pPr>
          </w:p>
        </w:tc>
        <w:tc>
          <w:tcPr>
            <w:tcW w:w="1493" w:type="pct"/>
            <w:tcBorders>
              <w:top w:val="nil"/>
              <w:left w:val="nil"/>
              <w:bottom w:val="single" w:sz="4" w:space="0" w:color="auto"/>
              <w:right w:val="single" w:sz="4" w:space="0" w:color="auto"/>
            </w:tcBorders>
            <w:shd w:val="clear" w:color="auto" w:fill="auto"/>
            <w:hideMark/>
          </w:tcPr>
          <w:p w14:paraId="261678AA"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6AC5D0D1"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tcPr>
          <w:p w14:paraId="2D846AEE" w14:textId="77777777" w:rsidR="00E36E18" w:rsidRPr="002E0D60" w:rsidRDefault="00E36E18" w:rsidP="00EB5106">
            <w:pPr>
              <w:rPr>
                <w:rFonts w:ascii="Avenir Next Regular" w:hAnsi="Avenir Next Regular" w:cs="Calibri" w:hint="eastAsia"/>
                <w:b/>
                <w:bCs/>
                <w:color w:val="000000"/>
                <w:sz w:val="16"/>
                <w:szCs w:val="16"/>
              </w:rPr>
            </w:pPr>
          </w:p>
        </w:tc>
        <w:tc>
          <w:tcPr>
            <w:tcW w:w="1079" w:type="pct"/>
            <w:tcBorders>
              <w:top w:val="nil"/>
              <w:left w:val="nil"/>
              <w:bottom w:val="single" w:sz="4" w:space="0" w:color="auto"/>
              <w:right w:val="single" w:sz="4" w:space="0" w:color="auto"/>
            </w:tcBorders>
            <w:shd w:val="clear" w:color="auto" w:fill="auto"/>
          </w:tcPr>
          <w:p w14:paraId="4C06F3B8" w14:textId="77777777" w:rsidR="00E36E18" w:rsidRPr="002E0D60" w:rsidRDefault="00E36E18" w:rsidP="00EB5106">
            <w:pPr>
              <w:rPr>
                <w:color w:val="000000"/>
                <w:sz w:val="16"/>
                <w:szCs w:val="16"/>
              </w:rPr>
            </w:pPr>
          </w:p>
        </w:tc>
        <w:tc>
          <w:tcPr>
            <w:tcW w:w="1439" w:type="pct"/>
            <w:tcBorders>
              <w:top w:val="nil"/>
              <w:left w:val="nil"/>
              <w:bottom w:val="single" w:sz="4" w:space="0" w:color="auto"/>
              <w:right w:val="single" w:sz="4" w:space="0" w:color="auto"/>
            </w:tcBorders>
            <w:shd w:val="clear" w:color="auto" w:fill="auto"/>
          </w:tcPr>
          <w:p w14:paraId="41C0A9B8" w14:textId="77777777" w:rsidR="00E36E18" w:rsidRPr="002E0D60" w:rsidRDefault="00E36E18" w:rsidP="00EB5106">
            <w:pPr>
              <w:rPr>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iCs/>
                <w:color w:val="000000"/>
                <w:sz w:val="16"/>
                <w:szCs w:val="16"/>
              </w:rPr>
              <w:t>Mercury</w:t>
            </w:r>
          </w:p>
        </w:tc>
        <w:tc>
          <w:tcPr>
            <w:tcW w:w="1493" w:type="pct"/>
            <w:tcBorders>
              <w:top w:val="nil"/>
              <w:left w:val="nil"/>
              <w:bottom w:val="single" w:sz="4" w:space="0" w:color="auto"/>
              <w:right w:val="single" w:sz="4" w:space="0" w:color="auto"/>
            </w:tcBorders>
            <w:shd w:val="clear" w:color="auto" w:fill="auto"/>
          </w:tcPr>
          <w:p w14:paraId="173BC373" w14:textId="77777777" w:rsidR="00E36E18" w:rsidRPr="002E0D60" w:rsidRDefault="00E36E18" w:rsidP="00EB5106">
            <w:pPr>
              <w:rPr>
                <w:rFonts w:ascii="Avenir Next Regular" w:hAnsi="Avenir Next Regular" w:cs="Calibri" w:hint="eastAsia"/>
                <w:color w:val="000000"/>
                <w:sz w:val="16"/>
                <w:szCs w:val="16"/>
              </w:rPr>
            </w:pPr>
          </w:p>
        </w:tc>
      </w:tr>
      <w:tr w:rsidR="00E36E18" w:rsidRPr="00B25CDB" w14:paraId="18D96532"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41E8CB0D"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1AC28592"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338AEF55" w14:textId="77777777" w:rsidR="00E36E18" w:rsidRPr="002E0D60" w:rsidRDefault="00E36E18" w:rsidP="00EB5106">
            <w:pPr>
              <w:rPr>
                <w:rFonts w:ascii="Avenir Next Regular" w:hAnsi="Avenir Next Regular" w:cs="Calibri" w:hint="eastAsia"/>
                <w:iCs/>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iCs/>
                <w:color w:val="000000"/>
                <w:sz w:val="16"/>
                <w:szCs w:val="16"/>
              </w:rPr>
              <w:t>Artisanal and Scale Gold Mining</w:t>
            </w:r>
          </w:p>
        </w:tc>
        <w:tc>
          <w:tcPr>
            <w:tcW w:w="1493" w:type="pct"/>
            <w:tcBorders>
              <w:top w:val="nil"/>
              <w:left w:val="nil"/>
              <w:bottom w:val="single" w:sz="4" w:space="0" w:color="auto"/>
              <w:right w:val="single" w:sz="4" w:space="0" w:color="auto"/>
            </w:tcBorders>
            <w:shd w:val="clear" w:color="auto" w:fill="auto"/>
            <w:hideMark/>
          </w:tcPr>
          <w:p w14:paraId="740C59AE"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402E3A29"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670BE1BD"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4DE000CD"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258B9CF4" w14:textId="77777777" w:rsidR="00E36E18" w:rsidRPr="002E0D60" w:rsidRDefault="00E36E18" w:rsidP="00EB5106">
            <w:pPr>
              <w:rPr>
                <w:rFonts w:ascii="Avenir Next Regular" w:hAnsi="Avenir Next Regular" w:cs="Calibri" w:hint="eastAsia"/>
                <w:iCs/>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iCs/>
                <w:color w:val="000000"/>
                <w:sz w:val="16"/>
                <w:szCs w:val="16"/>
              </w:rPr>
              <w:t>Coal Fired Power Plants</w:t>
            </w:r>
          </w:p>
        </w:tc>
        <w:tc>
          <w:tcPr>
            <w:tcW w:w="1493" w:type="pct"/>
            <w:tcBorders>
              <w:top w:val="nil"/>
              <w:left w:val="nil"/>
              <w:bottom w:val="single" w:sz="4" w:space="0" w:color="auto"/>
              <w:right w:val="single" w:sz="4" w:space="0" w:color="auto"/>
            </w:tcBorders>
            <w:shd w:val="clear" w:color="auto" w:fill="auto"/>
            <w:hideMark/>
          </w:tcPr>
          <w:p w14:paraId="7811065E"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21DCA06C"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487A1408"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0E5F4848"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7864AFAB" w14:textId="77777777" w:rsidR="00E36E18" w:rsidRPr="002E0D60" w:rsidRDefault="00E36E18" w:rsidP="00EB5106">
            <w:pPr>
              <w:rPr>
                <w:rFonts w:ascii="Avenir Next Regular" w:hAnsi="Avenir Next Regular" w:cs="Calibri" w:hint="eastAsia"/>
                <w:iCs/>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iCs/>
                <w:color w:val="000000"/>
                <w:sz w:val="16"/>
                <w:szCs w:val="16"/>
              </w:rPr>
              <w:t>Coal Fired Industrial Boilers</w:t>
            </w:r>
          </w:p>
        </w:tc>
        <w:tc>
          <w:tcPr>
            <w:tcW w:w="1493" w:type="pct"/>
            <w:tcBorders>
              <w:top w:val="nil"/>
              <w:left w:val="nil"/>
              <w:bottom w:val="single" w:sz="4" w:space="0" w:color="auto"/>
              <w:right w:val="single" w:sz="4" w:space="0" w:color="auto"/>
            </w:tcBorders>
            <w:shd w:val="clear" w:color="auto" w:fill="auto"/>
            <w:hideMark/>
          </w:tcPr>
          <w:p w14:paraId="49B43832"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56834564"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280302F0"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16947167"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57CF4971" w14:textId="77777777" w:rsidR="00E36E18" w:rsidRPr="002E0D60" w:rsidRDefault="00E36E18" w:rsidP="00EB5106">
            <w:pPr>
              <w:rPr>
                <w:rFonts w:ascii="Avenir Next Regular" w:hAnsi="Avenir Next Regular" w:cs="Calibri" w:hint="eastAsia"/>
                <w:iCs/>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iCs/>
                <w:color w:val="000000"/>
                <w:sz w:val="16"/>
                <w:szCs w:val="16"/>
              </w:rPr>
              <w:t>Cement</w:t>
            </w:r>
          </w:p>
        </w:tc>
        <w:tc>
          <w:tcPr>
            <w:tcW w:w="1493" w:type="pct"/>
            <w:tcBorders>
              <w:top w:val="nil"/>
              <w:left w:val="nil"/>
              <w:bottom w:val="single" w:sz="4" w:space="0" w:color="auto"/>
              <w:right w:val="single" w:sz="4" w:space="0" w:color="auto"/>
            </w:tcBorders>
            <w:shd w:val="clear" w:color="auto" w:fill="auto"/>
            <w:hideMark/>
          </w:tcPr>
          <w:p w14:paraId="464169C3"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19181D1F"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0509E838"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681E6C7B"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7234971A" w14:textId="77777777" w:rsidR="00E36E18" w:rsidRPr="002E0D60" w:rsidRDefault="00E36E18" w:rsidP="00EB5106">
            <w:pPr>
              <w:rPr>
                <w:rFonts w:ascii="Avenir Next Regular" w:hAnsi="Avenir Next Regular" w:cs="Calibri" w:hint="eastAsia"/>
                <w:iCs/>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iCs/>
                <w:color w:val="000000"/>
                <w:sz w:val="16"/>
                <w:szCs w:val="16"/>
              </w:rPr>
              <w:t xml:space="preserve">Non-Ferrous Metals Production </w:t>
            </w:r>
          </w:p>
        </w:tc>
        <w:tc>
          <w:tcPr>
            <w:tcW w:w="1493" w:type="pct"/>
            <w:tcBorders>
              <w:top w:val="nil"/>
              <w:left w:val="nil"/>
              <w:bottom w:val="single" w:sz="4" w:space="0" w:color="auto"/>
              <w:right w:val="single" w:sz="4" w:space="0" w:color="auto"/>
            </w:tcBorders>
            <w:shd w:val="clear" w:color="auto" w:fill="auto"/>
            <w:hideMark/>
          </w:tcPr>
          <w:p w14:paraId="6695BA47"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6E207137" w14:textId="77777777" w:rsidTr="00EB5106">
        <w:trPr>
          <w:trHeight w:val="71"/>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4D21F43F"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2AA3E164"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6C0A7E43" w14:textId="77777777" w:rsidR="00E36E18" w:rsidRPr="002E0D60" w:rsidRDefault="00E36E18" w:rsidP="00EB5106">
            <w:pPr>
              <w:rPr>
                <w:rFonts w:ascii="Avenir Next Regular" w:hAnsi="Avenir Next Regular" w:cs="Calibri" w:hint="eastAsia"/>
                <w:iCs/>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iCs/>
                <w:color w:val="000000"/>
                <w:sz w:val="16"/>
                <w:szCs w:val="16"/>
              </w:rPr>
              <w:t>Ozone</w:t>
            </w:r>
          </w:p>
        </w:tc>
        <w:tc>
          <w:tcPr>
            <w:tcW w:w="1493" w:type="pct"/>
            <w:tcBorders>
              <w:top w:val="nil"/>
              <w:left w:val="nil"/>
              <w:bottom w:val="single" w:sz="4" w:space="0" w:color="auto"/>
              <w:right w:val="single" w:sz="4" w:space="0" w:color="auto"/>
            </w:tcBorders>
            <w:shd w:val="clear" w:color="auto" w:fill="auto"/>
            <w:hideMark/>
          </w:tcPr>
          <w:p w14:paraId="699AAE5F"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61E85C97"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6DA42ABD"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4E0873E5"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3552ECF0" w14:textId="77777777" w:rsidR="00E36E18" w:rsidRPr="002E0D60" w:rsidRDefault="00E36E18" w:rsidP="00EB5106">
            <w:pPr>
              <w:rPr>
                <w:rFonts w:ascii="Avenir Next Regular" w:hAnsi="Avenir Next Regular" w:cs="Calibri" w:hint="eastAsia"/>
                <w:iCs/>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iCs/>
                <w:color w:val="000000"/>
                <w:sz w:val="16"/>
                <w:szCs w:val="16"/>
              </w:rPr>
              <w:t>Persistent Organic Pollutants</w:t>
            </w:r>
          </w:p>
        </w:tc>
        <w:tc>
          <w:tcPr>
            <w:tcW w:w="1493" w:type="pct"/>
            <w:tcBorders>
              <w:top w:val="nil"/>
              <w:left w:val="nil"/>
              <w:bottom w:val="single" w:sz="4" w:space="0" w:color="auto"/>
              <w:right w:val="single" w:sz="4" w:space="0" w:color="auto"/>
            </w:tcBorders>
            <w:shd w:val="clear" w:color="auto" w:fill="auto"/>
            <w:hideMark/>
          </w:tcPr>
          <w:p w14:paraId="4958775F"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2E44915E" w14:textId="77777777" w:rsidTr="00EB5106">
        <w:trPr>
          <w:trHeight w:val="125"/>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2A34E7F8"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4AB3EA23"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732A20C5" w14:textId="77777777" w:rsidR="00E36E18" w:rsidRPr="002E0D60" w:rsidRDefault="00E36E18" w:rsidP="00EB5106">
            <w:pPr>
              <w:ind w:left="150" w:hanging="150"/>
              <w:rPr>
                <w:rFonts w:ascii="Avenir Next Regular" w:hAnsi="Avenir Next Regular" w:cs="Calibri" w:hint="eastAsia"/>
                <w:iCs/>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iCs/>
                <w:color w:val="000000"/>
                <w:sz w:val="16"/>
                <w:szCs w:val="16"/>
              </w:rPr>
              <w:t>Unintentional Persistent Organic Pollutants</w:t>
            </w:r>
          </w:p>
        </w:tc>
        <w:tc>
          <w:tcPr>
            <w:tcW w:w="1493" w:type="pct"/>
            <w:tcBorders>
              <w:top w:val="nil"/>
              <w:left w:val="nil"/>
              <w:bottom w:val="single" w:sz="4" w:space="0" w:color="auto"/>
              <w:right w:val="single" w:sz="4" w:space="0" w:color="auto"/>
            </w:tcBorders>
            <w:shd w:val="clear" w:color="auto" w:fill="auto"/>
            <w:hideMark/>
          </w:tcPr>
          <w:p w14:paraId="32382086"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6E1180A7"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17899114"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138F5C26"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7DCED3E6" w14:textId="77777777" w:rsidR="00E36E18" w:rsidRPr="002E0D60" w:rsidRDefault="00E36E18" w:rsidP="00EB5106">
            <w:pPr>
              <w:ind w:left="150" w:hanging="150"/>
              <w:rPr>
                <w:rFonts w:ascii="Avenir Next Regular" w:hAnsi="Avenir Next Regular" w:cs="Calibri" w:hint="eastAsia"/>
                <w:iCs/>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iCs/>
                <w:color w:val="000000"/>
                <w:sz w:val="16"/>
                <w:szCs w:val="16"/>
              </w:rPr>
              <w:t>Sound Management of chemicals and Waste</w:t>
            </w:r>
          </w:p>
        </w:tc>
        <w:tc>
          <w:tcPr>
            <w:tcW w:w="1493" w:type="pct"/>
            <w:tcBorders>
              <w:top w:val="nil"/>
              <w:left w:val="nil"/>
              <w:bottom w:val="single" w:sz="4" w:space="0" w:color="auto"/>
              <w:right w:val="single" w:sz="4" w:space="0" w:color="auto"/>
            </w:tcBorders>
            <w:shd w:val="clear" w:color="auto" w:fill="auto"/>
            <w:hideMark/>
          </w:tcPr>
          <w:p w14:paraId="02A4244E"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2DDDB5B9"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308168FA"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vAlign w:val="bottom"/>
            <w:hideMark/>
          </w:tcPr>
          <w:p w14:paraId="6FA5155C"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2B3162C2" w14:textId="77777777" w:rsidR="00E36E18" w:rsidRPr="002E0D60" w:rsidRDefault="00E36E18" w:rsidP="00EB5106">
            <w:pPr>
              <w:rPr>
                <w:rFonts w:ascii="Avenir Next Regular" w:hAnsi="Avenir Next Regular" w:cs="Calibri" w:hint="eastAsia"/>
                <w:iCs/>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iCs/>
                <w:color w:val="000000"/>
                <w:sz w:val="16"/>
                <w:szCs w:val="16"/>
              </w:rPr>
              <w:t>Waste Management</w:t>
            </w:r>
          </w:p>
        </w:tc>
        <w:tc>
          <w:tcPr>
            <w:tcW w:w="1493" w:type="pct"/>
            <w:tcBorders>
              <w:top w:val="nil"/>
              <w:left w:val="nil"/>
              <w:bottom w:val="single" w:sz="4" w:space="0" w:color="auto"/>
              <w:right w:val="single" w:sz="4" w:space="0" w:color="auto"/>
            </w:tcBorders>
            <w:shd w:val="clear" w:color="auto" w:fill="auto"/>
            <w:hideMark/>
          </w:tcPr>
          <w:p w14:paraId="20A67B87"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41A0DFEA"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2D913F38"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383305FC"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187968B2"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04B22778" w14:textId="77777777" w:rsidR="00E36E18" w:rsidRPr="002E0D60" w:rsidRDefault="00E36E18" w:rsidP="00EB5106">
            <w:pPr>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Hazardous Waste Management</w:t>
            </w:r>
          </w:p>
        </w:tc>
      </w:tr>
      <w:tr w:rsidR="00E36E18" w:rsidRPr="00B25CDB" w14:paraId="18CF7260"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53BAEC1F"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4501527A"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5EC5FDC4"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6CA5342C" w14:textId="77777777" w:rsidR="00E36E18" w:rsidRPr="002E0D60" w:rsidRDefault="00E36E18" w:rsidP="00EB5106">
            <w:pPr>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Industrial Waste</w:t>
            </w:r>
          </w:p>
        </w:tc>
      </w:tr>
      <w:tr w:rsidR="00E36E18" w:rsidRPr="00B25CDB" w14:paraId="40F0F0B3"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6963800C"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29344EE3"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56C31DF9"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1661CC8D" w14:textId="77777777" w:rsidR="00E36E18" w:rsidRPr="002E0D60" w:rsidRDefault="00E36E18" w:rsidP="00EB5106">
            <w:pPr>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e-Waste</w:t>
            </w:r>
          </w:p>
        </w:tc>
      </w:tr>
      <w:tr w:rsidR="00E36E18" w:rsidRPr="00B25CDB" w14:paraId="681EA89C"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764ED4B2"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4942B06B"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1E76C72C" w14:textId="77777777" w:rsidR="00E36E18" w:rsidRPr="002E0D60" w:rsidRDefault="00E36E18" w:rsidP="00EB5106">
            <w:pPr>
              <w:rPr>
                <w:rFonts w:ascii="Avenir Next Regular" w:hAnsi="Avenir Next Regular" w:cs="Calibri" w:hint="eastAsia"/>
                <w:iCs/>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iCs/>
                <w:color w:val="000000"/>
                <w:sz w:val="16"/>
                <w:szCs w:val="16"/>
              </w:rPr>
              <w:t>Emissions</w:t>
            </w:r>
          </w:p>
        </w:tc>
        <w:tc>
          <w:tcPr>
            <w:tcW w:w="1493" w:type="pct"/>
            <w:tcBorders>
              <w:top w:val="nil"/>
              <w:left w:val="nil"/>
              <w:bottom w:val="single" w:sz="4" w:space="0" w:color="auto"/>
              <w:right w:val="single" w:sz="4" w:space="0" w:color="auto"/>
            </w:tcBorders>
            <w:shd w:val="clear" w:color="auto" w:fill="auto"/>
            <w:hideMark/>
          </w:tcPr>
          <w:p w14:paraId="4DC3B5B4"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4C8E0411"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7B3749ED"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131C0076"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344A6FFB" w14:textId="77777777" w:rsidR="00E36E18" w:rsidRPr="002E0D60" w:rsidRDefault="00E36E18" w:rsidP="00EB5106">
            <w:pPr>
              <w:rPr>
                <w:rFonts w:ascii="Avenir Next Regular" w:hAnsi="Avenir Next Regular" w:cs="Calibri" w:hint="eastAsia"/>
                <w:iCs/>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iCs/>
                <w:color w:val="000000"/>
                <w:sz w:val="16"/>
                <w:szCs w:val="16"/>
              </w:rPr>
              <w:t>Disposal</w:t>
            </w:r>
          </w:p>
        </w:tc>
        <w:tc>
          <w:tcPr>
            <w:tcW w:w="1493" w:type="pct"/>
            <w:tcBorders>
              <w:top w:val="nil"/>
              <w:left w:val="nil"/>
              <w:bottom w:val="single" w:sz="4" w:space="0" w:color="auto"/>
              <w:right w:val="single" w:sz="4" w:space="0" w:color="auto"/>
            </w:tcBorders>
            <w:shd w:val="clear" w:color="auto" w:fill="auto"/>
            <w:hideMark/>
          </w:tcPr>
          <w:p w14:paraId="26B6C41B"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27CEC086"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7F3EEC38"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2BF91DB3"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0EF53186" w14:textId="77777777" w:rsidR="00E36E18" w:rsidRPr="002E0D60" w:rsidRDefault="00E36E18" w:rsidP="00EB5106">
            <w:pPr>
              <w:ind w:left="150" w:hanging="150"/>
              <w:rPr>
                <w:rFonts w:ascii="Avenir Next Regular" w:hAnsi="Avenir Next Regular" w:cs="Calibri" w:hint="eastAsia"/>
                <w:iCs/>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iCs/>
                <w:color w:val="000000"/>
                <w:sz w:val="16"/>
                <w:szCs w:val="16"/>
              </w:rPr>
              <w:t>New Persistent Organic Pollutants</w:t>
            </w:r>
          </w:p>
        </w:tc>
        <w:tc>
          <w:tcPr>
            <w:tcW w:w="1493" w:type="pct"/>
            <w:tcBorders>
              <w:top w:val="nil"/>
              <w:left w:val="nil"/>
              <w:bottom w:val="single" w:sz="4" w:space="0" w:color="auto"/>
              <w:right w:val="single" w:sz="4" w:space="0" w:color="auto"/>
            </w:tcBorders>
            <w:shd w:val="clear" w:color="auto" w:fill="auto"/>
            <w:hideMark/>
          </w:tcPr>
          <w:p w14:paraId="6F799ED2"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41C3A451"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41BC8D40"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7983AF68"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4BED1CD8" w14:textId="77777777" w:rsidR="00E36E18" w:rsidRPr="002E0D60" w:rsidRDefault="00E36E18" w:rsidP="00EB5106">
            <w:pPr>
              <w:rPr>
                <w:rFonts w:ascii="Avenir Next Regular" w:hAnsi="Avenir Next Regular" w:cs="Calibri" w:hint="eastAsia"/>
                <w:iCs/>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iCs/>
                <w:color w:val="000000"/>
                <w:sz w:val="16"/>
                <w:szCs w:val="16"/>
              </w:rPr>
              <w:t>Polychlorinated Biphenyls</w:t>
            </w:r>
          </w:p>
        </w:tc>
        <w:tc>
          <w:tcPr>
            <w:tcW w:w="1493" w:type="pct"/>
            <w:tcBorders>
              <w:top w:val="nil"/>
              <w:left w:val="nil"/>
              <w:bottom w:val="single" w:sz="4" w:space="0" w:color="auto"/>
              <w:right w:val="single" w:sz="4" w:space="0" w:color="auto"/>
            </w:tcBorders>
            <w:shd w:val="clear" w:color="auto" w:fill="auto"/>
            <w:hideMark/>
          </w:tcPr>
          <w:p w14:paraId="6278723E"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1933A0B1"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09839191"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lastRenderedPageBreak/>
              <w:t> </w:t>
            </w:r>
          </w:p>
        </w:tc>
        <w:tc>
          <w:tcPr>
            <w:tcW w:w="1079" w:type="pct"/>
            <w:tcBorders>
              <w:top w:val="nil"/>
              <w:left w:val="nil"/>
              <w:bottom w:val="single" w:sz="4" w:space="0" w:color="auto"/>
              <w:right w:val="single" w:sz="4" w:space="0" w:color="auto"/>
            </w:tcBorders>
            <w:shd w:val="clear" w:color="auto" w:fill="auto"/>
            <w:hideMark/>
          </w:tcPr>
          <w:p w14:paraId="17742EDC"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5F3676D3" w14:textId="77777777" w:rsidR="00E36E18" w:rsidRPr="002E0D60" w:rsidRDefault="00E36E18" w:rsidP="00EB5106">
            <w:pPr>
              <w:rPr>
                <w:rFonts w:ascii="Avenir Next Regular" w:hAnsi="Avenir Next Regular" w:cs="Calibri" w:hint="eastAsia"/>
                <w:iCs/>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iCs/>
                <w:color w:val="000000"/>
                <w:sz w:val="16"/>
                <w:szCs w:val="16"/>
              </w:rPr>
              <w:t>Plastics</w:t>
            </w:r>
          </w:p>
        </w:tc>
        <w:tc>
          <w:tcPr>
            <w:tcW w:w="1493" w:type="pct"/>
            <w:tcBorders>
              <w:top w:val="nil"/>
              <w:left w:val="nil"/>
              <w:bottom w:val="single" w:sz="4" w:space="0" w:color="auto"/>
              <w:right w:val="single" w:sz="4" w:space="0" w:color="auto"/>
            </w:tcBorders>
            <w:shd w:val="clear" w:color="auto" w:fill="auto"/>
            <w:hideMark/>
          </w:tcPr>
          <w:p w14:paraId="477972BD"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443E3EAC"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6CA86C95"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145A7882"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6DCDC7C0" w14:textId="77777777" w:rsidR="00E36E18" w:rsidRPr="002E0D60" w:rsidRDefault="00E36E18" w:rsidP="00EB5106">
            <w:pPr>
              <w:rPr>
                <w:rFonts w:ascii="Avenir Next Regular" w:hAnsi="Avenir Next Regular" w:cs="Calibri" w:hint="eastAsia"/>
                <w:iCs/>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iCs/>
                <w:color w:val="000000"/>
                <w:sz w:val="16"/>
                <w:szCs w:val="16"/>
              </w:rPr>
              <w:t>Eco-Efficiency</w:t>
            </w:r>
          </w:p>
        </w:tc>
        <w:tc>
          <w:tcPr>
            <w:tcW w:w="1493" w:type="pct"/>
            <w:tcBorders>
              <w:top w:val="nil"/>
              <w:left w:val="nil"/>
              <w:bottom w:val="single" w:sz="4" w:space="0" w:color="auto"/>
              <w:right w:val="single" w:sz="4" w:space="0" w:color="auto"/>
            </w:tcBorders>
            <w:shd w:val="clear" w:color="auto" w:fill="auto"/>
            <w:hideMark/>
          </w:tcPr>
          <w:p w14:paraId="0A74F741"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24FE7B19"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22F71FF5"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7D91BAD0"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5AB8C256" w14:textId="77777777" w:rsidR="00E36E18" w:rsidRPr="002E0D60" w:rsidRDefault="00E36E18" w:rsidP="00EB5106">
            <w:pPr>
              <w:rPr>
                <w:rFonts w:ascii="Avenir Next Regular" w:hAnsi="Avenir Next Regular" w:cs="Calibri" w:hint="eastAsia"/>
                <w:iCs/>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iCs/>
                <w:color w:val="000000"/>
                <w:sz w:val="16"/>
                <w:szCs w:val="16"/>
              </w:rPr>
              <w:t>Pesticides</w:t>
            </w:r>
          </w:p>
        </w:tc>
        <w:tc>
          <w:tcPr>
            <w:tcW w:w="1493" w:type="pct"/>
            <w:tcBorders>
              <w:top w:val="nil"/>
              <w:left w:val="nil"/>
              <w:bottom w:val="single" w:sz="4" w:space="0" w:color="auto"/>
              <w:right w:val="single" w:sz="4" w:space="0" w:color="auto"/>
            </w:tcBorders>
            <w:shd w:val="clear" w:color="auto" w:fill="auto"/>
            <w:hideMark/>
          </w:tcPr>
          <w:p w14:paraId="7D0431FC"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03A51D89"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51C52CF2"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145A28F7"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61E25888" w14:textId="77777777" w:rsidR="00E36E18" w:rsidRPr="002E0D60" w:rsidRDefault="00E36E18" w:rsidP="00EB5106">
            <w:pPr>
              <w:rPr>
                <w:rFonts w:ascii="Avenir Next Regular" w:hAnsi="Avenir Next Regular" w:cs="Calibri" w:hint="eastAsia"/>
                <w:iCs/>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iCs/>
                <w:color w:val="000000"/>
                <w:sz w:val="16"/>
                <w:szCs w:val="16"/>
              </w:rPr>
              <w:t>DDT - Vector Management</w:t>
            </w:r>
          </w:p>
        </w:tc>
        <w:tc>
          <w:tcPr>
            <w:tcW w:w="1493" w:type="pct"/>
            <w:tcBorders>
              <w:top w:val="nil"/>
              <w:left w:val="nil"/>
              <w:bottom w:val="single" w:sz="4" w:space="0" w:color="auto"/>
              <w:right w:val="single" w:sz="4" w:space="0" w:color="auto"/>
            </w:tcBorders>
            <w:shd w:val="clear" w:color="auto" w:fill="auto"/>
            <w:hideMark/>
          </w:tcPr>
          <w:p w14:paraId="436B3A37"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537971A7"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706AC42B"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4AF496B0"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2445BB86" w14:textId="77777777" w:rsidR="00E36E18" w:rsidRPr="002E0D60" w:rsidRDefault="00E36E18" w:rsidP="00EB5106">
            <w:pPr>
              <w:rPr>
                <w:rFonts w:ascii="Avenir Next Regular" w:hAnsi="Avenir Next Regular" w:cs="Calibri" w:hint="eastAsia"/>
                <w:iCs/>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iCs/>
                <w:color w:val="000000"/>
                <w:sz w:val="16"/>
                <w:szCs w:val="16"/>
              </w:rPr>
              <w:t>DDT - Other</w:t>
            </w:r>
          </w:p>
        </w:tc>
        <w:tc>
          <w:tcPr>
            <w:tcW w:w="1493" w:type="pct"/>
            <w:tcBorders>
              <w:top w:val="nil"/>
              <w:left w:val="nil"/>
              <w:bottom w:val="single" w:sz="4" w:space="0" w:color="auto"/>
              <w:right w:val="single" w:sz="4" w:space="0" w:color="auto"/>
            </w:tcBorders>
            <w:shd w:val="clear" w:color="auto" w:fill="auto"/>
            <w:hideMark/>
          </w:tcPr>
          <w:p w14:paraId="2237D880"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3134D9C7"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7509F49F"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19FA799D"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39184DA2" w14:textId="77777777" w:rsidR="00E36E18" w:rsidRPr="002E0D60" w:rsidRDefault="00E36E18" w:rsidP="00EB5106">
            <w:pPr>
              <w:rPr>
                <w:rFonts w:ascii="Avenir Next Regular" w:hAnsi="Avenir Next Regular" w:cs="Calibri" w:hint="eastAsia"/>
                <w:iCs/>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iCs/>
                <w:color w:val="000000"/>
                <w:sz w:val="16"/>
                <w:szCs w:val="16"/>
              </w:rPr>
              <w:t>Industrial Emissions</w:t>
            </w:r>
          </w:p>
        </w:tc>
        <w:tc>
          <w:tcPr>
            <w:tcW w:w="1493" w:type="pct"/>
            <w:tcBorders>
              <w:top w:val="nil"/>
              <w:left w:val="nil"/>
              <w:bottom w:val="single" w:sz="4" w:space="0" w:color="auto"/>
              <w:right w:val="single" w:sz="4" w:space="0" w:color="auto"/>
            </w:tcBorders>
            <w:shd w:val="clear" w:color="auto" w:fill="auto"/>
            <w:hideMark/>
          </w:tcPr>
          <w:p w14:paraId="74671245"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2153E29C"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539372BF"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5AA5DFDA"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28899F90" w14:textId="77777777" w:rsidR="00E36E18" w:rsidRPr="002E0D60" w:rsidRDefault="00E36E18" w:rsidP="00EB5106">
            <w:pPr>
              <w:rPr>
                <w:rFonts w:ascii="Avenir Next Regular" w:hAnsi="Avenir Next Regular" w:cs="Calibri" w:hint="eastAsia"/>
                <w:iCs/>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iCs/>
                <w:color w:val="000000"/>
                <w:sz w:val="16"/>
                <w:szCs w:val="16"/>
              </w:rPr>
              <w:t>Open Burning</w:t>
            </w:r>
          </w:p>
        </w:tc>
        <w:tc>
          <w:tcPr>
            <w:tcW w:w="1493" w:type="pct"/>
            <w:tcBorders>
              <w:top w:val="nil"/>
              <w:left w:val="nil"/>
              <w:bottom w:val="single" w:sz="4" w:space="0" w:color="auto"/>
              <w:right w:val="single" w:sz="4" w:space="0" w:color="auto"/>
            </w:tcBorders>
            <w:shd w:val="clear" w:color="auto" w:fill="auto"/>
            <w:hideMark/>
          </w:tcPr>
          <w:p w14:paraId="42BB2A55"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24ED3713" w14:textId="77777777" w:rsidTr="00EB5106">
        <w:trPr>
          <w:trHeight w:val="152"/>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2A294B72"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0D4026EA"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712191F5" w14:textId="77777777" w:rsidR="00E36E18" w:rsidRPr="002E0D60" w:rsidRDefault="00E36E18" w:rsidP="00EB5106">
            <w:pPr>
              <w:ind w:left="150" w:hanging="150"/>
              <w:rPr>
                <w:rFonts w:ascii="Avenir Next Regular" w:hAnsi="Avenir Next Regular" w:cs="Calibri" w:hint="eastAsia"/>
                <w:iCs/>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iCs/>
                <w:color w:val="000000"/>
                <w:sz w:val="16"/>
                <w:szCs w:val="16"/>
              </w:rPr>
              <w:t>Best Available Technology / Best Environmental Practices</w:t>
            </w:r>
          </w:p>
        </w:tc>
        <w:tc>
          <w:tcPr>
            <w:tcW w:w="1493" w:type="pct"/>
            <w:tcBorders>
              <w:top w:val="nil"/>
              <w:left w:val="nil"/>
              <w:bottom w:val="single" w:sz="4" w:space="0" w:color="auto"/>
              <w:right w:val="single" w:sz="4" w:space="0" w:color="auto"/>
            </w:tcBorders>
            <w:shd w:val="clear" w:color="auto" w:fill="auto"/>
            <w:hideMark/>
          </w:tcPr>
          <w:p w14:paraId="2FE951A0"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52DDFE06"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3B66A679"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hideMark/>
          </w:tcPr>
          <w:p w14:paraId="6C0D503D"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55CC1DA8" w14:textId="77777777" w:rsidR="00E36E18" w:rsidRPr="002E0D60" w:rsidRDefault="00E36E18" w:rsidP="00EB5106">
            <w:pPr>
              <w:rPr>
                <w:rFonts w:ascii="Avenir Next Regular" w:hAnsi="Avenir Next Regular" w:cs="Calibri" w:hint="eastAsia"/>
                <w:iCs/>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iCs/>
                <w:color w:val="000000"/>
                <w:sz w:val="16"/>
                <w:szCs w:val="16"/>
              </w:rPr>
              <w:t>Green Chemistry</w:t>
            </w:r>
          </w:p>
        </w:tc>
        <w:tc>
          <w:tcPr>
            <w:tcW w:w="1493" w:type="pct"/>
            <w:tcBorders>
              <w:top w:val="nil"/>
              <w:left w:val="nil"/>
              <w:bottom w:val="single" w:sz="4" w:space="0" w:color="auto"/>
              <w:right w:val="single" w:sz="4" w:space="0" w:color="auto"/>
            </w:tcBorders>
            <w:shd w:val="clear" w:color="auto" w:fill="auto"/>
            <w:hideMark/>
          </w:tcPr>
          <w:p w14:paraId="129AACA5"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23CE6035"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2966FBFB"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noWrap/>
            <w:vAlign w:val="bottom"/>
            <w:hideMark/>
          </w:tcPr>
          <w:p w14:paraId="6EDD90D1" w14:textId="77777777" w:rsidR="00E36E18" w:rsidRPr="002E0D60" w:rsidRDefault="00E36E18" w:rsidP="00EB5106">
            <w:pPr>
              <w:rPr>
                <w:rFonts w:ascii="Avenir Next Regular" w:hAnsi="Avenir Next Regular" w:cs="Calibri" w:hint="eastAsia"/>
                <w:b/>
                <w:bCs/>
                <w:color w:val="000000"/>
                <w:sz w:val="16"/>
                <w:szCs w:val="16"/>
              </w:rPr>
            </w:pPr>
            <w:r>
              <w:rPr>
                <w:color w:val="000000"/>
                <w:sz w:val="16"/>
                <w:szCs w:val="16"/>
              </w:rPr>
              <w:fldChar w:fldCharType="begin">
                <w:ffData>
                  <w:name w:val=""/>
                  <w:enabled/>
                  <w:calcOnExit w:val="0"/>
                  <w:checkBox>
                    <w:sizeAuto/>
                    <w:default w:val="1"/>
                  </w:checkBox>
                </w:ffData>
              </w:fldChar>
            </w:r>
            <w:r>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Pr>
                <w:color w:val="000000"/>
                <w:sz w:val="16"/>
                <w:szCs w:val="16"/>
              </w:rPr>
              <w:fldChar w:fldCharType="end"/>
            </w:r>
            <w:r w:rsidRPr="002E0D60">
              <w:rPr>
                <w:rFonts w:ascii="Avenir Next Regular" w:hAnsi="Avenir Next Regular" w:cs="Calibri"/>
                <w:b/>
                <w:bCs/>
                <w:color w:val="000000"/>
                <w:sz w:val="16"/>
                <w:szCs w:val="16"/>
              </w:rPr>
              <w:t>Climate Change</w:t>
            </w:r>
          </w:p>
        </w:tc>
        <w:tc>
          <w:tcPr>
            <w:tcW w:w="1439" w:type="pct"/>
            <w:tcBorders>
              <w:top w:val="nil"/>
              <w:left w:val="nil"/>
              <w:bottom w:val="single" w:sz="4" w:space="0" w:color="auto"/>
              <w:right w:val="single" w:sz="4" w:space="0" w:color="auto"/>
            </w:tcBorders>
            <w:shd w:val="clear" w:color="auto" w:fill="auto"/>
          </w:tcPr>
          <w:p w14:paraId="45098A73" w14:textId="77777777" w:rsidR="00E36E18" w:rsidRPr="002E0D60" w:rsidRDefault="00E36E18" w:rsidP="00EB5106">
            <w:pPr>
              <w:rPr>
                <w:rFonts w:ascii="Avenir Next Regular" w:hAnsi="Avenir Next Regular" w:cs="Calibri" w:hint="eastAsia"/>
                <w:b/>
                <w:bCs/>
                <w:color w:val="000000"/>
                <w:sz w:val="16"/>
                <w:szCs w:val="16"/>
              </w:rPr>
            </w:pPr>
          </w:p>
        </w:tc>
        <w:tc>
          <w:tcPr>
            <w:tcW w:w="1493" w:type="pct"/>
            <w:tcBorders>
              <w:top w:val="nil"/>
              <w:left w:val="nil"/>
              <w:bottom w:val="single" w:sz="4" w:space="0" w:color="auto"/>
              <w:right w:val="single" w:sz="4" w:space="0" w:color="auto"/>
            </w:tcBorders>
            <w:shd w:val="clear" w:color="auto" w:fill="auto"/>
          </w:tcPr>
          <w:p w14:paraId="1A11469B" w14:textId="77777777" w:rsidR="00E36E18" w:rsidRPr="002E0D60" w:rsidRDefault="00E36E18" w:rsidP="00EB5106">
            <w:pPr>
              <w:rPr>
                <w:rFonts w:ascii="Avenir Next Regular" w:hAnsi="Avenir Next Regular" w:cs="Calibri" w:hint="eastAsia"/>
                <w:iCs/>
                <w:color w:val="000000"/>
                <w:sz w:val="16"/>
                <w:szCs w:val="16"/>
              </w:rPr>
            </w:pPr>
          </w:p>
        </w:tc>
      </w:tr>
      <w:tr w:rsidR="00E36E18" w:rsidRPr="00B25CDB" w14:paraId="29FDF591"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tcPr>
          <w:p w14:paraId="3F4D9810" w14:textId="77777777" w:rsidR="00E36E18" w:rsidRPr="002E0D60" w:rsidRDefault="00E36E18" w:rsidP="00EB5106">
            <w:pPr>
              <w:rPr>
                <w:rFonts w:ascii="Avenir Next Regular" w:hAnsi="Avenir Next Regular" w:cs="Calibri" w:hint="eastAsia"/>
                <w:b/>
                <w:bCs/>
                <w:color w:val="000000"/>
                <w:sz w:val="16"/>
                <w:szCs w:val="16"/>
              </w:rPr>
            </w:pPr>
          </w:p>
        </w:tc>
        <w:tc>
          <w:tcPr>
            <w:tcW w:w="1079" w:type="pct"/>
            <w:tcBorders>
              <w:top w:val="nil"/>
              <w:left w:val="nil"/>
              <w:bottom w:val="single" w:sz="4" w:space="0" w:color="auto"/>
              <w:right w:val="single" w:sz="4" w:space="0" w:color="auto"/>
            </w:tcBorders>
            <w:shd w:val="clear" w:color="auto" w:fill="auto"/>
            <w:noWrap/>
            <w:vAlign w:val="bottom"/>
          </w:tcPr>
          <w:p w14:paraId="1ECF6A3E" w14:textId="77777777" w:rsidR="00E36E18" w:rsidRPr="002E0D60" w:rsidRDefault="00E36E18" w:rsidP="00EB5106">
            <w:pPr>
              <w:rPr>
                <w:color w:val="000000"/>
                <w:sz w:val="16"/>
                <w:szCs w:val="16"/>
              </w:rPr>
            </w:pPr>
          </w:p>
        </w:tc>
        <w:tc>
          <w:tcPr>
            <w:tcW w:w="1439" w:type="pct"/>
            <w:tcBorders>
              <w:top w:val="nil"/>
              <w:left w:val="nil"/>
              <w:bottom w:val="single" w:sz="4" w:space="0" w:color="auto"/>
              <w:right w:val="single" w:sz="4" w:space="0" w:color="auto"/>
            </w:tcBorders>
            <w:shd w:val="clear" w:color="auto" w:fill="auto"/>
          </w:tcPr>
          <w:p w14:paraId="162B8A7E" w14:textId="77777777" w:rsidR="00E36E18" w:rsidRPr="002E0D60" w:rsidRDefault="00E36E18" w:rsidP="00EB5106">
            <w:pPr>
              <w:rPr>
                <w:b/>
                <w:color w:val="000000"/>
                <w:sz w:val="16"/>
                <w:szCs w:val="16"/>
              </w:rPr>
            </w:pPr>
            <w:r>
              <w:rPr>
                <w:b/>
                <w:color w:val="000000"/>
                <w:sz w:val="16"/>
                <w:szCs w:val="16"/>
              </w:rPr>
              <w:fldChar w:fldCharType="begin">
                <w:ffData>
                  <w:name w:val=""/>
                  <w:enabled/>
                  <w:calcOnExit w:val="0"/>
                  <w:checkBox>
                    <w:sizeAuto/>
                    <w:default w:val="1"/>
                  </w:checkBox>
                </w:ffData>
              </w:fldChar>
            </w:r>
            <w:r>
              <w:rPr>
                <w:b/>
                <w:color w:val="000000"/>
                <w:sz w:val="16"/>
                <w:szCs w:val="16"/>
              </w:rPr>
              <w:instrText xml:space="preserve"> FORMCHECKBOX </w:instrText>
            </w:r>
            <w:r w:rsidR="00127DDC">
              <w:rPr>
                <w:b/>
                <w:color w:val="000000"/>
                <w:sz w:val="16"/>
                <w:szCs w:val="16"/>
              </w:rPr>
            </w:r>
            <w:r w:rsidR="00127DDC">
              <w:rPr>
                <w:b/>
                <w:color w:val="000000"/>
                <w:sz w:val="16"/>
                <w:szCs w:val="16"/>
              </w:rPr>
              <w:fldChar w:fldCharType="separate"/>
            </w:r>
            <w:r>
              <w:rPr>
                <w:b/>
                <w:color w:val="000000"/>
                <w:sz w:val="16"/>
                <w:szCs w:val="16"/>
              </w:rPr>
              <w:fldChar w:fldCharType="end"/>
            </w:r>
            <w:r w:rsidRPr="002E0D60">
              <w:rPr>
                <w:rFonts w:ascii="Avenir Next Regular" w:hAnsi="Avenir Next Regular" w:cs="Calibri"/>
                <w:b/>
                <w:bCs/>
                <w:color w:val="000000"/>
                <w:sz w:val="16"/>
                <w:szCs w:val="16"/>
              </w:rPr>
              <w:t>Climate Change Adaptation</w:t>
            </w:r>
          </w:p>
        </w:tc>
        <w:tc>
          <w:tcPr>
            <w:tcW w:w="1493" w:type="pct"/>
            <w:tcBorders>
              <w:top w:val="nil"/>
              <w:left w:val="nil"/>
              <w:bottom w:val="single" w:sz="4" w:space="0" w:color="auto"/>
              <w:right w:val="single" w:sz="4" w:space="0" w:color="auto"/>
            </w:tcBorders>
            <w:shd w:val="clear" w:color="auto" w:fill="auto"/>
          </w:tcPr>
          <w:p w14:paraId="1F6CBF92" w14:textId="77777777" w:rsidR="00E36E18" w:rsidRPr="002E0D60" w:rsidRDefault="00E36E18" w:rsidP="00EB5106">
            <w:pPr>
              <w:rPr>
                <w:color w:val="000000"/>
                <w:sz w:val="16"/>
                <w:szCs w:val="16"/>
              </w:rPr>
            </w:pPr>
          </w:p>
        </w:tc>
      </w:tr>
      <w:tr w:rsidR="00E36E18" w:rsidRPr="00B25CDB" w14:paraId="24943EB8"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tcPr>
          <w:p w14:paraId="0EC297FE" w14:textId="77777777" w:rsidR="00E36E18" w:rsidRPr="002E0D60" w:rsidRDefault="00E36E18" w:rsidP="00EB5106">
            <w:pPr>
              <w:rPr>
                <w:rFonts w:ascii="Avenir Next Regular" w:hAnsi="Avenir Next Regular" w:cs="Calibri" w:hint="eastAsia"/>
                <w:b/>
                <w:bCs/>
                <w:color w:val="000000"/>
                <w:sz w:val="16"/>
                <w:szCs w:val="16"/>
              </w:rPr>
            </w:pPr>
          </w:p>
        </w:tc>
        <w:tc>
          <w:tcPr>
            <w:tcW w:w="1079" w:type="pct"/>
            <w:tcBorders>
              <w:top w:val="nil"/>
              <w:left w:val="nil"/>
              <w:bottom w:val="single" w:sz="4" w:space="0" w:color="auto"/>
              <w:right w:val="single" w:sz="4" w:space="0" w:color="auto"/>
            </w:tcBorders>
            <w:shd w:val="clear" w:color="auto" w:fill="auto"/>
            <w:noWrap/>
            <w:vAlign w:val="bottom"/>
          </w:tcPr>
          <w:p w14:paraId="5A4D965B" w14:textId="77777777" w:rsidR="00E36E18" w:rsidRPr="002E0D60" w:rsidRDefault="00E36E18" w:rsidP="00EB5106">
            <w:pPr>
              <w:rPr>
                <w:color w:val="000000"/>
                <w:sz w:val="16"/>
                <w:szCs w:val="16"/>
              </w:rPr>
            </w:pPr>
          </w:p>
        </w:tc>
        <w:tc>
          <w:tcPr>
            <w:tcW w:w="1439" w:type="pct"/>
            <w:tcBorders>
              <w:top w:val="nil"/>
              <w:left w:val="nil"/>
              <w:bottom w:val="single" w:sz="4" w:space="0" w:color="auto"/>
              <w:right w:val="single" w:sz="4" w:space="0" w:color="auto"/>
            </w:tcBorders>
            <w:shd w:val="clear" w:color="auto" w:fill="auto"/>
          </w:tcPr>
          <w:p w14:paraId="6D8E0BE7" w14:textId="77777777" w:rsidR="00E36E18" w:rsidRPr="002E0D60" w:rsidRDefault="00E36E18" w:rsidP="00EB5106">
            <w:pPr>
              <w:rPr>
                <w:color w:val="000000"/>
                <w:sz w:val="16"/>
                <w:szCs w:val="16"/>
              </w:rPr>
            </w:pPr>
          </w:p>
        </w:tc>
        <w:tc>
          <w:tcPr>
            <w:tcW w:w="1493" w:type="pct"/>
            <w:tcBorders>
              <w:top w:val="nil"/>
              <w:left w:val="nil"/>
              <w:bottom w:val="single" w:sz="4" w:space="0" w:color="auto"/>
              <w:right w:val="single" w:sz="4" w:space="0" w:color="auto"/>
            </w:tcBorders>
            <w:shd w:val="clear" w:color="auto" w:fill="auto"/>
          </w:tcPr>
          <w:p w14:paraId="7D6B9DDE" w14:textId="77777777" w:rsidR="00E36E18" w:rsidRPr="002E0D60" w:rsidRDefault="00E36E18" w:rsidP="00EB5106">
            <w:pPr>
              <w:rPr>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color w:val="000000"/>
                <w:sz w:val="16"/>
                <w:szCs w:val="16"/>
              </w:rPr>
              <w:t>Climate Finance</w:t>
            </w:r>
          </w:p>
        </w:tc>
      </w:tr>
      <w:tr w:rsidR="00E36E18" w:rsidRPr="00B25CDB" w14:paraId="4DF02C18"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6636D010"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noWrap/>
            <w:vAlign w:val="bottom"/>
            <w:hideMark/>
          </w:tcPr>
          <w:p w14:paraId="5FD8F0FE"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20A231CB"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095CF358" w14:textId="77777777" w:rsidR="00E36E18" w:rsidRPr="002E0D60" w:rsidRDefault="00E36E18" w:rsidP="00EB5106">
            <w:pPr>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Least Developed Countries</w:t>
            </w:r>
          </w:p>
        </w:tc>
      </w:tr>
      <w:tr w:rsidR="00E36E18" w:rsidRPr="00B25CDB" w14:paraId="6824B87C"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11D8663E"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noWrap/>
            <w:vAlign w:val="bottom"/>
            <w:hideMark/>
          </w:tcPr>
          <w:p w14:paraId="35D723FA"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198C044A"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2B8D55E3" w14:textId="77777777" w:rsidR="00E36E18" w:rsidRPr="002E0D60" w:rsidRDefault="00E36E18" w:rsidP="00EB5106">
            <w:pPr>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Small Island Developing States</w:t>
            </w:r>
          </w:p>
        </w:tc>
      </w:tr>
      <w:tr w:rsidR="00E36E18" w:rsidRPr="00B25CDB" w14:paraId="5C888FBA" w14:textId="77777777" w:rsidTr="00EB5106">
        <w:trPr>
          <w:trHeight w:val="89"/>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63C650C6"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noWrap/>
            <w:vAlign w:val="bottom"/>
            <w:hideMark/>
          </w:tcPr>
          <w:p w14:paraId="4A15B311"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3D8365AC"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74E050CC" w14:textId="77777777" w:rsidR="00E36E18" w:rsidRPr="002E0D60" w:rsidRDefault="00E36E18" w:rsidP="00EB5106">
            <w:pPr>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color w:val="000000"/>
                <w:sz w:val="16"/>
                <w:szCs w:val="16"/>
              </w:rPr>
              <w:t>Disaster Risk Management</w:t>
            </w:r>
          </w:p>
        </w:tc>
      </w:tr>
      <w:tr w:rsidR="00E36E18" w:rsidRPr="00B25CDB" w14:paraId="4189D36C"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7DFEC8E1"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noWrap/>
            <w:vAlign w:val="bottom"/>
            <w:hideMark/>
          </w:tcPr>
          <w:p w14:paraId="326D58AC"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27EF9EEB"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2EB06E72" w14:textId="77777777" w:rsidR="00E36E18" w:rsidRPr="002E0D60" w:rsidRDefault="00E36E18" w:rsidP="00EB5106">
            <w:pPr>
              <w:rPr>
                <w:rFonts w:ascii="Avenir Next Regular" w:hAnsi="Avenir Next Regular" w:cs="Calibri" w:hint="eastAsia"/>
                <w:iCs/>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iCs/>
                <w:color w:val="000000"/>
                <w:sz w:val="16"/>
                <w:szCs w:val="16"/>
              </w:rPr>
              <w:t>Sea-level rise</w:t>
            </w:r>
          </w:p>
        </w:tc>
      </w:tr>
      <w:tr w:rsidR="00E36E18" w:rsidRPr="00B25CDB" w14:paraId="527CBA72"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tcPr>
          <w:p w14:paraId="5F809F10" w14:textId="77777777" w:rsidR="00E36E18" w:rsidRPr="002E0D60" w:rsidRDefault="00E36E18" w:rsidP="00EB5106">
            <w:pPr>
              <w:rPr>
                <w:rFonts w:ascii="Avenir Next Regular" w:hAnsi="Avenir Next Regular" w:cs="Calibri" w:hint="eastAsia"/>
                <w:b/>
                <w:bCs/>
                <w:color w:val="000000"/>
                <w:sz w:val="16"/>
                <w:szCs w:val="16"/>
              </w:rPr>
            </w:pPr>
          </w:p>
        </w:tc>
        <w:tc>
          <w:tcPr>
            <w:tcW w:w="1079" w:type="pct"/>
            <w:tcBorders>
              <w:top w:val="nil"/>
              <w:left w:val="nil"/>
              <w:bottom w:val="single" w:sz="4" w:space="0" w:color="auto"/>
              <w:right w:val="single" w:sz="4" w:space="0" w:color="auto"/>
            </w:tcBorders>
            <w:shd w:val="clear" w:color="auto" w:fill="auto"/>
            <w:noWrap/>
            <w:vAlign w:val="bottom"/>
          </w:tcPr>
          <w:p w14:paraId="646317EE" w14:textId="77777777" w:rsidR="00E36E18" w:rsidRPr="002E0D60" w:rsidRDefault="00E36E18" w:rsidP="00EB5106">
            <w:pPr>
              <w:rPr>
                <w:rFonts w:ascii="Avenir Next Regular" w:hAnsi="Avenir Next Regular" w:cs="Calibri" w:hint="eastAsia"/>
                <w:b/>
                <w:bCs/>
                <w:color w:val="000000"/>
                <w:sz w:val="16"/>
                <w:szCs w:val="16"/>
              </w:rPr>
            </w:pPr>
          </w:p>
        </w:tc>
        <w:tc>
          <w:tcPr>
            <w:tcW w:w="1439" w:type="pct"/>
            <w:tcBorders>
              <w:top w:val="nil"/>
              <w:left w:val="nil"/>
              <w:bottom w:val="single" w:sz="4" w:space="0" w:color="auto"/>
              <w:right w:val="single" w:sz="4" w:space="0" w:color="auto"/>
            </w:tcBorders>
            <w:shd w:val="clear" w:color="auto" w:fill="auto"/>
          </w:tcPr>
          <w:p w14:paraId="4899ED9C" w14:textId="77777777" w:rsidR="00E36E18" w:rsidRPr="002E0D60" w:rsidRDefault="00E36E18" w:rsidP="00EB5106">
            <w:pPr>
              <w:rPr>
                <w:rFonts w:ascii="Avenir Next Regular" w:hAnsi="Avenir Next Regular" w:cs="Calibri" w:hint="eastAsia"/>
                <w:b/>
                <w:bCs/>
                <w:color w:val="000000"/>
                <w:sz w:val="16"/>
                <w:szCs w:val="16"/>
              </w:rPr>
            </w:pPr>
          </w:p>
        </w:tc>
        <w:tc>
          <w:tcPr>
            <w:tcW w:w="1493" w:type="pct"/>
            <w:tcBorders>
              <w:top w:val="nil"/>
              <w:left w:val="nil"/>
              <w:bottom w:val="single" w:sz="4" w:space="0" w:color="auto"/>
              <w:right w:val="single" w:sz="4" w:space="0" w:color="auto"/>
            </w:tcBorders>
            <w:shd w:val="clear" w:color="auto" w:fill="auto"/>
          </w:tcPr>
          <w:p w14:paraId="543D65F1" w14:textId="77777777" w:rsidR="00E36E18" w:rsidRPr="002E0D60" w:rsidRDefault="00E36E18" w:rsidP="00EB5106">
            <w:pPr>
              <w:rPr>
                <w:color w:val="000000"/>
                <w:sz w:val="16"/>
                <w:szCs w:val="16"/>
              </w:rPr>
            </w:pPr>
            <w:r>
              <w:rPr>
                <w:color w:val="000000"/>
                <w:sz w:val="16"/>
                <w:szCs w:val="16"/>
              </w:rPr>
              <w:fldChar w:fldCharType="begin">
                <w:ffData>
                  <w:name w:val=""/>
                  <w:enabled/>
                  <w:calcOnExit w:val="0"/>
                  <w:checkBox>
                    <w:sizeAuto/>
                    <w:default w:val="1"/>
                  </w:checkBox>
                </w:ffData>
              </w:fldChar>
            </w:r>
            <w:r>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Pr>
                <w:color w:val="000000"/>
                <w:sz w:val="16"/>
                <w:szCs w:val="16"/>
              </w:rPr>
              <w:fldChar w:fldCharType="end"/>
            </w:r>
            <w:r w:rsidRPr="002E0D60">
              <w:rPr>
                <w:color w:val="000000"/>
                <w:sz w:val="16"/>
                <w:szCs w:val="16"/>
              </w:rPr>
              <w:t>Climate Resilience</w:t>
            </w:r>
          </w:p>
        </w:tc>
      </w:tr>
      <w:tr w:rsidR="00E36E18" w:rsidRPr="00B25CDB" w14:paraId="46AA4609"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160996D6"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noWrap/>
            <w:vAlign w:val="bottom"/>
            <w:hideMark/>
          </w:tcPr>
          <w:p w14:paraId="08EC470B"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6B6E266B"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7BC4C443" w14:textId="77777777" w:rsidR="00E36E18" w:rsidRPr="002E0D60" w:rsidRDefault="00E36E18" w:rsidP="00EB5106">
            <w:pPr>
              <w:rPr>
                <w:rFonts w:ascii="Avenir Next Regular" w:hAnsi="Avenir Next Regular" w:cs="Calibri" w:hint="eastAsia"/>
                <w:iCs/>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iCs/>
                <w:color w:val="000000"/>
                <w:sz w:val="16"/>
                <w:szCs w:val="16"/>
              </w:rPr>
              <w:t>Climate information</w:t>
            </w:r>
          </w:p>
        </w:tc>
      </w:tr>
      <w:tr w:rsidR="00E36E18" w:rsidRPr="00B25CDB" w14:paraId="6AF5C992"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0D4D9F50"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noWrap/>
            <w:vAlign w:val="bottom"/>
            <w:hideMark/>
          </w:tcPr>
          <w:p w14:paraId="75E583F2"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0103CA7D"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097BBC5C" w14:textId="77777777" w:rsidR="00E36E18" w:rsidRPr="002E0D60" w:rsidRDefault="00E36E18" w:rsidP="00EB5106">
            <w:pPr>
              <w:rPr>
                <w:rFonts w:ascii="Avenir Next Regular" w:hAnsi="Avenir Next Regular" w:cs="Calibri" w:hint="eastAsia"/>
                <w:iCs/>
                <w:color w:val="000000"/>
                <w:sz w:val="16"/>
                <w:szCs w:val="16"/>
              </w:rPr>
            </w:pPr>
            <w:r>
              <w:rPr>
                <w:color w:val="000000"/>
                <w:sz w:val="16"/>
                <w:szCs w:val="16"/>
              </w:rPr>
              <w:fldChar w:fldCharType="begin">
                <w:ffData>
                  <w:name w:val=""/>
                  <w:enabled/>
                  <w:calcOnExit w:val="0"/>
                  <w:checkBox>
                    <w:sizeAuto/>
                    <w:default w:val="1"/>
                  </w:checkBox>
                </w:ffData>
              </w:fldChar>
            </w:r>
            <w:r>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Pr>
                <w:color w:val="000000"/>
                <w:sz w:val="16"/>
                <w:szCs w:val="16"/>
              </w:rPr>
              <w:fldChar w:fldCharType="end"/>
            </w:r>
            <w:r w:rsidRPr="002E0D60">
              <w:rPr>
                <w:rFonts w:ascii="Avenir Next Regular" w:hAnsi="Avenir Next Regular" w:cs="Calibri"/>
                <w:iCs/>
                <w:color w:val="000000"/>
                <w:sz w:val="16"/>
                <w:szCs w:val="16"/>
              </w:rPr>
              <w:t>Ecosystem-based Adaptation</w:t>
            </w:r>
          </w:p>
        </w:tc>
      </w:tr>
      <w:tr w:rsidR="00E36E18" w:rsidRPr="00B25CDB" w14:paraId="0D06396E"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7242DB90"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noWrap/>
            <w:vAlign w:val="bottom"/>
            <w:hideMark/>
          </w:tcPr>
          <w:p w14:paraId="09EE0CBE"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0C6B7805"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11E804A0" w14:textId="77777777" w:rsidR="00E36E18" w:rsidRPr="002E0D60" w:rsidRDefault="00E36E18" w:rsidP="00EB5106">
            <w:pPr>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color w:val="000000"/>
                <w:sz w:val="16"/>
                <w:szCs w:val="16"/>
              </w:rPr>
              <w:t>Adaptation Tech Transfer</w:t>
            </w:r>
          </w:p>
        </w:tc>
      </w:tr>
      <w:tr w:rsidR="00E36E18" w:rsidRPr="00B25CDB" w14:paraId="4C6944D3"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42D5F97E"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noWrap/>
            <w:vAlign w:val="bottom"/>
            <w:hideMark/>
          </w:tcPr>
          <w:p w14:paraId="25D12A05"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6445D416"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65E63AC3" w14:textId="77777777" w:rsidR="00E36E18" w:rsidRPr="002E0D60" w:rsidRDefault="00E36E18" w:rsidP="00EB5106">
            <w:pPr>
              <w:ind w:left="192" w:hanging="192"/>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 xml:space="preserve">National Adaptation </w:t>
            </w:r>
            <w:proofErr w:type="spellStart"/>
            <w:r w:rsidRPr="002E0D60">
              <w:rPr>
                <w:rFonts w:ascii="Avenir Next Regular" w:hAnsi="Avenir Next Regular" w:cs="Calibri"/>
                <w:color w:val="000000"/>
                <w:sz w:val="16"/>
                <w:szCs w:val="16"/>
              </w:rPr>
              <w:t>Programme</w:t>
            </w:r>
            <w:proofErr w:type="spellEnd"/>
            <w:r w:rsidRPr="002E0D60">
              <w:rPr>
                <w:rFonts w:ascii="Avenir Next Regular" w:hAnsi="Avenir Next Regular" w:cs="Calibri"/>
                <w:color w:val="000000"/>
                <w:sz w:val="16"/>
                <w:szCs w:val="16"/>
              </w:rPr>
              <w:t xml:space="preserve"> of Action</w:t>
            </w:r>
          </w:p>
        </w:tc>
      </w:tr>
      <w:tr w:rsidR="00E36E18" w:rsidRPr="00B25CDB" w14:paraId="1DD1A4BD"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7D822166"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noWrap/>
            <w:vAlign w:val="bottom"/>
            <w:hideMark/>
          </w:tcPr>
          <w:p w14:paraId="04484297"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632F4A22"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283BEBCB" w14:textId="77777777" w:rsidR="00E36E18" w:rsidRPr="002E0D60" w:rsidRDefault="00E36E18" w:rsidP="00EB5106">
            <w:pPr>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National Adaptation Plan</w:t>
            </w:r>
          </w:p>
        </w:tc>
      </w:tr>
      <w:tr w:rsidR="00E36E18" w:rsidRPr="00B25CDB" w14:paraId="721001AF"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0EA99FE9"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noWrap/>
            <w:vAlign w:val="bottom"/>
            <w:hideMark/>
          </w:tcPr>
          <w:p w14:paraId="1C68586E"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6A1542EF"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4CB5B5E5" w14:textId="77777777" w:rsidR="00E36E18" w:rsidRPr="002E0D60" w:rsidRDefault="00E36E18" w:rsidP="00EB5106">
            <w:pPr>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Mainstreaming Adaptation</w:t>
            </w:r>
          </w:p>
        </w:tc>
      </w:tr>
      <w:tr w:rsidR="00E36E18" w:rsidRPr="00B25CDB" w14:paraId="49E39A77"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6B1D7B33"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noWrap/>
            <w:vAlign w:val="bottom"/>
            <w:hideMark/>
          </w:tcPr>
          <w:p w14:paraId="650C51A1"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24A4824E"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5627A4A1" w14:textId="77777777" w:rsidR="00E36E18" w:rsidRPr="002E0D60" w:rsidRDefault="00E36E18" w:rsidP="00EB5106">
            <w:pPr>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Private Sector</w:t>
            </w:r>
          </w:p>
        </w:tc>
      </w:tr>
      <w:tr w:rsidR="00E36E18" w:rsidRPr="00B25CDB" w14:paraId="43607F5B"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3BA9A93D"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noWrap/>
            <w:vAlign w:val="bottom"/>
            <w:hideMark/>
          </w:tcPr>
          <w:p w14:paraId="76CE531D"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64576416"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07A79735" w14:textId="77777777" w:rsidR="00E36E18" w:rsidRPr="002E0D60" w:rsidRDefault="00E36E18" w:rsidP="00EB5106">
            <w:pPr>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Innovation</w:t>
            </w:r>
          </w:p>
        </w:tc>
      </w:tr>
      <w:tr w:rsidR="00E36E18" w:rsidRPr="00B25CDB" w14:paraId="7D9A3A97"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68029B40"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noWrap/>
            <w:vAlign w:val="bottom"/>
            <w:hideMark/>
          </w:tcPr>
          <w:p w14:paraId="470AD43F"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057D413E"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313C9E86" w14:textId="77777777" w:rsidR="00E36E18" w:rsidRPr="002E0D60" w:rsidRDefault="00E36E18" w:rsidP="00EB5106">
            <w:pPr>
              <w:rPr>
                <w:rFonts w:ascii="Avenir Next Regular" w:hAnsi="Avenir Next Regular" w:cs="Calibri" w:hint="eastAsia"/>
                <w:iCs/>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iCs/>
                <w:color w:val="000000"/>
                <w:sz w:val="16"/>
                <w:szCs w:val="16"/>
              </w:rPr>
              <w:t>Complementarity</w:t>
            </w:r>
          </w:p>
        </w:tc>
      </w:tr>
      <w:tr w:rsidR="00E36E18" w:rsidRPr="00B25CDB" w14:paraId="587D7DF8"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20C6B0BD"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noWrap/>
            <w:vAlign w:val="bottom"/>
            <w:hideMark/>
          </w:tcPr>
          <w:p w14:paraId="0176FC22"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4CB3640A"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1911BC9C" w14:textId="77777777" w:rsidR="00E36E18" w:rsidRPr="002E0D60" w:rsidRDefault="00E36E18" w:rsidP="00EB5106">
            <w:pPr>
              <w:rPr>
                <w:rFonts w:ascii="Avenir Next Regular" w:hAnsi="Avenir Next Regular" w:cs="Calibri" w:hint="eastAsia"/>
                <w:iCs/>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iCs/>
                <w:color w:val="000000"/>
                <w:sz w:val="16"/>
                <w:szCs w:val="16"/>
              </w:rPr>
              <w:t>Community-based Adaptation</w:t>
            </w:r>
          </w:p>
        </w:tc>
      </w:tr>
      <w:tr w:rsidR="00E36E18" w:rsidRPr="00B25CDB" w14:paraId="6AD9E4F2"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61567001"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noWrap/>
            <w:vAlign w:val="bottom"/>
            <w:hideMark/>
          </w:tcPr>
          <w:p w14:paraId="4C13B931"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2BB47D0C"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462DEC95" w14:textId="77777777" w:rsidR="00E36E18" w:rsidRPr="002E0D60" w:rsidRDefault="00E36E18" w:rsidP="00EB5106">
            <w:pPr>
              <w:rPr>
                <w:rFonts w:ascii="Avenir Next Regular" w:hAnsi="Avenir Next Regular" w:cs="Calibri" w:hint="eastAsia"/>
                <w:iCs/>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iCs/>
                <w:color w:val="000000"/>
                <w:sz w:val="16"/>
                <w:szCs w:val="16"/>
              </w:rPr>
              <w:t>Livelihoods</w:t>
            </w:r>
          </w:p>
        </w:tc>
      </w:tr>
      <w:tr w:rsidR="00E36E18" w:rsidRPr="00B25CDB" w14:paraId="60047D11" w14:textId="77777777" w:rsidTr="00EB5106">
        <w:trPr>
          <w:trHeight w:val="134"/>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4431096E"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noWrap/>
            <w:vAlign w:val="bottom"/>
            <w:hideMark/>
          </w:tcPr>
          <w:p w14:paraId="2843A1FF"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45AA6FBB" w14:textId="77777777" w:rsidR="00E36E18" w:rsidRPr="002E0D60" w:rsidRDefault="00E36E18" w:rsidP="00EB5106">
            <w:pPr>
              <w:rPr>
                <w:rFonts w:ascii="Avenir Next Regular" w:hAnsi="Avenir Next Regular" w:cs="Calibri" w:hint="eastAsia"/>
                <w:b/>
                <w:bCs/>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b/>
                <w:bCs/>
                <w:color w:val="000000"/>
                <w:sz w:val="16"/>
                <w:szCs w:val="16"/>
              </w:rPr>
              <w:t>Climate Change Mitigation</w:t>
            </w:r>
          </w:p>
        </w:tc>
        <w:tc>
          <w:tcPr>
            <w:tcW w:w="1493" w:type="pct"/>
            <w:tcBorders>
              <w:top w:val="nil"/>
              <w:left w:val="nil"/>
              <w:bottom w:val="single" w:sz="4" w:space="0" w:color="auto"/>
              <w:right w:val="single" w:sz="4" w:space="0" w:color="auto"/>
            </w:tcBorders>
            <w:shd w:val="clear" w:color="auto" w:fill="auto"/>
          </w:tcPr>
          <w:p w14:paraId="368D2656" w14:textId="77777777" w:rsidR="00E36E18" w:rsidRPr="002E0D60" w:rsidRDefault="00E36E18" w:rsidP="00EB5106">
            <w:pPr>
              <w:rPr>
                <w:rFonts w:ascii="Avenir Next Regular" w:hAnsi="Avenir Next Regular" w:cs="Calibri" w:hint="eastAsia"/>
                <w:iCs/>
                <w:color w:val="000000"/>
                <w:sz w:val="16"/>
                <w:szCs w:val="16"/>
              </w:rPr>
            </w:pPr>
          </w:p>
        </w:tc>
      </w:tr>
      <w:tr w:rsidR="00E36E18" w:rsidRPr="00B25CDB" w14:paraId="124743F2" w14:textId="77777777" w:rsidTr="00EB5106">
        <w:trPr>
          <w:trHeight w:val="134"/>
        </w:trPr>
        <w:tc>
          <w:tcPr>
            <w:tcW w:w="989" w:type="pct"/>
            <w:tcBorders>
              <w:top w:val="nil"/>
              <w:left w:val="single" w:sz="4" w:space="0" w:color="auto"/>
              <w:bottom w:val="single" w:sz="4" w:space="0" w:color="auto"/>
              <w:right w:val="single" w:sz="4" w:space="0" w:color="auto"/>
            </w:tcBorders>
            <w:shd w:val="clear" w:color="auto" w:fill="auto"/>
            <w:noWrap/>
            <w:vAlign w:val="bottom"/>
          </w:tcPr>
          <w:p w14:paraId="273EEE7D" w14:textId="77777777" w:rsidR="00E36E18" w:rsidRPr="002E0D60" w:rsidRDefault="00E36E18" w:rsidP="00EB5106">
            <w:pPr>
              <w:rPr>
                <w:rFonts w:ascii="Avenir Next Regular" w:hAnsi="Avenir Next Regular" w:cs="Calibri" w:hint="eastAsia"/>
                <w:b/>
                <w:bCs/>
                <w:color w:val="000000"/>
                <w:sz w:val="16"/>
                <w:szCs w:val="16"/>
              </w:rPr>
            </w:pPr>
          </w:p>
        </w:tc>
        <w:tc>
          <w:tcPr>
            <w:tcW w:w="1079" w:type="pct"/>
            <w:tcBorders>
              <w:top w:val="nil"/>
              <w:left w:val="nil"/>
              <w:bottom w:val="single" w:sz="4" w:space="0" w:color="auto"/>
              <w:right w:val="single" w:sz="4" w:space="0" w:color="auto"/>
            </w:tcBorders>
            <w:shd w:val="clear" w:color="auto" w:fill="auto"/>
            <w:noWrap/>
            <w:vAlign w:val="bottom"/>
          </w:tcPr>
          <w:p w14:paraId="344FE7CF" w14:textId="77777777" w:rsidR="00E36E18" w:rsidRPr="002E0D60" w:rsidRDefault="00E36E18" w:rsidP="00EB5106">
            <w:pPr>
              <w:rPr>
                <w:rFonts w:ascii="Avenir Next Regular" w:hAnsi="Avenir Next Regular" w:cs="Calibri" w:hint="eastAsia"/>
                <w:b/>
                <w:bCs/>
                <w:color w:val="000000"/>
                <w:sz w:val="16"/>
                <w:szCs w:val="16"/>
              </w:rPr>
            </w:pPr>
          </w:p>
        </w:tc>
        <w:tc>
          <w:tcPr>
            <w:tcW w:w="1439" w:type="pct"/>
            <w:tcBorders>
              <w:top w:val="nil"/>
              <w:left w:val="nil"/>
              <w:bottom w:val="single" w:sz="4" w:space="0" w:color="auto"/>
              <w:right w:val="single" w:sz="4" w:space="0" w:color="auto"/>
            </w:tcBorders>
            <w:shd w:val="clear" w:color="auto" w:fill="auto"/>
          </w:tcPr>
          <w:p w14:paraId="787CC517" w14:textId="77777777" w:rsidR="00E36E18" w:rsidRPr="002E0D60" w:rsidRDefault="00E36E18" w:rsidP="00EB5106">
            <w:pPr>
              <w:rPr>
                <w:color w:val="000000"/>
                <w:sz w:val="16"/>
                <w:szCs w:val="16"/>
              </w:rPr>
            </w:pPr>
          </w:p>
        </w:tc>
        <w:tc>
          <w:tcPr>
            <w:tcW w:w="1493" w:type="pct"/>
            <w:tcBorders>
              <w:top w:val="nil"/>
              <w:left w:val="nil"/>
              <w:bottom w:val="single" w:sz="4" w:space="0" w:color="auto"/>
              <w:right w:val="single" w:sz="4" w:space="0" w:color="auto"/>
            </w:tcBorders>
            <w:shd w:val="clear" w:color="auto" w:fill="auto"/>
          </w:tcPr>
          <w:p w14:paraId="65A1FBD7" w14:textId="77777777" w:rsidR="00E36E18" w:rsidRPr="002E0D60" w:rsidRDefault="00E36E18" w:rsidP="00EB5106">
            <w:pPr>
              <w:ind w:left="192" w:hanging="192"/>
              <w:rPr>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iCs/>
                <w:color w:val="000000"/>
                <w:sz w:val="16"/>
                <w:szCs w:val="16"/>
              </w:rPr>
              <w:t>Agriculture, Forestry, and other Land Use</w:t>
            </w:r>
          </w:p>
        </w:tc>
      </w:tr>
      <w:tr w:rsidR="00E36E18" w:rsidRPr="00B25CDB" w14:paraId="037B414E"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53065069"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noWrap/>
            <w:vAlign w:val="bottom"/>
            <w:hideMark/>
          </w:tcPr>
          <w:p w14:paraId="3447C082"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3FB11870"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08035908" w14:textId="77777777" w:rsidR="00E36E18" w:rsidRPr="002E0D60" w:rsidRDefault="00E36E18" w:rsidP="00EB5106">
            <w:pPr>
              <w:rPr>
                <w:rFonts w:ascii="Avenir Next Regular" w:hAnsi="Avenir Next Regular" w:cs="Calibri" w:hint="eastAsia"/>
                <w:iCs/>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iCs/>
                <w:color w:val="000000"/>
                <w:sz w:val="16"/>
                <w:szCs w:val="16"/>
              </w:rPr>
              <w:t>Energy Efficiency</w:t>
            </w:r>
          </w:p>
        </w:tc>
      </w:tr>
      <w:tr w:rsidR="00E36E18" w:rsidRPr="00B25CDB" w14:paraId="2C388C57" w14:textId="77777777" w:rsidTr="00EB5106">
        <w:trPr>
          <w:trHeight w:val="215"/>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2A85060F"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noWrap/>
            <w:vAlign w:val="bottom"/>
            <w:hideMark/>
          </w:tcPr>
          <w:p w14:paraId="4C46342E"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3C4CB489"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65B6ADDB" w14:textId="77777777" w:rsidR="00E36E18" w:rsidRPr="002E0D60" w:rsidRDefault="00E36E18" w:rsidP="00EB5106">
            <w:pPr>
              <w:ind w:left="192" w:hanging="192"/>
              <w:rPr>
                <w:rFonts w:ascii="Avenir Next Regular" w:hAnsi="Avenir Next Regular" w:cs="Calibri" w:hint="eastAsia"/>
                <w:iCs/>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iCs/>
                <w:color w:val="000000"/>
                <w:sz w:val="16"/>
                <w:szCs w:val="16"/>
              </w:rPr>
              <w:t>Sustainable Urban Systems and Transport</w:t>
            </w:r>
          </w:p>
        </w:tc>
      </w:tr>
      <w:tr w:rsidR="00E36E18" w:rsidRPr="00B25CDB" w14:paraId="2C952385"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106CC105"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noWrap/>
            <w:vAlign w:val="bottom"/>
            <w:hideMark/>
          </w:tcPr>
          <w:p w14:paraId="3735A75F"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2062B716"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06169D17" w14:textId="77777777" w:rsidR="00E36E18" w:rsidRPr="002E0D60" w:rsidRDefault="00E36E18" w:rsidP="00EB5106">
            <w:pPr>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Technology Transfer</w:t>
            </w:r>
          </w:p>
        </w:tc>
      </w:tr>
      <w:tr w:rsidR="00E36E18" w:rsidRPr="00B25CDB" w14:paraId="43DE191B"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70806694"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noWrap/>
            <w:vAlign w:val="bottom"/>
            <w:hideMark/>
          </w:tcPr>
          <w:p w14:paraId="08EC1DA0"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65393F4A"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603DF49D" w14:textId="77777777" w:rsidR="00E36E18" w:rsidRPr="002E0D60" w:rsidRDefault="00E36E18" w:rsidP="00EB5106">
            <w:pPr>
              <w:rPr>
                <w:rFonts w:ascii="Avenir Next Regular" w:hAnsi="Avenir Next Regular" w:cs="Calibri" w:hint="eastAsia"/>
                <w:iCs/>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iCs/>
                <w:color w:val="000000"/>
                <w:sz w:val="16"/>
                <w:szCs w:val="16"/>
              </w:rPr>
              <w:t>Renewable Energy</w:t>
            </w:r>
          </w:p>
        </w:tc>
      </w:tr>
      <w:tr w:rsidR="00E36E18" w:rsidRPr="00B25CDB" w14:paraId="4995891E"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3A75F421"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noWrap/>
            <w:vAlign w:val="bottom"/>
            <w:hideMark/>
          </w:tcPr>
          <w:p w14:paraId="5A236F3A"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1C6EEAB9"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662F8F33" w14:textId="77777777" w:rsidR="00E36E18" w:rsidRPr="002E0D60" w:rsidRDefault="00E36E18" w:rsidP="00EB5106">
            <w:pPr>
              <w:rPr>
                <w:rFonts w:ascii="Avenir Next Regular" w:hAnsi="Avenir Next Regular" w:cs="Calibri" w:hint="eastAsia"/>
                <w:iCs/>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iCs/>
                <w:color w:val="000000"/>
                <w:sz w:val="16"/>
                <w:szCs w:val="16"/>
              </w:rPr>
              <w:t>Financing</w:t>
            </w:r>
          </w:p>
        </w:tc>
      </w:tr>
      <w:tr w:rsidR="00E36E18" w:rsidRPr="00772FB4" w14:paraId="4E7BCA5F"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08BA2BD4"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noWrap/>
            <w:vAlign w:val="bottom"/>
            <w:hideMark/>
          </w:tcPr>
          <w:p w14:paraId="69301504"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74A332B6"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33DD5E6A" w14:textId="77777777" w:rsidR="00E36E18" w:rsidRPr="002E0D60" w:rsidRDefault="00E36E18" w:rsidP="00EB5106">
            <w:pPr>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Enabling Activities</w:t>
            </w:r>
          </w:p>
        </w:tc>
      </w:tr>
      <w:tr w:rsidR="00E36E18" w:rsidRPr="00772FB4" w14:paraId="6036A53A"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7E0F6B62"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noWrap/>
            <w:vAlign w:val="bottom"/>
            <w:hideMark/>
          </w:tcPr>
          <w:p w14:paraId="30979CBE"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4364EE87" w14:textId="77777777" w:rsidR="00E36E18" w:rsidRPr="002E0D60" w:rsidRDefault="00E36E18" w:rsidP="00EB5106">
            <w:pPr>
              <w:rPr>
                <w:rFonts w:ascii="Avenir Next Regular" w:hAnsi="Avenir Next Regular" w:cs="Calibri" w:hint="eastAsia"/>
                <w:b/>
                <w:bCs/>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b/>
                <w:bCs/>
                <w:color w:val="000000"/>
                <w:sz w:val="16"/>
                <w:szCs w:val="16"/>
              </w:rPr>
              <w:t>Technology Transfer</w:t>
            </w:r>
          </w:p>
        </w:tc>
        <w:tc>
          <w:tcPr>
            <w:tcW w:w="1493" w:type="pct"/>
            <w:tcBorders>
              <w:top w:val="nil"/>
              <w:left w:val="nil"/>
              <w:bottom w:val="single" w:sz="4" w:space="0" w:color="auto"/>
              <w:right w:val="single" w:sz="4" w:space="0" w:color="auto"/>
            </w:tcBorders>
            <w:shd w:val="clear" w:color="auto" w:fill="auto"/>
            <w:hideMark/>
          </w:tcPr>
          <w:p w14:paraId="121F9227"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772FB4" w14:paraId="7406074C" w14:textId="77777777" w:rsidTr="00EB5106">
        <w:trPr>
          <w:trHeight w:val="420"/>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2B6D91B7"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noWrap/>
            <w:vAlign w:val="bottom"/>
            <w:hideMark/>
          </w:tcPr>
          <w:p w14:paraId="257BE5AF"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1D273A00"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04E8DA29" w14:textId="77777777" w:rsidR="00E36E18" w:rsidRPr="002E0D60" w:rsidRDefault="00E36E18" w:rsidP="00EB5106">
            <w:pPr>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 xml:space="preserve">Poznan Strategic </w:t>
            </w:r>
            <w:proofErr w:type="spellStart"/>
            <w:r w:rsidRPr="002E0D60">
              <w:rPr>
                <w:rFonts w:ascii="Avenir Next Regular" w:hAnsi="Avenir Next Regular" w:cs="Calibri"/>
                <w:color w:val="000000"/>
                <w:sz w:val="16"/>
                <w:szCs w:val="16"/>
              </w:rPr>
              <w:t>Programme</w:t>
            </w:r>
            <w:proofErr w:type="spellEnd"/>
            <w:r w:rsidRPr="002E0D60">
              <w:rPr>
                <w:rFonts w:ascii="Avenir Next Regular" w:hAnsi="Avenir Next Regular" w:cs="Calibri"/>
                <w:color w:val="000000"/>
                <w:sz w:val="16"/>
                <w:szCs w:val="16"/>
              </w:rPr>
              <w:t xml:space="preserve"> on Technology Transfer</w:t>
            </w:r>
          </w:p>
        </w:tc>
      </w:tr>
      <w:tr w:rsidR="00E36E18" w:rsidRPr="00772FB4" w14:paraId="4D0EEBFE" w14:textId="77777777" w:rsidTr="00EB5106">
        <w:trPr>
          <w:trHeight w:val="420"/>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2652D57D"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noWrap/>
            <w:vAlign w:val="bottom"/>
            <w:hideMark/>
          </w:tcPr>
          <w:p w14:paraId="52D4DF05"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4B7CAF03"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0952EB06" w14:textId="77777777" w:rsidR="00E36E18" w:rsidRPr="002E0D60" w:rsidRDefault="00E36E18" w:rsidP="00EB5106">
            <w:pPr>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Climate Technology Centre &amp; Network (CTCN)</w:t>
            </w:r>
          </w:p>
        </w:tc>
      </w:tr>
      <w:tr w:rsidR="00E36E18" w:rsidRPr="00772FB4" w14:paraId="11815D5A"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50804C8F"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noWrap/>
            <w:vAlign w:val="bottom"/>
            <w:hideMark/>
          </w:tcPr>
          <w:p w14:paraId="6505E942"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2ED2649E"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586ABA7E" w14:textId="77777777" w:rsidR="00E36E18" w:rsidRPr="002E0D60" w:rsidRDefault="00E36E18" w:rsidP="00EB5106">
            <w:pPr>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Endogenous technology</w:t>
            </w:r>
          </w:p>
        </w:tc>
      </w:tr>
      <w:tr w:rsidR="00E36E18" w:rsidRPr="00772FB4" w14:paraId="08AEBD73"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2AE6F68D"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noWrap/>
            <w:vAlign w:val="bottom"/>
            <w:hideMark/>
          </w:tcPr>
          <w:p w14:paraId="798D432E"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3B573240" w14:textId="77777777" w:rsidR="00E36E18" w:rsidRPr="002E0D60" w:rsidRDefault="00E36E18" w:rsidP="00EB5106">
            <w:pPr>
              <w:rPr>
                <w:rFonts w:ascii="Avenir Next Regular" w:hAnsi="Avenir Next Regular" w:cs="Calibri" w:hint="eastAsia"/>
                <w:iCs/>
                <w:color w:val="000000"/>
                <w:sz w:val="16"/>
                <w:szCs w:val="16"/>
              </w:rPr>
            </w:pPr>
            <w:r w:rsidRPr="002E0D60">
              <w:rPr>
                <w:rFonts w:ascii="Avenir Next Regular" w:hAnsi="Avenir Next Regular" w:cs="Calibri"/>
                <w:iCs/>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1B2F8284" w14:textId="77777777" w:rsidR="00E36E18" w:rsidRPr="002E0D60" w:rsidRDefault="00E36E18" w:rsidP="00EB5106">
            <w:pPr>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Technology Needs Assessment</w:t>
            </w:r>
          </w:p>
        </w:tc>
      </w:tr>
      <w:tr w:rsidR="00E36E18" w:rsidRPr="00772FB4" w14:paraId="35D8AAD5"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32A6A0CC"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noWrap/>
            <w:vAlign w:val="bottom"/>
            <w:hideMark/>
          </w:tcPr>
          <w:p w14:paraId="3D73788B"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noWrap/>
            <w:vAlign w:val="bottom"/>
            <w:hideMark/>
          </w:tcPr>
          <w:p w14:paraId="11E43C73"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93" w:type="pct"/>
            <w:tcBorders>
              <w:top w:val="nil"/>
              <w:left w:val="nil"/>
              <w:bottom w:val="single" w:sz="4" w:space="0" w:color="auto"/>
              <w:right w:val="single" w:sz="4" w:space="0" w:color="auto"/>
            </w:tcBorders>
            <w:shd w:val="clear" w:color="auto" w:fill="auto"/>
            <w:noWrap/>
            <w:vAlign w:val="bottom"/>
            <w:hideMark/>
          </w:tcPr>
          <w:p w14:paraId="7BEFB3FB" w14:textId="77777777" w:rsidR="00E36E18" w:rsidRPr="002E0D60" w:rsidRDefault="00E36E18" w:rsidP="00EB5106">
            <w:pPr>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Adaptation Tech Transfer</w:t>
            </w:r>
          </w:p>
        </w:tc>
      </w:tr>
      <w:tr w:rsidR="00E36E18" w:rsidRPr="00772FB4" w14:paraId="06EA29FC" w14:textId="77777777" w:rsidTr="00EB5106">
        <w:trPr>
          <w:trHeight w:val="89"/>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541E7097"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noWrap/>
            <w:vAlign w:val="bottom"/>
            <w:hideMark/>
          </w:tcPr>
          <w:p w14:paraId="2ED22813"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hideMark/>
          </w:tcPr>
          <w:p w14:paraId="4F5824DD" w14:textId="77777777" w:rsidR="00E36E18" w:rsidRPr="002E0D60" w:rsidRDefault="00E36E18" w:rsidP="00EB5106">
            <w:pPr>
              <w:ind w:left="150" w:hanging="150"/>
              <w:rPr>
                <w:rFonts w:ascii="Avenir Next Regular" w:hAnsi="Avenir Next Regular" w:cs="Calibri" w:hint="eastAsia"/>
                <w:b/>
                <w:bCs/>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b/>
                <w:bCs/>
                <w:color w:val="000000"/>
                <w:sz w:val="16"/>
                <w:szCs w:val="16"/>
              </w:rPr>
              <w:t>United Nations Framework on Climate Change</w:t>
            </w:r>
          </w:p>
        </w:tc>
        <w:tc>
          <w:tcPr>
            <w:tcW w:w="1493" w:type="pct"/>
            <w:tcBorders>
              <w:top w:val="nil"/>
              <w:left w:val="nil"/>
              <w:bottom w:val="single" w:sz="4" w:space="0" w:color="auto"/>
              <w:right w:val="single" w:sz="4" w:space="0" w:color="auto"/>
            </w:tcBorders>
            <w:shd w:val="clear" w:color="auto" w:fill="auto"/>
            <w:noWrap/>
            <w:vAlign w:val="bottom"/>
            <w:hideMark/>
          </w:tcPr>
          <w:p w14:paraId="038B0276"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r>
      <w:tr w:rsidR="00E36E18" w:rsidRPr="00B25CDB" w14:paraId="456C6372" w14:textId="77777777" w:rsidTr="00EB5106">
        <w:trPr>
          <w:trHeight w:val="58"/>
        </w:trPr>
        <w:tc>
          <w:tcPr>
            <w:tcW w:w="989" w:type="pct"/>
            <w:tcBorders>
              <w:top w:val="nil"/>
              <w:left w:val="single" w:sz="4" w:space="0" w:color="auto"/>
              <w:bottom w:val="single" w:sz="4" w:space="0" w:color="auto"/>
              <w:right w:val="single" w:sz="4" w:space="0" w:color="auto"/>
            </w:tcBorders>
            <w:shd w:val="clear" w:color="auto" w:fill="auto"/>
            <w:noWrap/>
            <w:vAlign w:val="bottom"/>
            <w:hideMark/>
          </w:tcPr>
          <w:p w14:paraId="6059561A"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nil"/>
              <w:left w:val="nil"/>
              <w:bottom w:val="single" w:sz="4" w:space="0" w:color="auto"/>
              <w:right w:val="single" w:sz="4" w:space="0" w:color="auto"/>
            </w:tcBorders>
            <w:shd w:val="clear" w:color="auto" w:fill="auto"/>
            <w:noWrap/>
            <w:vAlign w:val="bottom"/>
            <w:hideMark/>
          </w:tcPr>
          <w:p w14:paraId="5E490E11"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nil"/>
              <w:left w:val="nil"/>
              <w:bottom w:val="single" w:sz="4" w:space="0" w:color="auto"/>
              <w:right w:val="single" w:sz="4" w:space="0" w:color="auto"/>
            </w:tcBorders>
            <w:shd w:val="clear" w:color="auto" w:fill="auto"/>
            <w:noWrap/>
            <w:vAlign w:val="bottom"/>
            <w:hideMark/>
          </w:tcPr>
          <w:p w14:paraId="33AD8E39"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c>
          <w:tcPr>
            <w:tcW w:w="1493" w:type="pct"/>
            <w:tcBorders>
              <w:top w:val="nil"/>
              <w:left w:val="nil"/>
              <w:bottom w:val="single" w:sz="4" w:space="0" w:color="auto"/>
              <w:right w:val="single" w:sz="4" w:space="0" w:color="auto"/>
            </w:tcBorders>
            <w:shd w:val="clear" w:color="auto" w:fill="auto"/>
            <w:hideMark/>
          </w:tcPr>
          <w:p w14:paraId="2435F7B3" w14:textId="77777777" w:rsidR="00E36E18" w:rsidRPr="002E0D60" w:rsidRDefault="00E36E18" w:rsidP="00EB5106">
            <w:pPr>
              <w:ind w:left="192" w:hanging="192"/>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Nationally Determined Contribution</w:t>
            </w:r>
          </w:p>
        </w:tc>
      </w:tr>
      <w:tr w:rsidR="00E36E18" w:rsidRPr="00B25CDB" w14:paraId="0651BA0D" w14:textId="77777777" w:rsidTr="00EB5106">
        <w:trPr>
          <w:trHeight w:val="62"/>
        </w:trPr>
        <w:tc>
          <w:tcPr>
            <w:tcW w:w="98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2FE8F3"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079" w:type="pct"/>
            <w:tcBorders>
              <w:top w:val="single" w:sz="4" w:space="0" w:color="auto"/>
              <w:left w:val="nil"/>
              <w:bottom w:val="single" w:sz="4" w:space="0" w:color="auto"/>
              <w:right w:val="single" w:sz="4" w:space="0" w:color="auto"/>
            </w:tcBorders>
            <w:shd w:val="clear" w:color="auto" w:fill="auto"/>
            <w:noWrap/>
            <w:vAlign w:val="bottom"/>
            <w:hideMark/>
          </w:tcPr>
          <w:p w14:paraId="4B0898A1" w14:textId="77777777" w:rsidR="00E36E18" w:rsidRPr="002E0D60" w:rsidRDefault="00E36E18" w:rsidP="00EB5106">
            <w:pPr>
              <w:rPr>
                <w:rFonts w:ascii="Avenir Next Regular" w:hAnsi="Avenir Next Regular" w:cs="Calibri" w:hint="eastAsia"/>
                <w:b/>
                <w:bCs/>
                <w:color w:val="000000"/>
                <w:sz w:val="16"/>
                <w:szCs w:val="16"/>
              </w:rPr>
            </w:pPr>
            <w:r w:rsidRPr="002E0D60">
              <w:rPr>
                <w:rFonts w:ascii="Avenir Next Regular" w:hAnsi="Avenir Next Regular" w:cs="Calibri"/>
                <w:b/>
                <w:bCs/>
                <w:color w:val="000000"/>
                <w:sz w:val="16"/>
                <w:szCs w:val="16"/>
              </w:rPr>
              <w:t> </w:t>
            </w:r>
          </w:p>
        </w:tc>
        <w:tc>
          <w:tcPr>
            <w:tcW w:w="1439" w:type="pct"/>
            <w:tcBorders>
              <w:top w:val="single" w:sz="4" w:space="0" w:color="auto"/>
              <w:left w:val="nil"/>
              <w:bottom w:val="single" w:sz="4" w:space="0" w:color="auto"/>
              <w:right w:val="single" w:sz="4" w:space="0" w:color="auto"/>
            </w:tcBorders>
            <w:shd w:val="clear" w:color="auto" w:fill="auto"/>
            <w:noWrap/>
            <w:vAlign w:val="bottom"/>
            <w:hideMark/>
          </w:tcPr>
          <w:p w14:paraId="23D436FA" w14:textId="77777777" w:rsidR="00E36E18" w:rsidRPr="002E0D60" w:rsidRDefault="00E36E18" w:rsidP="00EB5106">
            <w:pPr>
              <w:rPr>
                <w:rFonts w:ascii="Avenir Next Regular" w:hAnsi="Avenir Next Regular" w:cs="Calibri" w:hint="eastAsia"/>
                <w:color w:val="000000"/>
                <w:sz w:val="16"/>
                <w:szCs w:val="16"/>
              </w:rPr>
            </w:pPr>
            <w:r w:rsidRPr="002E0D60">
              <w:rPr>
                <w:rFonts w:ascii="Avenir Next Regular" w:hAnsi="Avenir Next Regular" w:cs="Calibri"/>
                <w:color w:val="000000"/>
                <w:sz w:val="16"/>
                <w:szCs w:val="16"/>
              </w:rPr>
              <w:t> </w:t>
            </w:r>
          </w:p>
        </w:tc>
        <w:tc>
          <w:tcPr>
            <w:tcW w:w="1493" w:type="pct"/>
            <w:tcBorders>
              <w:top w:val="single" w:sz="4" w:space="0" w:color="auto"/>
              <w:left w:val="nil"/>
              <w:bottom w:val="single" w:sz="4" w:space="0" w:color="auto"/>
              <w:right w:val="single" w:sz="4" w:space="0" w:color="auto"/>
            </w:tcBorders>
            <w:shd w:val="clear" w:color="auto" w:fill="auto"/>
            <w:hideMark/>
          </w:tcPr>
          <w:p w14:paraId="1F4DCA2C" w14:textId="77777777" w:rsidR="00E36E18" w:rsidRPr="002E0D60" w:rsidRDefault="00E36E18" w:rsidP="00EB5106">
            <w:pPr>
              <w:rPr>
                <w:rFonts w:ascii="Avenir Next Regular" w:hAnsi="Avenir Next Regular" w:cs="Calibri" w:hint="eastAsia"/>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rFonts w:ascii="Avenir Next Regular" w:hAnsi="Avenir Next Regular" w:cs="Calibri"/>
                <w:color w:val="000000"/>
                <w:sz w:val="16"/>
                <w:szCs w:val="16"/>
              </w:rPr>
              <w:t>Paris Agreement</w:t>
            </w:r>
          </w:p>
        </w:tc>
      </w:tr>
      <w:tr w:rsidR="00E36E18" w:rsidRPr="00B25CDB" w14:paraId="11AC1B9B" w14:textId="77777777" w:rsidTr="00EB5106">
        <w:trPr>
          <w:trHeight w:val="62"/>
        </w:trPr>
        <w:tc>
          <w:tcPr>
            <w:tcW w:w="98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85B43D1" w14:textId="77777777" w:rsidR="00E36E18" w:rsidRPr="002E0D60" w:rsidRDefault="00E36E18" w:rsidP="00EB5106">
            <w:pPr>
              <w:rPr>
                <w:rFonts w:ascii="Avenir Next Regular" w:hAnsi="Avenir Next Regular" w:cs="Calibri" w:hint="eastAsia"/>
                <w:b/>
                <w:bCs/>
                <w:color w:val="000000"/>
                <w:sz w:val="16"/>
                <w:szCs w:val="16"/>
              </w:rPr>
            </w:pPr>
          </w:p>
        </w:tc>
        <w:tc>
          <w:tcPr>
            <w:tcW w:w="1079" w:type="pct"/>
            <w:tcBorders>
              <w:top w:val="single" w:sz="4" w:space="0" w:color="auto"/>
              <w:left w:val="nil"/>
              <w:bottom w:val="single" w:sz="4" w:space="0" w:color="auto"/>
              <w:right w:val="single" w:sz="4" w:space="0" w:color="auto"/>
            </w:tcBorders>
            <w:shd w:val="clear" w:color="auto" w:fill="auto"/>
            <w:noWrap/>
            <w:vAlign w:val="bottom"/>
          </w:tcPr>
          <w:p w14:paraId="30455A28" w14:textId="77777777" w:rsidR="00E36E18" w:rsidRPr="002E0D60" w:rsidRDefault="00E36E18" w:rsidP="00EB5106">
            <w:pPr>
              <w:rPr>
                <w:rFonts w:ascii="Avenir Next Regular" w:hAnsi="Avenir Next Regular" w:cs="Calibri" w:hint="eastAsia"/>
                <w:b/>
                <w:bCs/>
                <w:color w:val="000000"/>
                <w:sz w:val="16"/>
                <w:szCs w:val="16"/>
              </w:rPr>
            </w:pPr>
          </w:p>
        </w:tc>
        <w:tc>
          <w:tcPr>
            <w:tcW w:w="1439" w:type="pct"/>
            <w:tcBorders>
              <w:top w:val="single" w:sz="4" w:space="0" w:color="auto"/>
              <w:left w:val="nil"/>
              <w:bottom w:val="single" w:sz="4" w:space="0" w:color="auto"/>
              <w:right w:val="single" w:sz="4" w:space="0" w:color="auto"/>
            </w:tcBorders>
            <w:shd w:val="clear" w:color="auto" w:fill="auto"/>
            <w:noWrap/>
            <w:vAlign w:val="bottom"/>
          </w:tcPr>
          <w:p w14:paraId="6FA070F8" w14:textId="77777777" w:rsidR="00E36E18" w:rsidRPr="002E0D60" w:rsidRDefault="00E36E18" w:rsidP="00EB5106">
            <w:pPr>
              <w:rPr>
                <w:rFonts w:ascii="Avenir Next Regular" w:hAnsi="Avenir Next Regular" w:cs="Calibri" w:hint="eastAsia"/>
                <w:color w:val="000000"/>
                <w:sz w:val="16"/>
                <w:szCs w:val="16"/>
              </w:rPr>
            </w:pPr>
          </w:p>
        </w:tc>
        <w:tc>
          <w:tcPr>
            <w:tcW w:w="1493" w:type="pct"/>
            <w:tcBorders>
              <w:top w:val="single" w:sz="4" w:space="0" w:color="auto"/>
              <w:left w:val="nil"/>
              <w:bottom w:val="single" w:sz="4" w:space="0" w:color="auto"/>
              <w:right w:val="single" w:sz="4" w:space="0" w:color="auto"/>
            </w:tcBorders>
            <w:shd w:val="clear" w:color="auto" w:fill="auto"/>
          </w:tcPr>
          <w:p w14:paraId="791ABC06" w14:textId="77777777" w:rsidR="00E36E18" w:rsidRPr="002E0D60" w:rsidRDefault="00E36E18" w:rsidP="00EB5106">
            <w:pPr>
              <w:rPr>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color w:val="000000"/>
                <w:sz w:val="16"/>
                <w:szCs w:val="16"/>
              </w:rPr>
              <w:t>Sustainable Development Goals</w:t>
            </w:r>
          </w:p>
        </w:tc>
      </w:tr>
      <w:tr w:rsidR="00E36E18" w:rsidRPr="00B25CDB" w14:paraId="5C93F58A" w14:textId="77777777" w:rsidTr="00EB5106">
        <w:trPr>
          <w:trHeight w:val="62"/>
        </w:trPr>
        <w:tc>
          <w:tcPr>
            <w:tcW w:w="98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2ABD2AB" w14:textId="77777777" w:rsidR="00E36E18" w:rsidRPr="002E0D60" w:rsidRDefault="00E36E18" w:rsidP="00EB5106">
            <w:pPr>
              <w:rPr>
                <w:rFonts w:ascii="Avenir Next Regular" w:hAnsi="Avenir Next Regular" w:cs="Calibri" w:hint="eastAsia"/>
                <w:b/>
                <w:bCs/>
                <w:color w:val="000000"/>
                <w:sz w:val="16"/>
                <w:szCs w:val="16"/>
              </w:rPr>
            </w:pPr>
          </w:p>
        </w:tc>
        <w:tc>
          <w:tcPr>
            <w:tcW w:w="1079" w:type="pct"/>
            <w:tcBorders>
              <w:top w:val="single" w:sz="4" w:space="0" w:color="auto"/>
              <w:left w:val="nil"/>
              <w:bottom w:val="single" w:sz="4" w:space="0" w:color="auto"/>
              <w:right w:val="single" w:sz="4" w:space="0" w:color="auto"/>
            </w:tcBorders>
            <w:shd w:val="clear" w:color="auto" w:fill="auto"/>
            <w:noWrap/>
            <w:vAlign w:val="bottom"/>
          </w:tcPr>
          <w:p w14:paraId="64BD96ED" w14:textId="77777777" w:rsidR="00E36E18" w:rsidRPr="002E0D60" w:rsidRDefault="00E36E18" w:rsidP="00EB5106">
            <w:pPr>
              <w:rPr>
                <w:rFonts w:ascii="Avenir Next Regular" w:hAnsi="Avenir Next Regular" w:cs="Calibri" w:hint="eastAsia"/>
                <w:b/>
                <w:bCs/>
                <w:color w:val="000000"/>
                <w:sz w:val="16"/>
                <w:szCs w:val="16"/>
              </w:rPr>
            </w:pPr>
          </w:p>
        </w:tc>
        <w:tc>
          <w:tcPr>
            <w:tcW w:w="1439" w:type="pct"/>
            <w:tcBorders>
              <w:top w:val="single" w:sz="4" w:space="0" w:color="auto"/>
              <w:left w:val="nil"/>
              <w:bottom w:val="single" w:sz="4" w:space="0" w:color="auto"/>
              <w:right w:val="single" w:sz="4" w:space="0" w:color="auto"/>
            </w:tcBorders>
            <w:shd w:val="clear" w:color="auto" w:fill="auto"/>
            <w:noWrap/>
            <w:vAlign w:val="bottom"/>
          </w:tcPr>
          <w:p w14:paraId="5853F3C3" w14:textId="77777777" w:rsidR="00E36E18" w:rsidRPr="002E0D60" w:rsidRDefault="00E36E18" w:rsidP="00EB5106">
            <w:pPr>
              <w:rPr>
                <w:rFonts w:ascii="Avenir Next Regular" w:hAnsi="Avenir Next Regular" w:cs="Calibri" w:hint="eastAsia"/>
                <w:b/>
                <w:color w:val="000000"/>
                <w:sz w:val="16"/>
                <w:szCs w:val="16"/>
              </w:rPr>
            </w:pPr>
            <w:r>
              <w:rPr>
                <w:b/>
                <w:color w:val="000000"/>
                <w:sz w:val="16"/>
                <w:szCs w:val="16"/>
              </w:rPr>
              <w:fldChar w:fldCharType="begin">
                <w:ffData>
                  <w:name w:val=""/>
                  <w:enabled/>
                  <w:calcOnExit w:val="0"/>
                  <w:checkBox>
                    <w:sizeAuto/>
                    <w:default w:val="1"/>
                  </w:checkBox>
                </w:ffData>
              </w:fldChar>
            </w:r>
            <w:r>
              <w:rPr>
                <w:b/>
                <w:color w:val="000000"/>
                <w:sz w:val="16"/>
                <w:szCs w:val="16"/>
              </w:rPr>
              <w:instrText xml:space="preserve"> FORMCHECKBOX </w:instrText>
            </w:r>
            <w:r w:rsidR="00127DDC">
              <w:rPr>
                <w:b/>
                <w:color w:val="000000"/>
                <w:sz w:val="16"/>
                <w:szCs w:val="16"/>
              </w:rPr>
            </w:r>
            <w:r w:rsidR="00127DDC">
              <w:rPr>
                <w:b/>
                <w:color w:val="000000"/>
                <w:sz w:val="16"/>
                <w:szCs w:val="16"/>
              </w:rPr>
              <w:fldChar w:fldCharType="separate"/>
            </w:r>
            <w:r>
              <w:rPr>
                <w:b/>
                <w:color w:val="000000"/>
                <w:sz w:val="16"/>
                <w:szCs w:val="16"/>
              </w:rPr>
              <w:fldChar w:fldCharType="end"/>
            </w:r>
            <w:r w:rsidRPr="002E0D60">
              <w:rPr>
                <w:b/>
                <w:color w:val="000000"/>
                <w:sz w:val="16"/>
                <w:szCs w:val="16"/>
              </w:rPr>
              <w:t>Climate Finance (Rio Markers)</w:t>
            </w:r>
          </w:p>
        </w:tc>
        <w:tc>
          <w:tcPr>
            <w:tcW w:w="1493" w:type="pct"/>
            <w:tcBorders>
              <w:top w:val="single" w:sz="4" w:space="0" w:color="auto"/>
              <w:left w:val="nil"/>
              <w:bottom w:val="single" w:sz="4" w:space="0" w:color="auto"/>
              <w:right w:val="single" w:sz="4" w:space="0" w:color="auto"/>
            </w:tcBorders>
            <w:shd w:val="clear" w:color="auto" w:fill="auto"/>
          </w:tcPr>
          <w:p w14:paraId="27BB6EBC" w14:textId="77777777" w:rsidR="00E36E18" w:rsidRPr="002E0D60" w:rsidRDefault="00E36E18" w:rsidP="00EB5106">
            <w:pPr>
              <w:rPr>
                <w:color w:val="000000"/>
                <w:sz w:val="16"/>
                <w:szCs w:val="16"/>
              </w:rPr>
            </w:pPr>
          </w:p>
        </w:tc>
      </w:tr>
      <w:tr w:rsidR="00E36E18" w:rsidRPr="00B25CDB" w14:paraId="1F2915A4" w14:textId="77777777" w:rsidTr="00EB5106">
        <w:trPr>
          <w:trHeight w:val="62"/>
        </w:trPr>
        <w:tc>
          <w:tcPr>
            <w:tcW w:w="98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33FA7C5" w14:textId="77777777" w:rsidR="00E36E18" w:rsidRPr="002E0D60" w:rsidRDefault="00E36E18" w:rsidP="00EB5106">
            <w:pPr>
              <w:rPr>
                <w:rFonts w:ascii="Avenir Next Regular" w:hAnsi="Avenir Next Regular" w:cs="Calibri" w:hint="eastAsia"/>
                <w:b/>
                <w:bCs/>
                <w:color w:val="000000"/>
                <w:sz w:val="16"/>
                <w:szCs w:val="16"/>
              </w:rPr>
            </w:pPr>
          </w:p>
        </w:tc>
        <w:tc>
          <w:tcPr>
            <w:tcW w:w="1079" w:type="pct"/>
            <w:tcBorders>
              <w:top w:val="single" w:sz="4" w:space="0" w:color="auto"/>
              <w:left w:val="nil"/>
              <w:bottom w:val="single" w:sz="4" w:space="0" w:color="auto"/>
              <w:right w:val="single" w:sz="4" w:space="0" w:color="auto"/>
            </w:tcBorders>
            <w:shd w:val="clear" w:color="auto" w:fill="auto"/>
            <w:noWrap/>
            <w:vAlign w:val="bottom"/>
          </w:tcPr>
          <w:p w14:paraId="2C13F4FA" w14:textId="77777777" w:rsidR="00E36E18" w:rsidRPr="002E0D60" w:rsidRDefault="00E36E18" w:rsidP="00EB5106">
            <w:pPr>
              <w:rPr>
                <w:rFonts w:ascii="Avenir Next Regular" w:hAnsi="Avenir Next Regular" w:cs="Calibri" w:hint="eastAsia"/>
                <w:b/>
                <w:bCs/>
                <w:color w:val="000000"/>
                <w:sz w:val="16"/>
                <w:szCs w:val="16"/>
              </w:rPr>
            </w:pPr>
          </w:p>
        </w:tc>
        <w:tc>
          <w:tcPr>
            <w:tcW w:w="1439" w:type="pct"/>
            <w:tcBorders>
              <w:top w:val="single" w:sz="4" w:space="0" w:color="auto"/>
              <w:left w:val="nil"/>
              <w:bottom w:val="single" w:sz="4" w:space="0" w:color="auto"/>
              <w:right w:val="single" w:sz="4" w:space="0" w:color="auto"/>
            </w:tcBorders>
            <w:shd w:val="clear" w:color="auto" w:fill="auto"/>
            <w:noWrap/>
            <w:vAlign w:val="bottom"/>
          </w:tcPr>
          <w:p w14:paraId="14A9EE71" w14:textId="77777777" w:rsidR="00E36E18" w:rsidRPr="002E0D60" w:rsidRDefault="00E36E18" w:rsidP="00EB5106">
            <w:pPr>
              <w:rPr>
                <w:b/>
                <w:color w:val="000000"/>
                <w:sz w:val="16"/>
                <w:szCs w:val="16"/>
              </w:rPr>
            </w:pPr>
          </w:p>
        </w:tc>
        <w:tc>
          <w:tcPr>
            <w:tcW w:w="1493" w:type="pct"/>
            <w:tcBorders>
              <w:top w:val="single" w:sz="4" w:space="0" w:color="auto"/>
              <w:left w:val="nil"/>
              <w:bottom w:val="single" w:sz="4" w:space="0" w:color="auto"/>
              <w:right w:val="single" w:sz="4" w:space="0" w:color="auto"/>
            </w:tcBorders>
            <w:shd w:val="clear" w:color="auto" w:fill="auto"/>
          </w:tcPr>
          <w:p w14:paraId="562D33CD" w14:textId="77777777" w:rsidR="00E36E18" w:rsidRPr="002E0D60" w:rsidRDefault="00E36E18" w:rsidP="00EB5106">
            <w:pPr>
              <w:rPr>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color w:val="000000"/>
                <w:sz w:val="16"/>
                <w:szCs w:val="16"/>
              </w:rPr>
              <w:t>Climate Change Mitigation 1</w:t>
            </w:r>
          </w:p>
        </w:tc>
      </w:tr>
      <w:tr w:rsidR="00E36E18" w:rsidRPr="00B25CDB" w14:paraId="0DCF3587" w14:textId="77777777" w:rsidTr="00EB5106">
        <w:trPr>
          <w:trHeight w:val="62"/>
        </w:trPr>
        <w:tc>
          <w:tcPr>
            <w:tcW w:w="98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6300A13" w14:textId="77777777" w:rsidR="00E36E18" w:rsidRPr="002E0D60" w:rsidRDefault="00E36E18" w:rsidP="00EB5106">
            <w:pPr>
              <w:rPr>
                <w:rFonts w:ascii="Avenir Next Regular" w:hAnsi="Avenir Next Regular" w:cs="Calibri" w:hint="eastAsia"/>
                <w:b/>
                <w:bCs/>
                <w:color w:val="000000"/>
                <w:sz w:val="16"/>
                <w:szCs w:val="16"/>
              </w:rPr>
            </w:pPr>
          </w:p>
        </w:tc>
        <w:tc>
          <w:tcPr>
            <w:tcW w:w="1079" w:type="pct"/>
            <w:tcBorders>
              <w:top w:val="single" w:sz="4" w:space="0" w:color="auto"/>
              <w:left w:val="nil"/>
              <w:bottom w:val="single" w:sz="4" w:space="0" w:color="auto"/>
              <w:right w:val="single" w:sz="4" w:space="0" w:color="auto"/>
            </w:tcBorders>
            <w:shd w:val="clear" w:color="auto" w:fill="auto"/>
            <w:noWrap/>
            <w:vAlign w:val="bottom"/>
          </w:tcPr>
          <w:p w14:paraId="7BFF380A" w14:textId="77777777" w:rsidR="00E36E18" w:rsidRPr="002E0D60" w:rsidRDefault="00E36E18" w:rsidP="00EB5106">
            <w:pPr>
              <w:rPr>
                <w:rFonts w:ascii="Avenir Next Regular" w:hAnsi="Avenir Next Regular" w:cs="Calibri" w:hint="eastAsia"/>
                <w:b/>
                <w:bCs/>
                <w:color w:val="000000"/>
                <w:sz w:val="16"/>
                <w:szCs w:val="16"/>
              </w:rPr>
            </w:pPr>
          </w:p>
        </w:tc>
        <w:tc>
          <w:tcPr>
            <w:tcW w:w="1439" w:type="pct"/>
            <w:tcBorders>
              <w:top w:val="single" w:sz="4" w:space="0" w:color="auto"/>
              <w:left w:val="nil"/>
              <w:bottom w:val="single" w:sz="4" w:space="0" w:color="auto"/>
              <w:right w:val="single" w:sz="4" w:space="0" w:color="auto"/>
            </w:tcBorders>
            <w:shd w:val="clear" w:color="auto" w:fill="auto"/>
            <w:noWrap/>
            <w:vAlign w:val="bottom"/>
          </w:tcPr>
          <w:p w14:paraId="0915E03B" w14:textId="77777777" w:rsidR="00E36E18" w:rsidRPr="002E0D60" w:rsidRDefault="00E36E18" w:rsidP="00EB5106">
            <w:pPr>
              <w:rPr>
                <w:color w:val="000000"/>
                <w:sz w:val="16"/>
                <w:szCs w:val="16"/>
              </w:rPr>
            </w:pPr>
          </w:p>
        </w:tc>
        <w:tc>
          <w:tcPr>
            <w:tcW w:w="1493" w:type="pct"/>
            <w:tcBorders>
              <w:top w:val="single" w:sz="4" w:space="0" w:color="auto"/>
              <w:left w:val="nil"/>
              <w:bottom w:val="single" w:sz="4" w:space="0" w:color="auto"/>
              <w:right w:val="single" w:sz="4" w:space="0" w:color="auto"/>
            </w:tcBorders>
            <w:shd w:val="clear" w:color="auto" w:fill="auto"/>
          </w:tcPr>
          <w:p w14:paraId="2747F002" w14:textId="77777777" w:rsidR="00E36E18" w:rsidRPr="002E0D60" w:rsidRDefault="00E36E18" w:rsidP="00EB5106">
            <w:pPr>
              <w:rPr>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color w:val="000000"/>
                <w:sz w:val="16"/>
                <w:szCs w:val="16"/>
              </w:rPr>
              <w:t>Climate Change Mitigation 2</w:t>
            </w:r>
          </w:p>
        </w:tc>
      </w:tr>
      <w:tr w:rsidR="00E36E18" w:rsidRPr="00B25CDB" w14:paraId="59465380" w14:textId="77777777" w:rsidTr="00EB5106">
        <w:trPr>
          <w:trHeight w:val="62"/>
        </w:trPr>
        <w:tc>
          <w:tcPr>
            <w:tcW w:w="98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1452361" w14:textId="77777777" w:rsidR="00E36E18" w:rsidRPr="002E0D60" w:rsidRDefault="00E36E18" w:rsidP="00EB5106">
            <w:pPr>
              <w:rPr>
                <w:rFonts w:ascii="Avenir Next Regular" w:hAnsi="Avenir Next Regular" w:cs="Calibri" w:hint="eastAsia"/>
                <w:b/>
                <w:bCs/>
                <w:color w:val="000000"/>
                <w:sz w:val="16"/>
                <w:szCs w:val="16"/>
              </w:rPr>
            </w:pPr>
          </w:p>
        </w:tc>
        <w:tc>
          <w:tcPr>
            <w:tcW w:w="1079" w:type="pct"/>
            <w:tcBorders>
              <w:top w:val="single" w:sz="4" w:space="0" w:color="auto"/>
              <w:left w:val="nil"/>
              <w:bottom w:val="single" w:sz="4" w:space="0" w:color="auto"/>
              <w:right w:val="single" w:sz="4" w:space="0" w:color="auto"/>
            </w:tcBorders>
            <w:shd w:val="clear" w:color="auto" w:fill="auto"/>
            <w:noWrap/>
            <w:vAlign w:val="bottom"/>
          </w:tcPr>
          <w:p w14:paraId="346B27F1" w14:textId="77777777" w:rsidR="00E36E18" w:rsidRPr="002E0D60" w:rsidRDefault="00E36E18" w:rsidP="00EB5106">
            <w:pPr>
              <w:rPr>
                <w:rFonts w:ascii="Avenir Next Regular" w:hAnsi="Avenir Next Regular" w:cs="Calibri" w:hint="eastAsia"/>
                <w:b/>
                <w:bCs/>
                <w:color w:val="000000"/>
                <w:sz w:val="16"/>
                <w:szCs w:val="16"/>
              </w:rPr>
            </w:pPr>
          </w:p>
        </w:tc>
        <w:tc>
          <w:tcPr>
            <w:tcW w:w="1439" w:type="pct"/>
            <w:tcBorders>
              <w:top w:val="single" w:sz="4" w:space="0" w:color="auto"/>
              <w:left w:val="nil"/>
              <w:bottom w:val="single" w:sz="4" w:space="0" w:color="auto"/>
              <w:right w:val="single" w:sz="4" w:space="0" w:color="auto"/>
            </w:tcBorders>
            <w:shd w:val="clear" w:color="auto" w:fill="auto"/>
            <w:noWrap/>
            <w:vAlign w:val="bottom"/>
          </w:tcPr>
          <w:p w14:paraId="0DE80B04" w14:textId="77777777" w:rsidR="00E36E18" w:rsidRPr="002E0D60" w:rsidRDefault="00E36E18" w:rsidP="00EB5106">
            <w:pPr>
              <w:rPr>
                <w:color w:val="000000"/>
                <w:sz w:val="16"/>
                <w:szCs w:val="16"/>
              </w:rPr>
            </w:pPr>
          </w:p>
        </w:tc>
        <w:tc>
          <w:tcPr>
            <w:tcW w:w="1493" w:type="pct"/>
            <w:tcBorders>
              <w:top w:val="single" w:sz="4" w:space="0" w:color="auto"/>
              <w:left w:val="nil"/>
              <w:bottom w:val="single" w:sz="4" w:space="0" w:color="auto"/>
              <w:right w:val="single" w:sz="4" w:space="0" w:color="auto"/>
            </w:tcBorders>
            <w:shd w:val="clear" w:color="auto" w:fill="auto"/>
          </w:tcPr>
          <w:p w14:paraId="19FB505A" w14:textId="77777777" w:rsidR="00E36E18" w:rsidRPr="002E0D60" w:rsidRDefault="00E36E18" w:rsidP="00EB5106">
            <w:pPr>
              <w:rPr>
                <w:color w:val="000000"/>
                <w:sz w:val="16"/>
                <w:szCs w:val="16"/>
              </w:rPr>
            </w:pPr>
            <w:r>
              <w:rPr>
                <w:color w:val="000000"/>
                <w:sz w:val="16"/>
                <w:szCs w:val="16"/>
              </w:rPr>
              <w:fldChar w:fldCharType="begin">
                <w:ffData>
                  <w:name w:val="IAP_cities"/>
                  <w:enabled/>
                  <w:calcOnExit w:val="0"/>
                  <w:checkBox>
                    <w:sizeAuto/>
                    <w:default w:val="1"/>
                  </w:checkBox>
                </w:ffData>
              </w:fldChar>
            </w:r>
            <w:bookmarkStart w:id="88" w:name="IAP_cities"/>
            <w:r>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Pr>
                <w:color w:val="000000"/>
                <w:sz w:val="16"/>
                <w:szCs w:val="16"/>
              </w:rPr>
              <w:fldChar w:fldCharType="end"/>
            </w:r>
            <w:bookmarkEnd w:id="88"/>
            <w:r w:rsidRPr="002E0D60">
              <w:rPr>
                <w:color w:val="000000"/>
                <w:sz w:val="16"/>
                <w:szCs w:val="16"/>
              </w:rPr>
              <w:t>Climate Change Adaptation 1</w:t>
            </w:r>
          </w:p>
        </w:tc>
      </w:tr>
      <w:tr w:rsidR="00E36E18" w:rsidRPr="00B25CDB" w14:paraId="49C3857E" w14:textId="77777777" w:rsidTr="00EB5106">
        <w:trPr>
          <w:trHeight w:val="62"/>
        </w:trPr>
        <w:tc>
          <w:tcPr>
            <w:tcW w:w="98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9FE4849" w14:textId="77777777" w:rsidR="00E36E18" w:rsidRPr="002E0D60" w:rsidRDefault="00E36E18" w:rsidP="00EB5106">
            <w:pPr>
              <w:rPr>
                <w:rFonts w:ascii="Avenir Next Regular" w:hAnsi="Avenir Next Regular" w:cs="Calibri" w:hint="eastAsia"/>
                <w:b/>
                <w:bCs/>
                <w:color w:val="000000"/>
                <w:sz w:val="16"/>
                <w:szCs w:val="16"/>
              </w:rPr>
            </w:pPr>
          </w:p>
        </w:tc>
        <w:tc>
          <w:tcPr>
            <w:tcW w:w="1079" w:type="pct"/>
            <w:tcBorders>
              <w:top w:val="single" w:sz="4" w:space="0" w:color="auto"/>
              <w:left w:val="nil"/>
              <w:bottom w:val="single" w:sz="4" w:space="0" w:color="auto"/>
              <w:right w:val="single" w:sz="4" w:space="0" w:color="auto"/>
            </w:tcBorders>
            <w:shd w:val="clear" w:color="auto" w:fill="auto"/>
            <w:noWrap/>
            <w:vAlign w:val="bottom"/>
          </w:tcPr>
          <w:p w14:paraId="2B282337" w14:textId="77777777" w:rsidR="00E36E18" w:rsidRPr="002E0D60" w:rsidRDefault="00E36E18" w:rsidP="00EB5106">
            <w:pPr>
              <w:rPr>
                <w:rFonts w:ascii="Avenir Next Regular" w:hAnsi="Avenir Next Regular" w:cs="Calibri" w:hint="eastAsia"/>
                <w:b/>
                <w:bCs/>
                <w:color w:val="000000"/>
                <w:sz w:val="16"/>
                <w:szCs w:val="16"/>
              </w:rPr>
            </w:pPr>
          </w:p>
        </w:tc>
        <w:tc>
          <w:tcPr>
            <w:tcW w:w="1439" w:type="pct"/>
            <w:tcBorders>
              <w:top w:val="single" w:sz="4" w:space="0" w:color="auto"/>
              <w:left w:val="nil"/>
              <w:bottom w:val="single" w:sz="4" w:space="0" w:color="auto"/>
              <w:right w:val="single" w:sz="4" w:space="0" w:color="auto"/>
            </w:tcBorders>
            <w:shd w:val="clear" w:color="auto" w:fill="auto"/>
            <w:noWrap/>
            <w:vAlign w:val="bottom"/>
          </w:tcPr>
          <w:p w14:paraId="3DDBB0D9" w14:textId="77777777" w:rsidR="00E36E18" w:rsidRPr="002E0D60" w:rsidRDefault="00E36E18" w:rsidP="00EB5106">
            <w:pPr>
              <w:rPr>
                <w:color w:val="000000"/>
                <w:sz w:val="16"/>
                <w:szCs w:val="16"/>
              </w:rPr>
            </w:pPr>
          </w:p>
        </w:tc>
        <w:tc>
          <w:tcPr>
            <w:tcW w:w="1493" w:type="pct"/>
            <w:tcBorders>
              <w:top w:val="single" w:sz="4" w:space="0" w:color="auto"/>
              <w:left w:val="nil"/>
              <w:bottom w:val="single" w:sz="4" w:space="0" w:color="auto"/>
              <w:right w:val="single" w:sz="4" w:space="0" w:color="auto"/>
            </w:tcBorders>
            <w:shd w:val="clear" w:color="auto" w:fill="auto"/>
          </w:tcPr>
          <w:p w14:paraId="301C53B1" w14:textId="77777777" w:rsidR="00E36E18" w:rsidRPr="002E0D60" w:rsidRDefault="00E36E18" w:rsidP="00EB5106">
            <w:pPr>
              <w:rPr>
                <w:color w:val="000000"/>
                <w:sz w:val="16"/>
                <w:szCs w:val="16"/>
              </w:rPr>
            </w:pPr>
            <w:r w:rsidRPr="002E0D60">
              <w:rPr>
                <w:color w:val="000000"/>
                <w:sz w:val="16"/>
                <w:szCs w:val="16"/>
              </w:rPr>
              <w:fldChar w:fldCharType="begin">
                <w:ffData>
                  <w:name w:val="IAP_cities"/>
                  <w:enabled/>
                  <w:calcOnExit w:val="0"/>
                  <w:checkBox>
                    <w:sizeAuto/>
                    <w:default w:val="0"/>
                  </w:checkBox>
                </w:ffData>
              </w:fldChar>
            </w:r>
            <w:r w:rsidRPr="002E0D60">
              <w:rPr>
                <w:color w:val="000000"/>
                <w:sz w:val="16"/>
                <w:szCs w:val="16"/>
              </w:rPr>
              <w:instrText xml:space="preserve"> FORMCHECKBOX </w:instrText>
            </w:r>
            <w:r w:rsidR="00127DDC">
              <w:rPr>
                <w:color w:val="000000"/>
                <w:sz w:val="16"/>
                <w:szCs w:val="16"/>
              </w:rPr>
            </w:r>
            <w:r w:rsidR="00127DDC">
              <w:rPr>
                <w:color w:val="000000"/>
                <w:sz w:val="16"/>
                <w:szCs w:val="16"/>
              </w:rPr>
              <w:fldChar w:fldCharType="separate"/>
            </w:r>
            <w:r w:rsidRPr="002E0D60">
              <w:rPr>
                <w:color w:val="000000"/>
                <w:sz w:val="16"/>
                <w:szCs w:val="16"/>
              </w:rPr>
              <w:fldChar w:fldCharType="end"/>
            </w:r>
            <w:r w:rsidRPr="002E0D60">
              <w:rPr>
                <w:color w:val="000000"/>
                <w:sz w:val="16"/>
                <w:szCs w:val="16"/>
              </w:rPr>
              <w:t>Climate Change Adaptation 2</w:t>
            </w:r>
          </w:p>
        </w:tc>
      </w:tr>
    </w:tbl>
    <w:p w14:paraId="67A7A5CC" w14:textId="259064D1" w:rsidR="00AE5F0B" w:rsidRPr="003B6A69" w:rsidRDefault="00AE5F0B" w:rsidP="00727173">
      <w:pPr>
        <w:spacing w:after="0"/>
        <w:jc w:val="left"/>
        <w:rPr>
          <w:lang w:val="en-GB"/>
        </w:rPr>
      </w:pPr>
    </w:p>
    <w:p w14:paraId="2F787A5F" w14:textId="77777777" w:rsidR="00AE5F0B" w:rsidRPr="003B6A69" w:rsidRDefault="00AE5F0B" w:rsidP="00727173">
      <w:pPr>
        <w:spacing w:after="0"/>
        <w:jc w:val="left"/>
        <w:rPr>
          <w:lang w:val="en-GB"/>
        </w:rPr>
      </w:pPr>
    </w:p>
    <w:p w14:paraId="04807D35" w14:textId="10DEF1D6" w:rsidR="008418AB" w:rsidRPr="003B6A69" w:rsidRDefault="008418AB" w:rsidP="008418AB">
      <w:pPr>
        <w:spacing w:after="0"/>
        <w:jc w:val="left"/>
        <w:rPr>
          <w:lang w:val="en-GB"/>
        </w:rPr>
        <w:sectPr w:rsidR="008418AB" w:rsidRPr="003B6A69" w:rsidSect="00D1090B">
          <w:pgSz w:w="12240" w:h="15840" w:code="1"/>
          <w:pgMar w:top="720" w:right="720" w:bottom="720" w:left="720" w:header="720" w:footer="720" w:gutter="0"/>
          <w:cols w:space="720"/>
          <w:docGrid w:linePitch="360"/>
        </w:sectPr>
      </w:pPr>
    </w:p>
    <w:p w14:paraId="45AFD96D" w14:textId="75A97103" w:rsidR="008C4F26" w:rsidRPr="003B6A69" w:rsidRDefault="008C4F26" w:rsidP="008C4F26">
      <w:pPr>
        <w:pStyle w:val="Heading2"/>
        <w:rPr>
          <w:lang w:val="en-GB"/>
        </w:rPr>
      </w:pPr>
      <w:bookmarkStart w:id="89" w:name="_Annex_13:_Comprehensive"/>
      <w:bookmarkStart w:id="90" w:name="_Annex_11:_Comprehensive"/>
      <w:bookmarkStart w:id="91" w:name="_Toc10449649"/>
      <w:bookmarkStart w:id="92" w:name="_Toc82018284"/>
      <w:bookmarkEnd w:id="83"/>
      <w:bookmarkEnd w:id="89"/>
      <w:bookmarkEnd w:id="90"/>
      <w:r w:rsidRPr="003B6A69">
        <w:rPr>
          <w:lang w:val="en-GB"/>
        </w:rPr>
        <w:lastRenderedPageBreak/>
        <w:t xml:space="preserve">Annex </w:t>
      </w:r>
      <w:r w:rsidR="006C1C66" w:rsidRPr="003B6A69">
        <w:rPr>
          <w:lang w:val="en-GB"/>
        </w:rPr>
        <w:t>11</w:t>
      </w:r>
      <w:r w:rsidRPr="003B6A69">
        <w:rPr>
          <w:lang w:val="en-GB"/>
        </w:rPr>
        <w:t xml:space="preserve">: </w:t>
      </w:r>
      <w:r w:rsidR="00013260" w:rsidRPr="003B6A69">
        <w:rPr>
          <w:lang w:val="en-GB"/>
        </w:rPr>
        <w:t xml:space="preserve">Comprehensive </w:t>
      </w:r>
      <w:r w:rsidRPr="003B6A69">
        <w:rPr>
          <w:lang w:val="en-GB"/>
        </w:rPr>
        <w:t>Stakeholder Engagement Plan</w:t>
      </w:r>
      <w:bookmarkEnd w:id="91"/>
      <w:bookmarkEnd w:id="92"/>
      <w:r w:rsidRPr="003B6A69">
        <w:rPr>
          <w:lang w:val="en-GB"/>
        </w:rPr>
        <w:t xml:space="preserve"> </w:t>
      </w:r>
    </w:p>
    <w:p w14:paraId="0634FB13" w14:textId="57B2C8C2" w:rsidR="008C4F26" w:rsidRPr="003B6A69" w:rsidRDefault="00661293" w:rsidP="008C4F26">
      <w:pPr>
        <w:rPr>
          <w:rFonts w:asciiTheme="minorHAnsi" w:hAnsiTheme="minorHAnsi" w:cstheme="minorHAnsi"/>
          <w:szCs w:val="22"/>
          <w:lang w:val="en-GB"/>
        </w:rPr>
      </w:pPr>
      <w:r w:rsidRPr="003B6A69">
        <w:rPr>
          <w:lang w:val="en-GB"/>
        </w:rPr>
        <w:t>Presented as a separate file</w:t>
      </w:r>
    </w:p>
    <w:p w14:paraId="6E8D0D03" w14:textId="6F1A4336" w:rsidR="00476B3B" w:rsidRPr="003B6A69" w:rsidRDefault="00476B3B" w:rsidP="00B24DF3">
      <w:pPr>
        <w:pStyle w:val="Heading2"/>
        <w:rPr>
          <w:lang w:val="en-GB"/>
        </w:rPr>
      </w:pPr>
      <w:bookmarkStart w:id="93" w:name="_Annex_12._Gender"/>
      <w:bookmarkStart w:id="94" w:name="_Toc82018285"/>
      <w:bookmarkEnd w:id="93"/>
      <w:r w:rsidRPr="003B6A69">
        <w:rPr>
          <w:lang w:val="en-GB"/>
        </w:rPr>
        <w:t xml:space="preserve">Annex </w:t>
      </w:r>
      <w:r w:rsidR="006C1C66" w:rsidRPr="003B6A69">
        <w:rPr>
          <w:lang w:val="en-GB"/>
        </w:rPr>
        <w:t>12.</w:t>
      </w:r>
      <w:r w:rsidRPr="003B6A69">
        <w:rPr>
          <w:lang w:val="en-GB"/>
        </w:rPr>
        <w:t xml:space="preserve"> Gender Analysis and Gender Action Plan</w:t>
      </w:r>
      <w:bookmarkEnd w:id="94"/>
      <w:r w:rsidRPr="003B6A69">
        <w:rPr>
          <w:lang w:val="en-GB"/>
        </w:rPr>
        <w:t xml:space="preserve"> </w:t>
      </w:r>
    </w:p>
    <w:p w14:paraId="139A35A3" w14:textId="77777777" w:rsidR="005F1967" w:rsidRPr="003B6A69" w:rsidRDefault="005F1967" w:rsidP="005F1967">
      <w:pPr>
        <w:rPr>
          <w:rFonts w:asciiTheme="minorHAnsi" w:hAnsiTheme="minorHAnsi" w:cstheme="minorHAnsi"/>
          <w:szCs w:val="22"/>
          <w:lang w:val="en-GB"/>
        </w:rPr>
      </w:pPr>
      <w:r w:rsidRPr="003B6A69">
        <w:rPr>
          <w:lang w:val="en-GB"/>
        </w:rPr>
        <w:t>Presented as a separate file</w:t>
      </w:r>
    </w:p>
    <w:p w14:paraId="158F277E" w14:textId="2FA5BC6B" w:rsidR="008C4F26" w:rsidRPr="003B6A69" w:rsidRDefault="008C4F26" w:rsidP="008C4F26">
      <w:pPr>
        <w:pStyle w:val="Heading2"/>
        <w:rPr>
          <w:lang w:val="en-GB"/>
        </w:rPr>
      </w:pPr>
      <w:bookmarkStart w:id="95" w:name="_Toc82018286"/>
      <w:r w:rsidRPr="003B6A69">
        <w:rPr>
          <w:lang w:val="en-GB"/>
        </w:rPr>
        <w:t>Annex 1</w:t>
      </w:r>
      <w:r w:rsidR="006C1C66" w:rsidRPr="003B6A69">
        <w:rPr>
          <w:lang w:val="en-GB"/>
        </w:rPr>
        <w:t>3</w:t>
      </w:r>
      <w:r w:rsidRPr="003B6A69">
        <w:rPr>
          <w:lang w:val="en-GB"/>
        </w:rPr>
        <w:t>: Initial Project Procurement Plan</w:t>
      </w:r>
      <w:bookmarkEnd w:id="95"/>
    </w:p>
    <w:p w14:paraId="4BFA5821" w14:textId="77777777" w:rsidR="005F1967" w:rsidRPr="003B6A69" w:rsidRDefault="005F1967" w:rsidP="005F1967">
      <w:pPr>
        <w:rPr>
          <w:szCs w:val="20"/>
          <w:lang w:val="en-GB"/>
        </w:rPr>
      </w:pPr>
      <w:r w:rsidRPr="003B6A69">
        <w:rPr>
          <w:szCs w:val="20"/>
          <w:lang w:val="en-GB"/>
        </w:rPr>
        <w:t>Presented as a separate file</w:t>
      </w:r>
    </w:p>
    <w:p w14:paraId="42FB876F" w14:textId="424DA545" w:rsidR="00013260" w:rsidRPr="003B6A69" w:rsidRDefault="00013260" w:rsidP="00013260">
      <w:pPr>
        <w:pStyle w:val="Heading2"/>
        <w:rPr>
          <w:lang w:val="en-GB"/>
        </w:rPr>
      </w:pPr>
      <w:bookmarkStart w:id="96" w:name="_Toc82018287"/>
      <w:r w:rsidRPr="003B6A69">
        <w:rPr>
          <w:lang w:val="en-GB"/>
        </w:rPr>
        <w:t>Annex 1</w:t>
      </w:r>
      <w:r w:rsidR="006C1C66" w:rsidRPr="003B6A69">
        <w:rPr>
          <w:lang w:val="en-GB"/>
        </w:rPr>
        <w:t>4</w:t>
      </w:r>
      <w:r w:rsidRPr="003B6A69">
        <w:rPr>
          <w:lang w:val="en-GB"/>
        </w:rPr>
        <w:t>: Co-financing letters</w:t>
      </w:r>
      <w:bookmarkEnd w:id="96"/>
    </w:p>
    <w:p w14:paraId="46877B79" w14:textId="04556697" w:rsidR="00013260" w:rsidRPr="003B6A69" w:rsidRDefault="00661293" w:rsidP="00013260">
      <w:pPr>
        <w:rPr>
          <w:szCs w:val="20"/>
          <w:lang w:val="en-GB"/>
        </w:rPr>
      </w:pPr>
      <w:r w:rsidRPr="003B6A69">
        <w:rPr>
          <w:szCs w:val="20"/>
          <w:lang w:val="en-GB"/>
        </w:rPr>
        <w:t>P</w:t>
      </w:r>
      <w:r w:rsidR="00013260" w:rsidRPr="003B6A69">
        <w:rPr>
          <w:szCs w:val="20"/>
          <w:lang w:val="en-GB"/>
        </w:rPr>
        <w:t>resented as a separate file</w:t>
      </w:r>
    </w:p>
    <w:p w14:paraId="0BA39090" w14:textId="6D4B7A9A" w:rsidR="00154620" w:rsidRPr="003B6A69" w:rsidRDefault="00154620" w:rsidP="00476B3B">
      <w:pPr>
        <w:spacing w:after="0" w:line="259" w:lineRule="auto"/>
        <w:jc w:val="left"/>
        <w:rPr>
          <w:b/>
          <w:szCs w:val="20"/>
          <w:lang w:val="en-GB"/>
        </w:rPr>
      </w:pPr>
    </w:p>
    <w:p w14:paraId="339CD7FB" w14:textId="77777777" w:rsidR="00D17EE6" w:rsidRPr="003B6A69" w:rsidRDefault="00D17EE6" w:rsidP="00D17EE6">
      <w:pPr>
        <w:rPr>
          <w:rFonts w:asciiTheme="minorHAnsi" w:hAnsiTheme="minorHAnsi" w:cstheme="minorHAnsi"/>
          <w:lang w:val="en-GB"/>
        </w:rPr>
      </w:pPr>
      <w:bookmarkStart w:id="97" w:name="_Hlk11017359"/>
    </w:p>
    <w:bookmarkEnd w:id="52"/>
    <w:bookmarkEnd w:id="53"/>
    <w:bookmarkEnd w:id="97"/>
    <w:p w14:paraId="2D8DB408" w14:textId="503EE105" w:rsidR="008C4F26" w:rsidRPr="003B6A69" w:rsidRDefault="008C4F26">
      <w:pPr>
        <w:spacing w:after="0"/>
        <w:jc w:val="left"/>
        <w:rPr>
          <w:lang w:val="en-GB"/>
        </w:rPr>
      </w:pPr>
      <w:r w:rsidRPr="003B6A69">
        <w:rPr>
          <w:lang w:val="en-GB"/>
        </w:rPr>
        <w:br w:type="page"/>
      </w:r>
    </w:p>
    <w:p w14:paraId="5D7AB31B" w14:textId="60EDEE2B" w:rsidR="008C4F26" w:rsidRPr="003B6A69" w:rsidRDefault="008C4F26" w:rsidP="00904420">
      <w:pPr>
        <w:pStyle w:val="Heading2"/>
        <w:rPr>
          <w:lang w:val="en-GB"/>
        </w:rPr>
      </w:pPr>
      <w:bookmarkStart w:id="98" w:name="_Annex_20:_Targeted"/>
      <w:bookmarkStart w:id="99" w:name="_Toc82018288"/>
      <w:bookmarkEnd w:id="98"/>
      <w:r w:rsidRPr="003B6A69">
        <w:rPr>
          <w:lang w:val="en-GB"/>
        </w:rPr>
        <w:lastRenderedPageBreak/>
        <w:t xml:space="preserve">Annex </w:t>
      </w:r>
      <w:r w:rsidR="006C1C66" w:rsidRPr="003B6A69">
        <w:rPr>
          <w:lang w:val="en-GB"/>
        </w:rPr>
        <w:t>15</w:t>
      </w:r>
      <w:r w:rsidRPr="003B6A69">
        <w:rPr>
          <w:lang w:val="en-GB"/>
        </w:rPr>
        <w:t>: Targeted Protected Areas and KBAs</w:t>
      </w:r>
      <w:bookmarkEnd w:id="99"/>
    </w:p>
    <w:p w14:paraId="7ED7DF07" w14:textId="77777777" w:rsidR="008C4F26" w:rsidRPr="003B6A69" w:rsidRDefault="008C4F26" w:rsidP="008C4F26">
      <w:pPr>
        <w:shd w:val="clear" w:color="auto" w:fill="FFFFFF"/>
        <w:tabs>
          <w:tab w:val="center" w:pos="4844"/>
          <w:tab w:val="right" w:pos="9689"/>
        </w:tabs>
        <w:spacing w:after="0"/>
        <w:ind w:left="-360"/>
        <w:jc w:val="left"/>
        <w:rPr>
          <w:rFonts w:asciiTheme="minorHAnsi" w:eastAsiaTheme="minorHAnsi" w:hAnsiTheme="minorHAnsi" w:cstheme="minorBidi"/>
          <w:color w:val="000000"/>
          <w:sz w:val="22"/>
          <w:szCs w:val="22"/>
          <w:lang w:val="en-GB"/>
        </w:rPr>
      </w:pPr>
    </w:p>
    <w:p w14:paraId="3A940F85" w14:textId="77777777" w:rsidR="008C4F26" w:rsidRPr="003B6A69" w:rsidRDefault="008C4F26" w:rsidP="00661293">
      <w:pPr>
        <w:spacing w:after="120"/>
        <w:jc w:val="left"/>
        <w:rPr>
          <w:rFonts w:asciiTheme="minorHAnsi" w:eastAsiaTheme="minorHAnsi" w:hAnsiTheme="minorHAnsi" w:cstheme="minorBidi"/>
          <w:b/>
          <w:noProof/>
          <w:szCs w:val="20"/>
          <w:u w:val="single"/>
          <w:lang w:val="en-GB"/>
        </w:rPr>
      </w:pPr>
      <w:r w:rsidRPr="003B6A69">
        <w:rPr>
          <w:rFonts w:asciiTheme="minorHAnsi" w:eastAsiaTheme="minorHAnsi" w:hAnsiTheme="minorHAnsi" w:cstheme="minorBidi"/>
          <w:b/>
          <w:noProof/>
          <w:szCs w:val="20"/>
          <w:u w:val="single"/>
          <w:lang w:val="en-GB"/>
        </w:rPr>
        <w:t>Protected area system of Montenegro</w:t>
      </w:r>
    </w:p>
    <w:p w14:paraId="5D244472" w14:textId="77777777" w:rsidR="008C4F26" w:rsidRPr="003B6A69" w:rsidRDefault="008C4F26" w:rsidP="00661293">
      <w:pPr>
        <w:shd w:val="clear" w:color="auto" w:fill="FFFFFF"/>
        <w:spacing w:after="120"/>
        <w:rPr>
          <w:rFonts w:asciiTheme="minorHAnsi" w:eastAsia="Times New Roman" w:hAnsiTheme="minorHAnsi"/>
          <w:color w:val="000000"/>
          <w:szCs w:val="20"/>
          <w:lang w:val="en-GB"/>
        </w:rPr>
      </w:pPr>
      <w:r w:rsidRPr="003B6A69">
        <w:rPr>
          <w:rFonts w:asciiTheme="minorHAnsi" w:eastAsia="Times New Roman" w:hAnsiTheme="minorHAnsi"/>
          <w:noProof/>
          <w:szCs w:val="20"/>
          <w:lang w:val="en-GB"/>
        </w:rPr>
        <w:t xml:space="preserve">Nationally protected areas (PAs) cover </w:t>
      </w:r>
      <w:r w:rsidRPr="003B6A69">
        <w:rPr>
          <w:rFonts w:asciiTheme="minorHAnsi" w:eastAsia="Times New Roman" w:hAnsiTheme="minorHAnsi"/>
          <w:bCs/>
          <w:szCs w:val="20"/>
          <w:lang w:val="en-GB"/>
        </w:rPr>
        <w:t>185,269.69</w:t>
      </w:r>
      <w:r w:rsidRPr="003B6A69">
        <w:rPr>
          <w:rFonts w:asciiTheme="minorHAnsi" w:eastAsia="Times New Roman" w:hAnsiTheme="minorHAnsi"/>
          <w:b/>
          <w:bCs/>
          <w:szCs w:val="20"/>
          <w:lang w:val="en-GB"/>
        </w:rPr>
        <w:t xml:space="preserve"> </w:t>
      </w:r>
      <w:r w:rsidRPr="003B6A69">
        <w:rPr>
          <w:rFonts w:asciiTheme="minorHAnsi" w:eastAsia="Times New Roman" w:hAnsiTheme="minorHAnsi"/>
          <w:noProof/>
          <w:szCs w:val="20"/>
          <w:lang w:val="en-GB"/>
        </w:rPr>
        <w:t xml:space="preserve">ha, or around 13,4% of the entire territory. The country’s five national parks (IUCN cat.II) Durmitor, Skadar Lake, Lovcen, Biogradska gora and Prokletije make the core of the national PA system, accounting for approximately 55% of the total PA area; about 42% are nature parks (IUCN cat.V), and the remaining few percent refer to more than 50 sites designated as monuments of nature, protected landscapes, and areas of strict reserves. </w:t>
      </w:r>
      <w:r w:rsidRPr="003B6A69">
        <w:rPr>
          <w:rFonts w:asciiTheme="minorHAnsi" w:eastAsia="Times New Roman" w:hAnsiTheme="minorHAnsi"/>
          <w:color w:val="000000"/>
          <w:szCs w:val="20"/>
          <w:lang w:val="en-GB"/>
        </w:rPr>
        <w:t xml:space="preserve">Montenegro is the only country in the region that has no nationally proclaimed marine protected areas, although the procedure for their establishment is ongoing. </w:t>
      </w:r>
    </w:p>
    <w:p w14:paraId="31087C87" w14:textId="77777777" w:rsidR="008C4F26" w:rsidRPr="003B6A69" w:rsidRDefault="008C4F26" w:rsidP="00661293">
      <w:pPr>
        <w:autoSpaceDE w:val="0"/>
        <w:autoSpaceDN w:val="0"/>
        <w:adjustRightInd w:val="0"/>
        <w:spacing w:after="120"/>
        <w:ind w:right="509"/>
        <w:jc w:val="left"/>
        <w:rPr>
          <w:rFonts w:asciiTheme="minorHAnsi" w:eastAsia="Calibri" w:hAnsiTheme="minorHAnsi" w:cstheme="minorBidi"/>
          <w:b/>
          <w:color w:val="000000"/>
          <w:szCs w:val="20"/>
          <w:lang w:val="en-GB"/>
        </w:rPr>
      </w:pPr>
      <w:r w:rsidRPr="003B6A69">
        <w:rPr>
          <w:rFonts w:asciiTheme="minorHAnsi" w:eastAsia="Calibri" w:hAnsiTheme="minorHAnsi" w:cstheme="minorBidi"/>
          <w:b/>
          <w:color w:val="000000"/>
          <w:szCs w:val="20"/>
          <w:lang w:val="en-GB"/>
        </w:rPr>
        <w:t>Table 1:</w:t>
      </w:r>
      <w:r w:rsidRPr="003B6A69">
        <w:rPr>
          <w:rFonts w:asciiTheme="minorHAnsi" w:eastAsia="Calibri" w:hAnsiTheme="minorHAnsi" w:cstheme="minorBidi"/>
          <w:color w:val="000000"/>
          <w:szCs w:val="20"/>
          <w:lang w:val="en-GB"/>
        </w:rPr>
        <w:t xml:space="preserve"> </w:t>
      </w:r>
      <w:r w:rsidRPr="003B6A69">
        <w:rPr>
          <w:rFonts w:asciiTheme="minorHAnsi" w:eastAsia="Calibri" w:hAnsiTheme="minorHAnsi" w:cstheme="minorBidi"/>
          <w:b/>
          <w:color w:val="000000"/>
          <w:szCs w:val="20"/>
          <w:lang w:val="en-GB"/>
        </w:rPr>
        <w:t>National Protected Areas in Montenegro</w:t>
      </w:r>
    </w:p>
    <w:p w14:paraId="2D9E041C" w14:textId="77777777" w:rsidR="008C4F26" w:rsidRPr="003B6A69" w:rsidRDefault="008C4F26" w:rsidP="00661293">
      <w:pPr>
        <w:spacing w:after="120"/>
        <w:jc w:val="left"/>
        <w:rPr>
          <w:rFonts w:eastAsia="Calibri"/>
          <w:b/>
          <w:color w:val="000000"/>
          <w:szCs w:val="20"/>
          <w:lang w:val="fr-FR"/>
        </w:rPr>
      </w:pPr>
      <w:proofErr w:type="gramStart"/>
      <w:r w:rsidRPr="003B6A69">
        <w:rPr>
          <w:rFonts w:eastAsia="Calibri"/>
          <w:b/>
          <w:color w:val="000000"/>
          <w:szCs w:val="20"/>
          <w:lang w:val="fr-FR"/>
        </w:rPr>
        <w:t>Source:</w:t>
      </w:r>
      <w:proofErr w:type="gramEnd"/>
      <w:r w:rsidRPr="003B6A69">
        <w:rPr>
          <w:rFonts w:eastAsia="Calibri"/>
          <w:b/>
          <w:color w:val="000000"/>
          <w:szCs w:val="20"/>
          <w:lang w:val="fr-FR"/>
        </w:rPr>
        <w:t xml:space="preserve"> </w:t>
      </w:r>
      <w:hyperlink r:id="rId39" w:history="1">
        <w:r w:rsidRPr="003B6A69">
          <w:rPr>
            <w:rFonts w:eastAsia="Times New Roman"/>
            <w:color w:val="0563C1" w:themeColor="hyperlink"/>
            <w:szCs w:val="20"/>
            <w:u w:val="single"/>
            <w:lang w:val="fr-FR"/>
          </w:rPr>
          <w:t>http://prirodainfo.me/Izvjestaji/PoVrstiZasticenogPodrucja</w:t>
        </w:r>
      </w:hyperlink>
    </w:p>
    <w:tbl>
      <w:tblPr>
        <w:tblW w:w="7484" w:type="dxa"/>
        <w:tblInd w:w="-5" w:type="dxa"/>
        <w:tblLayout w:type="fixed"/>
        <w:tblLook w:val="04A0" w:firstRow="1" w:lastRow="0" w:firstColumn="1" w:lastColumn="0" w:noHBand="0" w:noVBand="1"/>
      </w:tblPr>
      <w:tblGrid>
        <w:gridCol w:w="5642"/>
        <w:gridCol w:w="45"/>
        <w:gridCol w:w="1771"/>
        <w:gridCol w:w="26"/>
      </w:tblGrid>
      <w:tr w:rsidR="008C4F26" w:rsidRPr="003B6A69" w14:paraId="03C22228" w14:textId="77777777" w:rsidTr="00661293">
        <w:trPr>
          <w:trHeight w:val="332"/>
        </w:trPr>
        <w:tc>
          <w:tcPr>
            <w:tcW w:w="564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2108170" w14:textId="77777777" w:rsidR="008C4F26" w:rsidRPr="003B6A69" w:rsidRDefault="008C4F26" w:rsidP="00661293">
            <w:pPr>
              <w:spacing w:after="0"/>
              <w:jc w:val="left"/>
              <w:rPr>
                <w:rFonts w:eastAsia="Times New Roman"/>
                <w:b/>
                <w:bCs/>
                <w:color w:val="000000"/>
                <w:szCs w:val="20"/>
                <w:lang w:val="en-GB"/>
              </w:rPr>
            </w:pPr>
            <w:r w:rsidRPr="003B6A69">
              <w:rPr>
                <w:rFonts w:eastAsia="Times New Roman"/>
                <w:b/>
                <w:bCs/>
                <w:color w:val="000000"/>
                <w:szCs w:val="20"/>
                <w:lang w:val="en-GB"/>
              </w:rPr>
              <w:t xml:space="preserve">Name </w:t>
            </w:r>
          </w:p>
        </w:tc>
        <w:tc>
          <w:tcPr>
            <w:tcW w:w="1842" w:type="dxa"/>
            <w:gridSpan w:val="3"/>
            <w:tcBorders>
              <w:top w:val="single" w:sz="4" w:space="0" w:color="auto"/>
              <w:left w:val="nil"/>
              <w:bottom w:val="single" w:sz="4" w:space="0" w:color="auto"/>
              <w:right w:val="single" w:sz="4" w:space="0" w:color="auto"/>
            </w:tcBorders>
            <w:shd w:val="clear" w:color="auto" w:fill="auto"/>
            <w:noWrap/>
            <w:vAlign w:val="center"/>
            <w:hideMark/>
          </w:tcPr>
          <w:p w14:paraId="6E42624D" w14:textId="77777777" w:rsidR="008C4F26" w:rsidRPr="003B6A69" w:rsidRDefault="008C4F26" w:rsidP="00661293">
            <w:pPr>
              <w:spacing w:after="0"/>
              <w:jc w:val="left"/>
              <w:rPr>
                <w:rFonts w:eastAsia="Times New Roman"/>
                <w:b/>
                <w:bCs/>
                <w:color w:val="000000"/>
                <w:szCs w:val="20"/>
                <w:lang w:val="en-GB"/>
              </w:rPr>
            </w:pPr>
            <w:proofErr w:type="spellStart"/>
            <w:proofErr w:type="gramStart"/>
            <w:r w:rsidRPr="003B6A69">
              <w:rPr>
                <w:rFonts w:eastAsia="Times New Roman"/>
                <w:b/>
                <w:bCs/>
                <w:color w:val="000000"/>
                <w:szCs w:val="20"/>
                <w:lang w:val="en-GB"/>
              </w:rPr>
              <w:t>Area,ha</w:t>
            </w:r>
            <w:proofErr w:type="spellEnd"/>
            <w:proofErr w:type="gramEnd"/>
          </w:p>
        </w:tc>
      </w:tr>
      <w:tr w:rsidR="008C4F26" w:rsidRPr="003B6A69" w14:paraId="2945A302" w14:textId="77777777" w:rsidTr="00661293">
        <w:trPr>
          <w:gridAfter w:val="1"/>
          <w:wAfter w:w="26" w:type="dxa"/>
          <w:trHeight w:val="58"/>
        </w:trPr>
        <w:tc>
          <w:tcPr>
            <w:tcW w:w="7458" w:type="dxa"/>
            <w:gridSpan w:val="3"/>
            <w:tcBorders>
              <w:top w:val="nil"/>
              <w:left w:val="single" w:sz="4" w:space="0" w:color="auto"/>
              <w:bottom w:val="single" w:sz="4" w:space="0" w:color="auto"/>
              <w:right w:val="single" w:sz="4" w:space="0" w:color="auto"/>
            </w:tcBorders>
            <w:shd w:val="clear" w:color="auto" w:fill="auto"/>
            <w:vAlign w:val="bottom"/>
            <w:hideMark/>
          </w:tcPr>
          <w:p w14:paraId="49A50783" w14:textId="77777777" w:rsidR="008C4F26" w:rsidRPr="003B6A69" w:rsidRDefault="008C4F26" w:rsidP="00661293">
            <w:pPr>
              <w:spacing w:after="0"/>
              <w:jc w:val="left"/>
              <w:rPr>
                <w:rFonts w:eastAsia="Times New Roman"/>
                <w:b/>
                <w:color w:val="000000"/>
                <w:szCs w:val="20"/>
                <w:lang w:val="en-GB"/>
              </w:rPr>
            </w:pPr>
          </w:p>
          <w:p w14:paraId="5B1E0228" w14:textId="77777777" w:rsidR="008C4F26" w:rsidRPr="003B6A69" w:rsidRDefault="008C4F26" w:rsidP="00661293">
            <w:pPr>
              <w:spacing w:after="0"/>
              <w:jc w:val="left"/>
              <w:rPr>
                <w:rFonts w:eastAsia="Times New Roman"/>
                <w:b/>
                <w:szCs w:val="20"/>
                <w:lang w:val="en-GB"/>
              </w:rPr>
            </w:pPr>
            <w:r w:rsidRPr="003B6A69">
              <w:rPr>
                <w:rFonts w:eastAsia="Times New Roman"/>
                <w:b/>
                <w:color w:val="000000"/>
                <w:szCs w:val="20"/>
                <w:lang w:val="en-GB"/>
              </w:rPr>
              <w:t xml:space="preserve">National category: Special nature reserve, IUCN category: </w:t>
            </w:r>
          </w:p>
        </w:tc>
      </w:tr>
      <w:tr w:rsidR="008C4F26" w:rsidRPr="003B6A69" w14:paraId="735DDC8B" w14:textId="77777777" w:rsidTr="00661293">
        <w:trPr>
          <w:trHeight w:val="58"/>
        </w:trPr>
        <w:tc>
          <w:tcPr>
            <w:tcW w:w="5642" w:type="dxa"/>
            <w:tcBorders>
              <w:top w:val="nil"/>
              <w:left w:val="single" w:sz="4" w:space="0" w:color="auto"/>
              <w:bottom w:val="single" w:sz="4" w:space="0" w:color="auto"/>
              <w:right w:val="single" w:sz="4" w:space="0" w:color="auto"/>
            </w:tcBorders>
            <w:shd w:val="clear" w:color="auto" w:fill="auto"/>
            <w:vAlign w:val="bottom"/>
            <w:hideMark/>
          </w:tcPr>
          <w:p w14:paraId="6F8B3B78" w14:textId="77777777" w:rsidR="008C4F26" w:rsidRPr="003B6A69" w:rsidRDefault="008C4F26" w:rsidP="00661293">
            <w:pPr>
              <w:spacing w:after="0"/>
              <w:jc w:val="left"/>
              <w:rPr>
                <w:rFonts w:eastAsia="Times New Roman"/>
                <w:color w:val="000000"/>
                <w:szCs w:val="20"/>
                <w:lang w:val="en-GB"/>
              </w:rPr>
            </w:pPr>
            <w:proofErr w:type="spellStart"/>
            <w:r w:rsidRPr="003B6A69">
              <w:rPr>
                <w:rFonts w:eastAsia="Times New Roman"/>
                <w:color w:val="000000"/>
                <w:szCs w:val="20"/>
                <w:lang w:val="en-GB"/>
              </w:rPr>
              <w:t>Tivatska</w:t>
            </w:r>
            <w:proofErr w:type="spellEnd"/>
            <w:r w:rsidRPr="003B6A69">
              <w:rPr>
                <w:rFonts w:eastAsia="Times New Roman"/>
                <w:color w:val="000000"/>
                <w:szCs w:val="20"/>
                <w:lang w:val="en-GB"/>
              </w:rPr>
              <w:t xml:space="preserve"> </w:t>
            </w:r>
            <w:proofErr w:type="spellStart"/>
            <w:r w:rsidRPr="003B6A69">
              <w:rPr>
                <w:rFonts w:eastAsia="Times New Roman"/>
                <w:color w:val="000000"/>
                <w:szCs w:val="20"/>
                <w:lang w:val="en-GB"/>
              </w:rPr>
              <w:t>solila</w:t>
            </w:r>
            <w:proofErr w:type="spellEnd"/>
          </w:p>
        </w:tc>
        <w:tc>
          <w:tcPr>
            <w:tcW w:w="1842" w:type="dxa"/>
            <w:gridSpan w:val="3"/>
            <w:tcBorders>
              <w:top w:val="nil"/>
              <w:left w:val="nil"/>
              <w:bottom w:val="single" w:sz="4" w:space="0" w:color="auto"/>
              <w:right w:val="single" w:sz="4" w:space="0" w:color="auto"/>
            </w:tcBorders>
            <w:shd w:val="clear" w:color="auto" w:fill="auto"/>
            <w:noWrap/>
            <w:vAlign w:val="center"/>
            <w:hideMark/>
          </w:tcPr>
          <w:p w14:paraId="4B757031" w14:textId="77777777" w:rsidR="008C4F26" w:rsidRPr="003B6A69" w:rsidRDefault="008C4F26" w:rsidP="00661293">
            <w:pPr>
              <w:spacing w:after="0"/>
              <w:jc w:val="left"/>
              <w:rPr>
                <w:rFonts w:eastAsia="Times New Roman"/>
                <w:color w:val="000000"/>
                <w:szCs w:val="20"/>
                <w:lang w:val="en-GB"/>
              </w:rPr>
            </w:pPr>
            <w:r w:rsidRPr="003B6A69">
              <w:rPr>
                <w:rFonts w:eastAsia="Times New Roman"/>
                <w:color w:val="000000"/>
                <w:szCs w:val="20"/>
                <w:lang w:val="en-GB"/>
              </w:rPr>
              <w:t>150</w:t>
            </w:r>
          </w:p>
        </w:tc>
      </w:tr>
      <w:tr w:rsidR="008C4F26" w:rsidRPr="003B6A69" w14:paraId="1619003A" w14:textId="77777777" w:rsidTr="00661293">
        <w:trPr>
          <w:trHeight w:val="386"/>
        </w:trPr>
        <w:tc>
          <w:tcPr>
            <w:tcW w:w="5642" w:type="dxa"/>
            <w:tcBorders>
              <w:top w:val="nil"/>
              <w:left w:val="single" w:sz="4" w:space="0" w:color="auto"/>
              <w:bottom w:val="single" w:sz="4" w:space="0" w:color="auto"/>
              <w:right w:val="single" w:sz="4" w:space="0" w:color="auto"/>
            </w:tcBorders>
            <w:shd w:val="clear" w:color="auto" w:fill="auto"/>
            <w:vAlign w:val="bottom"/>
            <w:hideMark/>
          </w:tcPr>
          <w:p w14:paraId="72E2AB0B" w14:textId="77777777" w:rsidR="008C4F26" w:rsidRPr="003B6A69" w:rsidRDefault="008C4F26" w:rsidP="00661293">
            <w:pPr>
              <w:spacing w:after="0"/>
              <w:jc w:val="left"/>
              <w:rPr>
                <w:rFonts w:eastAsia="Times New Roman"/>
                <w:b/>
                <w:color w:val="000000"/>
                <w:szCs w:val="20"/>
                <w:lang w:val="en-GB"/>
              </w:rPr>
            </w:pPr>
          </w:p>
          <w:p w14:paraId="7CC8AA39" w14:textId="77777777" w:rsidR="008C4F26" w:rsidRPr="003B6A69" w:rsidRDefault="008C4F26" w:rsidP="00661293">
            <w:pPr>
              <w:spacing w:after="0"/>
              <w:jc w:val="left"/>
              <w:rPr>
                <w:rFonts w:eastAsia="Times New Roman"/>
                <w:color w:val="000000"/>
                <w:szCs w:val="20"/>
                <w:lang w:val="en-GB"/>
              </w:rPr>
            </w:pPr>
            <w:r w:rsidRPr="003B6A69">
              <w:rPr>
                <w:rFonts w:eastAsia="Times New Roman"/>
                <w:b/>
                <w:color w:val="000000"/>
                <w:szCs w:val="20"/>
                <w:lang w:val="en-GB"/>
              </w:rPr>
              <w:t xml:space="preserve">National category: Strict nature reserve, IUCN category: </w:t>
            </w:r>
            <w:proofErr w:type="spellStart"/>
            <w:r w:rsidRPr="003B6A69">
              <w:rPr>
                <w:rFonts w:eastAsia="Times New Roman"/>
                <w:b/>
                <w:color w:val="000000"/>
                <w:szCs w:val="20"/>
                <w:lang w:val="en-GB"/>
              </w:rPr>
              <w:t>Ia</w:t>
            </w:r>
            <w:proofErr w:type="spellEnd"/>
          </w:p>
        </w:tc>
        <w:tc>
          <w:tcPr>
            <w:tcW w:w="1842" w:type="dxa"/>
            <w:gridSpan w:val="3"/>
            <w:tcBorders>
              <w:top w:val="nil"/>
              <w:left w:val="nil"/>
              <w:bottom w:val="single" w:sz="4" w:space="0" w:color="auto"/>
              <w:right w:val="single" w:sz="4" w:space="0" w:color="auto"/>
            </w:tcBorders>
            <w:shd w:val="clear" w:color="auto" w:fill="auto"/>
            <w:noWrap/>
            <w:vAlign w:val="center"/>
            <w:hideMark/>
          </w:tcPr>
          <w:p w14:paraId="393735D5" w14:textId="77777777" w:rsidR="008C4F26" w:rsidRPr="003B6A69" w:rsidRDefault="008C4F26" w:rsidP="00661293">
            <w:pPr>
              <w:spacing w:after="0"/>
              <w:jc w:val="left"/>
              <w:rPr>
                <w:rFonts w:eastAsia="Times New Roman"/>
                <w:color w:val="000000"/>
                <w:szCs w:val="20"/>
                <w:lang w:val="en-GB"/>
              </w:rPr>
            </w:pPr>
          </w:p>
        </w:tc>
      </w:tr>
      <w:tr w:rsidR="008C4F26" w:rsidRPr="003B6A69" w14:paraId="09D50A7A" w14:textId="77777777" w:rsidTr="00661293">
        <w:trPr>
          <w:trHeight w:val="58"/>
        </w:trPr>
        <w:tc>
          <w:tcPr>
            <w:tcW w:w="5642" w:type="dxa"/>
            <w:tcBorders>
              <w:top w:val="nil"/>
              <w:left w:val="single" w:sz="4" w:space="0" w:color="auto"/>
              <w:bottom w:val="single" w:sz="4" w:space="0" w:color="auto"/>
              <w:right w:val="single" w:sz="4" w:space="0" w:color="auto"/>
            </w:tcBorders>
            <w:shd w:val="clear" w:color="auto" w:fill="auto"/>
            <w:vAlign w:val="bottom"/>
            <w:hideMark/>
          </w:tcPr>
          <w:p w14:paraId="582A6E5C" w14:textId="77777777" w:rsidR="008C4F26" w:rsidRPr="003B6A69" w:rsidRDefault="008C4F26" w:rsidP="00661293">
            <w:pPr>
              <w:spacing w:after="0"/>
              <w:jc w:val="left"/>
              <w:rPr>
                <w:rFonts w:eastAsia="Times New Roman"/>
                <w:color w:val="000000"/>
                <w:szCs w:val="20"/>
                <w:lang w:val="en-GB"/>
              </w:rPr>
            </w:pPr>
            <w:proofErr w:type="spellStart"/>
            <w:r w:rsidRPr="003B6A69">
              <w:rPr>
                <w:rFonts w:eastAsia="Times New Roman"/>
                <w:color w:val="000000"/>
                <w:szCs w:val="20"/>
                <w:lang w:val="en-GB"/>
              </w:rPr>
              <w:t>Panceva</w:t>
            </w:r>
            <w:proofErr w:type="spellEnd"/>
            <w:r w:rsidRPr="003B6A69">
              <w:rPr>
                <w:rFonts w:eastAsia="Times New Roman"/>
                <w:color w:val="000000"/>
                <w:szCs w:val="20"/>
                <w:lang w:val="en-GB"/>
              </w:rPr>
              <w:t xml:space="preserve"> </w:t>
            </w:r>
            <w:proofErr w:type="spellStart"/>
            <w:r w:rsidRPr="003B6A69">
              <w:rPr>
                <w:rFonts w:eastAsia="Times New Roman"/>
                <w:color w:val="000000"/>
                <w:szCs w:val="20"/>
                <w:lang w:val="en-GB"/>
              </w:rPr>
              <w:t>oka</w:t>
            </w:r>
            <w:proofErr w:type="spellEnd"/>
          </w:p>
        </w:tc>
        <w:tc>
          <w:tcPr>
            <w:tcW w:w="1842" w:type="dxa"/>
            <w:gridSpan w:val="3"/>
            <w:tcBorders>
              <w:top w:val="nil"/>
              <w:left w:val="nil"/>
              <w:bottom w:val="single" w:sz="4" w:space="0" w:color="auto"/>
              <w:right w:val="single" w:sz="4" w:space="0" w:color="auto"/>
            </w:tcBorders>
            <w:shd w:val="clear" w:color="auto" w:fill="auto"/>
            <w:noWrap/>
            <w:vAlign w:val="center"/>
            <w:hideMark/>
          </w:tcPr>
          <w:p w14:paraId="6ED8AF96" w14:textId="77777777" w:rsidR="008C4F26" w:rsidRPr="003B6A69" w:rsidRDefault="008C4F26" w:rsidP="00661293">
            <w:pPr>
              <w:spacing w:after="0"/>
              <w:jc w:val="left"/>
              <w:rPr>
                <w:rFonts w:eastAsia="Times New Roman"/>
                <w:color w:val="000000"/>
                <w:szCs w:val="20"/>
                <w:lang w:val="en-GB"/>
              </w:rPr>
            </w:pPr>
            <w:r w:rsidRPr="003B6A69">
              <w:rPr>
                <w:rFonts w:eastAsia="Times New Roman"/>
                <w:color w:val="000000"/>
                <w:szCs w:val="20"/>
                <w:lang w:val="en-GB"/>
              </w:rPr>
              <w:t>300</w:t>
            </w:r>
          </w:p>
        </w:tc>
      </w:tr>
      <w:tr w:rsidR="008C4F26" w:rsidRPr="003B6A69" w14:paraId="0DEE175C" w14:textId="77777777" w:rsidTr="00661293">
        <w:trPr>
          <w:trHeight w:val="197"/>
        </w:trPr>
        <w:tc>
          <w:tcPr>
            <w:tcW w:w="5642" w:type="dxa"/>
            <w:tcBorders>
              <w:top w:val="nil"/>
              <w:left w:val="single" w:sz="4" w:space="0" w:color="auto"/>
              <w:bottom w:val="single" w:sz="4" w:space="0" w:color="auto"/>
              <w:right w:val="single" w:sz="4" w:space="0" w:color="auto"/>
            </w:tcBorders>
            <w:shd w:val="clear" w:color="auto" w:fill="auto"/>
            <w:vAlign w:val="bottom"/>
            <w:hideMark/>
          </w:tcPr>
          <w:p w14:paraId="4CFF9CE5" w14:textId="77777777" w:rsidR="008C4F26" w:rsidRPr="003B6A69" w:rsidRDefault="008C4F26" w:rsidP="00661293">
            <w:pPr>
              <w:spacing w:after="0"/>
              <w:jc w:val="left"/>
              <w:rPr>
                <w:rFonts w:eastAsia="Times New Roman"/>
                <w:color w:val="000000"/>
                <w:szCs w:val="20"/>
                <w:lang w:val="en-GB"/>
              </w:rPr>
            </w:pPr>
            <w:proofErr w:type="spellStart"/>
            <w:r w:rsidRPr="003B6A69">
              <w:rPr>
                <w:rFonts w:eastAsia="Times New Roman"/>
                <w:color w:val="000000"/>
                <w:szCs w:val="20"/>
                <w:lang w:val="en-GB"/>
              </w:rPr>
              <w:t>Mrestiliste</w:t>
            </w:r>
            <w:proofErr w:type="spellEnd"/>
            <w:r w:rsidRPr="003B6A69">
              <w:rPr>
                <w:rFonts w:eastAsia="Times New Roman"/>
                <w:color w:val="000000"/>
                <w:szCs w:val="20"/>
                <w:lang w:val="en-GB"/>
              </w:rPr>
              <w:t xml:space="preserve"> </w:t>
            </w:r>
            <w:proofErr w:type="spellStart"/>
            <w:r w:rsidRPr="003B6A69">
              <w:rPr>
                <w:rFonts w:eastAsia="Times New Roman"/>
                <w:color w:val="000000"/>
                <w:szCs w:val="20"/>
                <w:lang w:val="en-GB"/>
              </w:rPr>
              <w:t>ukljeve</w:t>
            </w:r>
            <w:proofErr w:type="spellEnd"/>
            <w:r w:rsidRPr="003B6A69">
              <w:rPr>
                <w:rFonts w:eastAsia="Times New Roman"/>
                <w:color w:val="000000"/>
                <w:szCs w:val="20"/>
                <w:lang w:val="en-GB"/>
              </w:rPr>
              <w:t xml:space="preserve"> </w:t>
            </w:r>
            <w:proofErr w:type="spellStart"/>
            <w:r w:rsidRPr="003B6A69">
              <w:rPr>
                <w:rFonts w:eastAsia="Times New Roman"/>
                <w:color w:val="000000"/>
                <w:szCs w:val="20"/>
                <w:lang w:val="en-GB"/>
              </w:rPr>
              <w:t>na</w:t>
            </w:r>
            <w:proofErr w:type="spellEnd"/>
            <w:r w:rsidRPr="003B6A69">
              <w:rPr>
                <w:rFonts w:eastAsia="Times New Roman"/>
                <w:color w:val="000000"/>
                <w:szCs w:val="20"/>
                <w:lang w:val="en-GB"/>
              </w:rPr>
              <w:t xml:space="preserve"> </w:t>
            </w:r>
            <w:proofErr w:type="spellStart"/>
            <w:r w:rsidRPr="003B6A69">
              <w:rPr>
                <w:rFonts w:eastAsia="Times New Roman"/>
                <w:color w:val="000000"/>
                <w:szCs w:val="20"/>
                <w:lang w:val="en-GB"/>
              </w:rPr>
              <w:t>Skadarskom</w:t>
            </w:r>
            <w:proofErr w:type="spellEnd"/>
            <w:r w:rsidRPr="003B6A69">
              <w:rPr>
                <w:rFonts w:eastAsia="Times New Roman"/>
                <w:color w:val="000000"/>
                <w:szCs w:val="20"/>
                <w:lang w:val="en-GB"/>
              </w:rPr>
              <w:t xml:space="preserve"> </w:t>
            </w:r>
            <w:proofErr w:type="spellStart"/>
            <w:r w:rsidRPr="003B6A69">
              <w:rPr>
                <w:rFonts w:eastAsia="Times New Roman"/>
                <w:color w:val="000000"/>
                <w:szCs w:val="20"/>
                <w:lang w:val="en-GB"/>
              </w:rPr>
              <w:t>jezeru</w:t>
            </w:r>
            <w:proofErr w:type="spellEnd"/>
          </w:p>
        </w:tc>
        <w:tc>
          <w:tcPr>
            <w:tcW w:w="1842" w:type="dxa"/>
            <w:gridSpan w:val="3"/>
            <w:tcBorders>
              <w:top w:val="nil"/>
              <w:left w:val="nil"/>
              <w:bottom w:val="single" w:sz="4" w:space="0" w:color="auto"/>
              <w:right w:val="single" w:sz="4" w:space="0" w:color="auto"/>
            </w:tcBorders>
            <w:shd w:val="clear" w:color="auto" w:fill="auto"/>
            <w:noWrap/>
            <w:vAlign w:val="center"/>
            <w:hideMark/>
          </w:tcPr>
          <w:p w14:paraId="0532EE56" w14:textId="77777777" w:rsidR="008C4F26" w:rsidRPr="003B6A69" w:rsidRDefault="008C4F26" w:rsidP="00661293">
            <w:pPr>
              <w:spacing w:after="0"/>
              <w:jc w:val="left"/>
              <w:rPr>
                <w:rFonts w:eastAsia="Times New Roman"/>
                <w:color w:val="000000"/>
                <w:szCs w:val="20"/>
                <w:lang w:val="en-GB"/>
              </w:rPr>
            </w:pPr>
            <w:r w:rsidRPr="003B6A69">
              <w:rPr>
                <w:rFonts w:eastAsia="Times New Roman"/>
                <w:color w:val="000000"/>
                <w:szCs w:val="20"/>
                <w:lang w:val="en-GB"/>
              </w:rPr>
              <w:t>0</w:t>
            </w:r>
          </w:p>
        </w:tc>
      </w:tr>
      <w:tr w:rsidR="008C4F26" w:rsidRPr="003B6A69" w14:paraId="05BFB7FE" w14:textId="77777777" w:rsidTr="00661293">
        <w:trPr>
          <w:trHeight w:val="107"/>
        </w:trPr>
        <w:tc>
          <w:tcPr>
            <w:tcW w:w="5642" w:type="dxa"/>
            <w:tcBorders>
              <w:top w:val="nil"/>
              <w:left w:val="single" w:sz="4" w:space="0" w:color="auto"/>
              <w:bottom w:val="single" w:sz="4" w:space="0" w:color="auto"/>
              <w:right w:val="single" w:sz="4" w:space="0" w:color="auto"/>
            </w:tcBorders>
            <w:shd w:val="clear" w:color="auto" w:fill="auto"/>
            <w:vAlign w:val="bottom"/>
            <w:hideMark/>
          </w:tcPr>
          <w:p w14:paraId="0202EE28" w14:textId="77777777" w:rsidR="008C4F26" w:rsidRPr="003B6A69" w:rsidRDefault="008C4F26" w:rsidP="00661293">
            <w:pPr>
              <w:spacing w:after="0"/>
              <w:jc w:val="left"/>
              <w:rPr>
                <w:rFonts w:eastAsia="Times New Roman"/>
                <w:color w:val="000000"/>
                <w:szCs w:val="20"/>
                <w:lang w:val="en-GB"/>
              </w:rPr>
            </w:pPr>
            <w:proofErr w:type="spellStart"/>
            <w:r w:rsidRPr="003B6A69">
              <w:rPr>
                <w:rFonts w:eastAsia="Times New Roman"/>
                <w:color w:val="000000"/>
                <w:szCs w:val="20"/>
                <w:lang w:val="en-GB"/>
              </w:rPr>
              <w:t>Manastirska</w:t>
            </w:r>
            <w:proofErr w:type="spellEnd"/>
            <w:r w:rsidRPr="003B6A69">
              <w:rPr>
                <w:rFonts w:eastAsia="Times New Roman"/>
                <w:color w:val="000000"/>
                <w:szCs w:val="20"/>
                <w:lang w:val="en-GB"/>
              </w:rPr>
              <w:t xml:space="preserve"> </w:t>
            </w:r>
            <w:proofErr w:type="spellStart"/>
            <w:r w:rsidRPr="003B6A69">
              <w:rPr>
                <w:rFonts w:eastAsia="Times New Roman"/>
                <w:color w:val="000000"/>
                <w:szCs w:val="20"/>
                <w:lang w:val="en-GB"/>
              </w:rPr>
              <w:t>tapija</w:t>
            </w:r>
            <w:proofErr w:type="spellEnd"/>
          </w:p>
        </w:tc>
        <w:tc>
          <w:tcPr>
            <w:tcW w:w="1842" w:type="dxa"/>
            <w:gridSpan w:val="3"/>
            <w:tcBorders>
              <w:top w:val="nil"/>
              <w:left w:val="nil"/>
              <w:bottom w:val="single" w:sz="4" w:space="0" w:color="auto"/>
              <w:right w:val="single" w:sz="4" w:space="0" w:color="auto"/>
            </w:tcBorders>
            <w:shd w:val="clear" w:color="auto" w:fill="auto"/>
            <w:noWrap/>
            <w:vAlign w:val="center"/>
            <w:hideMark/>
          </w:tcPr>
          <w:p w14:paraId="45771DD1" w14:textId="77777777" w:rsidR="008C4F26" w:rsidRPr="003B6A69" w:rsidRDefault="008C4F26" w:rsidP="00661293">
            <w:pPr>
              <w:spacing w:after="0"/>
              <w:jc w:val="left"/>
              <w:rPr>
                <w:rFonts w:eastAsia="Times New Roman"/>
                <w:color w:val="000000"/>
                <w:szCs w:val="20"/>
                <w:lang w:val="en-GB"/>
              </w:rPr>
            </w:pPr>
            <w:r w:rsidRPr="003B6A69">
              <w:rPr>
                <w:rFonts w:eastAsia="Times New Roman"/>
                <w:color w:val="000000"/>
                <w:szCs w:val="20"/>
                <w:lang w:val="en-GB"/>
              </w:rPr>
              <w:t>120</w:t>
            </w:r>
          </w:p>
        </w:tc>
      </w:tr>
      <w:tr w:rsidR="008C4F26" w:rsidRPr="003B6A69" w14:paraId="31F35895" w14:textId="77777777" w:rsidTr="00661293">
        <w:trPr>
          <w:gridAfter w:val="1"/>
          <w:wAfter w:w="26" w:type="dxa"/>
          <w:trHeight w:val="58"/>
        </w:trPr>
        <w:tc>
          <w:tcPr>
            <w:tcW w:w="7458" w:type="dxa"/>
            <w:gridSpan w:val="3"/>
            <w:tcBorders>
              <w:top w:val="nil"/>
              <w:left w:val="single" w:sz="4" w:space="0" w:color="auto"/>
              <w:bottom w:val="single" w:sz="4" w:space="0" w:color="auto"/>
              <w:right w:val="single" w:sz="4" w:space="0" w:color="auto"/>
            </w:tcBorders>
            <w:shd w:val="clear" w:color="auto" w:fill="auto"/>
            <w:vAlign w:val="bottom"/>
            <w:hideMark/>
          </w:tcPr>
          <w:p w14:paraId="27024652" w14:textId="77777777" w:rsidR="008C4F26" w:rsidRPr="003B6A69" w:rsidRDefault="008C4F26" w:rsidP="00661293">
            <w:pPr>
              <w:spacing w:after="0"/>
              <w:jc w:val="left"/>
              <w:rPr>
                <w:rFonts w:eastAsia="Times New Roman"/>
                <w:b/>
                <w:color w:val="000000"/>
                <w:szCs w:val="20"/>
                <w:lang w:val="en-GB"/>
              </w:rPr>
            </w:pPr>
          </w:p>
          <w:p w14:paraId="1D50705D" w14:textId="77777777" w:rsidR="008C4F26" w:rsidRPr="003B6A69" w:rsidRDefault="008C4F26" w:rsidP="00661293">
            <w:pPr>
              <w:spacing w:after="0"/>
              <w:jc w:val="left"/>
              <w:rPr>
                <w:rFonts w:eastAsia="Times New Roman"/>
                <w:b/>
                <w:szCs w:val="20"/>
                <w:lang w:val="en-GB"/>
              </w:rPr>
            </w:pPr>
            <w:r w:rsidRPr="003B6A69">
              <w:rPr>
                <w:rFonts w:eastAsia="Times New Roman"/>
                <w:b/>
                <w:color w:val="000000"/>
                <w:szCs w:val="20"/>
                <w:lang w:val="en-GB"/>
              </w:rPr>
              <w:t>National category: National park, IUCN category: II</w:t>
            </w:r>
          </w:p>
        </w:tc>
      </w:tr>
      <w:tr w:rsidR="008C4F26" w:rsidRPr="003B6A69" w14:paraId="175D724F" w14:textId="77777777" w:rsidTr="00661293">
        <w:trPr>
          <w:trHeight w:val="89"/>
        </w:trPr>
        <w:tc>
          <w:tcPr>
            <w:tcW w:w="5642" w:type="dxa"/>
            <w:tcBorders>
              <w:top w:val="nil"/>
              <w:left w:val="single" w:sz="4" w:space="0" w:color="auto"/>
              <w:bottom w:val="single" w:sz="4" w:space="0" w:color="auto"/>
              <w:right w:val="single" w:sz="4" w:space="0" w:color="auto"/>
            </w:tcBorders>
            <w:shd w:val="clear" w:color="auto" w:fill="auto"/>
            <w:vAlign w:val="bottom"/>
            <w:hideMark/>
          </w:tcPr>
          <w:p w14:paraId="5F9A19D4" w14:textId="77777777" w:rsidR="008C4F26" w:rsidRPr="003B6A69" w:rsidRDefault="008C4F26" w:rsidP="00661293">
            <w:pPr>
              <w:spacing w:after="0"/>
              <w:jc w:val="left"/>
              <w:rPr>
                <w:rFonts w:eastAsia="Times New Roman"/>
                <w:color w:val="000000"/>
                <w:szCs w:val="20"/>
                <w:lang w:val="en-GB"/>
              </w:rPr>
            </w:pPr>
            <w:proofErr w:type="spellStart"/>
            <w:r w:rsidRPr="003B6A69">
              <w:rPr>
                <w:rFonts w:eastAsia="Times New Roman"/>
                <w:color w:val="000000"/>
                <w:szCs w:val="20"/>
                <w:lang w:val="en-GB"/>
              </w:rPr>
              <w:t>Durmitor</w:t>
            </w:r>
            <w:proofErr w:type="spellEnd"/>
            <w:r w:rsidRPr="003B6A69">
              <w:rPr>
                <w:rFonts w:eastAsia="Times New Roman"/>
                <w:color w:val="000000"/>
                <w:szCs w:val="20"/>
                <w:lang w:val="en-GB"/>
              </w:rPr>
              <w:t xml:space="preserve"> </w:t>
            </w:r>
          </w:p>
        </w:tc>
        <w:tc>
          <w:tcPr>
            <w:tcW w:w="1842" w:type="dxa"/>
            <w:gridSpan w:val="3"/>
            <w:tcBorders>
              <w:top w:val="nil"/>
              <w:left w:val="nil"/>
              <w:bottom w:val="single" w:sz="4" w:space="0" w:color="auto"/>
              <w:right w:val="single" w:sz="4" w:space="0" w:color="auto"/>
            </w:tcBorders>
            <w:shd w:val="clear" w:color="auto" w:fill="auto"/>
            <w:noWrap/>
            <w:vAlign w:val="center"/>
            <w:hideMark/>
          </w:tcPr>
          <w:p w14:paraId="35DDC1B8" w14:textId="77777777" w:rsidR="008C4F26" w:rsidRPr="003B6A69" w:rsidRDefault="008C4F26" w:rsidP="00661293">
            <w:pPr>
              <w:spacing w:after="0"/>
              <w:jc w:val="left"/>
              <w:rPr>
                <w:rFonts w:eastAsia="Times New Roman"/>
                <w:color w:val="000000"/>
                <w:szCs w:val="20"/>
                <w:lang w:val="en-GB"/>
              </w:rPr>
            </w:pPr>
            <w:r w:rsidRPr="003B6A69">
              <w:rPr>
                <w:rFonts w:eastAsia="Times New Roman"/>
                <w:color w:val="000000"/>
                <w:szCs w:val="20"/>
                <w:lang w:val="en-GB"/>
              </w:rPr>
              <w:t>32,519</w:t>
            </w:r>
          </w:p>
        </w:tc>
      </w:tr>
      <w:tr w:rsidR="008C4F26" w:rsidRPr="003B6A69" w14:paraId="08CCE4D5" w14:textId="77777777" w:rsidTr="00661293">
        <w:trPr>
          <w:trHeight w:val="58"/>
        </w:trPr>
        <w:tc>
          <w:tcPr>
            <w:tcW w:w="5642" w:type="dxa"/>
            <w:tcBorders>
              <w:top w:val="nil"/>
              <w:left w:val="single" w:sz="4" w:space="0" w:color="auto"/>
              <w:bottom w:val="single" w:sz="4" w:space="0" w:color="auto"/>
              <w:right w:val="single" w:sz="4" w:space="0" w:color="auto"/>
            </w:tcBorders>
            <w:shd w:val="clear" w:color="auto" w:fill="auto"/>
            <w:vAlign w:val="bottom"/>
            <w:hideMark/>
          </w:tcPr>
          <w:p w14:paraId="76F6F898" w14:textId="77777777" w:rsidR="008C4F26" w:rsidRPr="003B6A69" w:rsidRDefault="008C4F26" w:rsidP="00661293">
            <w:pPr>
              <w:spacing w:after="0"/>
              <w:jc w:val="left"/>
              <w:rPr>
                <w:rFonts w:eastAsia="Times New Roman"/>
                <w:color w:val="000000"/>
                <w:szCs w:val="20"/>
                <w:lang w:val="en-GB"/>
              </w:rPr>
            </w:pPr>
            <w:proofErr w:type="spellStart"/>
            <w:r w:rsidRPr="003B6A69">
              <w:rPr>
                <w:rFonts w:eastAsia="Times New Roman"/>
                <w:color w:val="000000"/>
                <w:szCs w:val="20"/>
                <w:lang w:val="en-GB"/>
              </w:rPr>
              <w:t>Biogradska</w:t>
            </w:r>
            <w:proofErr w:type="spellEnd"/>
            <w:r w:rsidRPr="003B6A69">
              <w:rPr>
                <w:rFonts w:eastAsia="Times New Roman"/>
                <w:color w:val="000000"/>
                <w:szCs w:val="20"/>
                <w:lang w:val="en-GB"/>
              </w:rPr>
              <w:t xml:space="preserve"> </w:t>
            </w:r>
            <w:proofErr w:type="spellStart"/>
            <w:r w:rsidRPr="003B6A69">
              <w:rPr>
                <w:rFonts w:eastAsia="Times New Roman"/>
                <w:color w:val="000000"/>
                <w:szCs w:val="20"/>
                <w:lang w:val="en-GB"/>
              </w:rPr>
              <w:t>gora</w:t>
            </w:r>
            <w:proofErr w:type="spellEnd"/>
          </w:p>
        </w:tc>
        <w:tc>
          <w:tcPr>
            <w:tcW w:w="1842" w:type="dxa"/>
            <w:gridSpan w:val="3"/>
            <w:tcBorders>
              <w:top w:val="nil"/>
              <w:left w:val="nil"/>
              <w:bottom w:val="single" w:sz="4" w:space="0" w:color="auto"/>
              <w:right w:val="single" w:sz="4" w:space="0" w:color="auto"/>
            </w:tcBorders>
            <w:shd w:val="clear" w:color="auto" w:fill="auto"/>
            <w:noWrap/>
            <w:vAlign w:val="center"/>
            <w:hideMark/>
          </w:tcPr>
          <w:p w14:paraId="7BABCC63" w14:textId="77777777" w:rsidR="008C4F26" w:rsidRPr="003B6A69" w:rsidRDefault="008C4F26" w:rsidP="00661293">
            <w:pPr>
              <w:spacing w:after="0"/>
              <w:jc w:val="left"/>
              <w:rPr>
                <w:rFonts w:eastAsia="Times New Roman"/>
                <w:color w:val="000000"/>
                <w:szCs w:val="20"/>
                <w:lang w:val="en-GB"/>
              </w:rPr>
            </w:pPr>
            <w:r w:rsidRPr="003B6A69">
              <w:rPr>
                <w:rFonts w:eastAsia="Times New Roman"/>
                <w:color w:val="000000"/>
                <w:szCs w:val="20"/>
                <w:lang w:val="en-GB"/>
              </w:rPr>
              <w:t>5,650</w:t>
            </w:r>
          </w:p>
        </w:tc>
      </w:tr>
      <w:tr w:rsidR="008C4F26" w:rsidRPr="003B6A69" w14:paraId="6007343D" w14:textId="77777777" w:rsidTr="00661293">
        <w:trPr>
          <w:trHeight w:val="58"/>
        </w:trPr>
        <w:tc>
          <w:tcPr>
            <w:tcW w:w="5642" w:type="dxa"/>
            <w:tcBorders>
              <w:top w:val="nil"/>
              <w:left w:val="single" w:sz="4" w:space="0" w:color="auto"/>
              <w:bottom w:val="single" w:sz="4" w:space="0" w:color="auto"/>
              <w:right w:val="single" w:sz="4" w:space="0" w:color="auto"/>
            </w:tcBorders>
            <w:shd w:val="clear" w:color="auto" w:fill="auto"/>
            <w:vAlign w:val="bottom"/>
            <w:hideMark/>
          </w:tcPr>
          <w:p w14:paraId="37738464" w14:textId="77777777" w:rsidR="008C4F26" w:rsidRPr="003B6A69" w:rsidRDefault="008C4F26" w:rsidP="00661293">
            <w:pPr>
              <w:spacing w:after="0"/>
              <w:jc w:val="left"/>
              <w:rPr>
                <w:rFonts w:eastAsia="Times New Roman"/>
                <w:color w:val="000000"/>
                <w:szCs w:val="20"/>
                <w:lang w:val="en-GB"/>
              </w:rPr>
            </w:pPr>
            <w:r w:rsidRPr="003B6A69">
              <w:rPr>
                <w:rFonts w:eastAsia="Times New Roman"/>
                <w:color w:val="000000"/>
                <w:szCs w:val="20"/>
                <w:lang w:val="en-GB"/>
              </w:rPr>
              <w:t>Prokletije</w:t>
            </w:r>
          </w:p>
        </w:tc>
        <w:tc>
          <w:tcPr>
            <w:tcW w:w="1842" w:type="dxa"/>
            <w:gridSpan w:val="3"/>
            <w:tcBorders>
              <w:top w:val="nil"/>
              <w:left w:val="nil"/>
              <w:bottom w:val="single" w:sz="4" w:space="0" w:color="auto"/>
              <w:right w:val="single" w:sz="4" w:space="0" w:color="auto"/>
            </w:tcBorders>
            <w:shd w:val="clear" w:color="auto" w:fill="auto"/>
            <w:noWrap/>
            <w:vAlign w:val="center"/>
            <w:hideMark/>
          </w:tcPr>
          <w:p w14:paraId="65AAAEF7" w14:textId="77777777" w:rsidR="008C4F26" w:rsidRPr="003B6A69" w:rsidRDefault="008C4F26" w:rsidP="00661293">
            <w:pPr>
              <w:spacing w:after="0"/>
              <w:jc w:val="left"/>
              <w:rPr>
                <w:rFonts w:eastAsia="Times New Roman"/>
                <w:color w:val="000000"/>
                <w:szCs w:val="20"/>
                <w:lang w:val="en-GB"/>
              </w:rPr>
            </w:pPr>
            <w:r w:rsidRPr="003B6A69">
              <w:rPr>
                <w:rFonts w:eastAsia="Times New Roman"/>
                <w:color w:val="000000"/>
                <w:szCs w:val="20"/>
                <w:lang w:val="en-GB"/>
              </w:rPr>
              <w:t>16,038</w:t>
            </w:r>
          </w:p>
        </w:tc>
      </w:tr>
      <w:tr w:rsidR="008C4F26" w:rsidRPr="003B6A69" w14:paraId="54E945DB" w14:textId="77777777" w:rsidTr="00661293">
        <w:trPr>
          <w:trHeight w:val="58"/>
        </w:trPr>
        <w:tc>
          <w:tcPr>
            <w:tcW w:w="5642" w:type="dxa"/>
            <w:tcBorders>
              <w:top w:val="nil"/>
              <w:left w:val="single" w:sz="4" w:space="0" w:color="auto"/>
              <w:bottom w:val="single" w:sz="4" w:space="0" w:color="auto"/>
              <w:right w:val="single" w:sz="4" w:space="0" w:color="auto"/>
            </w:tcBorders>
            <w:shd w:val="clear" w:color="auto" w:fill="auto"/>
            <w:vAlign w:val="bottom"/>
            <w:hideMark/>
          </w:tcPr>
          <w:p w14:paraId="0F6BE154" w14:textId="77777777" w:rsidR="008C4F26" w:rsidRPr="003B6A69" w:rsidRDefault="008C4F26" w:rsidP="00661293">
            <w:pPr>
              <w:spacing w:after="0"/>
              <w:jc w:val="left"/>
              <w:rPr>
                <w:rFonts w:eastAsia="Times New Roman"/>
                <w:color w:val="000000"/>
                <w:szCs w:val="20"/>
                <w:lang w:val="en-GB"/>
              </w:rPr>
            </w:pPr>
            <w:proofErr w:type="spellStart"/>
            <w:r w:rsidRPr="003B6A69">
              <w:rPr>
                <w:rFonts w:eastAsia="Times New Roman"/>
                <w:color w:val="000000"/>
                <w:szCs w:val="20"/>
                <w:lang w:val="en-GB"/>
              </w:rPr>
              <w:t>Skadarsko</w:t>
            </w:r>
            <w:proofErr w:type="spellEnd"/>
            <w:r w:rsidRPr="003B6A69">
              <w:rPr>
                <w:rFonts w:eastAsia="Times New Roman"/>
                <w:color w:val="000000"/>
                <w:szCs w:val="20"/>
                <w:lang w:val="en-GB"/>
              </w:rPr>
              <w:t xml:space="preserve"> </w:t>
            </w:r>
            <w:proofErr w:type="spellStart"/>
            <w:r w:rsidRPr="003B6A69">
              <w:rPr>
                <w:rFonts w:eastAsia="Times New Roman"/>
                <w:color w:val="000000"/>
                <w:szCs w:val="20"/>
                <w:lang w:val="en-GB"/>
              </w:rPr>
              <w:t>jezero</w:t>
            </w:r>
            <w:proofErr w:type="spellEnd"/>
            <w:r w:rsidRPr="003B6A69">
              <w:rPr>
                <w:rFonts w:eastAsia="Times New Roman"/>
                <w:color w:val="000000"/>
                <w:szCs w:val="20"/>
                <w:lang w:val="en-GB"/>
              </w:rPr>
              <w:t xml:space="preserve"> </w:t>
            </w:r>
          </w:p>
        </w:tc>
        <w:tc>
          <w:tcPr>
            <w:tcW w:w="1842" w:type="dxa"/>
            <w:gridSpan w:val="3"/>
            <w:tcBorders>
              <w:top w:val="nil"/>
              <w:left w:val="nil"/>
              <w:bottom w:val="single" w:sz="4" w:space="0" w:color="auto"/>
              <w:right w:val="single" w:sz="4" w:space="0" w:color="auto"/>
            </w:tcBorders>
            <w:shd w:val="clear" w:color="auto" w:fill="auto"/>
            <w:noWrap/>
            <w:vAlign w:val="center"/>
            <w:hideMark/>
          </w:tcPr>
          <w:p w14:paraId="38B00CD6" w14:textId="77777777" w:rsidR="008C4F26" w:rsidRPr="003B6A69" w:rsidRDefault="008C4F26" w:rsidP="00661293">
            <w:pPr>
              <w:spacing w:after="0"/>
              <w:jc w:val="left"/>
              <w:rPr>
                <w:rFonts w:eastAsia="Times New Roman"/>
                <w:color w:val="000000"/>
                <w:szCs w:val="20"/>
                <w:lang w:val="en-GB"/>
              </w:rPr>
            </w:pPr>
            <w:r w:rsidRPr="003B6A69">
              <w:rPr>
                <w:rFonts w:eastAsia="Times New Roman"/>
                <w:color w:val="000000"/>
                <w:szCs w:val="20"/>
                <w:lang w:val="en-GB"/>
              </w:rPr>
              <w:t>40,000</w:t>
            </w:r>
          </w:p>
        </w:tc>
      </w:tr>
      <w:tr w:rsidR="008C4F26" w:rsidRPr="003B6A69" w14:paraId="6E9BD4D8" w14:textId="77777777" w:rsidTr="00661293">
        <w:trPr>
          <w:trHeight w:val="185"/>
        </w:trPr>
        <w:tc>
          <w:tcPr>
            <w:tcW w:w="5642" w:type="dxa"/>
            <w:tcBorders>
              <w:top w:val="nil"/>
              <w:left w:val="single" w:sz="4" w:space="0" w:color="auto"/>
              <w:bottom w:val="single" w:sz="4" w:space="0" w:color="auto"/>
              <w:right w:val="single" w:sz="4" w:space="0" w:color="auto"/>
            </w:tcBorders>
            <w:shd w:val="clear" w:color="auto" w:fill="auto"/>
            <w:vAlign w:val="bottom"/>
            <w:hideMark/>
          </w:tcPr>
          <w:p w14:paraId="1429D3C7" w14:textId="77777777" w:rsidR="008C4F26" w:rsidRPr="003B6A69" w:rsidRDefault="008C4F26" w:rsidP="00661293">
            <w:pPr>
              <w:spacing w:after="0"/>
              <w:jc w:val="left"/>
              <w:rPr>
                <w:rFonts w:eastAsia="Times New Roman"/>
                <w:color w:val="000000"/>
                <w:szCs w:val="20"/>
                <w:lang w:val="en-GB"/>
              </w:rPr>
            </w:pPr>
            <w:proofErr w:type="spellStart"/>
            <w:r w:rsidRPr="003B6A69">
              <w:rPr>
                <w:rFonts w:eastAsia="Times New Roman"/>
                <w:color w:val="000000"/>
                <w:szCs w:val="20"/>
                <w:lang w:val="en-GB"/>
              </w:rPr>
              <w:t>Lovcen</w:t>
            </w:r>
            <w:proofErr w:type="spellEnd"/>
          </w:p>
        </w:tc>
        <w:tc>
          <w:tcPr>
            <w:tcW w:w="1842" w:type="dxa"/>
            <w:gridSpan w:val="3"/>
            <w:tcBorders>
              <w:top w:val="nil"/>
              <w:left w:val="nil"/>
              <w:bottom w:val="single" w:sz="4" w:space="0" w:color="auto"/>
              <w:right w:val="single" w:sz="4" w:space="0" w:color="auto"/>
            </w:tcBorders>
            <w:shd w:val="clear" w:color="auto" w:fill="auto"/>
            <w:noWrap/>
            <w:vAlign w:val="center"/>
            <w:hideMark/>
          </w:tcPr>
          <w:p w14:paraId="23AE3E61" w14:textId="77777777" w:rsidR="008C4F26" w:rsidRPr="003B6A69" w:rsidRDefault="008C4F26" w:rsidP="00661293">
            <w:pPr>
              <w:spacing w:after="0"/>
              <w:jc w:val="left"/>
              <w:rPr>
                <w:rFonts w:eastAsia="Times New Roman"/>
                <w:color w:val="000000"/>
                <w:szCs w:val="20"/>
                <w:lang w:val="en-GB"/>
              </w:rPr>
            </w:pPr>
            <w:r w:rsidRPr="003B6A69">
              <w:rPr>
                <w:rFonts w:eastAsia="Times New Roman"/>
                <w:color w:val="000000"/>
                <w:szCs w:val="20"/>
                <w:lang w:val="en-GB"/>
              </w:rPr>
              <w:t>6,220</w:t>
            </w:r>
          </w:p>
        </w:tc>
      </w:tr>
      <w:tr w:rsidR="008C4F26" w:rsidRPr="003B6A69" w14:paraId="5E4FD251" w14:textId="77777777" w:rsidTr="00661293">
        <w:trPr>
          <w:gridAfter w:val="1"/>
          <w:wAfter w:w="26" w:type="dxa"/>
          <w:trHeight w:val="58"/>
        </w:trPr>
        <w:tc>
          <w:tcPr>
            <w:tcW w:w="7458" w:type="dxa"/>
            <w:gridSpan w:val="3"/>
            <w:tcBorders>
              <w:top w:val="nil"/>
              <w:left w:val="single" w:sz="4" w:space="0" w:color="auto"/>
              <w:bottom w:val="single" w:sz="4" w:space="0" w:color="auto"/>
              <w:right w:val="single" w:sz="4" w:space="0" w:color="auto"/>
            </w:tcBorders>
            <w:shd w:val="clear" w:color="auto" w:fill="auto"/>
            <w:vAlign w:val="bottom"/>
            <w:hideMark/>
          </w:tcPr>
          <w:p w14:paraId="6B4158DA" w14:textId="77777777" w:rsidR="008C4F26" w:rsidRPr="003B6A69" w:rsidRDefault="008C4F26" w:rsidP="00661293">
            <w:pPr>
              <w:spacing w:after="0"/>
              <w:jc w:val="left"/>
              <w:rPr>
                <w:rFonts w:eastAsia="Times New Roman"/>
                <w:b/>
                <w:color w:val="000000"/>
                <w:szCs w:val="20"/>
                <w:lang w:val="en-GB"/>
              </w:rPr>
            </w:pPr>
          </w:p>
          <w:p w14:paraId="44FAA319" w14:textId="77777777" w:rsidR="008C4F26" w:rsidRPr="003B6A69" w:rsidRDefault="008C4F26" w:rsidP="00661293">
            <w:pPr>
              <w:spacing w:after="0"/>
              <w:jc w:val="left"/>
              <w:rPr>
                <w:rFonts w:eastAsia="Times New Roman"/>
                <w:b/>
                <w:szCs w:val="20"/>
                <w:lang w:val="en-GB"/>
              </w:rPr>
            </w:pPr>
            <w:r w:rsidRPr="003B6A69">
              <w:rPr>
                <w:rFonts w:eastAsia="Times New Roman"/>
                <w:b/>
                <w:color w:val="000000"/>
                <w:szCs w:val="20"/>
                <w:lang w:val="en-GB"/>
              </w:rPr>
              <w:t>National category: Nature park, IUCN category: V</w:t>
            </w:r>
          </w:p>
        </w:tc>
      </w:tr>
      <w:tr w:rsidR="008C4F26" w:rsidRPr="003B6A69" w14:paraId="613AB1B2" w14:textId="77777777" w:rsidTr="00661293">
        <w:trPr>
          <w:trHeight w:val="58"/>
        </w:trPr>
        <w:tc>
          <w:tcPr>
            <w:tcW w:w="5642" w:type="dxa"/>
            <w:tcBorders>
              <w:top w:val="nil"/>
              <w:left w:val="single" w:sz="4" w:space="0" w:color="auto"/>
              <w:bottom w:val="single" w:sz="4" w:space="0" w:color="auto"/>
              <w:right w:val="single" w:sz="4" w:space="0" w:color="auto"/>
            </w:tcBorders>
            <w:shd w:val="clear" w:color="auto" w:fill="auto"/>
            <w:vAlign w:val="bottom"/>
            <w:hideMark/>
          </w:tcPr>
          <w:p w14:paraId="37445E45" w14:textId="77777777" w:rsidR="008C4F26" w:rsidRPr="003B6A69" w:rsidRDefault="008C4F26" w:rsidP="00661293">
            <w:pPr>
              <w:spacing w:after="0"/>
              <w:jc w:val="left"/>
              <w:rPr>
                <w:rFonts w:eastAsia="Times New Roman"/>
                <w:color w:val="000000"/>
                <w:szCs w:val="20"/>
                <w:lang w:val="en-GB"/>
              </w:rPr>
            </w:pPr>
            <w:proofErr w:type="spellStart"/>
            <w:r w:rsidRPr="003B6A69">
              <w:rPr>
                <w:rFonts w:eastAsia="Times New Roman"/>
                <w:color w:val="000000"/>
                <w:szCs w:val="20"/>
                <w:lang w:val="en-GB"/>
              </w:rPr>
              <w:t>Orjen</w:t>
            </w:r>
            <w:proofErr w:type="spellEnd"/>
          </w:p>
        </w:tc>
        <w:tc>
          <w:tcPr>
            <w:tcW w:w="1842" w:type="dxa"/>
            <w:gridSpan w:val="3"/>
            <w:tcBorders>
              <w:top w:val="nil"/>
              <w:left w:val="nil"/>
              <w:bottom w:val="single" w:sz="4" w:space="0" w:color="auto"/>
              <w:right w:val="single" w:sz="4" w:space="0" w:color="auto"/>
            </w:tcBorders>
            <w:shd w:val="clear" w:color="auto" w:fill="auto"/>
            <w:noWrap/>
            <w:vAlign w:val="center"/>
            <w:hideMark/>
          </w:tcPr>
          <w:p w14:paraId="54E145AC" w14:textId="77777777" w:rsidR="008C4F26" w:rsidRPr="003B6A69" w:rsidRDefault="008C4F26" w:rsidP="00661293">
            <w:pPr>
              <w:spacing w:after="0"/>
              <w:jc w:val="left"/>
              <w:rPr>
                <w:rFonts w:eastAsia="Times New Roman"/>
                <w:color w:val="000000"/>
                <w:szCs w:val="20"/>
                <w:lang w:val="en-GB"/>
              </w:rPr>
            </w:pPr>
            <w:r w:rsidRPr="003B6A69">
              <w:rPr>
                <w:rFonts w:eastAsia="Times New Roman"/>
                <w:color w:val="000000"/>
                <w:szCs w:val="20"/>
                <w:lang w:val="en-GB"/>
              </w:rPr>
              <w:t>8,797</w:t>
            </w:r>
          </w:p>
        </w:tc>
      </w:tr>
      <w:tr w:rsidR="008C4F26" w:rsidRPr="003B6A69" w14:paraId="32C21B3C" w14:textId="77777777" w:rsidTr="00661293">
        <w:trPr>
          <w:trHeight w:val="58"/>
        </w:trPr>
        <w:tc>
          <w:tcPr>
            <w:tcW w:w="5642" w:type="dxa"/>
            <w:tcBorders>
              <w:top w:val="nil"/>
              <w:left w:val="single" w:sz="4" w:space="0" w:color="auto"/>
              <w:bottom w:val="single" w:sz="4" w:space="0" w:color="auto"/>
              <w:right w:val="single" w:sz="4" w:space="0" w:color="auto"/>
            </w:tcBorders>
            <w:shd w:val="clear" w:color="auto" w:fill="auto"/>
            <w:vAlign w:val="bottom"/>
            <w:hideMark/>
          </w:tcPr>
          <w:p w14:paraId="23BFEE2E" w14:textId="77777777" w:rsidR="008C4F26" w:rsidRPr="003B6A69" w:rsidRDefault="008C4F26" w:rsidP="00661293">
            <w:pPr>
              <w:spacing w:after="0"/>
              <w:jc w:val="left"/>
              <w:rPr>
                <w:rFonts w:eastAsia="Times New Roman"/>
                <w:color w:val="000000"/>
                <w:szCs w:val="20"/>
                <w:lang w:val="en-GB"/>
              </w:rPr>
            </w:pPr>
            <w:proofErr w:type="spellStart"/>
            <w:r w:rsidRPr="003B6A69">
              <w:rPr>
                <w:rFonts w:eastAsia="Times New Roman"/>
                <w:color w:val="000000"/>
                <w:szCs w:val="20"/>
                <w:lang w:val="en-GB"/>
              </w:rPr>
              <w:t>Dragisnica</w:t>
            </w:r>
            <w:proofErr w:type="spellEnd"/>
            <w:r w:rsidRPr="003B6A69">
              <w:rPr>
                <w:rFonts w:eastAsia="Times New Roman"/>
                <w:color w:val="000000"/>
                <w:szCs w:val="20"/>
                <w:lang w:val="en-GB"/>
              </w:rPr>
              <w:t xml:space="preserve"> </w:t>
            </w:r>
            <w:proofErr w:type="spellStart"/>
            <w:r w:rsidRPr="003B6A69">
              <w:rPr>
                <w:rFonts w:eastAsia="Times New Roman"/>
                <w:color w:val="000000"/>
                <w:szCs w:val="20"/>
                <w:lang w:val="en-GB"/>
              </w:rPr>
              <w:t>i</w:t>
            </w:r>
            <w:proofErr w:type="spellEnd"/>
            <w:r w:rsidRPr="003B6A69">
              <w:rPr>
                <w:rFonts w:eastAsia="Times New Roman"/>
                <w:color w:val="000000"/>
                <w:szCs w:val="20"/>
                <w:lang w:val="en-GB"/>
              </w:rPr>
              <w:t xml:space="preserve"> </w:t>
            </w:r>
            <w:proofErr w:type="spellStart"/>
            <w:r w:rsidRPr="003B6A69">
              <w:rPr>
                <w:rFonts w:eastAsia="Times New Roman"/>
                <w:color w:val="000000"/>
                <w:szCs w:val="20"/>
                <w:lang w:val="en-GB"/>
              </w:rPr>
              <w:t>Komarnica</w:t>
            </w:r>
            <w:proofErr w:type="spellEnd"/>
          </w:p>
        </w:tc>
        <w:tc>
          <w:tcPr>
            <w:tcW w:w="1842" w:type="dxa"/>
            <w:gridSpan w:val="3"/>
            <w:tcBorders>
              <w:top w:val="nil"/>
              <w:left w:val="nil"/>
              <w:bottom w:val="single" w:sz="4" w:space="0" w:color="auto"/>
              <w:right w:val="single" w:sz="4" w:space="0" w:color="auto"/>
            </w:tcBorders>
            <w:shd w:val="clear" w:color="auto" w:fill="auto"/>
            <w:noWrap/>
            <w:vAlign w:val="center"/>
            <w:hideMark/>
          </w:tcPr>
          <w:p w14:paraId="15211F80" w14:textId="77777777" w:rsidR="008C4F26" w:rsidRPr="003B6A69" w:rsidRDefault="008C4F26" w:rsidP="00661293">
            <w:pPr>
              <w:spacing w:after="0"/>
              <w:jc w:val="left"/>
              <w:rPr>
                <w:rFonts w:eastAsia="Times New Roman"/>
                <w:color w:val="000000"/>
                <w:szCs w:val="20"/>
                <w:lang w:val="en-GB"/>
              </w:rPr>
            </w:pPr>
            <w:r w:rsidRPr="003B6A69">
              <w:rPr>
                <w:rFonts w:eastAsia="Times New Roman"/>
                <w:color w:val="000000"/>
                <w:szCs w:val="20"/>
                <w:lang w:val="en-GB"/>
              </w:rPr>
              <w:t>2,994</w:t>
            </w:r>
          </w:p>
        </w:tc>
      </w:tr>
      <w:tr w:rsidR="008C4F26" w:rsidRPr="003B6A69" w14:paraId="06288A21" w14:textId="77777777" w:rsidTr="00661293">
        <w:trPr>
          <w:trHeight w:val="58"/>
        </w:trPr>
        <w:tc>
          <w:tcPr>
            <w:tcW w:w="5642" w:type="dxa"/>
            <w:tcBorders>
              <w:top w:val="nil"/>
              <w:left w:val="single" w:sz="4" w:space="0" w:color="auto"/>
              <w:bottom w:val="single" w:sz="4" w:space="0" w:color="auto"/>
              <w:right w:val="single" w:sz="4" w:space="0" w:color="auto"/>
            </w:tcBorders>
            <w:shd w:val="clear" w:color="auto" w:fill="auto"/>
            <w:vAlign w:val="bottom"/>
            <w:hideMark/>
          </w:tcPr>
          <w:p w14:paraId="5B9BAD4E" w14:textId="77777777" w:rsidR="008C4F26" w:rsidRPr="003B6A69" w:rsidRDefault="008C4F26" w:rsidP="00661293">
            <w:pPr>
              <w:spacing w:after="0"/>
              <w:jc w:val="left"/>
              <w:rPr>
                <w:rFonts w:eastAsia="Times New Roman"/>
                <w:color w:val="000000"/>
                <w:szCs w:val="20"/>
                <w:lang w:val="en-GB"/>
              </w:rPr>
            </w:pPr>
            <w:proofErr w:type="spellStart"/>
            <w:r w:rsidRPr="003B6A69">
              <w:rPr>
                <w:rFonts w:eastAsia="Times New Roman"/>
                <w:color w:val="000000"/>
                <w:szCs w:val="20"/>
                <w:lang w:val="en-GB"/>
              </w:rPr>
              <w:t>Piva</w:t>
            </w:r>
            <w:proofErr w:type="spellEnd"/>
          </w:p>
        </w:tc>
        <w:tc>
          <w:tcPr>
            <w:tcW w:w="1842" w:type="dxa"/>
            <w:gridSpan w:val="3"/>
            <w:tcBorders>
              <w:top w:val="nil"/>
              <w:left w:val="nil"/>
              <w:bottom w:val="single" w:sz="4" w:space="0" w:color="auto"/>
              <w:right w:val="single" w:sz="4" w:space="0" w:color="auto"/>
            </w:tcBorders>
            <w:shd w:val="clear" w:color="auto" w:fill="auto"/>
            <w:noWrap/>
            <w:vAlign w:val="center"/>
            <w:hideMark/>
          </w:tcPr>
          <w:p w14:paraId="7E546160" w14:textId="77777777" w:rsidR="008C4F26" w:rsidRPr="003B6A69" w:rsidRDefault="008C4F26" w:rsidP="00661293">
            <w:pPr>
              <w:spacing w:after="0"/>
              <w:jc w:val="left"/>
              <w:rPr>
                <w:rFonts w:eastAsia="Times New Roman"/>
                <w:color w:val="000000"/>
                <w:szCs w:val="20"/>
                <w:lang w:val="en-GB"/>
              </w:rPr>
            </w:pPr>
            <w:r w:rsidRPr="003B6A69">
              <w:rPr>
                <w:rFonts w:eastAsia="Times New Roman"/>
                <w:color w:val="000000"/>
                <w:szCs w:val="20"/>
                <w:lang w:val="en-GB"/>
              </w:rPr>
              <w:t>32,478</w:t>
            </w:r>
          </w:p>
        </w:tc>
      </w:tr>
      <w:tr w:rsidR="008C4F26" w:rsidRPr="003B6A69" w14:paraId="28B9045D" w14:textId="77777777" w:rsidTr="00661293">
        <w:trPr>
          <w:trHeight w:val="58"/>
        </w:trPr>
        <w:tc>
          <w:tcPr>
            <w:tcW w:w="5642" w:type="dxa"/>
            <w:tcBorders>
              <w:top w:val="nil"/>
              <w:left w:val="single" w:sz="4" w:space="0" w:color="auto"/>
              <w:bottom w:val="single" w:sz="4" w:space="0" w:color="auto"/>
              <w:right w:val="single" w:sz="4" w:space="0" w:color="auto"/>
            </w:tcBorders>
            <w:shd w:val="clear" w:color="auto" w:fill="auto"/>
            <w:vAlign w:val="bottom"/>
            <w:hideMark/>
          </w:tcPr>
          <w:p w14:paraId="5C47B6FA" w14:textId="77777777" w:rsidR="008C4F26" w:rsidRPr="003B6A69" w:rsidRDefault="008C4F26" w:rsidP="00661293">
            <w:pPr>
              <w:spacing w:after="0"/>
              <w:jc w:val="left"/>
              <w:rPr>
                <w:rFonts w:eastAsia="Times New Roman"/>
                <w:color w:val="000000"/>
                <w:szCs w:val="20"/>
                <w:lang w:val="en-GB"/>
              </w:rPr>
            </w:pPr>
            <w:proofErr w:type="spellStart"/>
            <w:r w:rsidRPr="003B6A69">
              <w:rPr>
                <w:rFonts w:eastAsia="Times New Roman"/>
                <w:color w:val="000000"/>
                <w:szCs w:val="20"/>
                <w:lang w:val="en-GB"/>
              </w:rPr>
              <w:t>Komovi</w:t>
            </w:r>
            <w:proofErr w:type="spellEnd"/>
          </w:p>
        </w:tc>
        <w:tc>
          <w:tcPr>
            <w:tcW w:w="1842" w:type="dxa"/>
            <w:gridSpan w:val="3"/>
            <w:tcBorders>
              <w:top w:val="nil"/>
              <w:left w:val="nil"/>
              <w:bottom w:val="single" w:sz="4" w:space="0" w:color="auto"/>
              <w:right w:val="single" w:sz="4" w:space="0" w:color="auto"/>
            </w:tcBorders>
            <w:shd w:val="clear" w:color="auto" w:fill="auto"/>
            <w:noWrap/>
            <w:vAlign w:val="center"/>
            <w:hideMark/>
          </w:tcPr>
          <w:p w14:paraId="46438E5B" w14:textId="77777777" w:rsidR="008C4F26" w:rsidRPr="003B6A69" w:rsidRDefault="008C4F26" w:rsidP="00661293">
            <w:pPr>
              <w:spacing w:after="0"/>
              <w:jc w:val="left"/>
              <w:rPr>
                <w:rFonts w:eastAsia="Times New Roman"/>
                <w:color w:val="000000"/>
                <w:szCs w:val="20"/>
                <w:lang w:val="en-GB"/>
              </w:rPr>
            </w:pPr>
            <w:r w:rsidRPr="003B6A69">
              <w:rPr>
                <w:rFonts w:eastAsia="Times New Roman"/>
                <w:color w:val="000000"/>
                <w:szCs w:val="20"/>
                <w:lang w:val="en-GB"/>
              </w:rPr>
              <w:t>21,852</w:t>
            </w:r>
          </w:p>
        </w:tc>
      </w:tr>
      <w:tr w:rsidR="008C4F26" w:rsidRPr="003B6A69" w14:paraId="144B82C2" w14:textId="77777777" w:rsidTr="00661293">
        <w:trPr>
          <w:trHeight w:val="58"/>
        </w:trPr>
        <w:tc>
          <w:tcPr>
            <w:tcW w:w="5642" w:type="dxa"/>
            <w:tcBorders>
              <w:top w:val="nil"/>
              <w:left w:val="single" w:sz="4" w:space="0" w:color="auto"/>
              <w:bottom w:val="single" w:sz="4" w:space="0" w:color="auto"/>
              <w:right w:val="single" w:sz="4" w:space="0" w:color="auto"/>
            </w:tcBorders>
            <w:shd w:val="clear" w:color="auto" w:fill="auto"/>
            <w:vAlign w:val="bottom"/>
            <w:hideMark/>
          </w:tcPr>
          <w:p w14:paraId="5CE92C50" w14:textId="77777777" w:rsidR="008C4F26" w:rsidRPr="003B6A69" w:rsidRDefault="008C4F26" w:rsidP="00661293">
            <w:pPr>
              <w:spacing w:after="0"/>
              <w:jc w:val="left"/>
              <w:rPr>
                <w:rFonts w:eastAsia="Times New Roman"/>
                <w:color w:val="000000"/>
                <w:szCs w:val="20"/>
                <w:lang w:val="en-GB"/>
              </w:rPr>
            </w:pPr>
            <w:r w:rsidRPr="003B6A69">
              <w:rPr>
                <w:rFonts w:eastAsia="Times New Roman"/>
                <w:color w:val="000000"/>
                <w:szCs w:val="20"/>
                <w:lang w:val="en-GB"/>
              </w:rPr>
              <w:t>Rijeka Zeta</w:t>
            </w:r>
          </w:p>
        </w:tc>
        <w:tc>
          <w:tcPr>
            <w:tcW w:w="1842" w:type="dxa"/>
            <w:gridSpan w:val="3"/>
            <w:tcBorders>
              <w:top w:val="nil"/>
              <w:left w:val="nil"/>
              <w:bottom w:val="single" w:sz="4" w:space="0" w:color="auto"/>
              <w:right w:val="single" w:sz="4" w:space="0" w:color="auto"/>
            </w:tcBorders>
            <w:shd w:val="clear" w:color="auto" w:fill="auto"/>
            <w:noWrap/>
            <w:vAlign w:val="center"/>
            <w:hideMark/>
          </w:tcPr>
          <w:p w14:paraId="7855F2AB" w14:textId="77777777" w:rsidR="008C4F26" w:rsidRPr="003B6A69" w:rsidRDefault="008C4F26" w:rsidP="00661293">
            <w:pPr>
              <w:spacing w:after="0"/>
              <w:jc w:val="left"/>
              <w:rPr>
                <w:rFonts w:eastAsia="Times New Roman"/>
                <w:color w:val="000000"/>
                <w:szCs w:val="20"/>
                <w:lang w:val="en-GB"/>
              </w:rPr>
            </w:pPr>
            <w:r w:rsidRPr="003B6A69">
              <w:rPr>
                <w:rFonts w:eastAsia="Times New Roman"/>
                <w:color w:val="000000"/>
                <w:szCs w:val="20"/>
                <w:lang w:val="en-GB"/>
              </w:rPr>
              <w:t>11,985</w:t>
            </w:r>
          </w:p>
        </w:tc>
      </w:tr>
      <w:tr w:rsidR="008C4F26" w:rsidRPr="003B6A69" w14:paraId="3591F686" w14:textId="77777777" w:rsidTr="00661293">
        <w:trPr>
          <w:trHeight w:val="58"/>
        </w:trPr>
        <w:tc>
          <w:tcPr>
            <w:tcW w:w="5642" w:type="dxa"/>
            <w:tcBorders>
              <w:top w:val="nil"/>
              <w:left w:val="single" w:sz="4" w:space="0" w:color="auto"/>
              <w:bottom w:val="single" w:sz="4" w:space="0" w:color="auto"/>
              <w:right w:val="single" w:sz="4" w:space="0" w:color="auto"/>
            </w:tcBorders>
            <w:shd w:val="clear" w:color="auto" w:fill="auto"/>
            <w:vAlign w:val="bottom"/>
            <w:hideMark/>
          </w:tcPr>
          <w:p w14:paraId="2FE4110A" w14:textId="77777777" w:rsidR="008C4F26" w:rsidRPr="003B6A69" w:rsidRDefault="008C4F26" w:rsidP="00661293">
            <w:pPr>
              <w:spacing w:after="0"/>
              <w:jc w:val="left"/>
              <w:rPr>
                <w:rFonts w:eastAsia="Times New Roman"/>
                <w:color w:val="000000"/>
                <w:szCs w:val="20"/>
                <w:lang w:val="en-GB"/>
              </w:rPr>
            </w:pPr>
            <w:proofErr w:type="spellStart"/>
            <w:r w:rsidRPr="003B6A69">
              <w:rPr>
                <w:rFonts w:eastAsia="Times New Roman"/>
                <w:color w:val="000000"/>
                <w:szCs w:val="20"/>
                <w:lang w:val="en-GB"/>
              </w:rPr>
              <w:t>Ulcinjska</w:t>
            </w:r>
            <w:proofErr w:type="spellEnd"/>
            <w:r w:rsidRPr="003B6A69">
              <w:rPr>
                <w:rFonts w:eastAsia="Times New Roman"/>
                <w:color w:val="000000"/>
                <w:szCs w:val="20"/>
                <w:lang w:val="en-GB"/>
              </w:rPr>
              <w:t xml:space="preserve"> Solana</w:t>
            </w:r>
          </w:p>
        </w:tc>
        <w:tc>
          <w:tcPr>
            <w:tcW w:w="1842" w:type="dxa"/>
            <w:gridSpan w:val="3"/>
            <w:tcBorders>
              <w:top w:val="nil"/>
              <w:left w:val="nil"/>
              <w:bottom w:val="single" w:sz="4" w:space="0" w:color="auto"/>
              <w:right w:val="single" w:sz="4" w:space="0" w:color="auto"/>
            </w:tcBorders>
            <w:shd w:val="clear" w:color="auto" w:fill="auto"/>
            <w:noWrap/>
            <w:vAlign w:val="center"/>
            <w:hideMark/>
          </w:tcPr>
          <w:p w14:paraId="5B6E67D3" w14:textId="77777777" w:rsidR="008C4F26" w:rsidRPr="003B6A69" w:rsidRDefault="008C4F26" w:rsidP="00661293">
            <w:pPr>
              <w:spacing w:after="0"/>
              <w:jc w:val="left"/>
              <w:rPr>
                <w:rFonts w:eastAsia="Times New Roman"/>
                <w:color w:val="000000"/>
                <w:szCs w:val="20"/>
                <w:lang w:val="en-GB"/>
              </w:rPr>
            </w:pPr>
            <w:r w:rsidRPr="003B6A69">
              <w:rPr>
                <w:rFonts w:eastAsia="Times New Roman"/>
                <w:color w:val="000000"/>
                <w:szCs w:val="20"/>
                <w:lang w:val="en-GB"/>
              </w:rPr>
              <w:t>1,477</w:t>
            </w:r>
          </w:p>
        </w:tc>
      </w:tr>
      <w:tr w:rsidR="008C4F26" w:rsidRPr="003B6A69" w14:paraId="0A52B091" w14:textId="77777777" w:rsidTr="00661293">
        <w:trPr>
          <w:gridAfter w:val="1"/>
          <w:wAfter w:w="26" w:type="dxa"/>
          <w:trHeight w:val="58"/>
        </w:trPr>
        <w:tc>
          <w:tcPr>
            <w:tcW w:w="7458" w:type="dxa"/>
            <w:gridSpan w:val="3"/>
            <w:tcBorders>
              <w:top w:val="nil"/>
              <w:left w:val="single" w:sz="4" w:space="0" w:color="auto"/>
              <w:bottom w:val="single" w:sz="4" w:space="0" w:color="auto"/>
              <w:right w:val="single" w:sz="4" w:space="0" w:color="auto"/>
            </w:tcBorders>
            <w:shd w:val="clear" w:color="auto" w:fill="auto"/>
            <w:vAlign w:val="bottom"/>
            <w:hideMark/>
          </w:tcPr>
          <w:p w14:paraId="3BAB4999" w14:textId="77777777" w:rsidR="008C4F26" w:rsidRPr="003B6A69" w:rsidRDefault="008C4F26" w:rsidP="00661293">
            <w:pPr>
              <w:spacing w:after="0"/>
              <w:jc w:val="left"/>
              <w:rPr>
                <w:rFonts w:eastAsia="Times New Roman"/>
                <w:b/>
                <w:color w:val="000000"/>
                <w:szCs w:val="20"/>
                <w:lang w:val="en-GB"/>
              </w:rPr>
            </w:pPr>
          </w:p>
          <w:p w14:paraId="35334108" w14:textId="77777777" w:rsidR="008C4F26" w:rsidRPr="003B6A69" w:rsidRDefault="008C4F26" w:rsidP="00661293">
            <w:pPr>
              <w:spacing w:after="0"/>
              <w:jc w:val="left"/>
              <w:rPr>
                <w:rFonts w:eastAsia="Times New Roman"/>
                <w:b/>
                <w:color w:val="000000"/>
                <w:szCs w:val="20"/>
                <w:lang w:val="en-GB"/>
              </w:rPr>
            </w:pPr>
            <w:r w:rsidRPr="003B6A69">
              <w:rPr>
                <w:rFonts w:eastAsia="Times New Roman"/>
                <w:b/>
                <w:color w:val="000000"/>
                <w:szCs w:val="20"/>
                <w:lang w:val="en-GB"/>
              </w:rPr>
              <w:t>National category: Protected Landscape, IUCN category: V</w:t>
            </w:r>
          </w:p>
        </w:tc>
      </w:tr>
      <w:tr w:rsidR="008C4F26" w:rsidRPr="003B6A69" w14:paraId="26F546C9" w14:textId="77777777" w:rsidTr="00661293">
        <w:trPr>
          <w:trHeight w:val="58"/>
        </w:trPr>
        <w:tc>
          <w:tcPr>
            <w:tcW w:w="5642" w:type="dxa"/>
            <w:tcBorders>
              <w:top w:val="nil"/>
              <w:left w:val="single" w:sz="4" w:space="0" w:color="auto"/>
              <w:bottom w:val="single" w:sz="4" w:space="0" w:color="auto"/>
              <w:right w:val="single" w:sz="4" w:space="0" w:color="auto"/>
            </w:tcBorders>
            <w:shd w:val="clear" w:color="auto" w:fill="auto"/>
            <w:vAlign w:val="bottom"/>
            <w:hideMark/>
          </w:tcPr>
          <w:p w14:paraId="214C6A4B" w14:textId="77777777" w:rsidR="008C4F26" w:rsidRPr="003B6A69" w:rsidRDefault="008C4F26" w:rsidP="00661293">
            <w:pPr>
              <w:spacing w:after="0"/>
              <w:jc w:val="left"/>
              <w:rPr>
                <w:rFonts w:eastAsia="Times New Roman"/>
                <w:color w:val="000000"/>
                <w:szCs w:val="20"/>
                <w:lang w:val="en-GB"/>
              </w:rPr>
            </w:pPr>
            <w:proofErr w:type="spellStart"/>
            <w:r w:rsidRPr="003B6A69">
              <w:rPr>
                <w:rFonts w:eastAsia="Times New Roman"/>
                <w:color w:val="000000"/>
                <w:szCs w:val="20"/>
                <w:lang w:val="en-GB"/>
              </w:rPr>
              <w:t>Trebjesa</w:t>
            </w:r>
            <w:proofErr w:type="spellEnd"/>
          </w:p>
        </w:tc>
        <w:tc>
          <w:tcPr>
            <w:tcW w:w="1842" w:type="dxa"/>
            <w:gridSpan w:val="3"/>
            <w:tcBorders>
              <w:top w:val="nil"/>
              <w:left w:val="nil"/>
              <w:bottom w:val="single" w:sz="4" w:space="0" w:color="auto"/>
              <w:right w:val="single" w:sz="4" w:space="0" w:color="auto"/>
            </w:tcBorders>
            <w:shd w:val="clear" w:color="auto" w:fill="auto"/>
            <w:noWrap/>
            <w:vAlign w:val="center"/>
            <w:hideMark/>
          </w:tcPr>
          <w:p w14:paraId="0B967AE4" w14:textId="77777777" w:rsidR="008C4F26" w:rsidRPr="003B6A69" w:rsidRDefault="008C4F26" w:rsidP="00661293">
            <w:pPr>
              <w:spacing w:after="0"/>
              <w:jc w:val="left"/>
              <w:rPr>
                <w:rFonts w:eastAsia="Times New Roman"/>
                <w:color w:val="000000"/>
                <w:szCs w:val="20"/>
                <w:lang w:val="en-GB"/>
              </w:rPr>
            </w:pPr>
            <w:r w:rsidRPr="003B6A69">
              <w:rPr>
                <w:rFonts w:eastAsia="Times New Roman"/>
                <w:color w:val="000000"/>
                <w:szCs w:val="20"/>
                <w:lang w:val="en-GB"/>
              </w:rPr>
              <w:t>159</w:t>
            </w:r>
          </w:p>
        </w:tc>
      </w:tr>
      <w:tr w:rsidR="008C4F26" w:rsidRPr="003B6A69" w14:paraId="7C6C19F3" w14:textId="77777777" w:rsidTr="00661293">
        <w:trPr>
          <w:trHeight w:val="58"/>
        </w:trPr>
        <w:tc>
          <w:tcPr>
            <w:tcW w:w="5642" w:type="dxa"/>
            <w:tcBorders>
              <w:top w:val="nil"/>
              <w:left w:val="single" w:sz="4" w:space="0" w:color="auto"/>
              <w:bottom w:val="single" w:sz="4" w:space="0" w:color="auto"/>
              <w:right w:val="single" w:sz="4" w:space="0" w:color="auto"/>
            </w:tcBorders>
            <w:shd w:val="clear" w:color="auto" w:fill="auto"/>
            <w:vAlign w:val="bottom"/>
            <w:hideMark/>
          </w:tcPr>
          <w:p w14:paraId="2AA94B36" w14:textId="77777777" w:rsidR="008C4F26" w:rsidRPr="003B6A69" w:rsidRDefault="008C4F26" w:rsidP="00661293">
            <w:pPr>
              <w:spacing w:after="0"/>
              <w:jc w:val="left"/>
              <w:rPr>
                <w:rFonts w:eastAsia="Times New Roman"/>
                <w:color w:val="000000"/>
                <w:szCs w:val="20"/>
                <w:lang w:val="en-GB"/>
              </w:rPr>
            </w:pPr>
            <w:proofErr w:type="spellStart"/>
            <w:r w:rsidRPr="003B6A69">
              <w:rPr>
                <w:rFonts w:eastAsia="Times New Roman"/>
                <w:color w:val="000000"/>
                <w:szCs w:val="20"/>
                <w:lang w:val="en-GB"/>
              </w:rPr>
              <w:t>Savinska</w:t>
            </w:r>
            <w:proofErr w:type="spellEnd"/>
            <w:r w:rsidRPr="003B6A69">
              <w:rPr>
                <w:rFonts w:eastAsia="Times New Roman"/>
                <w:color w:val="000000"/>
                <w:szCs w:val="20"/>
                <w:lang w:val="en-GB"/>
              </w:rPr>
              <w:t xml:space="preserve"> </w:t>
            </w:r>
            <w:proofErr w:type="spellStart"/>
            <w:r w:rsidRPr="003B6A69">
              <w:rPr>
                <w:rFonts w:eastAsia="Times New Roman"/>
                <w:color w:val="000000"/>
                <w:szCs w:val="20"/>
                <w:lang w:val="en-GB"/>
              </w:rPr>
              <w:t>dubrava</w:t>
            </w:r>
            <w:proofErr w:type="spellEnd"/>
          </w:p>
        </w:tc>
        <w:tc>
          <w:tcPr>
            <w:tcW w:w="1842" w:type="dxa"/>
            <w:gridSpan w:val="3"/>
            <w:tcBorders>
              <w:top w:val="nil"/>
              <w:left w:val="nil"/>
              <w:bottom w:val="single" w:sz="4" w:space="0" w:color="auto"/>
              <w:right w:val="single" w:sz="4" w:space="0" w:color="auto"/>
            </w:tcBorders>
            <w:shd w:val="clear" w:color="auto" w:fill="auto"/>
            <w:noWrap/>
            <w:vAlign w:val="center"/>
            <w:hideMark/>
          </w:tcPr>
          <w:p w14:paraId="3BB72751" w14:textId="77777777" w:rsidR="008C4F26" w:rsidRPr="003B6A69" w:rsidRDefault="008C4F26" w:rsidP="00661293">
            <w:pPr>
              <w:spacing w:after="0"/>
              <w:jc w:val="left"/>
              <w:rPr>
                <w:rFonts w:eastAsia="Times New Roman"/>
                <w:color w:val="000000"/>
                <w:szCs w:val="20"/>
                <w:lang w:val="en-GB"/>
              </w:rPr>
            </w:pPr>
            <w:r w:rsidRPr="003B6A69">
              <w:rPr>
                <w:rFonts w:eastAsia="Times New Roman"/>
                <w:color w:val="000000"/>
                <w:szCs w:val="20"/>
                <w:lang w:val="en-GB"/>
              </w:rPr>
              <w:t>37</w:t>
            </w:r>
          </w:p>
        </w:tc>
      </w:tr>
      <w:tr w:rsidR="008C4F26" w:rsidRPr="003B6A69" w14:paraId="2DDE2E12" w14:textId="77777777" w:rsidTr="00661293">
        <w:trPr>
          <w:gridAfter w:val="1"/>
          <w:wAfter w:w="26" w:type="dxa"/>
          <w:trHeight w:val="58"/>
        </w:trPr>
        <w:tc>
          <w:tcPr>
            <w:tcW w:w="7458" w:type="dxa"/>
            <w:gridSpan w:val="3"/>
            <w:tcBorders>
              <w:top w:val="nil"/>
              <w:left w:val="single" w:sz="4" w:space="0" w:color="auto"/>
              <w:bottom w:val="single" w:sz="4" w:space="0" w:color="auto"/>
              <w:right w:val="single" w:sz="4" w:space="0" w:color="auto"/>
            </w:tcBorders>
            <w:shd w:val="clear" w:color="auto" w:fill="auto"/>
            <w:vAlign w:val="bottom"/>
            <w:hideMark/>
          </w:tcPr>
          <w:p w14:paraId="5A2C8313" w14:textId="77777777" w:rsidR="008C4F26" w:rsidRPr="003B6A69" w:rsidRDefault="008C4F26" w:rsidP="00661293">
            <w:pPr>
              <w:spacing w:after="0"/>
              <w:jc w:val="left"/>
              <w:rPr>
                <w:rFonts w:eastAsia="Times New Roman"/>
                <w:b/>
                <w:color w:val="000000"/>
                <w:szCs w:val="20"/>
                <w:lang w:val="en-GB"/>
              </w:rPr>
            </w:pPr>
          </w:p>
          <w:p w14:paraId="78AD5D38" w14:textId="77777777" w:rsidR="008C4F26" w:rsidRPr="003B6A69" w:rsidRDefault="008C4F26" w:rsidP="00661293">
            <w:pPr>
              <w:spacing w:after="0"/>
              <w:jc w:val="left"/>
              <w:rPr>
                <w:rFonts w:eastAsia="Times New Roman"/>
                <w:b/>
                <w:szCs w:val="20"/>
                <w:lang w:val="en-GB"/>
              </w:rPr>
            </w:pPr>
            <w:r w:rsidRPr="003B6A69">
              <w:rPr>
                <w:rFonts w:eastAsia="Times New Roman"/>
                <w:b/>
                <w:color w:val="000000"/>
                <w:szCs w:val="20"/>
                <w:lang w:val="en-GB"/>
              </w:rPr>
              <w:t>National category: Nature monument, IUCN category: III</w:t>
            </w:r>
          </w:p>
        </w:tc>
      </w:tr>
      <w:tr w:rsidR="008C4F26" w:rsidRPr="003B6A69" w14:paraId="1C4D50C6" w14:textId="77777777" w:rsidTr="00661293">
        <w:trPr>
          <w:gridAfter w:val="1"/>
          <w:wAfter w:w="26" w:type="dxa"/>
          <w:trHeight w:val="58"/>
        </w:trPr>
        <w:tc>
          <w:tcPr>
            <w:tcW w:w="7458" w:type="dxa"/>
            <w:gridSpan w:val="3"/>
            <w:tcBorders>
              <w:top w:val="nil"/>
              <w:left w:val="single" w:sz="4" w:space="0" w:color="auto"/>
              <w:bottom w:val="single" w:sz="4" w:space="0" w:color="auto"/>
              <w:right w:val="single" w:sz="4" w:space="0" w:color="auto"/>
            </w:tcBorders>
            <w:shd w:val="clear" w:color="auto" w:fill="auto"/>
            <w:vAlign w:val="bottom"/>
            <w:hideMark/>
          </w:tcPr>
          <w:p w14:paraId="3F9A44C7" w14:textId="77777777" w:rsidR="008C4F26" w:rsidRPr="003B6A69" w:rsidRDefault="008C4F26" w:rsidP="00661293">
            <w:pPr>
              <w:spacing w:after="0"/>
              <w:jc w:val="left"/>
              <w:rPr>
                <w:rFonts w:eastAsia="Times New Roman"/>
                <w:i/>
                <w:color w:val="000000"/>
                <w:szCs w:val="20"/>
                <w:lang w:val="en-GB"/>
              </w:rPr>
            </w:pPr>
            <w:r w:rsidRPr="003B6A69">
              <w:rPr>
                <w:rFonts w:eastAsia="Times New Roman"/>
                <w:i/>
                <w:color w:val="000000"/>
                <w:szCs w:val="20"/>
                <w:lang w:val="en-GB"/>
              </w:rPr>
              <w:t>Botanical gardens</w:t>
            </w:r>
          </w:p>
        </w:tc>
      </w:tr>
      <w:tr w:rsidR="008C4F26" w:rsidRPr="003B6A69" w14:paraId="06B472B3" w14:textId="77777777" w:rsidTr="00661293">
        <w:trPr>
          <w:trHeight w:val="58"/>
        </w:trPr>
        <w:tc>
          <w:tcPr>
            <w:tcW w:w="5642" w:type="dxa"/>
            <w:tcBorders>
              <w:top w:val="nil"/>
              <w:left w:val="single" w:sz="4" w:space="0" w:color="auto"/>
              <w:bottom w:val="single" w:sz="4" w:space="0" w:color="auto"/>
              <w:right w:val="single" w:sz="4" w:space="0" w:color="auto"/>
            </w:tcBorders>
            <w:shd w:val="clear" w:color="auto" w:fill="auto"/>
            <w:vAlign w:val="bottom"/>
            <w:hideMark/>
          </w:tcPr>
          <w:p w14:paraId="5D208489" w14:textId="77777777" w:rsidR="008C4F26" w:rsidRPr="003B6A69" w:rsidRDefault="008C4F26" w:rsidP="00661293">
            <w:pPr>
              <w:spacing w:after="0"/>
              <w:jc w:val="left"/>
              <w:rPr>
                <w:rFonts w:eastAsia="Times New Roman"/>
                <w:color w:val="000000"/>
                <w:szCs w:val="20"/>
                <w:lang w:val="en-GB"/>
              </w:rPr>
            </w:pPr>
            <w:r w:rsidRPr="003B6A69">
              <w:rPr>
                <w:rFonts w:eastAsia="Times New Roman"/>
                <w:color w:val="000000"/>
                <w:szCs w:val="20"/>
                <w:lang w:val="en-GB"/>
              </w:rPr>
              <w:t xml:space="preserve">Arboretum </w:t>
            </w:r>
            <w:proofErr w:type="spellStart"/>
            <w:r w:rsidRPr="003B6A69">
              <w:rPr>
                <w:rFonts w:eastAsia="Times New Roman"/>
                <w:color w:val="000000"/>
                <w:szCs w:val="20"/>
                <w:lang w:val="en-GB"/>
              </w:rPr>
              <w:t>Generala</w:t>
            </w:r>
            <w:proofErr w:type="spellEnd"/>
            <w:r w:rsidRPr="003B6A69">
              <w:rPr>
                <w:rFonts w:eastAsia="Times New Roman"/>
                <w:color w:val="000000"/>
                <w:szCs w:val="20"/>
                <w:lang w:val="en-GB"/>
              </w:rPr>
              <w:t xml:space="preserve"> </w:t>
            </w:r>
            <w:proofErr w:type="spellStart"/>
            <w:r w:rsidRPr="003B6A69">
              <w:rPr>
                <w:rFonts w:eastAsia="Times New Roman"/>
                <w:color w:val="000000"/>
                <w:szCs w:val="20"/>
                <w:lang w:val="en-GB"/>
              </w:rPr>
              <w:t>Voja</w:t>
            </w:r>
            <w:proofErr w:type="spellEnd"/>
            <w:r w:rsidRPr="003B6A69">
              <w:rPr>
                <w:rFonts w:eastAsia="Times New Roman"/>
                <w:color w:val="000000"/>
                <w:szCs w:val="20"/>
                <w:lang w:val="en-GB"/>
              </w:rPr>
              <w:t xml:space="preserve"> </w:t>
            </w:r>
            <w:proofErr w:type="spellStart"/>
            <w:r w:rsidRPr="003B6A69">
              <w:rPr>
                <w:rFonts w:eastAsia="Times New Roman"/>
                <w:color w:val="000000"/>
                <w:szCs w:val="20"/>
                <w:lang w:val="en-GB"/>
              </w:rPr>
              <w:t>Kovacevica</w:t>
            </w:r>
            <w:proofErr w:type="spellEnd"/>
            <w:r w:rsidRPr="003B6A69">
              <w:rPr>
                <w:rFonts w:eastAsia="Times New Roman"/>
                <w:color w:val="000000"/>
                <w:szCs w:val="20"/>
                <w:lang w:val="en-GB"/>
              </w:rPr>
              <w:t xml:space="preserve"> </w:t>
            </w:r>
            <w:proofErr w:type="spellStart"/>
            <w:r w:rsidRPr="003B6A69">
              <w:rPr>
                <w:rFonts w:eastAsia="Times New Roman"/>
                <w:color w:val="000000"/>
                <w:szCs w:val="20"/>
                <w:lang w:val="en-GB"/>
              </w:rPr>
              <w:t>na</w:t>
            </w:r>
            <w:proofErr w:type="spellEnd"/>
            <w:r w:rsidRPr="003B6A69">
              <w:rPr>
                <w:rFonts w:eastAsia="Times New Roman"/>
                <w:color w:val="000000"/>
                <w:szCs w:val="20"/>
                <w:lang w:val="en-GB"/>
              </w:rPr>
              <w:t xml:space="preserve"> </w:t>
            </w:r>
            <w:proofErr w:type="spellStart"/>
            <w:r w:rsidRPr="003B6A69">
              <w:rPr>
                <w:rFonts w:eastAsia="Times New Roman"/>
                <w:color w:val="000000"/>
                <w:szCs w:val="20"/>
                <w:lang w:val="en-GB"/>
              </w:rPr>
              <w:t>Grahovu</w:t>
            </w:r>
            <w:proofErr w:type="spellEnd"/>
          </w:p>
        </w:tc>
        <w:tc>
          <w:tcPr>
            <w:tcW w:w="1842" w:type="dxa"/>
            <w:gridSpan w:val="3"/>
            <w:tcBorders>
              <w:top w:val="nil"/>
              <w:left w:val="nil"/>
              <w:bottom w:val="single" w:sz="4" w:space="0" w:color="auto"/>
              <w:right w:val="single" w:sz="4" w:space="0" w:color="auto"/>
            </w:tcBorders>
            <w:shd w:val="clear" w:color="auto" w:fill="auto"/>
            <w:noWrap/>
            <w:vAlign w:val="center"/>
            <w:hideMark/>
          </w:tcPr>
          <w:p w14:paraId="438955FC" w14:textId="77777777" w:rsidR="008C4F26" w:rsidRPr="003B6A69" w:rsidRDefault="008C4F26" w:rsidP="00661293">
            <w:pPr>
              <w:spacing w:after="0"/>
              <w:jc w:val="left"/>
              <w:rPr>
                <w:rFonts w:eastAsia="Times New Roman"/>
                <w:color w:val="000000"/>
                <w:szCs w:val="20"/>
                <w:lang w:val="en-GB"/>
              </w:rPr>
            </w:pPr>
            <w:r w:rsidRPr="003B6A69">
              <w:rPr>
                <w:rFonts w:eastAsia="Times New Roman"/>
                <w:color w:val="000000"/>
                <w:szCs w:val="20"/>
                <w:lang w:val="en-GB"/>
              </w:rPr>
              <w:t>0.99</w:t>
            </w:r>
          </w:p>
        </w:tc>
      </w:tr>
      <w:tr w:rsidR="008C4F26" w:rsidRPr="003B6A69" w14:paraId="47892BE7" w14:textId="77777777" w:rsidTr="00661293">
        <w:trPr>
          <w:trHeight w:val="58"/>
        </w:trPr>
        <w:tc>
          <w:tcPr>
            <w:tcW w:w="5642" w:type="dxa"/>
            <w:tcBorders>
              <w:top w:val="nil"/>
              <w:left w:val="single" w:sz="4" w:space="0" w:color="auto"/>
              <w:bottom w:val="single" w:sz="4" w:space="0" w:color="auto"/>
              <w:right w:val="single" w:sz="4" w:space="0" w:color="auto"/>
            </w:tcBorders>
            <w:shd w:val="clear" w:color="auto" w:fill="auto"/>
            <w:vAlign w:val="bottom"/>
            <w:hideMark/>
          </w:tcPr>
          <w:p w14:paraId="53A101D0" w14:textId="77777777" w:rsidR="008C4F26" w:rsidRPr="003B6A69" w:rsidRDefault="008C4F26" w:rsidP="00661293">
            <w:pPr>
              <w:spacing w:after="0"/>
              <w:jc w:val="left"/>
              <w:rPr>
                <w:rFonts w:eastAsia="Times New Roman"/>
                <w:color w:val="000000"/>
                <w:szCs w:val="20"/>
                <w:lang w:val="en-GB"/>
              </w:rPr>
            </w:pPr>
            <w:proofErr w:type="spellStart"/>
            <w:r w:rsidRPr="003B6A69">
              <w:rPr>
                <w:rFonts w:eastAsia="Times New Roman"/>
                <w:color w:val="000000"/>
                <w:szCs w:val="20"/>
                <w:lang w:val="en-GB"/>
              </w:rPr>
              <w:t>Botanicki</w:t>
            </w:r>
            <w:proofErr w:type="spellEnd"/>
            <w:r w:rsidRPr="003B6A69">
              <w:rPr>
                <w:rFonts w:eastAsia="Times New Roman"/>
                <w:color w:val="000000"/>
                <w:szCs w:val="20"/>
                <w:lang w:val="en-GB"/>
              </w:rPr>
              <w:t xml:space="preserve"> </w:t>
            </w:r>
            <w:proofErr w:type="spellStart"/>
            <w:r w:rsidRPr="003B6A69">
              <w:rPr>
                <w:rFonts w:eastAsia="Times New Roman"/>
                <w:color w:val="000000"/>
                <w:szCs w:val="20"/>
                <w:lang w:val="en-GB"/>
              </w:rPr>
              <w:t>vrt</w:t>
            </w:r>
            <w:proofErr w:type="spellEnd"/>
            <w:r w:rsidRPr="003B6A69">
              <w:rPr>
                <w:rFonts w:eastAsia="Times New Roman"/>
                <w:color w:val="000000"/>
                <w:szCs w:val="20"/>
                <w:lang w:val="en-GB"/>
              </w:rPr>
              <w:t xml:space="preserve"> </w:t>
            </w:r>
            <w:proofErr w:type="spellStart"/>
            <w:r w:rsidRPr="003B6A69">
              <w:rPr>
                <w:rFonts w:eastAsia="Times New Roman"/>
                <w:color w:val="000000"/>
                <w:szCs w:val="20"/>
                <w:lang w:val="en-GB"/>
              </w:rPr>
              <w:t>Dulovine</w:t>
            </w:r>
            <w:proofErr w:type="spellEnd"/>
          </w:p>
        </w:tc>
        <w:tc>
          <w:tcPr>
            <w:tcW w:w="1842" w:type="dxa"/>
            <w:gridSpan w:val="3"/>
            <w:tcBorders>
              <w:top w:val="nil"/>
              <w:left w:val="nil"/>
              <w:bottom w:val="single" w:sz="4" w:space="0" w:color="auto"/>
              <w:right w:val="single" w:sz="4" w:space="0" w:color="auto"/>
            </w:tcBorders>
            <w:shd w:val="clear" w:color="auto" w:fill="auto"/>
            <w:noWrap/>
            <w:vAlign w:val="center"/>
            <w:hideMark/>
          </w:tcPr>
          <w:p w14:paraId="62CF58A9" w14:textId="77777777" w:rsidR="008C4F26" w:rsidRPr="003B6A69" w:rsidRDefault="008C4F26" w:rsidP="00661293">
            <w:pPr>
              <w:spacing w:after="0"/>
              <w:jc w:val="left"/>
              <w:rPr>
                <w:rFonts w:eastAsia="Times New Roman"/>
                <w:color w:val="000000"/>
                <w:szCs w:val="20"/>
                <w:lang w:val="en-GB"/>
              </w:rPr>
            </w:pPr>
            <w:r w:rsidRPr="003B6A69">
              <w:rPr>
                <w:rFonts w:eastAsia="Times New Roman"/>
                <w:color w:val="000000"/>
                <w:szCs w:val="20"/>
                <w:lang w:val="en-GB"/>
              </w:rPr>
              <w:t>0.64</w:t>
            </w:r>
          </w:p>
        </w:tc>
      </w:tr>
      <w:tr w:rsidR="008C4F26" w:rsidRPr="003B6A69" w14:paraId="06EDB7F9" w14:textId="77777777" w:rsidTr="00661293">
        <w:trPr>
          <w:gridAfter w:val="1"/>
          <w:wAfter w:w="26" w:type="dxa"/>
          <w:trHeight w:val="58"/>
        </w:trPr>
        <w:tc>
          <w:tcPr>
            <w:tcW w:w="7458" w:type="dxa"/>
            <w:gridSpan w:val="3"/>
            <w:tcBorders>
              <w:top w:val="nil"/>
              <w:left w:val="single" w:sz="4" w:space="0" w:color="auto"/>
              <w:bottom w:val="single" w:sz="4" w:space="0" w:color="auto"/>
              <w:right w:val="single" w:sz="4" w:space="0" w:color="auto"/>
            </w:tcBorders>
            <w:shd w:val="clear" w:color="auto" w:fill="auto"/>
            <w:vAlign w:val="bottom"/>
            <w:hideMark/>
          </w:tcPr>
          <w:p w14:paraId="746614F5" w14:textId="77777777" w:rsidR="008C4F26" w:rsidRPr="003B6A69" w:rsidRDefault="008C4F26" w:rsidP="00661293">
            <w:pPr>
              <w:spacing w:after="0"/>
              <w:jc w:val="left"/>
              <w:rPr>
                <w:rFonts w:eastAsia="Times New Roman"/>
                <w:i/>
                <w:color w:val="000000"/>
                <w:szCs w:val="20"/>
                <w:lang w:val="en-GB"/>
              </w:rPr>
            </w:pPr>
          </w:p>
          <w:p w14:paraId="0B3EE541" w14:textId="77777777" w:rsidR="008C4F26" w:rsidRPr="003B6A69" w:rsidRDefault="008C4F26" w:rsidP="00661293">
            <w:pPr>
              <w:spacing w:after="0"/>
              <w:jc w:val="left"/>
              <w:rPr>
                <w:rFonts w:eastAsia="Times New Roman"/>
                <w:color w:val="000000"/>
                <w:szCs w:val="20"/>
                <w:lang w:val="en-GB"/>
              </w:rPr>
            </w:pPr>
            <w:r w:rsidRPr="003B6A69">
              <w:rPr>
                <w:rFonts w:eastAsia="Times New Roman"/>
                <w:i/>
                <w:color w:val="000000"/>
                <w:szCs w:val="20"/>
                <w:lang w:val="en-GB"/>
              </w:rPr>
              <w:t>Beaches</w:t>
            </w:r>
          </w:p>
        </w:tc>
      </w:tr>
      <w:tr w:rsidR="008C4F26" w:rsidRPr="003B6A69" w14:paraId="0F73D943" w14:textId="77777777" w:rsidTr="00661293">
        <w:trPr>
          <w:trHeight w:val="58"/>
        </w:trPr>
        <w:tc>
          <w:tcPr>
            <w:tcW w:w="5642" w:type="dxa"/>
            <w:tcBorders>
              <w:top w:val="nil"/>
              <w:left w:val="single" w:sz="4" w:space="0" w:color="auto"/>
              <w:bottom w:val="single" w:sz="4" w:space="0" w:color="auto"/>
              <w:right w:val="single" w:sz="4" w:space="0" w:color="auto"/>
            </w:tcBorders>
            <w:shd w:val="clear" w:color="auto" w:fill="auto"/>
            <w:vAlign w:val="bottom"/>
            <w:hideMark/>
          </w:tcPr>
          <w:p w14:paraId="68B77843" w14:textId="77777777" w:rsidR="008C4F26" w:rsidRPr="003B6A69" w:rsidRDefault="008C4F26" w:rsidP="00661293">
            <w:pPr>
              <w:spacing w:after="0"/>
              <w:jc w:val="left"/>
              <w:rPr>
                <w:rFonts w:eastAsia="Times New Roman"/>
                <w:color w:val="000000"/>
                <w:szCs w:val="20"/>
                <w:lang w:val="en-GB"/>
              </w:rPr>
            </w:pPr>
            <w:proofErr w:type="spellStart"/>
            <w:r w:rsidRPr="003B6A69">
              <w:rPr>
                <w:rFonts w:eastAsia="Times New Roman"/>
                <w:color w:val="000000"/>
                <w:szCs w:val="20"/>
                <w:lang w:val="en-GB"/>
              </w:rPr>
              <w:t>Becici</w:t>
            </w:r>
            <w:proofErr w:type="spellEnd"/>
          </w:p>
        </w:tc>
        <w:tc>
          <w:tcPr>
            <w:tcW w:w="1842" w:type="dxa"/>
            <w:gridSpan w:val="3"/>
            <w:tcBorders>
              <w:top w:val="nil"/>
              <w:left w:val="nil"/>
              <w:bottom w:val="single" w:sz="4" w:space="0" w:color="auto"/>
              <w:right w:val="single" w:sz="4" w:space="0" w:color="auto"/>
            </w:tcBorders>
            <w:shd w:val="clear" w:color="auto" w:fill="auto"/>
            <w:noWrap/>
            <w:vAlign w:val="center"/>
            <w:hideMark/>
          </w:tcPr>
          <w:p w14:paraId="618D9401" w14:textId="77777777" w:rsidR="008C4F26" w:rsidRPr="003B6A69" w:rsidRDefault="008C4F26" w:rsidP="00661293">
            <w:pPr>
              <w:spacing w:after="0"/>
              <w:jc w:val="left"/>
              <w:rPr>
                <w:rFonts w:eastAsia="Times New Roman"/>
                <w:color w:val="000000"/>
                <w:szCs w:val="20"/>
                <w:lang w:val="en-GB"/>
              </w:rPr>
            </w:pPr>
            <w:r w:rsidRPr="003B6A69">
              <w:rPr>
                <w:rFonts w:eastAsia="Times New Roman"/>
                <w:color w:val="000000"/>
                <w:szCs w:val="20"/>
                <w:lang w:val="en-GB"/>
              </w:rPr>
              <w:t>5</w:t>
            </w:r>
          </w:p>
        </w:tc>
      </w:tr>
      <w:tr w:rsidR="008C4F26" w:rsidRPr="003B6A69" w14:paraId="5A58B998" w14:textId="77777777" w:rsidTr="00661293">
        <w:trPr>
          <w:trHeight w:val="58"/>
        </w:trPr>
        <w:tc>
          <w:tcPr>
            <w:tcW w:w="5642" w:type="dxa"/>
            <w:tcBorders>
              <w:top w:val="nil"/>
              <w:left w:val="single" w:sz="4" w:space="0" w:color="auto"/>
              <w:bottom w:val="single" w:sz="4" w:space="0" w:color="auto"/>
              <w:right w:val="single" w:sz="4" w:space="0" w:color="auto"/>
            </w:tcBorders>
            <w:shd w:val="clear" w:color="auto" w:fill="auto"/>
            <w:vAlign w:val="bottom"/>
            <w:hideMark/>
          </w:tcPr>
          <w:p w14:paraId="6A628C38" w14:textId="77777777" w:rsidR="008C4F26" w:rsidRPr="003B6A69" w:rsidRDefault="008C4F26" w:rsidP="00661293">
            <w:pPr>
              <w:spacing w:after="0"/>
              <w:jc w:val="left"/>
              <w:rPr>
                <w:rFonts w:eastAsia="Times New Roman"/>
                <w:color w:val="000000"/>
                <w:szCs w:val="20"/>
                <w:lang w:val="en-GB"/>
              </w:rPr>
            </w:pPr>
            <w:proofErr w:type="spellStart"/>
            <w:r w:rsidRPr="003B6A69">
              <w:rPr>
                <w:rFonts w:eastAsia="Times New Roman"/>
                <w:color w:val="000000"/>
                <w:szCs w:val="20"/>
                <w:lang w:val="en-GB"/>
              </w:rPr>
              <w:t>Drobni</w:t>
            </w:r>
            <w:proofErr w:type="spellEnd"/>
            <w:r w:rsidRPr="003B6A69">
              <w:rPr>
                <w:rFonts w:eastAsia="Times New Roman"/>
                <w:color w:val="000000"/>
                <w:szCs w:val="20"/>
                <w:lang w:val="en-GB"/>
              </w:rPr>
              <w:t xml:space="preserve"> </w:t>
            </w:r>
            <w:proofErr w:type="spellStart"/>
            <w:r w:rsidRPr="003B6A69">
              <w:rPr>
                <w:rFonts w:eastAsia="Times New Roman"/>
                <w:color w:val="000000"/>
                <w:szCs w:val="20"/>
                <w:lang w:val="en-GB"/>
              </w:rPr>
              <w:t>pijesak</w:t>
            </w:r>
            <w:proofErr w:type="spellEnd"/>
            <w:r w:rsidRPr="003B6A69">
              <w:rPr>
                <w:rFonts w:eastAsia="Times New Roman"/>
                <w:color w:val="000000"/>
                <w:szCs w:val="20"/>
                <w:lang w:val="en-GB"/>
              </w:rPr>
              <w:t xml:space="preserve"> </w:t>
            </w:r>
          </w:p>
        </w:tc>
        <w:tc>
          <w:tcPr>
            <w:tcW w:w="1842" w:type="dxa"/>
            <w:gridSpan w:val="3"/>
            <w:tcBorders>
              <w:top w:val="nil"/>
              <w:left w:val="nil"/>
              <w:bottom w:val="single" w:sz="4" w:space="0" w:color="auto"/>
              <w:right w:val="single" w:sz="4" w:space="0" w:color="auto"/>
            </w:tcBorders>
            <w:shd w:val="clear" w:color="auto" w:fill="auto"/>
            <w:noWrap/>
            <w:vAlign w:val="center"/>
            <w:hideMark/>
          </w:tcPr>
          <w:p w14:paraId="61AA38FA" w14:textId="77777777" w:rsidR="008C4F26" w:rsidRPr="003B6A69" w:rsidRDefault="008C4F26" w:rsidP="00661293">
            <w:pPr>
              <w:spacing w:after="0"/>
              <w:jc w:val="left"/>
              <w:rPr>
                <w:rFonts w:eastAsia="Times New Roman"/>
                <w:color w:val="000000"/>
                <w:szCs w:val="20"/>
                <w:lang w:val="en-GB"/>
              </w:rPr>
            </w:pPr>
            <w:r w:rsidRPr="003B6A69">
              <w:rPr>
                <w:rFonts w:eastAsia="Times New Roman"/>
                <w:color w:val="000000"/>
                <w:szCs w:val="20"/>
                <w:lang w:val="en-GB"/>
              </w:rPr>
              <w:t>1</w:t>
            </w:r>
          </w:p>
        </w:tc>
      </w:tr>
      <w:tr w:rsidR="008C4F26" w:rsidRPr="003B6A69" w14:paraId="36565CBA" w14:textId="77777777" w:rsidTr="00661293">
        <w:trPr>
          <w:trHeight w:val="58"/>
        </w:trPr>
        <w:tc>
          <w:tcPr>
            <w:tcW w:w="5642" w:type="dxa"/>
            <w:tcBorders>
              <w:top w:val="nil"/>
              <w:left w:val="single" w:sz="4" w:space="0" w:color="auto"/>
              <w:bottom w:val="single" w:sz="4" w:space="0" w:color="auto"/>
              <w:right w:val="single" w:sz="4" w:space="0" w:color="auto"/>
            </w:tcBorders>
            <w:shd w:val="clear" w:color="auto" w:fill="auto"/>
            <w:vAlign w:val="bottom"/>
            <w:hideMark/>
          </w:tcPr>
          <w:p w14:paraId="18D4CFD7" w14:textId="77777777" w:rsidR="008C4F26" w:rsidRPr="003B6A69" w:rsidRDefault="008C4F26" w:rsidP="00661293">
            <w:pPr>
              <w:spacing w:after="0"/>
              <w:jc w:val="left"/>
              <w:rPr>
                <w:rFonts w:eastAsia="Times New Roman"/>
                <w:color w:val="000000"/>
                <w:szCs w:val="20"/>
                <w:lang w:val="en-GB"/>
              </w:rPr>
            </w:pPr>
            <w:r w:rsidRPr="003B6A69">
              <w:rPr>
                <w:rFonts w:eastAsia="Times New Roman"/>
                <w:color w:val="000000"/>
                <w:szCs w:val="20"/>
                <w:lang w:val="en-GB"/>
              </w:rPr>
              <w:t>Jaz</w:t>
            </w:r>
          </w:p>
        </w:tc>
        <w:tc>
          <w:tcPr>
            <w:tcW w:w="1842" w:type="dxa"/>
            <w:gridSpan w:val="3"/>
            <w:tcBorders>
              <w:top w:val="nil"/>
              <w:left w:val="nil"/>
              <w:bottom w:val="single" w:sz="4" w:space="0" w:color="auto"/>
              <w:right w:val="single" w:sz="4" w:space="0" w:color="auto"/>
            </w:tcBorders>
            <w:shd w:val="clear" w:color="auto" w:fill="auto"/>
            <w:noWrap/>
            <w:vAlign w:val="center"/>
            <w:hideMark/>
          </w:tcPr>
          <w:p w14:paraId="373639DB" w14:textId="77777777" w:rsidR="008C4F26" w:rsidRPr="003B6A69" w:rsidRDefault="008C4F26" w:rsidP="00661293">
            <w:pPr>
              <w:spacing w:after="0"/>
              <w:jc w:val="left"/>
              <w:rPr>
                <w:rFonts w:eastAsia="Times New Roman"/>
                <w:color w:val="000000"/>
                <w:szCs w:val="20"/>
                <w:lang w:val="en-GB"/>
              </w:rPr>
            </w:pPr>
            <w:r w:rsidRPr="003B6A69">
              <w:rPr>
                <w:rFonts w:eastAsia="Times New Roman"/>
                <w:color w:val="000000"/>
                <w:szCs w:val="20"/>
                <w:lang w:val="en-GB"/>
              </w:rPr>
              <w:t>4</w:t>
            </w:r>
          </w:p>
        </w:tc>
      </w:tr>
      <w:tr w:rsidR="008C4F26" w:rsidRPr="003B6A69" w14:paraId="7BA373A7" w14:textId="77777777" w:rsidTr="00661293">
        <w:trPr>
          <w:trHeight w:val="58"/>
        </w:trPr>
        <w:tc>
          <w:tcPr>
            <w:tcW w:w="5642" w:type="dxa"/>
            <w:tcBorders>
              <w:top w:val="nil"/>
              <w:left w:val="single" w:sz="4" w:space="0" w:color="auto"/>
              <w:bottom w:val="single" w:sz="4" w:space="0" w:color="auto"/>
              <w:right w:val="single" w:sz="4" w:space="0" w:color="auto"/>
            </w:tcBorders>
            <w:shd w:val="clear" w:color="auto" w:fill="auto"/>
            <w:vAlign w:val="bottom"/>
            <w:hideMark/>
          </w:tcPr>
          <w:p w14:paraId="2A302111" w14:textId="77777777" w:rsidR="008C4F26" w:rsidRPr="003B6A69" w:rsidRDefault="008C4F26" w:rsidP="00661293">
            <w:pPr>
              <w:spacing w:after="0"/>
              <w:jc w:val="left"/>
              <w:rPr>
                <w:rFonts w:eastAsia="Times New Roman"/>
                <w:color w:val="000000"/>
                <w:szCs w:val="20"/>
                <w:lang w:val="en-GB"/>
              </w:rPr>
            </w:pPr>
            <w:proofErr w:type="spellStart"/>
            <w:r w:rsidRPr="003B6A69">
              <w:rPr>
                <w:rFonts w:eastAsia="Times New Roman"/>
                <w:color w:val="000000"/>
                <w:szCs w:val="20"/>
                <w:lang w:val="en-GB"/>
              </w:rPr>
              <w:t>Lucice</w:t>
            </w:r>
            <w:proofErr w:type="spellEnd"/>
            <w:r w:rsidRPr="003B6A69">
              <w:rPr>
                <w:rFonts w:eastAsia="Times New Roman"/>
                <w:color w:val="000000"/>
                <w:szCs w:val="20"/>
                <w:lang w:val="en-GB"/>
              </w:rPr>
              <w:t xml:space="preserve"> </w:t>
            </w:r>
          </w:p>
        </w:tc>
        <w:tc>
          <w:tcPr>
            <w:tcW w:w="1842" w:type="dxa"/>
            <w:gridSpan w:val="3"/>
            <w:tcBorders>
              <w:top w:val="nil"/>
              <w:left w:val="nil"/>
              <w:bottom w:val="single" w:sz="4" w:space="0" w:color="auto"/>
              <w:right w:val="single" w:sz="4" w:space="0" w:color="auto"/>
            </w:tcBorders>
            <w:shd w:val="clear" w:color="auto" w:fill="auto"/>
            <w:noWrap/>
            <w:vAlign w:val="center"/>
            <w:hideMark/>
          </w:tcPr>
          <w:p w14:paraId="13714652" w14:textId="77777777" w:rsidR="008C4F26" w:rsidRPr="003B6A69" w:rsidRDefault="008C4F26" w:rsidP="00661293">
            <w:pPr>
              <w:spacing w:after="0"/>
              <w:jc w:val="left"/>
              <w:rPr>
                <w:rFonts w:eastAsia="Times New Roman"/>
                <w:color w:val="000000"/>
                <w:szCs w:val="20"/>
                <w:lang w:val="en-GB"/>
              </w:rPr>
            </w:pPr>
            <w:r w:rsidRPr="003B6A69">
              <w:rPr>
                <w:rFonts w:eastAsia="Times New Roman"/>
                <w:color w:val="000000"/>
                <w:szCs w:val="20"/>
                <w:lang w:val="en-GB"/>
              </w:rPr>
              <w:t>0.9</w:t>
            </w:r>
          </w:p>
        </w:tc>
      </w:tr>
      <w:tr w:rsidR="008C4F26" w:rsidRPr="003B6A69" w14:paraId="76A04A60" w14:textId="77777777" w:rsidTr="00661293">
        <w:trPr>
          <w:trHeight w:val="58"/>
        </w:trPr>
        <w:tc>
          <w:tcPr>
            <w:tcW w:w="5642" w:type="dxa"/>
            <w:tcBorders>
              <w:top w:val="nil"/>
              <w:left w:val="single" w:sz="4" w:space="0" w:color="auto"/>
              <w:bottom w:val="single" w:sz="4" w:space="0" w:color="auto"/>
              <w:right w:val="single" w:sz="4" w:space="0" w:color="auto"/>
            </w:tcBorders>
            <w:shd w:val="clear" w:color="auto" w:fill="auto"/>
            <w:vAlign w:val="bottom"/>
            <w:hideMark/>
          </w:tcPr>
          <w:p w14:paraId="4898D2E4" w14:textId="77777777" w:rsidR="008C4F26" w:rsidRPr="003B6A69" w:rsidRDefault="008C4F26" w:rsidP="00661293">
            <w:pPr>
              <w:spacing w:after="0"/>
              <w:jc w:val="left"/>
              <w:rPr>
                <w:rFonts w:eastAsia="Times New Roman"/>
                <w:color w:val="000000"/>
                <w:szCs w:val="20"/>
                <w:lang w:val="en-GB"/>
              </w:rPr>
            </w:pPr>
            <w:r w:rsidRPr="003B6A69">
              <w:rPr>
                <w:rFonts w:eastAsia="Times New Roman"/>
                <w:color w:val="000000"/>
                <w:szCs w:val="20"/>
                <w:lang w:val="en-GB"/>
              </w:rPr>
              <w:lastRenderedPageBreak/>
              <w:t xml:space="preserve">Mala </w:t>
            </w:r>
            <w:proofErr w:type="spellStart"/>
            <w:r w:rsidRPr="003B6A69">
              <w:rPr>
                <w:rFonts w:eastAsia="Times New Roman"/>
                <w:color w:val="000000"/>
                <w:szCs w:val="20"/>
                <w:lang w:val="en-GB"/>
              </w:rPr>
              <w:t>ulcinjska</w:t>
            </w:r>
            <w:proofErr w:type="spellEnd"/>
            <w:r w:rsidRPr="003B6A69">
              <w:rPr>
                <w:rFonts w:eastAsia="Times New Roman"/>
                <w:color w:val="000000"/>
                <w:szCs w:val="20"/>
                <w:lang w:val="en-GB"/>
              </w:rPr>
              <w:t xml:space="preserve"> </w:t>
            </w:r>
          </w:p>
        </w:tc>
        <w:tc>
          <w:tcPr>
            <w:tcW w:w="1842" w:type="dxa"/>
            <w:gridSpan w:val="3"/>
            <w:tcBorders>
              <w:top w:val="nil"/>
              <w:left w:val="nil"/>
              <w:bottom w:val="single" w:sz="4" w:space="0" w:color="auto"/>
              <w:right w:val="single" w:sz="4" w:space="0" w:color="auto"/>
            </w:tcBorders>
            <w:shd w:val="clear" w:color="auto" w:fill="auto"/>
            <w:noWrap/>
            <w:vAlign w:val="center"/>
            <w:hideMark/>
          </w:tcPr>
          <w:p w14:paraId="29DF4D2C" w14:textId="77777777" w:rsidR="008C4F26" w:rsidRPr="003B6A69" w:rsidRDefault="008C4F26" w:rsidP="00661293">
            <w:pPr>
              <w:spacing w:after="0"/>
              <w:jc w:val="left"/>
              <w:rPr>
                <w:rFonts w:eastAsia="Times New Roman"/>
                <w:color w:val="000000"/>
                <w:szCs w:val="20"/>
                <w:lang w:val="en-GB"/>
              </w:rPr>
            </w:pPr>
            <w:r w:rsidRPr="003B6A69">
              <w:rPr>
                <w:rFonts w:eastAsia="Times New Roman"/>
                <w:color w:val="000000"/>
                <w:szCs w:val="20"/>
                <w:lang w:val="en-GB"/>
              </w:rPr>
              <w:t>1.5</w:t>
            </w:r>
          </w:p>
        </w:tc>
      </w:tr>
      <w:tr w:rsidR="008C4F26" w:rsidRPr="003B6A69" w14:paraId="569C61DE" w14:textId="77777777" w:rsidTr="00661293">
        <w:trPr>
          <w:trHeight w:val="58"/>
        </w:trPr>
        <w:tc>
          <w:tcPr>
            <w:tcW w:w="5642" w:type="dxa"/>
            <w:tcBorders>
              <w:top w:val="nil"/>
              <w:left w:val="single" w:sz="4" w:space="0" w:color="auto"/>
              <w:bottom w:val="single" w:sz="4" w:space="0" w:color="auto"/>
              <w:right w:val="single" w:sz="4" w:space="0" w:color="auto"/>
            </w:tcBorders>
            <w:shd w:val="clear" w:color="auto" w:fill="auto"/>
            <w:vAlign w:val="bottom"/>
            <w:hideMark/>
          </w:tcPr>
          <w:p w14:paraId="7E524A52" w14:textId="77777777" w:rsidR="008C4F26" w:rsidRPr="003B6A69" w:rsidRDefault="008C4F26" w:rsidP="00661293">
            <w:pPr>
              <w:spacing w:after="0"/>
              <w:jc w:val="left"/>
              <w:rPr>
                <w:rFonts w:eastAsia="Times New Roman"/>
                <w:color w:val="000000"/>
                <w:szCs w:val="20"/>
                <w:lang w:val="en-GB"/>
              </w:rPr>
            </w:pPr>
            <w:proofErr w:type="spellStart"/>
            <w:r w:rsidRPr="003B6A69">
              <w:rPr>
                <w:rFonts w:eastAsia="Times New Roman"/>
                <w:color w:val="000000"/>
                <w:szCs w:val="20"/>
                <w:lang w:val="en-GB"/>
              </w:rPr>
              <w:t>Mogren</w:t>
            </w:r>
            <w:proofErr w:type="spellEnd"/>
            <w:r w:rsidRPr="003B6A69">
              <w:rPr>
                <w:rFonts w:eastAsia="Times New Roman"/>
                <w:color w:val="000000"/>
                <w:szCs w:val="20"/>
                <w:lang w:val="en-GB"/>
              </w:rPr>
              <w:t xml:space="preserve"> </w:t>
            </w:r>
          </w:p>
        </w:tc>
        <w:tc>
          <w:tcPr>
            <w:tcW w:w="1842" w:type="dxa"/>
            <w:gridSpan w:val="3"/>
            <w:tcBorders>
              <w:top w:val="nil"/>
              <w:left w:val="nil"/>
              <w:bottom w:val="single" w:sz="4" w:space="0" w:color="auto"/>
              <w:right w:val="single" w:sz="4" w:space="0" w:color="auto"/>
            </w:tcBorders>
            <w:shd w:val="clear" w:color="auto" w:fill="auto"/>
            <w:noWrap/>
            <w:vAlign w:val="center"/>
            <w:hideMark/>
          </w:tcPr>
          <w:p w14:paraId="35FA18F6" w14:textId="77777777" w:rsidR="008C4F26" w:rsidRPr="003B6A69" w:rsidRDefault="008C4F26" w:rsidP="00661293">
            <w:pPr>
              <w:spacing w:after="0"/>
              <w:jc w:val="left"/>
              <w:rPr>
                <w:rFonts w:eastAsia="Times New Roman"/>
                <w:color w:val="000000"/>
                <w:szCs w:val="20"/>
                <w:lang w:val="en-GB"/>
              </w:rPr>
            </w:pPr>
            <w:r w:rsidRPr="003B6A69">
              <w:rPr>
                <w:rFonts w:eastAsia="Times New Roman"/>
                <w:color w:val="000000"/>
                <w:szCs w:val="20"/>
                <w:lang w:val="en-GB"/>
              </w:rPr>
              <w:t>2</w:t>
            </w:r>
          </w:p>
        </w:tc>
      </w:tr>
      <w:tr w:rsidR="008C4F26" w:rsidRPr="003B6A69" w14:paraId="17BC0B8C" w14:textId="77777777" w:rsidTr="00661293">
        <w:trPr>
          <w:trHeight w:val="58"/>
        </w:trPr>
        <w:tc>
          <w:tcPr>
            <w:tcW w:w="5642" w:type="dxa"/>
            <w:tcBorders>
              <w:top w:val="nil"/>
              <w:left w:val="single" w:sz="4" w:space="0" w:color="auto"/>
              <w:bottom w:val="single" w:sz="4" w:space="0" w:color="auto"/>
              <w:right w:val="single" w:sz="4" w:space="0" w:color="auto"/>
            </w:tcBorders>
            <w:shd w:val="clear" w:color="auto" w:fill="auto"/>
            <w:vAlign w:val="bottom"/>
            <w:hideMark/>
          </w:tcPr>
          <w:p w14:paraId="48636CF2" w14:textId="77777777" w:rsidR="008C4F26" w:rsidRPr="003B6A69" w:rsidRDefault="008C4F26" w:rsidP="00661293">
            <w:pPr>
              <w:spacing w:after="0"/>
              <w:jc w:val="left"/>
              <w:rPr>
                <w:rFonts w:eastAsia="Times New Roman"/>
                <w:color w:val="000000"/>
                <w:szCs w:val="20"/>
                <w:lang w:val="en-GB"/>
              </w:rPr>
            </w:pPr>
            <w:proofErr w:type="spellStart"/>
            <w:r w:rsidRPr="003B6A69">
              <w:rPr>
                <w:rFonts w:eastAsia="Times New Roman"/>
                <w:color w:val="000000"/>
                <w:szCs w:val="20"/>
                <w:lang w:val="en-GB"/>
              </w:rPr>
              <w:t>Petrovacka</w:t>
            </w:r>
            <w:proofErr w:type="spellEnd"/>
            <w:r w:rsidRPr="003B6A69">
              <w:rPr>
                <w:rFonts w:eastAsia="Times New Roman"/>
                <w:color w:val="000000"/>
                <w:szCs w:val="20"/>
                <w:lang w:val="en-GB"/>
              </w:rPr>
              <w:t xml:space="preserve"> </w:t>
            </w:r>
          </w:p>
        </w:tc>
        <w:tc>
          <w:tcPr>
            <w:tcW w:w="1842" w:type="dxa"/>
            <w:gridSpan w:val="3"/>
            <w:tcBorders>
              <w:top w:val="nil"/>
              <w:left w:val="nil"/>
              <w:bottom w:val="single" w:sz="4" w:space="0" w:color="auto"/>
              <w:right w:val="single" w:sz="4" w:space="0" w:color="auto"/>
            </w:tcBorders>
            <w:shd w:val="clear" w:color="auto" w:fill="auto"/>
            <w:noWrap/>
            <w:vAlign w:val="center"/>
            <w:hideMark/>
          </w:tcPr>
          <w:p w14:paraId="29575DF3" w14:textId="77777777" w:rsidR="008C4F26" w:rsidRPr="003B6A69" w:rsidRDefault="008C4F26" w:rsidP="00661293">
            <w:pPr>
              <w:spacing w:after="0"/>
              <w:jc w:val="left"/>
              <w:rPr>
                <w:rFonts w:eastAsia="Times New Roman"/>
                <w:color w:val="000000"/>
                <w:szCs w:val="20"/>
                <w:lang w:val="en-GB"/>
              </w:rPr>
            </w:pPr>
            <w:r w:rsidRPr="003B6A69">
              <w:rPr>
                <w:rFonts w:eastAsia="Times New Roman"/>
                <w:color w:val="000000"/>
                <w:szCs w:val="20"/>
                <w:lang w:val="en-GB"/>
              </w:rPr>
              <w:t>1.5</w:t>
            </w:r>
          </w:p>
        </w:tc>
      </w:tr>
      <w:tr w:rsidR="008C4F26" w:rsidRPr="003B6A69" w14:paraId="299058EE" w14:textId="77777777" w:rsidTr="00661293">
        <w:trPr>
          <w:trHeight w:val="58"/>
        </w:trPr>
        <w:tc>
          <w:tcPr>
            <w:tcW w:w="5642" w:type="dxa"/>
            <w:tcBorders>
              <w:top w:val="nil"/>
              <w:left w:val="single" w:sz="4" w:space="0" w:color="auto"/>
              <w:bottom w:val="single" w:sz="4" w:space="0" w:color="auto"/>
              <w:right w:val="single" w:sz="4" w:space="0" w:color="auto"/>
            </w:tcBorders>
            <w:shd w:val="clear" w:color="auto" w:fill="auto"/>
            <w:vAlign w:val="bottom"/>
            <w:hideMark/>
          </w:tcPr>
          <w:p w14:paraId="2413AC4A" w14:textId="77777777" w:rsidR="008C4F26" w:rsidRPr="003B6A69" w:rsidRDefault="008C4F26" w:rsidP="00661293">
            <w:pPr>
              <w:spacing w:after="0"/>
              <w:jc w:val="left"/>
              <w:rPr>
                <w:rFonts w:eastAsia="Times New Roman"/>
                <w:color w:val="000000"/>
                <w:szCs w:val="20"/>
                <w:lang w:val="en-GB"/>
              </w:rPr>
            </w:pPr>
            <w:proofErr w:type="spellStart"/>
            <w:r w:rsidRPr="003B6A69">
              <w:rPr>
                <w:rFonts w:eastAsia="Times New Roman"/>
                <w:color w:val="000000"/>
                <w:szCs w:val="20"/>
                <w:lang w:val="en-GB"/>
              </w:rPr>
              <w:t>Topolica</w:t>
            </w:r>
            <w:proofErr w:type="spellEnd"/>
          </w:p>
        </w:tc>
        <w:tc>
          <w:tcPr>
            <w:tcW w:w="1842" w:type="dxa"/>
            <w:gridSpan w:val="3"/>
            <w:tcBorders>
              <w:top w:val="nil"/>
              <w:left w:val="nil"/>
              <w:bottom w:val="single" w:sz="4" w:space="0" w:color="auto"/>
              <w:right w:val="single" w:sz="4" w:space="0" w:color="auto"/>
            </w:tcBorders>
            <w:shd w:val="clear" w:color="auto" w:fill="auto"/>
            <w:noWrap/>
            <w:vAlign w:val="center"/>
            <w:hideMark/>
          </w:tcPr>
          <w:p w14:paraId="21C54FBA" w14:textId="77777777" w:rsidR="008C4F26" w:rsidRPr="003B6A69" w:rsidRDefault="008C4F26" w:rsidP="00661293">
            <w:pPr>
              <w:spacing w:after="0"/>
              <w:jc w:val="left"/>
              <w:rPr>
                <w:rFonts w:eastAsia="Times New Roman"/>
                <w:color w:val="000000"/>
                <w:szCs w:val="20"/>
                <w:lang w:val="en-GB"/>
              </w:rPr>
            </w:pPr>
            <w:r w:rsidRPr="003B6A69">
              <w:rPr>
                <w:rFonts w:eastAsia="Times New Roman"/>
                <w:color w:val="000000"/>
                <w:szCs w:val="20"/>
                <w:lang w:val="en-GB"/>
              </w:rPr>
              <w:t>2</w:t>
            </w:r>
          </w:p>
        </w:tc>
      </w:tr>
      <w:tr w:rsidR="008C4F26" w:rsidRPr="003B6A69" w14:paraId="67BAECEE" w14:textId="77777777" w:rsidTr="00661293">
        <w:trPr>
          <w:trHeight w:val="58"/>
        </w:trPr>
        <w:tc>
          <w:tcPr>
            <w:tcW w:w="5642" w:type="dxa"/>
            <w:tcBorders>
              <w:top w:val="nil"/>
              <w:left w:val="single" w:sz="4" w:space="0" w:color="auto"/>
              <w:bottom w:val="single" w:sz="4" w:space="0" w:color="auto"/>
              <w:right w:val="single" w:sz="4" w:space="0" w:color="auto"/>
            </w:tcBorders>
            <w:shd w:val="clear" w:color="auto" w:fill="auto"/>
            <w:vAlign w:val="bottom"/>
            <w:hideMark/>
          </w:tcPr>
          <w:p w14:paraId="21B06B71" w14:textId="77777777" w:rsidR="008C4F26" w:rsidRPr="003B6A69" w:rsidRDefault="008C4F26" w:rsidP="00661293">
            <w:pPr>
              <w:spacing w:after="0"/>
              <w:jc w:val="left"/>
              <w:rPr>
                <w:rFonts w:eastAsia="Times New Roman"/>
                <w:color w:val="000000"/>
                <w:szCs w:val="20"/>
                <w:lang w:val="en-GB"/>
              </w:rPr>
            </w:pPr>
            <w:proofErr w:type="spellStart"/>
            <w:r w:rsidRPr="003B6A69">
              <w:rPr>
                <w:rFonts w:eastAsia="Times New Roman"/>
                <w:color w:val="000000"/>
                <w:szCs w:val="20"/>
                <w:lang w:val="en-GB"/>
              </w:rPr>
              <w:t>Przno</w:t>
            </w:r>
            <w:proofErr w:type="spellEnd"/>
            <w:r w:rsidRPr="003B6A69">
              <w:rPr>
                <w:rFonts w:eastAsia="Times New Roman"/>
                <w:color w:val="000000"/>
                <w:szCs w:val="20"/>
                <w:lang w:val="en-GB"/>
              </w:rPr>
              <w:t xml:space="preserve"> </w:t>
            </w:r>
            <w:proofErr w:type="spellStart"/>
            <w:r w:rsidRPr="003B6A69">
              <w:rPr>
                <w:rFonts w:eastAsia="Times New Roman"/>
                <w:color w:val="000000"/>
                <w:szCs w:val="20"/>
                <w:lang w:val="en-GB"/>
              </w:rPr>
              <w:t>kod</w:t>
            </w:r>
            <w:proofErr w:type="spellEnd"/>
            <w:r w:rsidRPr="003B6A69">
              <w:rPr>
                <w:rFonts w:eastAsia="Times New Roman"/>
                <w:color w:val="000000"/>
                <w:szCs w:val="20"/>
                <w:lang w:val="en-GB"/>
              </w:rPr>
              <w:t xml:space="preserve"> </w:t>
            </w:r>
            <w:proofErr w:type="spellStart"/>
            <w:r w:rsidRPr="003B6A69">
              <w:rPr>
                <w:rFonts w:eastAsia="Times New Roman"/>
                <w:color w:val="000000"/>
                <w:szCs w:val="20"/>
                <w:lang w:val="en-GB"/>
              </w:rPr>
              <w:t>Tivta</w:t>
            </w:r>
            <w:proofErr w:type="spellEnd"/>
          </w:p>
        </w:tc>
        <w:tc>
          <w:tcPr>
            <w:tcW w:w="1842" w:type="dxa"/>
            <w:gridSpan w:val="3"/>
            <w:tcBorders>
              <w:top w:val="nil"/>
              <w:left w:val="nil"/>
              <w:bottom w:val="single" w:sz="4" w:space="0" w:color="auto"/>
              <w:right w:val="single" w:sz="4" w:space="0" w:color="auto"/>
            </w:tcBorders>
            <w:shd w:val="clear" w:color="auto" w:fill="auto"/>
            <w:noWrap/>
            <w:vAlign w:val="center"/>
            <w:hideMark/>
          </w:tcPr>
          <w:p w14:paraId="0816A4BF" w14:textId="77777777" w:rsidR="008C4F26" w:rsidRPr="003B6A69" w:rsidRDefault="008C4F26" w:rsidP="00661293">
            <w:pPr>
              <w:spacing w:after="0"/>
              <w:jc w:val="left"/>
              <w:rPr>
                <w:rFonts w:eastAsia="Times New Roman"/>
                <w:color w:val="000000"/>
                <w:szCs w:val="20"/>
                <w:lang w:val="en-GB"/>
              </w:rPr>
            </w:pPr>
            <w:r w:rsidRPr="003B6A69">
              <w:rPr>
                <w:rFonts w:eastAsia="Times New Roman"/>
                <w:color w:val="000000"/>
                <w:szCs w:val="20"/>
                <w:lang w:val="en-GB"/>
              </w:rPr>
              <w:t>2</w:t>
            </w:r>
          </w:p>
        </w:tc>
      </w:tr>
      <w:tr w:rsidR="008C4F26" w:rsidRPr="003B6A69" w14:paraId="107CC658" w14:textId="77777777" w:rsidTr="00661293">
        <w:trPr>
          <w:trHeight w:val="58"/>
        </w:trPr>
        <w:tc>
          <w:tcPr>
            <w:tcW w:w="5642" w:type="dxa"/>
            <w:tcBorders>
              <w:top w:val="nil"/>
              <w:left w:val="single" w:sz="4" w:space="0" w:color="auto"/>
              <w:bottom w:val="single" w:sz="4" w:space="0" w:color="auto"/>
              <w:right w:val="single" w:sz="4" w:space="0" w:color="auto"/>
            </w:tcBorders>
            <w:shd w:val="clear" w:color="auto" w:fill="auto"/>
            <w:vAlign w:val="bottom"/>
            <w:hideMark/>
          </w:tcPr>
          <w:p w14:paraId="0920537C" w14:textId="77777777" w:rsidR="008C4F26" w:rsidRPr="003B6A69" w:rsidRDefault="008C4F26" w:rsidP="00661293">
            <w:pPr>
              <w:spacing w:after="0"/>
              <w:jc w:val="left"/>
              <w:rPr>
                <w:rFonts w:eastAsia="Times New Roman"/>
                <w:color w:val="000000"/>
                <w:szCs w:val="20"/>
                <w:lang w:val="en-GB"/>
              </w:rPr>
            </w:pPr>
            <w:proofErr w:type="spellStart"/>
            <w:r w:rsidRPr="003B6A69">
              <w:rPr>
                <w:rFonts w:eastAsia="Times New Roman"/>
                <w:color w:val="000000"/>
                <w:szCs w:val="20"/>
                <w:lang w:val="en-GB"/>
              </w:rPr>
              <w:t>Slovenska</w:t>
            </w:r>
            <w:proofErr w:type="spellEnd"/>
            <w:r w:rsidRPr="003B6A69">
              <w:rPr>
                <w:rFonts w:eastAsia="Times New Roman"/>
                <w:color w:val="000000"/>
                <w:szCs w:val="20"/>
                <w:lang w:val="en-GB"/>
              </w:rPr>
              <w:t xml:space="preserve"> </w:t>
            </w:r>
          </w:p>
        </w:tc>
        <w:tc>
          <w:tcPr>
            <w:tcW w:w="1842" w:type="dxa"/>
            <w:gridSpan w:val="3"/>
            <w:tcBorders>
              <w:top w:val="nil"/>
              <w:left w:val="nil"/>
              <w:bottom w:val="single" w:sz="4" w:space="0" w:color="auto"/>
              <w:right w:val="single" w:sz="4" w:space="0" w:color="auto"/>
            </w:tcBorders>
            <w:shd w:val="clear" w:color="auto" w:fill="auto"/>
            <w:noWrap/>
            <w:vAlign w:val="center"/>
            <w:hideMark/>
          </w:tcPr>
          <w:p w14:paraId="382F7A8A" w14:textId="77777777" w:rsidR="008C4F26" w:rsidRPr="003B6A69" w:rsidRDefault="008C4F26" w:rsidP="00661293">
            <w:pPr>
              <w:spacing w:after="0"/>
              <w:jc w:val="left"/>
              <w:rPr>
                <w:rFonts w:eastAsia="Times New Roman"/>
                <w:color w:val="000000"/>
                <w:szCs w:val="20"/>
                <w:lang w:val="en-GB"/>
              </w:rPr>
            </w:pPr>
            <w:r w:rsidRPr="003B6A69">
              <w:rPr>
                <w:rFonts w:eastAsia="Times New Roman"/>
                <w:color w:val="000000"/>
                <w:szCs w:val="20"/>
                <w:lang w:val="en-GB"/>
              </w:rPr>
              <w:t>4</w:t>
            </w:r>
          </w:p>
        </w:tc>
      </w:tr>
      <w:tr w:rsidR="008C4F26" w:rsidRPr="003B6A69" w14:paraId="2708F057" w14:textId="77777777" w:rsidTr="00661293">
        <w:trPr>
          <w:trHeight w:val="58"/>
        </w:trPr>
        <w:tc>
          <w:tcPr>
            <w:tcW w:w="5642" w:type="dxa"/>
            <w:tcBorders>
              <w:top w:val="nil"/>
              <w:left w:val="single" w:sz="4" w:space="0" w:color="auto"/>
              <w:bottom w:val="single" w:sz="4" w:space="0" w:color="auto"/>
              <w:right w:val="single" w:sz="4" w:space="0" w:color="auto"/>
            </w:tcBorders>
            <w:shd w:val="clear" w:color="auto" w:fill="auto"/>
            <w:vAlign w:val="bottom"/>
            <w:hideMark/>
          </w:tcPr>
          <w:p w14:paraId="1DD1D904" w14:textId="77777777" w:rsidR="008C4F26" w:rsidRPr="003B6A69" w:rsidRDefault="008C4F26" w:rsidP="00661293">
            <w:pPr>
              <w:spacing w:after="0"/>
              <w:jc w:val="left"/>
              <w:rPr>
                <w:rFonts w:eastAsia="Times New Roman"/>
                <w:color w:val="000000"/>
                <w:szCs w:val="20"/>
                <w:lang w:val="en-GB"/>
              </w:rPr>
            </w:pPr>
            <w:proofErr w:type="spellStart"/>
            <w:r w:rsidRPr="003B6A69">
              <w:rPr>
                <w:rFonts w:eastAsia="Times New Roman"/>
                <w:color w:val="000000"/>
                <w:szCs w:val="20"/>
                <w:lang w:val="en-GB"/>
              </w:rPr>
              <w:t>Sutomorska</w:t>
            </w:r>
            <w:proofErr w:type="spellEnd"/>
            <w:r w:rsidRPr="003B6A69">
              <w:rPr>
                <w:rFonts w:eastAsia="Times New Roman"/>
                <w:color w:val="000000"/>
                <w:szCs w:val="20"/>
                <w:lang w:val="en-GB"/>
              </w:rPr>
              <w:t xml:space="preserve"> </w:t>
            </w:r>
          </w:p>
        </w:tc>
        <w:tc>
          <w:tcPr>
            <w:tcW w:w="1842" w:type="dxa"/>
            <w:gridSpan w:val="3"/>
            <w:tcBorders>
              <w:top w:val="nil"/>
              <w:left w:val="nil"/>
              <w:bottom w:val="single" w:sz="4" w:space="0" w:color="auto"/>
              <w:right w:val="single" w:sz="4" w:space="0" w:color="auto"/>
            </w:tcBorders>
            <w:shd w:val="clear" w:color="auto" w:fill="auto"/>
            <w:noWrap/>
            <w:vAlign w:val="center"/>
            <w:hideMark/>
          </w:tcPr>
          <w:p w14:paraId="167F2707" w14:textId="77777777" w:rsidR="008C4F26" w:rsidRPr="003B6A69" w:rsidRDefault="008C4F26" w:rsidP="00661293">
            <w:pPr>
              <w:spacing w:after="0"/>
              <w:jc w:val="left"/>
              <w:rPr>
                <w:rFonts w:eastAsia="Times New Roman"/>
                <w:color w:val="000000"/>
                <w:szCs w:val="20"/>
                <w:lang w:val="en-GB"/>
              </w:rPr>
            </w:pPr>
            <w:r w:rsidRPr="003B6A69">
              <w:rPr>
                <w:rFonts w:eastAsia="Times New Roman"/>
                <w:color w:val="000000"/>
                <w:szCs w:val="20"/>
                <w:lang w:val="en-GB"/>
              </w:rPr>
              <w:t>4</w:t>
            </w:r>
          </w:p>
        </w:tc>
      </w:tr>
      <w:tr w:rsidR="008C4F26" w:rsidRPr="003B6A69" w14:paraId="6C3EF918" w14:textId="77777777" w:rsidTr="00661293">
        <w:trPr>
          <w:trHeight w:val="58"/>
        </w:trPr>
        <w:tc>
          <w:tcPr>
            <w:tcW w:w="5642" w:type="dxa"/>
            <w:tcBorders>
              <w:top w:val="nil"/>
              <w:left w:val="single" w:sz="4" w:space="0" w:color="auto"/>
              <w:bottom w:val="single" w:sz="4" w:space="0" w:color="auto"/>
              <w:right w:val="single" w:sz="4" w:space="0" w:color="auto"/>
            </w:tcBorders>
            <w:shd w:val="clear" w:color="auto" w:fill="auto"/>
            <w:vAlign w:val="bottom"/>
            <w:hideMark/>
          </w:tcPr>
          <w:p w14:paraId="1CF9074F" w14:textId="77777777" w:rsidR="008C4F26" w:rsidRPr="003B6A69" w:rsidRDefault="008C4F26" w:rsidP="00661293">
            <w:pPr>
              <w:spacing w:after="0"/>
              <w:jc w:val="left"/>
              <w:rPr>
                <w:rFonts w:eastAsia="Times New Roman"/>
                <w:color w:val="000000"/>
                <w:szCs w:val="20"/>
                <w:lang w:val="en-GB"/>
              </w:rPr>
            </w:pPr>
            <w:proofErr w:type="spellStart"/>
            <w:r w:rsidRPr="003B6A69">
              <w:rPr>
                <w:rFonts w:eastAsia="Times New Roman"/>
                <w:color w:val="000000"/>
                <w:szCs w:val="20"/>
                <w:lang w:val="en-GB"/>
              </w:rPr>
              <w:t>Sveti</w:t>
            </w:r>
            <w:proofErr w:type="spellEnd"/>
            <w:r w:rsidRPr="003B6A69">
              <w:rPr>
                <w:rFonts w:eastAsia="Times New Roman"/>
                <w:color w:val="000000"/>
                <w:szCs w:val="20"/>
                <w:lang w:val="en-GB"/>
              </w:rPr>
              <w:t xml:space="preserve"> Stefan and </w:t>
            </w:r>
            <w:proofErr w:type="spellStart"/>
            <w:r w:rsidRPr="003B6A69">
              <w:rPr>
                <w:rFonts w:eastAsia="Times New Roman"/>
                <w:color w:val="000000"/>
                <w:szCs w:val="20"/>
                <w:lang w:val="en-GB"/>
              </w:rPr>
              <w:t>Milocer</w:t>
            </w:r>
            <w:proofErr w:type="spellEnd"/>
          </w:p>
        </w:tc>
        <w:tc>
          <w:tcPr>
            <w:tcW w:w="1842" w:type="dxa"/>
            <w:gridSpan w:val="3"/>
            <w:tcBorders>
              <w:top w:val="nil"/>
              <w:left w:val="nil"/>
              <w:bottom w:val="single" w:sz="4" w:space="0" w:color="auto"/>
              <w:right w:val="single" w:sz="4" w:space="0" w:color="auto"/>
            </w:tcBorders>
            <w:shd w:val="clear" w:color="auto" w:fill="auto"/>
            <w:noWrap/>
            <w:vAlign w:val="center"/>
            <w:hideMark/>
          </w:tcPr>
          <w:p w14:paraId="189A230A" w14:textId="77777777" w:rsidR="008C4F26" w:rsidRPr="003B6A69" w:rsidRDefault="008C4F26" w:rsidP="00661293">
            <w:pPr>
              <w:spacing w:after="0"/>
              <w:jc w:val="left"/>
              <w:rPr>
                <w:rFonts w:eastAsia="Times New Roman"/>
                <w:color w:val="000000"/>
                <w:szCs w:val="20"/>
                <w:lang w:val="en-GB"/>
              </w:rPr>
            </w:pPr>
            <w:r w:rsidRPr="003B6A69">
              <w:rPr>
                <w:rFonts w:eastAsia="Times New Roman"/>
                <w:color w:val="000000"/>
                <w:szCs w:val="20"/>
                <w:lang w:val="en-GB"/>
              </w:rPr>
              <w:t>5</w:t>
            </w:r>
          </w:p>
        </w:tc>
      </w:tr>
      <w:tr w:rsidR="008C4F26" w:rsidRPr="003B6A69" w14:paraId="73061670" w14:textId="77777777" w:rsidTr="00661293">
        <w:trPr>
          <w:trHeight w:val="58"/>
        </w:trPr>
        <w:tc>
          <w:tcPr>
            <w:tcW w:w="5642" w:type="dxa"/>
            <w:tcBorders>
              <w:top w:val="nil"/>
              <w:left w:val="single" w:sz="4" w:space="0" w:color="auto"/>
              <w:bottom w:val="single" w:sz="4" w:space="0" w:color="auto"/>
              <w:right w:val="single" w:sz="4" w:space="0" w:color="auto"/>
            </w:tcBorders>
            <w:shd w:val="clear" w:color="auto" w:fill="auto"/>
            <w:vAlign w:val="bottom"/>
            <w:hideMark/>
          </w:tcPr>
          <w:p w14:paraId="46E6EBFA" w14:textId="77777777" w:rsidR="008C4F26" w:rsidRPr="003B6A69" w:rsidRDefault="008C4F26" w:rsidP="00661293">
            <w:pPr>
              <w:spacing w:after="0"/>
              <w:jc w:val="left"/>
              <w:rPr>
                <w:rFonts w:eastAsia="Times New Roman"/>
                <w:color w:val="000000"/>
                <w:szCs w:val="20"/>
                <w:lang w:val="en-GB"/>
              </w:rPr>
            </w:pPr>
            <w:proofErr w:type="spellStart"/>
            <w:r w:rsidRPr="003B6A69">
              <w:rPr>
                <w:rFonts w:eastAsia="Times New Roman"/>
                <w:color w:val="000000"/>
                <w:szCs w:val="20"/>
                <w:lang w:val="en-GB"/>
              </w:rPr>
              <w:t>Valdanos</w:t>
            </w:r>
            <w:proofErr w:type="spellEnd"/>
          </w:p>
        </w:tc>
        <w:tc>
          <w:tcPr>
            <w:tcW w:w="1842" w:type="dxa"/>
            <w:gridSpan w:val="3"/>
            <w:tcBorders>
              <w:top w:val="nil"/>
              <w:left w:val="nil"/>
              <w:bottom w:val="single" w:sz="4" w:space="0" w:color="auto"/>
              <w:right w:val="single" w:sz="4" w:space="0" w:color="auto"/>
            </w:tcBorders>
            <w:shd w:val="clear" w:color="auto" w:fill="auto"/>
            <w:noWrap/>
            <w:vAlign w:val="center"/>
            <w:hideMark/>
          </w:tcPr>
          <w:p w14:paraId="23F7C325" w14:textId="77777777" w:rsidR="008C4F26" w:rsidRPr="003B6A69" w:rsidRDefault="008C4F26" w:rsidP="00661293">
            <w:pPr>
              <w:spacing w:after="0"/>
              <w:jc w:val="left"/>
              <w:rPr>
                <w:rFonts w:eastAsia="Times New Roman"/>
                <w:color w:val="000000"/>
                <w:szCs w:val="20"/>
                <w:lang w:val="en-GB"/>
              </w:rPr>
            </w:pPr>
            <w:r w:rsidRPr="003B6A69">
              <w:rPr>
                <w:rFonts w:eastAsia="Times New Roman"/>
                <w:color w:val="000000"/>
                <w:szCs w:val="20"/>
                <w:lang w:val="en-GB"/>
              </w:rPr>
              <w:t>3</w:t>
            </w:r>
          </w:p>
        </w:tc>
      </w:tr>
      <w:tr w:rsidR="008C4F26" w:rsidRPr="003B6A69" w14:paraId="0235527C" w14:textId="77777777" w:rsidTr="00661293">
        <w:trPr>
          <w:trHeight w:val="58"/>
        </w:trPr>
        <w:tc>
          <w:tcPr>
            <w:tcW w:w="5642" w:type="dxa"/>
            <w:tcBorders>
              <w:top w:val="nil"/>
              <w:left w:val="single" w:sz="4" w:space="0" w:color="auto"/>
              <w:bottom w:val="single" w:sz="4" w:space="0" w:color="auto"/>
              <w:right w:val="single" w:sz="4" w:space="0" w:color="auto"/>
            </w:tcBorders>
            <w:shd w:val="clear" w:color="auto" w:fill="auto"/>
            <w:vAlign w:val="bottom"/>
            <w:hideMark/>
          </w:tcPr>
          <w:p w14:paraId="4B97C923" w14:textId="77777777" w:rsidR="008C4F26" w:rsidRPr="003B6A69" w:rsidRDefault="008C4F26" w:rsidP="00661293">
            <w:pPr>
              <w:spacing w:after="0"/>
              <w:jc w:val="left"/>
              <w:rPr>
                <w:rFonts w:eastAsia="Times New Roman"/>
                <w:color w:val="000000"/>
                <w:szCs w:val="20"/>
                <w:lang w:val="en-GB"/>
              </w:rPr>
            </w:pPr>
            <w:proofErr w:type="spellStart"/>
            <w:r w:rsidRPr="003B6A69">
              <w:rPr>
                <w:rFonts w:eastAsia="Times New Roman"/>
                <w:color w:val="000000"/>
                <w:szCs w:val="20"/>
                <w:lang w:val="en-GB"/>
              </w:rPr>
              <w:t>Canj</w:t>
            </w:r>
            <w:proofErr w:type="spellEnd"/>
            <w:r w:rsidRPr="003B6A69">
              <w:rPr>
                <w:rFonts w:eastAsia="Times New Roman"/>
                <w:color w:val="000000"/>
                <w:szCs w:val="20"/>
                <w:lang w:val="en-GB"/>
              </w:rPr>
              <w:t xml:space="preserve"> </w:t>
            </w:r>
          </w:p>
        </w:tc>
        <w:tc>
          <w:tcPr>
            <w:tcW w:w="1842" w:type="dxa"/>
            <w:gridSpan w:val="3"/>
            <w:tcBorders>
              <w:top w:val="nil"/>
              <w:left w:val="nil"/>
              <w:bottom w:val="single" w:sz="4" w:space="0" w:color="auto"/>
              <w:right w:val="single" w:sz="4" w:space="0" w:color="auto"/>
            </w:tcBorders>
            <w:shd w:val="clear" w:color="auto" w:fill="auto"/>
            <w:noWrap/>
            <w:vAlign w:val="center"/>
            <w:hideMark/>
          </w:tcPr>
          <w:p w14:paraId="190C26B3" w14:textId="77777777" w:rsidR="008C4F26" w:rsidRPr="003B6A69" w:rsidRDefault="008C4F26" w:rsidP="00661293">
            <w:pPr>
              <w:spacing w:after="0"/>
              <w:jc w:val="left"/>
              <w:rPr>
                <w:rFonts w:eastAsia="Times New Roman"/>
                <w:color w:val="000000"/>
                <w:szCs w:val="20"/>
                <w:lang w:val="en-GB"/>
              </w:rPr>
            </w:pPr>
            <w:r w:rsidRPr="003B6A69">
              <w:rPr>
                <w:rFonts w:eastAsia="Times New Roman"/>
                <w:color w:val="000000"/>
                <w:szCs w:val="20"/>
                <w:lang w:val="en-GB"/>
              </w:rPr>
              <w:t>3.5</w:t>
            </w:r>
          </w:p>
        </w:tc>
      </w:tr>
      <w:tr w:rsidR="008C4F26" w:rsidRPr="003B6A69" w14:paraId="64834BA5" w14:textId="77777777" w:rsidTr="00661293">
        <w:trPr>
          <w:trHeight w:val="58"/>
        </w:trPr>
        <w:tc>
          <w:tcPr>
            <w:tcW w:w="5642" w:type="dxa"/>
            <w:tcBorders>
              <w:top w:val="nil"/>
              <w:left w:val="single" w:sz="4" w:space="0" w:color="auto"/>
              <w:bottom w:val="single" w:sz="4" w:space="0" w:color="auto"/>
              <w:right w:val="single" w:sz="4" w:space="0" w:color="auto"/>
            </w:tcBorders>
            <w:shd w:val="clear" w:color="auto" w:fill="auto"/>
            <w:vAlign w:val="bottom"/>
            <w:hideMark/>
          </w:tcPr>
          <w:p w14:paraId="52AA0E07" w14:textId="77777777" w:rsidR="008C4F26" w:rsidRPr="003B6A69" w:rsidRDefault="008C4F26" w:rsidP="00661293">
            <w:pPr>
              <w:spacing w:after="0"/>
              <w:jc w:val="left"/>
              <w:rPr>
                <w:rFonts w:eastAsia="Times New Roman"/>
                <w:color w:val="000000"/>
                <w:szCs w:val="20"/>
                <w:lang w:val="en-GB"/>
              </w:rPr>
            </w:pPr>
            <w:proofErr w:type="spellStart"/>
            <w:r w:rsidRPr="003B6A69">
              <w:rPr>
                <w:rFonts w:eastAsia="Times New Roman"/>
                <w:color w:val="000000"/>
                <w:szCs w:val="20"/>
                <w:lang w:val="en-GB"/>
              </w:rPr>
              <w:t>Buljarica</w:t>
            </w:r>
            <w:proofErr w:type="spellEnd"/>
          </w:p>
        </w:tc>
        <w:tc>
          <w:tcPr>
            <w:tcW w:w="1842" w:type="dxa"/>
            <w:gridSpan w:val="3"/>
            <w:tcBorders>
              <w:top w:val="nil"/>
              <w:left w:val="nil"/>
              <w:bottom w:val="single" w:sz="4" w:space="0" w:color="auto"/>
              <w:right w:val="single" w:sz="4" w:space="0" w:color="auto"/>
            </w:tcBorders>
            <w:shd w:val="clear" w:color="auto" w:fill="auto"/>
            <w:noWrap/>
            <w:vAlign w:val="center"/>
            <w:hideMark/>
          </w:tcPr>
          <w:p w14:paraId="60E8F81D" w14:textId="77777777" w:rsidR="008C4F26" w:rsidRPr="003B6A69" w:rsidRDefault="008C4F26" w:rsidP="00661293">
            <w:pPr>
              <w:spacing w:after="0"/>
              <w:jc w:val="left"/>
              <w:rPr>
                <w:rFonts w:eastAsia="Times New Roman"/>
                <w:color w:val="000000"/>
                <w:szCs w:val="20"/>
                <w:lang w:val="en-GB"/>
              </w:rPr>
            </w:pPr>
            <w:r w:rsidRPr="003B6A69">
              <w:rPr>
                <w:rFonts w:eastAsia="Times New Roman"/>
                <w:color w:val="000000"/>
                <w:szCs w:val="20"/>
                <w:lang w:val="en-GB"/>
              </w:rPr>
              <w:t>4</w:t>
            </w:r>
          </w:p>
        </w:tc>
      </w:tr>
      <w:tr w:rsidR="008C4F26" w:rsidRPr="003B6A69" w14:paraId="640A02EC" w14:textId="77777777" w:rsidTr="00661293">
        <w:trPr>
          <w:trHeight w:val="58"/>
        </w:trPr>
        <w:tc>
          <w:tcPr>
            <w:tcW w:w="5642" w:type="dxa"/>
            <w:tcBorders>
              <w:top w:val="nil"/>
              <w:left w:val="single" w:sz="4" w:space="0" w:color="auto"/>
              <w:bottom w:val="single" w:sz="4" w:space="0" w:color="auto"/>
              <w:right w:val="single" w:sz="4" w:space="0" w:color="auto"/>
            </w:tcBorders>
            <w:shd w:val="clear" w:color="auto" w:fill="auto"/>
            <w:vAlign w:val="bottom"/>
            <w:hideMark/>
          </w:tcPr>
          <w:p w14:paraId="1BF9F45A" w14:textId="77777777" w:rsidR="008C4F26" w:rsidRPr="003B6A69" w:rsidRDefault="008C4F26" w:rsidP="00661293">
            <w:pPr>
              <w:spacing w:after="0"/>
              <w:jc w:val="left"/>
              <w:rPr>
                <w:rFonts w:eastAsia="Times New Roman"/>
                <w:color w:val="000000"/>
                <w:szCs w:val="20"/>
                <w:lang w:val="en-GB"/>
              </w:rPr>
            </w:pPr>
            <w:r w:rsidRPr="003B6A69">
              <w:rPr>
                <w:rFonts w:eastAsia="Times New Roman"/>
                <w:color w:val="000000"/>
                <w:szCs w:val="20"/>
                <w:lang w:val="en-GB"/>
              </w:rPr>
              <w:t xml:space="preserve">Velika </w:t>
            </w:r>
            <w:proofErr w:type="spellStart"/>
            <w:r w:rsidRPr="003B6A69">
              <w:rPr>
                <w:rFonts w:eastAsia="Times New Roman"/>
                <w:color w:val="000000"/>
                <w:szCs w:val="20"/>
                <w:lang w:val="en-GB"/>
              </w:rPr>
              <w:t>Ulcinska</w:t>
            </w:r>
            <w:proofErr w:type="spellEnd"/>
          </w:p>
        </w:tc>
        <w:tc>
          <w:tcPr>
            <w:tcW w:w="1842" w:type="dxa"/>
            <w:gridSpan w:val="3"/>
            <w:tcBorders>
              <w:top w:val="nil"/>
              <w:left w:val="nil"/>
              <w:bottom w:val="single" w:sz="4" w:space="0" w:color="auto"/>
              <w:right w:val="single" w:sz="4" w:space="0" w:color="auto"/>
            </w:tcBorders>
            <w:shd w:val="clear" w:color="auto" w:fill="auto"/>
            <w:noWrap/>
            <w:vAlign w:val="center"/>
            <w:hideMark/>
          </w:tcPr>
          <w:p w14:paraId="5F1FDA63" w14:textId="77777777" w:rsidR="008C4F26" w:rsidRPr="003B6A69" w:rsidRDefault="008C4F26" w:rsidP="00661293">
            <w:pPr>
              <w:spacing w:after="0"/>
              <w:jc w:val="left"/>
              <w:rPr>
                <w:rFonts w:eastAsia="Times New Roman"/>
                <w:color w:val="000000"/>
                <w:szCs w:val="20"/>
                <w:lang w:val="en-GB"/>
              </w:rPr>
            </w:pPr>
            <w:r w:rsidRPr="003B6A69">
              <w:rPr>
                <w:rFonts w:eastAsia="Times New Roman"/>
                <w:color w:val="000000"/>
                <w:szCs w:val="20"/>
                <w:lang w:val="en-GB"/>
              </w:rPr>
              <w:t>600</w:t>
            </w:r>
          </w:p>
        </w:tc>
      </w:tr>
      <w:tr w:rsidR="008C4F26" w:rsidRPr="003B6A69" w14:paraId="79540E51" w14:textId="77777777" w:rsidTr="00661293">
        <w:trPr>
          <w:trHeight w:val="58"/>
        </w:trPr>
        <w:tc>
          <w:tcPr>
            <w:tcW w:w="5642" w:type="dxa"/>
            <w:tcBorders>
              <w:top w:val="nil"/>
              <w:left w:val="single" w:sz="4" w:space="0" w:color="auto"/>
              <w:bottom w:val="single" w:sz="4" w:space="0" w:color="auto"/>
              <w:right w:val="single" w:sz="4" w:space="0" w:color="auto"/>
            </w:tcBorders>
            <w:shd w:val="clear" w:color="auto" w:fill="auto"/>
            <w:vAlign w:val="bottom"/>
            <w:hideMark/>
          </w:tcPr>
          <w:p w14:paraId="6F1EF458" w14:textId="77777777" w:rsidR="008C4F26" w:rsidRPr="003B6A69" w:rsidRDefault="008C4F26" w:rsidP="00661293">
            <w:pPr>
              <w:spacing w:after="0"/>
              <w:jc w:val="left"/>
              <w:rPr>
                <w:rFonts w:eastAsia="Times New Roman"/>
                <w:color w:val="000000"/>
                <w:szCs w:val="20"/>
                <w:lang w:val="en-GB"/>
              </w:rPr>
            </w:pPr>
            <w:proofErr w:type="spellStart"/>
            <w:r w:rsidRPr="003B6A69">
              <w:rPr>
                <w:rFonts w:eastAsia="Times New Roman"/>
                <w:color w:val="000000"/>
                <w:szCs w:val="20"/>
                <w:lang w:val="en-GB"/>
              </w:rPr>
              <w:t>Veliki</w:t>
            </w:r>
            <w:proofErr w:type="spellEnd"/>
            <w:r w:rsidRPr="003B6A69">
              <w:rPr>
                <w:rFonts w:eastAsia="Times New Roman"/>
                <w:color w:val="000000"/>
                <w:szCs w:val="20"/>
                <w:lang w:val="en-GB"/>
              </w:rPr>
              <w:t xml:space="preserve"> </w:t>
            </w:r>
            <w:proofErr w:type="spellStart"/>
            <w:r w:rsidRPr="003B6A69">
              <w:rPr>
                <w:rFonts w:eastAsia="Times New Roman"/>
                <w:color w:val="000000"/>
                <w:szCs w:val="20"/>
                <w:lang w:val="en-GB"/>
              </w:rPr>
              <w:t>pijesak</w:t>
            </w:r>
            <w:proofErr w:type="spellEnd"/>
          </w:p>
        </w:tc>
        <w:tc>
          <w:tcPr>
            <w:tcW w:w="1842" w:type="dxa"/>
            <w:gridSpan w:val="3"/>
            <w:tcBorders>
              <w:top w:val="nil"/>
              <w:left w:val="nil"/>
              <w:bottom w:val="single" w:sz="4" w:space="0" w:color="auto"/>
              <w:right w:val="single" w:sz="4" w:space="0" w:color="auto"/>
            </w:tcBorders>
            <w:shd w:val="clear" w:color="auto" w:fill="auto"/>
            <w:noWrap/>
            <w:vAlign w:val="center"/>
            <w:hideMark/>
          </w:tcPr>
          <w:p w14:paraId="1190C14B" w14:textId="77777777" w:rsidR="008C4F26" w:rsidRPr="003B6A69" w:rsidRDefault="008C4F26" w:rsidP="00661293">
            <w:pPr>
              <w:spacing w:after="0"/>
              <w:jc w:val="left"/>
              <w:rPr>
                <w:rFonts w:eastAsia="Times New Roman"/>
                <w:color w:val="000000"/>
                <w:szCs w:val="20"/>
                <w:lang w:val="en-GB"/>
              </w:rPr>
            </w:pPr>
            <w:r w:rsidRPr="003B6A69">
              <w:rPr>
                <w:rFonts w:eastAsia="Times New Roman"/>
                <w:color w:val="000000"/>
                <w:szCs w:val="20"/>
                <w:lang w:val="en-GB"/>
              </w:rPr>
              <w:t>0.5</w:t>
            </w:r>
          </w:p>
        </w:tc>
      </w:tr>
      <w:tr w:rsidR="008C4F26" w:rsidRPr="003B6A69" w14:paraId="756D4993" w14:textId="77777777" w:rsidTr="00661293">
        <w:trPr>
          <w:trHeight w:val="58"/>
        </w:trPr>
        <w:tc>
          <w:tcPr>
            <w:tcW w:w="5642" w:type="dxa"/>
            <w:tcBorders>
              <w:top w:val="nil"/>
              <w:left w:val="single" w:sz="4" w:space="0" w:color="auto"/>
              <w:bottom w:val="single" w:sz="4" w:space="0" w:color="auto"/>
              <w:right w:val="single" w:sz="4" w:space="0" w:color="auto"/>
            </w:tcBorders>
            <w:shd w:val="clear" w:color="auto" w:fill="auto"/>
            <w:vAlign w:val="bottom"/>
            <w:hideMark/>
          </w:tcPr>
          <w:p w14:paraId="28B642D9" w14:textId="77777777" w:rsidR="008C4F26" w:rsidRPr="003B6A69" w:rsidRDefault="008C4F26" w:rsidP="00661293">
            <w:pPr>
              <w:spacing w:after="0"/>
              <w:jc w:val="left"/>
              <w:rPr>
                <w:rFonts w:eastAsia="Times New Roman"/>
                <w:color w:val="000000"/>
                <w:szCs w:val="20"/>
                <w:lang w:val="en-GB"/>
              </w:rPr>
            </w:pPr>
            <w:proofErr w:type="spellStart"/>
            <w:r w:rsidRPr="003B6A69">
              <w:rPr>
                <w:rFonts w:eastAsia="Times New Roman"/>
                <w:color w:val="000000"/>
                <w:szCs w:val="20"/>
                <w:lang w:val="en-GB"/>
              </w:rPr>
              <w:t>Pecin</w:t>
            </w:r>
            <w:proofErr w:type="spellEnd"/>
            <w:r w:rsidRPr="003B6A69">
              <w:rPr>
                <w:rFonts w:eastAsia="Times New Roman"/>
                <w:color w:val="000000"/>
                <w:szCs w:val="20"/>
                <w:lang w:val="en-GB"/>
              </w:rPr>
              <w:t xml:space="preserve"> </w:t>
            </w:r>
          </w:p>
        </w:tc>
        <w:tc>
          <w:tcPr>
            <w:tcW w:w="1842" w:type="dxa"/>
            <w:gridSpan w:val="3"/>
            <w:tcBorders>
              <w:top w:val="nil"/>
              <w:left w:val="nil"/>
              <w:bottom w:val="single" w:sz="4" w:space="0" w:color="auto"/>
              <w:right w:val="single" w:sz="4" w:space="0" w:color="auto"/>
            </w:tcBorders>
            <w:shd w:val="clear" w:color="auto" w:fill="auto"/>
            <w:noWrap/>
            <w:vAlign w:val="center"/>
            <w:hideMark/>
          </w:tcPr>
          <w:p w14:paraId="732F3766" w14:textId="77777777" w:rsidR="008C4F26" w:rsidRPr="003B6A69" w:rsidRDefault="008C4F26" w:rsidP="00661293">
            <w:pPr>
              <w:spacing w:after="0"/>
              <w:jc w:val="left"/>
              <w:rPr>
                <w:rFonts w:eastAsia="Times New Roman"/>
                <w:color w:val="000000"/>
                <w:szCs w:val="20"/>
                <w:lang w:val="en-GB"/>
              </w:rPr>
            </w:pPr>
            <w:r w:rsidRPr="003B6A69">
              <w:rPr>
                <w:rFonts w:eastAsia="Times New Roman"/>
                <w:color w:val="000000"/>
                <w:szCs w:val="20"/>
                <w:lang w:val="en-GB"/>
              </w:rPr>
              <w:t>1.5</w:t>
            </w:r>
          </w:p>
        </w:tc>
      </w:tr>
      <w:tr w:rsidR="008C4F26" w:rsidRPr="003B6A69" w14:paraId="1FC31304" w14:textId="77777777" w:rsidTr="00661293">
        <w:trPr>
          <w:trHeight w:val="58"/>
        </w:trPr>
        <w:tc>
          <w:tcPr>
            <w:tcW w:w="7484" w:type="dxa"/>
            <w:gridSpan w:val="4"/>
            <w:tcBorders>
              <w:top w:val="nil"/>
              <w:left w:val="single" w:sz="4" w:space="0" w:color="auto"/>
              <w:bottom w:val="single" w:sz="4" w:space="0" w:color="auto"/>
              <w:right w:val="single" w:sz="4" w:space="0" w:color="auto"/>
            </w:tcBorders>
            <w:shd w:val="clear" w:color="auto" w:fill="auto"/>
            <w:vAlign w:val="bottom"/>
            <w:hideMark/>
          </w:tcPr>
          <w:p w14:paraId="7CAC809D" w14:textId="77777777" w:rsidR="008C4F26" w:rsidRPr="003B6A69" w:rsidRDefault="008C4F26" w:rsidP="00661293">
            <w:pPr>
              <w:spacing w:after="0"/>
              <w:jc w:val="left"/>
              <w:rPr>
                <w:rFonts w:eastAsia="Times New Roman"/>
                <w:i/>
                <w:color w:val="000000"/>
                <w:szCs w:val="20"/>
                <w:lang w:val="en-GB"/>
              </w:rPr>
            </w:pPr>
          </w:p>
          <w:p w14:paraId="00CEFCC0" w14:textId="77777777" w:rsidR="008C4F26" w:rsidRPr="003B6A69" w:rsidRDefault="008C4F26" w:rsidP="00661293">
            <w:pPr>
              <w:spacing w:after="0"/>
              <w:jc w:val="left"/>
              <w:rPr>
                <w:rFonts w:eastAsia="Times New Roman"/>
                <w:i/>
                <w:color w:val="000000"/>
                <w:szCs w:val="20"/>
                <w:lang w:val="en-GB"/>
              </w:rPr>
            </w:pPr>
            <w:r w:rsidRPr="003B6A69">
              <w:rPr>
                <w:rFonts w:eastAsia="Times New Roman"/>
                <w:i/>
                <w:color w:val="000000"/>
                <w:szCs w:val="20"/>
                <w:lang w:val="en-GB"/>
              </w:rPr>
              <w:t>Caves</w:t>
            </w:r>
          </w:p>
        </w:tc>
      </w:tr>
      <w:tr w:rsidR="008C4F26" w:rsidRPr="003B6A69" w14:paraId="38728731" w14:textId="77777777" w:rsidTr="00661293">
        <w:trPr>
          <w:trHeight w:val="58"/>
        </w:trPr>
        <w:tc>
          <w:tcPr>
            <w:tcW w:w="5687" w:type="dxa"/>
            <w:gridSpan w:val="2"/>
            <w:tcBorders>
              <w:top w:val="nil"/>
              <w:left w:val="single" w:sz="4" w:space="0" w:color="auto"/>
              <w:bottom w:val="single" w:sz="4" w:space="0" w:color="auto"/>
              <w:right w:val="single" w:sz="4" w:space="0" w:color="auto"/>
            </w:tcBorders>
            <w:shd w:val="clear" w:color="auto" w:fill="auto"/>
            <w:vAlign w:val="bottom"/>
            <w:hideMark/>
          </w:tcPr>
          <w:p w14:paraId="19BD3BF3" w14:textId="77777777" w:rsidR="008C4F26" w:rsidRPr="003B6A69" w:rsidRDefault="008C4F26" w:rsidP="00661293">
            <w:pPr>
              <w:spacing w:after="0"/>
              <w:jc w:val="left"/>
              <w:rPr>
                <w:rFonts w:eastAsia="Times New Roman"/>
                <w:color w:val="000000"/>
                <w:szCs w:val="20"/>
                <w:lang w:val="en-GB"/>
              </w:rPr>
            </w:pPr>
            <w:proofErr w:type="spellStart"/>
            <w:r w:rsidRPr="003B6A69">
              <w:rPr>
                <w:rFonts w:eastAsia="Times New Roman"/>
                <w:color w:val="000000"/>
                <w:szCs w:val="20"/>
                <w:lang w:val="en-GB"/>
              </w:rPr>
              <w:t>Globocica</w:t>
            </w:r>
            <w:proofErr w:type="spellEnd"/>
            <w:r w:rsidRPr="003B6A69">
              <w:rPr>
                <w:rFonts w:eastAsia="Times New Roman"/>
                <w:color w:val="000000"/>
                <w:szCs w:val="20"/>
                <w:lang w:val="en-GB"/>
              </w:rPr>
              <w:t xml:space="preserve"> </w:t>
            </w:r>
          </w:p>
        </w:tc>
        <w:tc>
          <w:tcPr>
            <w:tcW w:w="1797" w:type="dxa"/>
            <w:gridSpan w:val="2"/>
            <w:tcBorders>
              <w:top w:val="nil"/>
              <w:left w:val="nil"/>
              <w:bottom w:val="single" w:sz="4" w:space="0" w:color="auto"/>
              <w:right w:val="single" w:sz="4" w:space="0" w:color="auto"/>
            </w:tcBorders>
            <w:shd w:val="clear" w:color="auto" w:fill="auto"/>
            <w:noWrap/>
            <w:vAlign w:val="center"/>
            <w:hideMark/>
          </w:tcPr>
          <w:p w14:paraId="0BB1A0CD" w14:textId="77777777" w:rsidR="008C4F26" w:rsidRPr="003B6A69" w:rsidRDefault="008C4F26" w:rsidP="00661293">
            <w:pPr>
              <w:spacing w:after="0"/>
              <w:jc w:val="left"/>
              <w:rPr>
                <w:rFonts w:eastAsia="Times New Roman"/>
                <w:color w:val="000000"/>
                <w:szCs w:val="20"/>
                <w:lang w:val="en-GB"/>
              </w:rPr>
            </w:pPr>
            <w:r w:rsidRPr="003B6A69">
              <w:rPr>
                <w:rFonts w:eastAsia="Times New Roman"/>
                <w:color w:val="000000"/>
                <w:szCs w:val="20"/>
                <w:lang w:val="en-GB"/>
              </w:rPr>
              <w:t>4</w:t>
            </w:r>
          </w:p>
        </w:tc>
      </w:tr>
      <w:tr w:rsidR="008C4F26" w:rsidRPr="003B6A69" w14:paraId="199C5A69" w14:textId="77777777" w:rsidTr="00661293">
        <w:trPr>
          <w:trHeight w:val="58"/>
        </w:trPr>
        <w:tc>
          <w:tcPr>
            <w:tcW w:w="5687" w:type="dxa"/>
            <w:gridSpan w:val="2"/>
            <w:tcBorders>
              <w:top w:val="nil"/>
              <w:left w:val="single" w:sz="4" w:space="0" w:color="auto"/>
              <w:bottom w:val="single" w:sz="4" w:space="0" w:color="auto"/>
              <w:right w:val="single" w:sz="4" w:space="0" w:color="auto"/>
            </w:tcBorders>
            <w:shd w:val="clear" w:color="auto" w:fill="auto"/>
            <w:vAlign w:val="bottom"/>
            <w:hideMark/>
          </w:tcPr>
          <w:p w14:paraId="1CB9332A" w14:textId="77777777" w:rsidR="008C4F26" w:rsidRPr="003B6A69" w:rsidRDefault="008C4F26" w:rsidP="00661293">
            <w:pPr>
              <w:spacing w:after="0"/>
              <w:jc w:val="left"/>
              <w:rPr>
                <w:rFonts w:eastAsia="Times New Roman"/>
                <w:color w:val="000000"/>
                <w:szCs w:val="20"/>
                <w:lang w:val="en-GB"/>
              </w:rPr>
            </w:pPr>
            <w:r w:rsidRPr="003B6A69">
              <w:rPr>
                <w:rFonts w:eastAsia="Times New Roman"/>
                <w:color w:val="000000"/>
                <w:szCs w:val="20"/>
                <w:lang w:val="en-GB"/>
              </w:rPr>
              <w:t xml:space="preserve">Jama </w:t>
            </w:r>
            <w:proofErr w:type="spellStart"/>
            <w:r w:rsidRPr="003B6A69">
              <w:rPr>
                <w:rFonts w:eastAsia="Times New Roman"/>
                <w:color w:val="000000"/>
                <w:szCs w:val="20"/>
                <w:lang w:val="en-GB"/>
              </w:rPr>
              <w:t>Duboki</w:t>
            </w:r>
            <w:proofErr w:type="spellEnd"/>
            <w:r w:rsidRPr="003B6A69">
              <w:rPr>
                <w:rFonts w:eastAsia="Times New Roman"/>
                <w:color w:val="000000"/>
                <w:szCs w:val="20"/>
                <w:lang w:val="en-GB"/>
              </w:rPr>
              <w:t xml:space="preserve"> do </w:t>
            </w:r>
            <w:proofErr w:type="spellStart"/>
            <w:r w:rsidRPr="003B6A69">
              <w:rPr>
                <w:rFonts w:eastAsia="Times New Roman"/>
                <w:color w:val="000000"/>
                <w:szCs w:val="20"/>
                <w:lang w:val="en-GB"/>
              </w:rPr>
              <w:t>na</w:t>
            </w:r>
            <w:proofErr w:type="spellEnd"/>
            <w:r w:rsidRPr="003B6A69">
              <w:rPr>
                <w:rFonts w:eastAsia="Times New Roman"/>
                <w:color w:val="000000"/>
                <w:szCs w:val="20"/>
                <w:lang w:val="en-GB"/>
              </w:rPr>
              <w:t xml:space="preserve"> </w:t>
            </w:r>
            <w:proofErr w:type="spellStart"/>
            <w:r w:rsidRPr="003B6A69">
              <w:rPr>
                <w:rFonts w:eastAsia="Times New Roman"/>
                <w:color w:val="000000"/>
                <w:szCs w:val="20"/>
                <w:lang w:val="en-GB"/>
              </w:rPr>
              <w:t>Njegusima</w:t>
            </w:r>
            <w:proofErr w:type="spellEnd"/>
          </w:p>
        </w:tc>
        <w:tc>
          <w:tcPr>
            <w:tcW w:w="1797" w:type="dxa"/>
            <w:gridSpan w:val="2"/>
            <w:tcBorders>
              <w:top w:val="nil"/>
              <w:left w:val="nil"/>
              <w:bottom w:val="single" w:sz="4" w:space="0" w:color="auto"/>
              <w:right w:val="single" w:sz="4" w:space="0" w:color="auto"/>
            </w:tcBorders>
            <w:shd w:val="clear" w:color="auto" w:fill="auto"/>
            <w:noWrap/>
            <w:vAlign w:val="center"/>
            <w:hideMark/>
          </w:tcPr>
          <w:p w14:paraId="07EC91A7" w14:textId="77777777" w:rsidR="008C4F26" w:rsidRPr="003B6A69" w:rsidRDefault="008C4F26" w:rsidP="00661293">
            <w:pPr>
              <w:spacing w:after="0"/>
              <w:jc w:val="left"/>
              <w:rPr>
                <w:rFonts w:eastAsia="Times New Roman"/>
                <w:color w:val="000000"/>
                <w:szCs w:val="20"/>
                <w:lang w:val="en-GB"/>
              </w:rPr>
            </w:pPr>
            <w:r w:rsidRPr="003B6A69">
              <w:rPr>
                <w:rFonts w:eastAsia="Times New Roman"/>
                <w:color w:val="000000"/>
                <w:szCs w:val="20"/>
                <w:lang w:val="en-GB"/>
              </w:rPr>
              <w:t>2</w:t>
            </w:r>
          </w:p>
        </w:tc>
      </w:tr>
      <w:tr w:rsidR="008C4F26" w:rsidRPr="003B6A69" w14:paraId="15A1E4DB" w14:textId="77777777" w:rsidTr="00661293">
        <w:trPr>
          <w:trHeight w:val="58"/>
        </w:trPr>
        <w:tc>
          <w:tcPr>
            <w:tcW w:w="5687" w:type="dxa"/>
            <w:gridSpan w:val="2"/>
            <w:tcBorders>
              <w:top w:val="nil"/>
              <w:left w:val="single" w:sz="4" w:space="0" w:color="auto"/>
              <w:bottom w:val="single" w:sz="4" w:space="0" w:color="auto"/>
              <w:right w:val="single" w:sz="4" w:space="0" w:color="auto"/>
            </w:tcBorders>
            <w:shd w:val="clear" w:color="auto" w:fill="auto"/>
            <w:vAlign w:val="bottom"/>
            <w:hideMark/>
          </w:tcPr>
          <w:p w14:paraId="1E451E1A" w14:textId="77777777" w:rsidR="008C4F26" w:rsidRPr="003B6A69" w:rsidRDefault="008C4F26" w:rsidP="00661293">
            <w:pPr>
              <w:spacing w:after="0"/>
              <w:jc w:val="left"/>
              <w:rPr>
                <w:rFonts w:eastAsia="Times New Roman"/>
                <w:color w:val="000000"/>
                <w:szCs w:val="20"/>
                <w:lang w:val="en-GB"/>
              </w:rPr>
            </w:pPr>
            <w:proofErr w:type="spellStart"/>
            <w:r w:rsidRPr="003B6A69">
              <w:rPr>
                <w:rFonts w:eastAsia="Times New Roman"/>
                <w:color w:val="000000"/>
                <w:szCs w:val="20"/>
                <w:lang w:val="en-GB"/>
              </w:rPr>
              <w:t>Lipska</w:t>
            </w:r>
            <w:proofErr w:type="spellEnd"/>
            <w:r w:rsidRPr="003B6A69">
              <w:rPr>
                <w:rFonts w:eastAsia="Times New Roman"/>
                <w:color w:val="000000"/>
                <w:szCs w:val="20"/>
                <w:lang w:val="en-GB"/>
              </w:rPr>
              <w:t xml:space="preserve"> </w:t>
            </w:r>
          </w:p>
        </w:tc>
        <w:tc>
          <w:tcPr>
            <w:tcW w:w="1797" w:type="dxa"/>
            <w:gridSpan w:val="2"/>
            <w:tcBorders>
              <w:top w:val="nil"/>
              <w:left w:val="nil"/>
              <w:bottom w:val="single" w:sz="4" w:space="0" w:color="auto"/>
              <w:right w:val="single" w:sz="4" w:space="0" w:color="auto"/>
            </w:tcBorders>
            <w:shd w:val="clear" w:color="auto" w:fill="auto"/>
            <w:noWrap/>
            <w:vAlign w:val="center"/>
            <w:hideMark/>
          </w:tcPr>
          <w:p w14:paraId="5CA08883" w14:textId="77777777" w:rsidR="008C4F26" w:rsidRPr="003B6A69" w:rsidRDefault="008C4F26" w:rsidP="00661293">
            <w:pPr>
              <w:spacing w:after="0"/>
              <w:jc w:val="left"/>
              <w:rPr>
                <w:rFonts w:eastAsia="Times New Roman"/>
                <w:color w:val="000000"/>
                <w:szCs w:val="20"/>
                <w:lang w:val="en-GB"/>
              </w:rPr>
            </w:pPr>
            <w:r w:rsidRPr="003B6A69">
              <w:rPr>
                <w:rFonts w:eastAsia="Times New Roman"/>
                <w:color w:val="000000"/>
                <w:szCs w:val="20"/>
                <w:lang w:val="en-GB"/>
              </w:rPr>
              <w:t>4</w:t>
            </w:r>
          </w:p>
        </w:tc>
      </w:tr>
      <w:tr w:rsidR="008C4F26" w:rsidRPr="003B6A69" w14:paraId="1658909B" w14:textId="77777777" w:rsidTr="00661293">
        <w:trPr>
          <w:trHeight w:val="58"/>
        </w:trPr>
        <w:tc>
          <w:tcPr>
            <w:tcW w:w="5687" w:type="dxa"/>
            <w:gridSpan w:val="2"/>
            <w:tcBorders>
              <w:top w:val="nil"/>
              <w:left w:val="single" w:sz="4" w:space="0" w:color="auto"/>
              <w:bottom w:val="single" w:sz="4" w:space="0" w:color="auto"/>
              <w:right w:val="single" w:sz="4" w:space="0" w:color="auto"/>
            </w:tcBorders>
            <w:shd w:val="clear" w:color="auto" w:fill="auto"/>
            <w:vAlign w:val="bottom"/>
            <w:hideMark/>
          </w:tcPr>
          <w:p w14:paraId="7ED5622C" w14:textId="77777777" w:rsidR="008C4F26" w:rsidRPr="003B6A69" w:rsidRDefault="008C4F26" w:rsidP="00661293">
            <w:pPr>
              <w:spacing w:after="0"/>
              <w:jc w:val="left"/>
              <w:rPr>
                <w:rFonts w:eastAsia="Times New Roman"/>
                <w:color w:val="000000"/>
                <w:szCs w:val="20"/>
                <w:lang w:val="en-GB"/>
              </w:rPr>
            </w:pPr>
            <w:proofErr w:type="spellStart"/>
            <w:r w:rsidRPr="003B6A69">
              <w:rPr>
                <w:rFonts w:eastAsia="Times New Roman"/>
                <w:color w:val="000000"/>
                <w:szCs w:val="20"/>
                <w:lang w:val="en-GB"/>
              </w:rPr>
              <w:t>Novakovica</w:t>
            </w:r>
            <w:proofErr w:type="spellEnd"/>
            <w:r w:rsidRPr="003B6A69">
              <w:rPr>
                <w:rFonts w:eastAsia="Times New Roman"/>
                <w:color w:val="000000"/>
                <w:szCs w:val="20"/>
                <w:lang w:val="en-GB"/>
              </w:rPr>
              <w:t xml:space="preserve"> </w:t>
            </w:r>
            <w:proofErr w:type="spellStart"/>
            <w:r w:rsidRPr="003B6A69">
              <w:rPr>
                <w:rFonts w:eastAsia="Times New Roman"/>
                <w:color w:val="000000"/>
                <w:szCs w:val="20"/>
                <w:lang w:val="en-GB"/>
              </w:rPr>
              <w:t>kod</w:t>
            </w:r>
            <w:proofErr w:type="spellEnd"/>
            <w:r w:rsidRPr="003B6A69">
              <w:rPr>
                <w:rFonts w:eastAsia="Times New Roman"/>
                <w:color w:val="000000"/>
                <w:szCs w:val="20"/>
                <w:lang w:val="en-GB"/>
              </w:rPr>
              <w:t xml:space="preserve"> </w:t>
            </w:r>
            <w:proofErr w:type="spellStart"/>
            <w:r w:rsidRPr="003B6A69">
              <w:rPr>
                <w:rFonts w:eastAsia="Times New Roman"/>
                <w:color w:val="000000"/>
                <w:szCs w:val="20"/>
                <w:lang w:val="en-GB"/>
              </w:rPr>
              <w:t>Tomaseva</w:t>
            </w:r>
            <w:proofErr w:type="spellEnd"/>
          </w:p>
        </w:tc>
        <w:tc>
          <w:tcPr>
            <w:tcW w:w="1797" w:type="dxa"/>
            <w:gridSpan w:val="2"/>
            <w:tcBorders>
              <w:top w:val="nil"/>
              <w:left w:val="nil"/>
              <w:bottom w:val="single" w:sz="4" w:space="0" w:color="auto"/>
              <w:right w:val="single" w:sz="4" w:space="0" w:color="auto"/>
            </w:tcBorders>
            <w:shd w:val="clear" w:color="auto" w:fill="auto"/>
            <w:noWrap/>
            <w:vAlign w:val="center"/>
            <w:hideMark/>
          </w:tcPr>
          <w:p w14:paraId="5B24302A" w14:textId="77777777" w:rsidR="008C4F26" w:rsidRPr="003B6A69" w:rsidRDefault="008C4F26" w:rsidP="00661293">
            <w:pPr>
              <w:spacing w:after="0"/>
              <w:jc w:val="left"/>
              <w:rPr>
                <w:rFonts w:eastAsia="Times New Roman"/>
                <w:color w:val="000000"/>
                <w:szCs w:val="20"/>
                <w:lang w:val="en-GB"/>
              </w:rPr>
            </w:pPr>
            <w:r w:rsidRPr="003B6A69">
              <w:rPr>
                <w:rFonts w:eastAsia="Times New Roman"/>
                <w:color w:val="000000"/>
                <w:szCs w:val="20"/>
                <w:lang w:val="en-GB"/>
              </w:rPr>
              <w:t>1</w:t>
            </w:r>
          </w:p>
        </w:tc>
      </w:tr>
      <w:tr w:rsidR="008C4F26" w:rsidRPr="003B6A69" w14:paraId="441BE0EC" w14:textId="77777777" w:rsidTr="00661293">
        <w:trPr>
          <w:trHeight w:val="58"/>
        </w:trPr>
        <w:tc>
          <w:tcPr>
            <w:tcW w:w="5687" w:type="dxa"/>
            <w:gridSpan w:val="2"/>
            <w:tcBorders>
              <w:top w:val="nil"/>
              <w:left w:val="single" w:sz="4" w:space="0" w:color="auto"/>
              <w:bottom w:val="single" w:sz="4" w:space="0" w:color="auto"/>
              <w:right w:val="single" w:sz="4" w:space="0" w:color="auto"/>
            </w:tcBorders>
            <w:shd w:val="clear" w:color="auto" w:fill="auto"/>
            <w:vAlign w:val="bottom"/>
            <w:hideMark/>
          </w:tcPr>
          <w:p w14:paraId="5EB03983" w14:textId="77777777" w:rsidR="008C4F26" w:rsidRPr="003B6A69" w:rsidRDefault="008C4F26" w:rsidP="00661293">
            <w:pPr>
              <w:spacing w:after="0"/>
              <w:jc w:val="left"/>
              <w:rPr>
                <w:rFonts w:eastAsia="Times New Roman"/>
                <w:color w:val="000000"/>
                <w:szCs w:val="20"/>
                <w:lang w:val="en-GB"/>
              </w:rPr>
            </w:pPr>
            <w:r w:rsidRPr="003B6A69">
              <w:rPr>
                <w:rFonts w:eastAsia="Times New Roman"/>
                <w:color w:val="000000"/>
                <w:szCs w:val="20"/>
                <w:lang w:val="en-GB"/>
              </w:rPr>
              <w:t>Magara</w:t>
            </w:r>
          </w:p>
        </w:tc>
        <w:tc>
          <w:tcPr>
            <w:tcW w:w="1797" w:type="dxa"/>
            <w:gridSpan w:val="2"/>
            <w:tcBorders>
              <w:top w:val="nil"/>
              <w:left w:val="nil"/>
              <w:bottom w:val="single" w:sz="4" w:space="0" w:color="auto"/>
              <w:right w:val="single" w:sz="4" w:space="0" w:color="auto"/>
            </w:tcBorders>
            <w:shd w:val="clear" w:color="auto" w:fill="auto"/>
            <w:noWrap/>
            <w:vAlign w:val="center"/>
            <w:hideMark/>
          </w:tcPr>
          <w:p w14:paraId="299B4111" w14:textId="77777777" w:rsidR="008C4F26" w:rsidRPr="003B6A69" w:rsidRDefault="008C4F26" w:rsidP="00661293">
            <w:pPr>
              <w:spacing w:after="0"/>
              <w:jc w:val="left"/>
              <w:rPr>
                <w:rFonts w:eastAsia="Times New Roman"/>
                <w:color w:val="000000"/>
                <w:szCs w:val="20"/>
                <w:lang w:val="en-GB"/>
              </w:rPr>
            </w:pPr>
            <w:r w:rsidRPr="003B6A69">
              <w:rPr>
                <w:rFonts w:eastAsia="Times New Roman"/>
                <w:color w:val="000000"/>
                <w:szCs w:val="20"/>
                <w:lang w:val="en-GB"/>
              </w:rPr>
              <w:t>2</w:t>
            </w:r>
          </w:p>
        </w:tc>
      </w:tr>
      <w:tr w:rsidR="008C4F26" w:rsidRPr="003B6A69" w14:paraId="5CBDDE91" w14:textId="77777777" w:rsidTr="00661293">
        <w:trPr>
          <w:trHeight w:val="58"/>
        </w:trPr>
        <w:tc>
          <w:tcPr>
            <w:tcW w:w="5687" w:type="dxa"/>
            <w:gridSpan w:val="2"/>
            <w:tcBorders>
              <w:top w:val="nil"/>
              <w:left w:val="single" w:sz="4" w:space="0" w:color="auto"/>
              <w:bottom w:val="single" w:sz="4" w:space="0" w:color="auto"/>
              <w:right w:val="single" w:sz="4" w:space="0" w:color="auto"/>
            </w:tcBorders>
            <w:shd w:val="clear" w:color="auto" w:fill="auto"/>
            <w:vAlign w:val="bottom"/>
            <w:hideMark/>
          </w:tcPr>
          <w:p w14:paraId="7C909CF7" w14:textId="77777777" w:rsidR="008C4F26" w:rsidRPr="003B6A69" w:rsidRDefault="008C4F26" w:rsidP="00661293">
            <w:pPr>
              <w:spacing w:after="0"/>
              <w:jc w:val="left"/>
              <w:rPr>
                <w:rFonts w:eastAsia="Times New Roman"/>
                <w:color w:val="000000"/>
                <w:szCs w:val="20"/>
                <w:lang w:val="en-GB"/>
              </w:rPr>
            </w:pPr>
            <w:proofErr w:type="spellStart"/>
            <w:r w:rsidRPr="003B6A69">
              <w:rPr>
                <w:rFonts w:eastAsia="Times New Roman"/>
                <w:color w:val="000000"/>
                <w:szCs w:val="20"/>
                <w:lang w:val="en-GB"/>
              </w:rPr>
              <w:t>Spila</w:t>
            </w:r>
            <w:proofErr w:type="spellEnd"/>
          </w:p>
        </w:tc>
        <w:tc>
          <w:tcPr>
            <w:tcW w:w="1797" w:type="dxa"/>
            <w:gridSpan w:val="2"/>
            <w:tcBorders>
              <w:top w:val="nil"/>
              <w:left w:val="nil"/>
              <w:bottom w:val="single" w:sz="4" w:space="0" w:color="auto"/>
              <w:right w:val="single" w:sz="4" w:space="0" w:color="auto"/>
            </w:tcBorders>
            <w:shd w:val="clear" w:color="auto" w:fill="auto"/>
            <w:noWrap/>
            <w:vAlign w:val="center"/>
            <w:hideMark/>
          </w:tcPr>
          <w:p w14:paraId="52E2AAC3" w14:textId="77777777" w:rsidR="008C4F26" w:rsidRPr="003B6A69" w:rsidRDefault="008C4F26" w:rsidP="00661293">
            <w:pPr>
              <w:spacing w:after="0"/>
              <w:jc w:val="left"/>
              <w:rPr>
                <w:rFonts w:eastAsia="Times New Roman"/>
                <w:color w:val="000000"/>
                <w:szCs w:val="20"/>
                <w:lang w:val="en-GB"/>
              </w:rPr>
            </w:pPr>
            <w:r w:rsidRPr="003B6A69">
              <w:rPr>
                <w:rFonts w:eastAsia="Times New Roman"/>
                <w:color w:val="000000"/>
                <w:szCs w:val="20"/>
                <w:lang w:val="en-GB"/>
              </w:rPr>
              <w:t>0</w:t>
            </w:r>
          </w:p>
        </w:tc>
      </w:tr>
      <w:tr w:rsidR="008C4F26" w:rsidRPr="003B6A69" w14:paraId="1ACDADD7" w14:textId="77777777" w:rsidTr="00661293">
        <w:trPr>
          <w:trHeight w:val="58"/>
        </w:trPr>
        <w:tc>
          <w:tcPr>
            <w:tcW w:w="5687" w:type="dxa"/>
            <w:gridSpan w:val="2"/>
            <w:tcBorders>
              <w:top w:val="nil"/>
              <w:left w:val="single" w:sz="4" w:space="0" w:color="auto"/>
              <w:bottom w:val="single" w:sz="4" w:space="0" w:color="auto"/>
              <w:right w:val="single" w:sz="4" w:space="0" w:color="auto"/>
            </w:tcBorders>
            <w:shd w:val="clear" w:color="auto" w:fill="auto"/>
            <w:vAlign w:val="bottom"/>
            <w:hideMark/>
          </w:tcPr>
          <w:p w14:paraId="7B1057CF" w14:textId="77777777" w:rsidR="008C4F26" w:rsidRPr="003B6A69" w:rsidRDefault="008C4F26" w:rsidP="00661293">
            <w:pPr>
              <w:spacing w:after="0"/>
              <w:jc w:val="left"/>
              <w:rPr>
                <w:rFonts w:eastAsia="Times New Roman"/>
                <w:color w:val="000000"/>
                <w:szCs w:val="20"/>
                <w:lang w:val="en-GB"/>
              </w:rPr>
            </w:pPr>
            <w:proofErr w:type="spellStart"/>
            <w:r w:rsidRPr="003B6A69">
              <w:rPr>
                <w:rFonts w:eastAsia="Times New Roman"/>
                <w:color w:val="000000"/>
                <w:szCs w:val="20"/>
                <w:lang w:val="en-GB"/>
              </w:rPr>
              <w:t>Babatusa</w:t>
            </w:r>
            <w:proofErr w:type="spellEnd"/>
          </w:p>
        </w:tc>
        <w:tc>
          <w:tcPr>
            <w:tcW w:w="1797" w:type="dxa"/>
            <w:gridSpan w:val="2"/>
            <w:tcBorders>
              <w:top w:val="nil"/>
              <w:left w:val="nil"/>
              <w:bottom w:val="single" w:sz="4" w:space="0" w:color="auto"/>
              <w:right w:val="single" w:sz="4" w:space="0" w:color="auto"/>
            </w:tcBorders>
            <w:shd w:val="clear" w:color="auto" w:fill="auto"/>
            <w:noWrap/>
            <w:vAlign w:val="center"/>
            <w:hideMark/>
          </w:tcPr>
          <w:p w14:paraId="3D05990F" w14:textId="77777777" w:rsidR="008C4F26" w:rsidRPr="003B6A69" w:rsidRDefault="008C4F26" w:rsidP="00661293">
            <w:pPr>
              <w:spacing w:after="0"/>
              <w:jc w:val="left"/>
              <w:rPr>
                <w:rFonts w:eastAsia="Times New Roman"/>
                <w:color w:val="000000"/>
                <w:szCs w:val="20"/>
                <w:lang w:val="en-GB"/>
              </w:rPr>
            </w:pPr>
            <w:r w:rsidRPr="003B6A69">
              <w:rPr>
                <w:rFonts w:eastAsia="Times New Roman"/>
                <w:color w:val="000000"/>
                <w:szCs w:val="20"/>
                <w:lang w:val="en-GB"/>
              </w:rPr>
              <w:t>1</w:t>
            </w:r>
          </w:p>
        </w:tc>
      </w:tr>
      <w:tr w:rsidR="008C4F26" w:rsidRPr="003B6A69" w14:paraId="178F91D5" w14:textId="77777777" w:rsidTr="00661293">
        <w:trPr>
          <w:trHeight w:val="58"/>
        </w:trPr>
        <w:tc>
          <w:tcPr>
            <w:tcW w:w="5687" w:type="dxa"/>
            <w:gridSpan w:val="2"/>
            <w:tcBorders>
              <w:top w:val="nil"/>
              <w:left w:val="single" w:sz="4" w:space="0" w:color="auto"/>
              <w:bottom w:val="single" w:sz="4" w:space="0" w:color="auto"/>
              <w:right w:val="single" w:sz="4" w:space="0" w:color="auto"/>
            </w:tcBorders>
            <w:shd w:val="clear" w:color="auto" w:fill="auto"/>
            <w:vAlign w:val="bottom"/>
            <w:hideMark/>
          </w:tcPr>
          <w:p w14:paraId="5F92DF54" w14:textId="77777777" w:rsidR="008C4F26" w:rsidRPr="003B6A69" w:rsidRDefault="008C4F26" w:rsidP="00661293">
            <w:pPr>
              <w:spacing w:after="0"/>
              <w:jc w:val="left"/>
              <w:rPr>
                <w:rFonts w:eastAsia="Times New Roman"/>
                <w:color w:val="000000"/>
                <w:szCs w:val="20"/>
                <w:lang w:val="en-GB"/>
              </w:rPr>
            </w:pPr>
            <w:proofErr w:type="spellStart"/>
            <w:r w:rsidRPr="003B6A69">
              <w:rPr>
                <w:rFonts w:eastAsia="Times New Roman"/>
                <w:color w:val="000000"/>
                <w:szCs w:val="20"/>
                <w:lang w:val="en-GB"/>
              </w:rPr>
              <w:t>Spilja</w:t>
            </w:r>
            <w:proofErr w:type="spellEnd"/>
            <w:r w:rsidRPr="003B6A69">
              <w:rPr>
                <w:rFonts w:eastAsia="Times New Roman"/>
                <w:color w:val="000000"/>
                <w:szCs w:val="20"/>
                <w:lang w:val="en-GB"/>
              </w:rPr>
              <w:t xml:space="preserve"> </w:t>
            </w:r>
            <w:proofErr w:type="spellStart"/>
            <w:r w:rsidRPr="003B6A69">
              <w:rPr>
                <w:rFonts w:eastAsia="Times New Roman"/>
                <w:color w:val="000000"/>
                <w:szCs w:val="20"/>
                <w:lang w:val="en-GB"/>
              </w:rPr>
              <w:t>kod</w:t>
            </w:r>
            <w:proofErr w:type="spellEnd"/>
            <w:r w:rsidRPr="003B6A69">
              <w:rPr>
                <w:rFonts w:eastAsia="Times New Roman"/>
                <w:color w:val="000000"/>
                <w:szCs w:val="20"/>
                <w:lang w:val="en-GB"/>
              </w:rPr>
              <w:t xml:space="preserve"> </w:t>
            </w:r>
            <w:proofErr w:type="spellStart"/>
            <w:r w:rsidRPr="003B6A69">
              <w:rPr>
                <w:rFonts w:eastAsia="Times New Roman"/>
                <w:color w:val="000000"/>
                <w:szCs w:val="20"/>
                <w:lang w:val="en-GB"/>
              </w:rPr>
              <w:t>Trnova</w:t>
            </w:r>
            <w:proofErr w:type="spellEnd"/>
            <w:r w:rsidRPr="003B6A69">
              <w:rPr>
                <w:rFonts w:eastAsia="Times New Roman"/>
                <w:color w:val="000000"/>
                <w:szCs w:val="20"/>
                <w:lang w:val="en-GB"/>
              </w:rPr>
              <w:t xml:space="preserve"> </w:t>
            </w:r>
            <w:proofErr w:type="spellStart"/>
            <w:r w:rsidRPr="003B6A69">
              <w:rPr>
                <w:rFonts w:eastAsia="Times New Roman"/>
                <w:color w:val="000000"/>
                <w:szCs w:val="20"/>
                <w:lang w:val="en-GB"/>
              </w:rPr>
              <w:t>Virpazar</w:t>
            </w:r>
            <w:proofErr w:type="spellEnd"/>
          </w:p>
        </w:tc>
        <w:tc>
          <w:tcPr>
            <w:tcW w:w="1797" w:type="dxa"/>
            <w:gridSpan w:val="2"/>
            <w:tcBorders>
              <w:top w:val="nil"/>
              <w:left w:val="nil"/>
              <w:bottom w:val="single" w:sz="4" w:space="0" w:color="auto"/>
              <w:right w:val="single" w:sz="4" w:space="0" w:color="auto"/>
            </w:tcBorders>
            <w:shd w:val="clear" w:color="auto" w:fill="auto"/>
            <w:noWrap/>
            <w:vAlign w:val="center"/>
            <w:hideMark/>
          </w:tcPr>
          <w:p w14:paraId="208E8BA2" w14:textId="77777777" w:rsidR="008C4F26" w:rsidRPr="003B6A69" w:rsidRDefault="008C4F26" w:rsidP="00661293">
            <w:pPr>
              <w:spacing w:after="0"/>
              <w:jc w:val="left"/>
              <w:rPr>
                <w:rFonts w:eastAsia="Times New Roman"/>
                <w:color w:val="000000"/>
                <w:szCs w:val="20"/>
                <w:lang w:val="en-GB"/>
              </w:rPr>
            </w:pPr>
            <w:r w:rsidRPr="003B6A69">
              <w:rPr>
                <w:rFonts w:eastAsia="Times New Roman"/>
                <w:color w:val="000000"/>
                <w:szCs w:val="20"/>
                <w:lang w:val="en-GB"/>
              </w:rPr>
              <w:t>0</w:t>
            </w:r>
          </w:p>
        </w:tc>
      </w:tr>
      <w:tr w:rsidR="008C4F26" w:rsidRPr="003B6A69" w14:paraId="423A41F0" w14:textId="77777777" w:rsidTr="00661293">
        <w:trPr>
          <w:trHeight w:val="58"/>
        </w:trPr>
        <w:tc>
          <w:tcPr>
            <w:tcW w:w="5687" w:type="dxa"/>
            <w:gridSpan w:val="2"/>
            <w:tcBorders>
              <w:top w:val="nil"/>
              <w:left w:val="single" w:sz="4" w:space="0" w:color="auto"/>
              <w:bottom w:val="single" w:sz="4" w:space="0" w:color="auto"/>
              <w:right w:val="single" w:sz="4" w:space="0" w:color="auto"/>
            </w:tcBorders>
            <w:shd w:val="clear" w:color="auto" w:fill="auto"/>
            <w:vAlign w:val="bottom"/>
            <w:hideMark/>
          </w:tcPr>
          <w:p w14:paraId="79DA52E5" w14:textId="77777777" w:rsidR="008C4F26" w:rsidRPr="003B6A69" w:rsidRDefault="008C4F26" w:rsidP="00661293">
            <w:pPr>
              <w:spacing w:after="0"/>
              <w:jc w:val="left"/>
              <w:rPr>
                <w:rFonts w:eastAsia="Times New Roman"/>
                <w:color w:val="000000"/>
                <w:szCs w:val="20"/>
                <w:lang w:val="en-GB"/>
              </w:rPr>
            </w:pPr>
          </w:p>
          <w:p w14:paraId="47AB1613" w14:textId="77777777" w:rsidR="008C4F26" w:rsidRPr="003B6A69" w:rsidRDefault="008C4F26" w:rsidP="00661293">
            <w:pPr>
              <w:spacing w:after="0"/>
              <w:jc w:val="left"/>
              <w:rPr>
                <w:rFonts w:eastAsia="Times New Roman"/>
                <w:i/>
                <w:color w:val="000000"/>
                <w:szCs w:val="20"/>
                <w:lang w:val="en-GB"/>
              </w:rPr>
            </w:pPr>
            <w:r w:rsidRPr="003B6A69">
              <w:rPr>
                <w:rFonts w:eastAsia="Times New Roman"/>
                <w:i/>
                <w:color w:val="000000"/>
                <w:szCs w:val="20"/>
                <w:lang w:val="en-GB"/>
              </w:rPr>
              <w:t>Other landscape features</w:t>
            </w:r>
          </w:p>
        </w:tc>
        <w:tc>
          <w:tcPr>
            <w:tcW w:w="1797" w:type="dxa"/>
            <w:gridSpan w:val="2"/>
            <w:tcBorders>
              <w:top w:val="nil"/>
              <w:left w:val="nil"/>
              <w:bottom w:val="single" w:sz="4" w:space="0" w:color="auto"/>
              <w:right w:val="single" w:sz="4" w:space="0" w:color="auto"/>
            </w:tcBorders>
            <w:shd w:val="clear" w:color="auto" w:fill="auto"/>
            <w:vAlign w:val="bottom"/>
            <w:hideMark/>
          </w:tcPr>
          <w:p w14:paraId="097AAC8D" w14:textId="77777777" w:rsidR="008C4F26" w:rsidRPr="003B6A69" w:rsidRDefault="008C4F26" w:rsidP="00661293">
            <w:pPr>
              <w:spacing w:after="0"/>
              <w:jc w:val="left"/>
              <w:rPr>
                <w:rFonts w:eastAsia="Times New Roman"/>
                <w:color w:val="000000"/>
                <w:szCs w:val="20"/>
                <w:lang w:val="en-GB"/>
              </w:rPr>
            </w:pPr>
          </w:p>
        </w:tc>
      </w:tr>
      <w:tr w:rsidR="008C4F26" w:rsidRPr="003B6A69" w14:paraId="0E2BEF28" w14:textId="77777777" w:rsidTr="00661293">
        <w:trPr>
          <w:trHeight w:val="58"/>
        </w:trPr>
        <w:tc>
          <w:tcPr>
            <w:tcW w:w="5687" w:type="dxa"/>
            <w:gridSpan w:val="2"/>
            <w:tcBorders>
              <w:top w:val="nil"/>
              <w:left w:val="single" w:sz="4" w:space="0" w:color="auto"/>
              <w:bottom w:val="single" w:sz="4" w:space="0" w:color="auto"/>
              <w:right w:val="single" w:sz="4" w:space="0" w:color="auto"/>
            </w:tcBorders>
            <w:shd w:val="clear" w:color="auto" w:fill="auto"/>
            <w:vAlign w:val="bottom"/>
            <w:hideMark/>
          </w:tcPr>
          <w:p w14:paraId="50006E2D" w14:textId="77777777" w:rsidR="008C4F26" w:rsidRPr="003B6A69" w:rsidRDefault="008C4F26" w:rsidP="00661293">
            <w:pPr>
              <w:spacing w:after="0"/>
              <w:jc w:val="left"/>
              <w:rPr>
                <w:rFonts w:eastAsia="Times New Roman"/>
                <w:color w:val="000000"/>
                <w:szCs w:val="20"/>
                <w:lang w:val="en-GB"/>
              </w:rPr>
            </w:pPr>
            <w:proofErr w:type="spellStart"/>
            <w:r w:rsidRPr="003B6A69">
              <w:rPr>
                <w:rFonts w:eastAsia="Times New Roman"/>
                <w:color w:val="000000"/>
                <w:szCs w:val="20"/>
                <w:lang w:val="en-GB"/>
              </w:rPr>
              <w:t>Brdo</w:t>
            </w:r>
            <w:proofErr w:type="spellEnd"/>
            <w:r w:rsidRPr="003B6A69">
              <w:rPr>
                <w:rFonts w:eastAsia="Times New Roman"/>
                <w:color w:val="000000"/>
                <w:szCs w:val="20"/>
                <w:lang w:val="en-GB"/>
              </w:rPr>
              <w:t xml:space="preserve"> Spas - </w:t>
            </w:r>
            <w:proofErr w:type="spellStart"/>
            <w:r w:rsidRPr="003B6A69">
              <w:rPr>
                <w:rFonts w:eastAsia="Times New Roman"/>
                <w:color w:val="000000"/>
                <w:szCs w:val="20"/>
                <w:lang w:val="en-GB"/>
              </w:rPr>
              <w:t>Budva</w:t>
            </w:r>
            <w:proofErr w:type="spellEnd"/>
          </w:p>
        </w:tc>
        <w:tc>
          <w:tcPr>
            <w:tcW w:w="1797" w:type="dxa"/>
            <w:gridSpan w:val="2"/>
            <w:tcBorders>
              <w:top w:val="nil"/>
              <w:left w:val="nil"/>
              <w:bottom w:val="single" w:sz="4" w:space="0" w:color="auto"/>
              <w:right w:val="single" w:sz="4" w:space="0" w:color="auto"/>
            </w:tcBorders>
            <w:shd w:val="clear" w:color="auto" w:fill="auto"/>
            <w:noWrap/>
            <w:vAlign w:val="center"/>
            <w:hideMark/>
          </w:tcPr>
          <w:p w14:paraId="3B8F93F5" w14:textId="77777777" w:rsidR="008C4F26" w:rsidRPr="003B6A69" w:rsidRDefault="008C4F26" w:rsidP="00661293">
            <w:pPr>
              <w:spacing w:after="0"/>
              <w:jc w:val="left"/>
              <w:rPr>
                <w:rFonts w:eastAsia="Times New Roman"/>
                <w:color w:val="000000"/>
                <w:szCs w:val="20"/>
                <w:lang w:val="en-GB"/>
              </w:rPr>
            </w:pPr>
            <w:r w:rsidRPr="003B6A69">
              <w:rPr>
                <w:rFonts w:eastAsia="Times New Roman"/>
                <w:color w:val="000000"/>
                <w:szCs w:val="20"/>
                <w:lang w:val="en-GB"/>
              </w:rPr>
              <w:t>131</w:t>
            </w:r>
          </w:p>
        </w:tc>
      </w:tr>
      <w:tr w:rsidR="008C4F26" w:rsidRPr="003B6A69" w14:paraId="5F1D7B4C" w14:textId="77777777" w:rsidTr="00661293">
        <w:trPr>
          <w:trHeight w:val="58"/>
        </w:trPr>
        <w:tc>
          <w:tcPr>
            <w:tcW w:w="5687" w:type="dxa"/>
            <w:gridSpan w:val="2"/>
            <w:tcBorders>
              <w:top w:val="nil"/>
              <w:left w:val="single" w:sz="4" w:space="0" w:color="auto"/>
              <w:bottom w:val="single" w:sz="4" w:space="0" w:color="auto"/>
              <w:right w:val="single" w:sz="4" w:space="0" w:color="auto"/>
            </w:tcBorders>
            <w:shd w:val="clear" w:color="auto" w:fill="auto"/>
            <w:vAlign w:val="bottom"/>
            <w:hideMark/>
          </w:tcPr>
          <w:p w14:paraId="46827A24" w14:textId="77777777" w:rsidR="008C4F26" w:rsidRPr="003B6A69" w:rsidRDefault="008C4F26" w:rsidP="00661293">
            <w:pPr>
              <w:spacing w:after="0"/>
              <w:jc w:val="left"/>
              <w:rPr>
                <w:rFonts w:eastAsia="Times New Roman"/>
                <w:color w:val="000000"/>
                <w:szCs w:val="20"/>
                <w:lang w:val="en-GB"/>
              </w:rPr>
            </w:pPr>
            <w:proofErr w:type="spellStart"/>
            <w:r w:rsidRPr="003B6A69">
              <w:rPr>
                <w:rFonts w:eastAsia="Times New Roman"/>
                <w:color w:val="000000"/>
                <w:szCs w:val="20"/>
                <w:lang w:val="en-GB"/>
              </w:rPr>
              <w:t>Gornjepoljski</w:t>
            </w:r>
            <w:proofErr w:type="spellEnd"/>
            <w:r w:rsidRPr="003B6A69">
              <w:rPr>
                <w:rFonts w:eastAsia="Times New Roman"/>
                <w:color w:val="000000"/>
                <w:szCs w:val="20"/>
                <w:lang w:val="en-GB"/>
              </w:rPr>
              <w:t xml:space="preserve"> </w:t>
            </w:r>
            <w:proofErr w:type="spellStart"/>
            <w:r w:rsidRPr="003B6A69">
              <w:rPr>
                <w:rFonts w:eastAsia="Times New Roman"/>
                <w:color w:val="000000"/>
                <w:szCs w:val="20"/>
                <w:lang w:val="en-GB"/>
              </w:rPr>
              <w:t>vir</w:t>
            </w:r>
            <w:proofErr w:type="spellEnd"/>
          </w:p>
        </w:tc>
        <w:tc>
          <w:tcPr>
            <w:tcW w:w="1797" w:type="dxa"/>
            <w:gridSpan w:val="2"/>
            <w:tcBorders>
              <w:top w:val="nil"/>
              <w:left w:val="nil"/>
              <w:bottom w:val="single" w:sz="4" w:space="0" w:color="auto"/>
              <w:right w:val="single" w:sz="4" w:space="0" w:color="auto"/>
            </w:tcBorders>
            <w:shd w:val="clear" w:color="auto" w:fill="auto"/>
            <w:noWrap/>
            <w:vAlign w:val="center"/>
            <w:hideMark/>
          </w:tcPr>
          <w:p w14:paraId="1694A227" w14:textId="77777777" w:rsidR="008C4F26" w:rsidRPr="003B6A69" w:rsidRDefault="008C4F26" w:rsidP="00661293">
            <w:pPr>
              <w:spacing w:after="0"/>
              <w:jc w:val="left"/>
              <w:rPr>
                <w:rFonts w:eastAsia="Times New Roman"/>
                <w:color w:val="000000"/>
                <w:szCs w:val="20"/>
                <w:lang w:val="en-GB"/>
              </w:rPr>
            </w:pPr>
            <w:r w:rsidRPr="003B6A69">
              <w:rPr>
                <w:rFonts w:eastAsia="Times New Roman"/>
                <w:color w:val="000000"/>
                <w:szCs w:val="20"/>
                <w:lang w:val="en-GB"/>
              </w:rPr>
              <w:t>2.21</w:t>
            </w:r>
          </w:p>
        </w:tc>
      </w:tr>
      <w:tr w:rsidR="008C4F26" w:rsidRPr="003B6A69" w14:paraId="654EAA6C" w14:textId="77777777" w:rsidTr="00661293">
        <w:trPr>
          <w:trHeight w:val="58"/>
        </w:trPr>
        <w:tc>
          <w:tcPr>
            <w:tcW w:w="5687" w:type="dxa"/>
            <w:gridSpan w:val="2"/>
            <w:tcBorders>
              <w:top w:val="nil"/>
              <w:left w:val="single" w:sz="4" w:space="0" w:color="auto"/>
              <w:bottom w:val="single" w:sz="4" w:space="0" w:color="auto"/>
              <w:right w:val="single" w:sz="4" w:space="0" w:color="auto"/>
            </w:tcBorders>
            <w:shd w:val="clear" w:color="auto" w:fill="auto"/>
            <w:vAlign w:val="bottom"/>
            <w:hideMark/>
          </w:tcPr>
          <w:p w14:paraId="090FF73E" w14:textId="77777777" w:rsidR="008C4F26" w:rsidRPr="003B6A69" w:rsidRDefault="008C4F26" w:rsidP="00661293">
            <w:pPr>
              <w:spacing w:after="0"/>
              <w:jc w:val="left"/>
              <w:rPr>
                <w:rFonts w:eastAsia="Times New Roman"/>
                <w:color w:val="000000"/>
                <w:szCs w:val="20"/>
                <w:lang w:val="en-GB"/>
              </w:rPr>
            </w:pPr>
            <w:proofErr w:type="spellStart"/>
            <w:r w:rsidRPr="003B6A69">
              <w:rPr>
                <w:rFonts w:eastAsia="Times New Roman"/>
                <w:color w:val="000000"/>
                <w:szCs w:val="20"/>
                <w:lang w:val="en-GB"/>
              </w:rPr>
              <w:t>Stari</w:t>
            </w:r>
            <w:proofErr w:type="spellEnd"/>
            <w:r w:rsidRPr="003B6A69">
              <w:rPr>
                <w:rFonts w:eastAsia="Times New Roman"/>
                <w:color w:val="000000"/>
                <w:szCs w:val="20"/>
                <w:lang w:val="en-GB"/>
              </w:rPr>
              <w:t xml:space="preserve"> Ulcinj </w:t>
            </w:r>
            <w:proofErr w:type="spellStart"/>
            <w:r w:rsidRPr="003B6A69">
              <w:rPr>
                <w:rFonts w:eastAsia="Times New Roman"/>
                <w:color w:val="000000"/>
                <w:szCs w:val="20"/>
                <w:lang w:val="en-GB"/>
              </w:rPr>
              <w:t>ostrvo</w:t>
            </w:r>
            <w:proofErr w:type="spellEnd"/>
            <w:r w:rsidRPr="003B6A69">
              <w:rPr>
                <w:rFonts w:eastAsia="Times New Roman"/>
                <w:color w:val="000000"/>
                <w:szCs w:val="20"/>
                <w:lang w:val="en-GB"/>
              </w:rPr>
              <w:t xml:space="preserve"> </w:t>
            </w:r>
            <w:proofErr w:type="spellStart"/>
            <w:r w:rsidRPr="003B6A69">
              <w:rPr>
                <w:rFonts w:eastAsia="Times New Roman"/>
                <w:color w:val="000000"/>
                <w:szCs w:val="20"/>
                <w:lang w:val="en-GB"/>
              </w:rPr>
              <w:t>i</w:t>
            </w:r>
            <w:proofErr w:type="spellEnd"/>
            <w:r w:rsidRPr="003B6A69">
              <w:rPr>
                <w:rFonts w:eastAsia="Times New Roman"/>
                <w:color w:val="000000"/>
                <w:szCs w:val="20"/>
                <w:lang w:val="en-GB"/>
              </w:rPr>
              <w:t xml:space="preserve"> plaza</w:t>
            </w:r>
          </w:p>
        </w:tc>
        <w:tc>
          <w:tcPr>
            <w:tcW w:w="1797" w:type="dxa"/>
            <w:gridSpan w:val="2"/>
            <w:tcBorders>
              <w:top w:val="nil"/>
              <w:left w:val="nil"/>
              <w:bottom w:val="single" w:sz="4" w:space="0" w:color="auto"/>
              <w:right w:val="single" w:sz="4" w:space="0" w:color="auto"/>
            </w:tcBorders>
            <w:shd w:val="clear" w:color="auto" w:fill="auto"/>
            <w:noWrap/>
            <w:vAlign w:val="center"/>
            <w:hideMark/>
          </w:tcPr>
          <w:p w14:paraId="448CB6D4" w14:textId="77777777" w:rsidR="008C4F26" w:rsidRPr="003B6A69" w:rsidRDefault="008C4F26" w:rsidP="00661293">
            <w:pPr>
              <w:spacing w:after="0"/>
              <w:jc w:val="left"/>
              <w:rPr>
                <w:rFonts w:eastAsia="Times New Roman"/>
                <w:color w:val="000000"/>
                <w:szCs w:val="20"/>
                <w:lang w:val="en-GB"/>
              </w:rPr>
            </w:pPr>
            <w:r w:rsidRPr="003B6A69">
              <w:rPr>
                <w:rFonts w:eastAsia="Times New Roman"/>
                <w:color w:val="000000"/>
                <w:szCs w:val="20"/>
                <w:lang w:val="en-GB"/>
              </w:rPr>
              <w:t>2.5</w:t>
            </w:r>
          </w:p>
        </w:tc>
      </w:tr>
      <w:tr w:rsidR="008C4F26" w:rsidRPr="003B6A69" w14:paraId="156DF200" w14:textId="77777777" w:rsidTr="00661293">
        <w:trPr>
          <w:trHeight w:val="58"/>
        </w:trPr>
        <w:tc>
          <w:tcPr>
            <w:tcW w:w="5687" w:type="dxa"/>
            <w:gridSpan w:val="2"/>
            <w:tcBorders>
              <w:top w:val="nil"/>
              <w:left w:val="single" w:sz="4" w:space="0" w:color="auto"/>
              <w:bottom w:val="single" w:sz="4" w:space="0" w:color="auto"/>
              <w:right w:val="single" w:sz="4" w:space="0" w:color="auto"/>
            </w:tcBorders>
            <w:shd w:val="clear" w:color="auto" w:fill="auto"/>
            <w:vAlign w:val="bottom"/>
            <w:hideMark/>
          </w:tcPr>
          <w:p w14:paraId="15ECCF0C" w14:textId="77777777" w:rsidR="008C4F26" w:rsidRPr="003B6A69" w:rsidRDefault="008C4F26" w:rsidP="00661293">
            <w:pPr>
              <w:spacing w:after="0"/>
              <w:jc w:val="left"/>
              <w:rPr>
                <w:rFonts w:eastAsia="Times New Roman"/>
                <w:color w:val="000000"/>
                <w:szCs w:val="20"/>
                <w:lang w:val="en-GB"/>
              </w:rPr>
            </w:pPr>
            <w:proofErr w:type="spellStart"/>
            <w:r w:rsidRPr="003B6A69">
              <w:rPr>
                <w:rFonts w:eastAsia="Times New Roman"/>
                <w:color w:val="000000"/>
                <w:szCs w:val="20"/>
                <w:lang w:val="en-GB"/>
              </w:rPr>
              <w:t>Poluostrvo</w:t>
            </w:r>
            <w:proofErr w:type="spellEnd"/>
            <w:r w:rsidRPr="003B6A69">
              <w:rPr>
                <w:rFonts w:eastAsia="Times New Roman"/>
                <w:color w:val="000000"/>
                <w:szCs w:val="20"/>
                <w:lang w:val="en-GB"/>
              </w:rPr>
              <w:t xml:space="preserve"> </w:t>
            </w:r>
            <w:proofErr w:type="spellStart"/>
            <w:r w:rsidRPr="003B6A69">
              <w:rPr>
                <w:rFonts w:eastAsia="Times New Roman"/>
                <w:color w:val="000000"/>
                <w:szCs w:val="20"/>
                <w:lang w:val="en-GB"/>
              </w:rPr>
              <w:t>Ratac</w:t>
            </w:r>
            <w:proofErr w:type="spellEnd"/>
            <w:r w:rsidRPr="003B6A69">
              <w:rPr>
                <w:rFonts w:eastAsia="Times New Roman"/>
                <w:color w:val="000000"/>
                <w:szCs w:val="20"/>
                <w:lang w:val="en-GB"/>
              </w:rPr>
              <w:t xml:space="preserve"> </w:t>
            </w:r>
            <w:proofErr w:type="spellStart"/>
            <w:r w:rsidRPr="003B6A69">
              <w:rPr>
                <w:rFonts w:eastAsia="Times New Roman"/>
                <w:color w:val="000000"/>
                <w:szCs w:val="20"/>
                <w:lang w:val="en-GB"/>
              </w:rPr>
              <w:t>sa</w:t>
            </w:r>
            <w:proofErr w:type="spellEnd"/>
            <w:r w:rsidRPr="003B6A69">
              <w:rPr>
                <w:rFonts w:eastAsia="Times New Roman"/>
                <w:color w:val="000000"/>
                <w:szCs w:val="20"/>
                <w:lang w:val="en-GB"/>
              </w:rPr>
              <w:t xml:space="preserve"> </w:t>
            </w:r>
            <w:proofErr w:type="spellStart"/>
            <w:r w:rsidRPr="003B6A69">
              <w:rPr>
                <w:rFonts w:eastAsia="Times New Roman"/>
                <w:color w:val="000000"/>
                <w:szCs w:val="20"/>
                <w:lang w:val="en-GB"/>
              </w:rPr>
              <w:t>Zukotrlicom</w:t>
            </w:r>
            <w:proofErr w:type="spellEnd"/>
          </w:p>
        </w:tc>
        <w:tc>
          <w:tcPr>
            <w:tcW w:w="1797" w:type="dxa"/>
            <w:gridSpan w:val="2"/>
            <w:tcBorders>
              <w:top w:val="nil"/>
              <w:left w:val="nil"/>
              <w:bottom w:val="single" w:sz="4" w:space="0" w:color="auto"/>
              <w:right w:val="single" w:sz="4" w:space="0" w:color="auto"/>
            </w:tcBorders>
            <w:shd w:val="clear" w:color="auto" w:fill="auto"/>
            <w:noWrap/>
            <w:vAlign w:val="center"/>
            <w:hideMark/>
          </w:tcPr>
          <w:p w14:paraId="38CFC2B8" w14:textId="77777777" w:rsidR="008C4F26" w:rsidRPr="003B6A69" w:rsidRDefault="008C4F26" w:rsidP="00661293">
            <w:pPr>
              <w:spacing w:after="0"/>
              <w:jc w:val="left"/>
              <w:rPr>
                <w:rFonts w:eastAsia="Times New Roman"/>
                <w:color w:val="000000"/>
                <w:szCs w:val="20"/>
                <w:lang w:val="en-GB"/>
              </w:rPr>
            </w:pPr>
            <w:r w:rsidRPr="003B6A69">
              <w:rPr>
                <w:rFonts w:eastAsia="Times New Roman"/>
                <w:color w:val="000000"/>
                <w:szCs w:val="20"/>
                <w:lang w:val="en-GB"/>
              </w:rPr>
              <w:t>30</w:t>
            </w:r>
          </w:p>
        </w:tc>
      </w:tr>
      <w:tr w:rsidR="008C4F26" w:rsidRPr="003B6A69" w14:paraId="65CBC3A2" w14:textId="77777777" w:rsidTr="00661293">
        <w:trPr>
          <w:trHeight w:val="58"/>
        </w:trPr>
        <w:tc>
          <w:tcPr>
            <w:tcW w:w="7484" w:type="dxa"/>
            <w:gridSpan w:val="4"/>
            <w:tcBorders>
              <w:top w:val="nil"/>
              <w:left w:val="single" w:sz="4" w:space="0" w:color="auto"/>
              <w:bottom w:val="single" w:sz="4" w:space="0" w:color="auto"/>
              <w:right w:val="single" w:sz="4" w:space="0" w:color="auto"/>
            </w:tcBorders>
            <w:shd w:val="clear" w:color="auto" w:fill="auto"/>
            <w:vAlign w:val="bottom"/>
            <w:hideMark/>
          </w:tcPr>
          <w:p w14:paraId="35E9A5B8" w14:textId="77777777" w:rsidR="008C4F26" w:rsidRPr="003B6A69" w:rsidRDefault="008C4F26" w:rsidP="00661293">
            <w:pPr>
              <w:spacing w:after="0"/>
              <w:jc w:val="left"/>
              <w:rPr>
                <w:rFonts w:eastAsia="Times New Roman"/>
                <w:color w:val="000000"/>
                <w:szCs w:val="20"/>
                <w:lang w:val="en-GB"/>
              </w:rPr>
            </w:pPr>
          </w:p>
          <w:p w14:paraId="5F8754C4" w14:textId="77777777" w:rsidR="008C4F26" w:rsidRPr="003B6A69" w:rsidRDefault="008C4F26" w:rsidP="00661293">
            <w:pPr>
              <w:spacing w:after="0"/>
              <w:jc w:val="left"/>
              <w:rPr>
                <w:rFonts w:eastAsia="Times New Roman"/>
                <w:color w:val="000000"/>
                <w:szCs w:val="20"/>
                <w:lang w:val="en-GB"/>
              </w:rPr>
            </w:pPr>
            <w:r w:rsidRPr="003B6A69">
              <w:rPr>
                <w:rFonts w:eastAsia="Times New Roman"/>
                <w:i/>
                <w:color w:val="000000"/>
                <w:szCs w:val="20"/>
                <w:lang w:val="en-GB"/>
              </w:rPr>
              <w:t>Canyons</w:t>
            </w:r>
          </w:p>
        </w:tc>
      </w:tr>
      <w:tr w:rsidR="008C4F26" w:rsidRPr="003B6A69" w14:paraId="752516A8" w14:textId="77777777" w:rsidTr="00661293">
        <w:trPr>
          <w:trHeight w:val="143"/>
        </w:trPr>
        <w:tc>
          <w:tcPr>
            <w:tcW w:w="5687" w:type="dxa"/>
            <w:gridSpan w:val="2"/>
            <w:tcBorders>
              <w:top w:val="nil"/>
              <w:left w:val="single" w:sz="4" w:space="0" w:color="auto"/>
              <w:bottom w:val="single" w:sz="4" w:space="0" w:color="auto"/>
              <w:right w:val="single" w:sz="4" w:space="0" w:color="auto"/>
            </w:tcBorders>
            <w:shd w:val="clear" w:color="auto" w:fill="auto"/>
            <w:vAlign w:val="bottom"/>
            <w:hideMark/>
          </w:tcPr>
          <w:p w14:paraId="551D1549" w14:textId="77777777" w:rsidR="008C4F26" w:rsidRPr="003B6A69" w:rsidRDefault="008C4F26" w:rsidP="00661293">
            <w:pPr>
              <w:spacing w:after="0"/>
              <w:jc w:val="left"/>
              <w:rPr>
                <w:rFonts w:eastAsia="Times New Roman"/>
                <w:color w:val="000000"/>
                <w:szCs w:val="20"/>
                <w:lang w:val="en-GB"/>
              </w:rPr>
            </w:pPr>
            <w:proofErr w:type="spellStart"/>
            <w:r w:rsidRPr="003B6A69">
              <w:rPr>
                <w:rFonts w:eastAsia="Times New Roman"/>
                <w:color w:val="000000"/>
                <w:szCs w:val="20"/>
                <w:lang w:val="en-GB"/>
              </w:rPr>
              <w:t>Kanjon</w:t>
            </w:r>
            <w:proofErr w:type="spellEnd"/>
            <w:r w:rsidRPr="003B6A69">
              <w:rPr>
                <w:rFonts w:eastAsia="Times New Roman"/>
                <w:color w:val="000000"/>
                <w:szCs w:val="20"/>
                <w:lang w:val="en-GB"/>
              </w:rPr>
              <w:t xml:space="preserve"> </w:t>
            </w:r>
            <w:proofErr w:type="spellStart"/>
            <w:r w:rsidRPr="003B6A69">
              <w:rPr>
                <w:rFonts w:eastAsia="Times New Roman"/>
                <w:color w:val="000000"/>
                <w:szCs w:val="20"/>
                <w:lang w:val="en-GB"/>
              </w:rPr>
              <w:t>rijeke</w:t>
            </w:r>
            <w:proofErr w:type="spellEnd"/>
            <w:r w:rsidRPr="003B6A69">
              <w:rPr>
                <w:rFonts w:eastAsia="Times New Roman"/>
                <w:color w:val="000000"/>
                <w:szCs w:val="20"/>
                <w:lang w:val="en-GB"/>
              </w:rPr>
              <w:t xml:space="preserve"> </w:t>
            </w:r>
            <w:proofErr w:type="spellStart"/>
            <w:r w:rsidRPr="003B6A69">
              <w:rPr>
                <w:rFonts w:eastAsia="Times New Roman"/>
                <w:color w:val="000000"/>
                <w:szCs w:val="20"/>
                <w:lang w:val="en-GB"/>
              </w:rPr>
              <w:t>Pive</w:t>
            </w:r>
            <w:proofErr w:type="spellEnd"/>
            <w:r w:rsidRPr="003B6A69">
              <w:rPr>
                <w:rFonts w:eastAsia="Times New Roman"/>
                <w:color w:val="000000"/>
                <w:szCs w:val="20"/>
                <w:lang w:val="en-GB"/>
              </w:rPr>
              <w:t xml:space="preserve"> </w:t>
            </w:r>
            <w:proofErr w:type="spellStart"/>
            <w:r w:rsidRPr="003B6A69">
              <w:rPr>
                <w:rFonts w:eastAsia="Times New Roman"/>
                <w:color w:val="000000"/>
                <w:szCs w:val="20"/>
                <w:lang w:val="en-GB"/>
              </w:rPr>
              <w:t>i</w:t>
            </w:r>
            <w:proofErr w:type="spellEnd"/>
            <w:r w:rsidRPr="003B6A69">
              <w:rPr>
                <w:rFonts w:eastAsia="Times New Roman"/>
                <w:color w:val="000000"/>
                <w:szCs w:val="20"/>
                <w:lang w:val="en-GB"/>
              </w:rPr>
              <w:t xml:space="preserve"> </w:t>
            </w:r>
            <w:proofErr w:type="spellStart"/>
            <w:r w:rsidRPr="003B6A69">
              <w:rPr>
                <w:rFonts w:eastAsia="Times New Roman"/>
                <w:color w:val="000000"/>
                <w:szCs w:val="20"/>
                <w:lang w:val="en-GB"/>
              </w:rPr>
              <w:t>Komarnice</w:t>
            </w:r>
            <w:proofErr w:type="spellEnd"/>
          </w:p>
        </w:tc>
        <w:tc>
          <w:tcPr>
            <w:tcW w:w="1797" w:type="dxa"/>
            <w:gridSpan w:val="2"/>
            <w:tcBorders>
              <w:top w:val="nil"/>
              <w:left w:val="nil"/>
              <w:bottom w:val="single" w:sz="4" w:space="0" w:color="auto"/>
              <w:right w:val="single" w:sz="4" w:space="0" w:color="auto"/>
            </w:tcBorders>
            <w:shd w:val="clear" w:color="auto" w:fill="auto"/>
            <w:noWrap/>
            <w:vAlign w:val="center"/>
            <w:hideMark/>
          </w:tcPr>
          <w:p w14:paraId="57C67FE3" w14:textId="77777777" w:rsidR="008C4F26" w:rsidRPr="003B6A69" w:rsidRDefault="008C4F26" w:rsidP="00661293">
            <w:pPr>
              <w:spacing w:after="0"/>
              <w:jc w:val="left"/>
              <w:rPr>
                <w:rFonts w:eastAsia="Times New Roman"/>
                <w:color w:val="000000"/>
                <w:szCs w:val="20"/>
                <w:lang w:val="en-GB"/>
              </w:rPr>
            </w:pPr>
            <w:r w:rsidRPr="003B6A69">
              <w:rPr>
                <w:rFonts w:eastAsia="Times New Roman"/>
                <w:color w:val="000000"/>
                <w:szCs w:val="20"/>
                <w:lang w:val="en-GB"/>
              </w:rPr>
              <w:t>10,260</w:t>
            </w:r>
          </w:p>
        </w:tc>
      </w:tr>
      <w:tr w:rsidR="008C4F26" w:rsidRPr="003B6A69" w14:paraId="702D5BC8" w14:textId="77777777" w:rsidTr="00661293">
        <w:trPr>
          <w:trHeight w:val="58"/>
        </w:trPr>
        <w:tc>
          <w:tcPr>
            <w:tcW w:w="5687" w:type="dxa"/>
            <w:gridSpan w:val="2"/>
            <w:tcBorders>
              <w:top w:val="nil"/>
              <w:left w:val="single" w:sz="4" w:space="0" w:color="auto"/>
              <w:bottom w:val="single" w:sz="4" w:space="0" w:color="auto"/>
              <w:right w:val="single" w:sz="4" w:space="0" w:color="auto"/>
            </w:tcBorders>
            <w:shd w:val="clear" w:color="auto" w:fill="auto"/>
            <w:vAlign w:val="bottom"/>
            <w:hideMark/>
          </w:tcPr>
          <w:p w14:paraId="2AE31A27" w14:textId="77777777" w:rsidR="008C4F26" w:rsidRPr="003B6A69" w:rsidRDefault="008C4F26" w:rsidP="00661293">
            <w:pPr>
              <w:spacing w:after="0"/>
              <w:jc w:val="left"/>
              <w:rPr>
                <w:rFonts w:eastAsia="Times New Roman"/>
                <w:color w:val="000000"/>
                <w:szCs w:val="20"/>
                <w:lang w:val="en-GB"/>
              </w:rPr>
            </w:pPr>
            <w:proofErr w:type="spellStart"/>
            <w:r w:rsidRPr="003B6A69">
              <w:rPr>
                <w:rFonts w:eastAsia="Times New Roman"/>
                <w:color w:val="000000"/>
                <w:szCs w:val="20"/>
                <w:lang w:val="en-GB"/>
              </w:rPr>
              <w:t>Kanjon</w:t>
            </w:r>
            <w:proofErr w:type="spellEnd"/>
            <w:r w:rsidRPr="003B6A69">
              <w:rPr>
                <w:rFonts w:eastAsia="Times New Roman"/>
                <w:color w:val="000000"/>
                <w:szCs w:val="20"/>
                <w:lang w:val="en-GB"/>
              </w:rPr>
              <w:t xml:space="preserve"> </w:t>
            </w:r>
            <w:proofErr w:type="spellStart"/>
            <w:r w:rsidRPr="003B6A69">
              <w:rPr>
                <w:rFonts w:eastAsia="Times New Roman"/>
                <w:color w:val="000000"/>
                <w:szCs w:val="20"/>
                <w:lang w:val="en-GB"/>
              </w:rPr>
              <w:t>rijeke</w:t>
            </w:r>
            <w:proofErr w:type="spellEnd"/>
            <w:r w:rsidRPr="003B6A69">
              <w:rPr>
                <w:rFonts w:eastAsia="Times New Roman"/>
                <w:color w:val="000000"/>
                <w:szCs w:val="20"/>
                <w:lang w:val="en-GB"/>
              </w:rPr>
              <w:t xml:space="preserve"> </w:t>
            </w:r>
            <w:proofErr w:type="spellStart"/>
            <w:r w:rsidRPr="003B6A69">
              <w:rPr>
                <w:rFonts w:eastAsia="Times New Roman"/>
                <w:color w:val="000000"/>
                <w:szCs w:val="20"/>
                <w:lang w:val="en-GB"/>
              </w:rPr>
              <w:t>Cijevne</w:t>
            </w:r>
            <w:proofErr w:type="spellEnd"/>
          </w:p>
        </w:tc>
        <w:tc>
          <w:tcPr>
            <w:tcW w:w="1797" w:type="dxa"/>
            <w:gridSpan w:val="2"/>
            <w:tcBorders>
              <w:top w:val="nil"/>
              <w:left w:val="nil"/>
              <w:bottom w:val="single" w:sz="4" w:space="0" w:color="auto"/>
              <w:right w:val="single" w:sz="4" w:space="0" w:color="auto"/>
            </w:tcBorders>
            <w:shd w:val="clear" w:color="auto" w:fill="auto"/>
            <w:noWrap/>
            <w:vAlign w:val="center"/>
            <w:hideMark/>
          </w:tcPr>
          <w:p w14:paraId="656F0C07" w14:textId="77777777" w:rsidR="008C4F26" w:rsidRPr="003B6A69" w:rsidRDefault="008C4F26" w:rsidP="00661293">
            <w:pPr>
              <w:spacing w:after="0"/>
              <w:jc w:val="left"/>
              <w:rPr>
                <w:rFonts w:eastAsia="Times New Roman"/>
                <w:color w:val="000000"/>
                <w:szCs w:val="20"/>
                <w:lang w:val="en-GB"/>
              </w:rPr>
            </w:pPr>
            <w:r w:rsidRPr="003B6A69">
              <w:rPr>
                <w:rFonts w:eastAsia="Times New Roman"/>
                <w:color w:val="000000"/>
                <w:szCs w:val="20"/>
                <w:lang w:val="en-GB"/>
              </w:rPr>
              <w:t>2,022</w:t>
            </w:r>
          </w:p>
        </w:tc>
      </w:tr>
      <w:tr w:rsidR="008C4F26" w:rsidRPr="003B6A69" w14:paraId="0FC32C20" w14:textId="77777777" w:rsidTr="00661293">
        <w:trPr>
          <w:trHeight w:val="58"/>
        </w:trPr>
        <w:tc>
          <w:tcPr>
            <w:tcW w:w="5687" w:type="dxa"/>
            <w:gridSpan w:val="2"/>
            <w:tcBorders>
              <w:top w:val="nil"/>
              <w:left w:val="single" w:sz="4" w:space="0" w:color="auto"/>
              <w:bottom w:val="single" w:sz="4" w:space="0" w:color="auto"/>
              <w:right w:val="single" w:sz="4" w:space="0" w:color="auto"/>
            </w:tcBorders>
            <w:shd w:val="clear" w:color="auto" w:fill="auto"/>
            <w:vAlign w:val="bottom"/>
            <w:hideMark/>
          </w:tcPr>
          <w:p w14:paraId="1726EF6F" w14:textId="77777777" w:rsidR="008C4F26" w:rsidRPr="003B6A69" w:rsidRDefault="008C4F26" w:rsidP="00661293">
            <w:pPr>
              <w:spacing w:after="0"/>
              <w:jc w:val="left"/>
              <w:rPr>
                <w:rFonts w:eastAsia="Times New Roman"/>
                <w:color w:val="000000"/>
                <w:szCs w:val="20"/>
                <w:lang w:val="en-GB"/>
              </w:rPr>
            </w:pPr>
            <w:proofErr w:type="spellStart"/>
            <w:r w:rsidRPr="003B6A69">
              <w:rPr>
                <w:rFonts w:eastAsia="Times New Roman"/>
                <w:color w:val="000000"/>
                <w:szCs w:val="20"/>
                <w:lang w:val="en-GB"/>
              </w:rPr>
              <w:t>Djalovica</w:t>
            </w:r>
            <w:proofErr w:type="spellEnd"/>
            <w:r w:rsidRPr="003B6A69">
              <w:rPr>
                <w:rFonts w:eastAsia="Times New Roman"/>
                <w:color w:val="000000"/>
                <w:szCs w:val="20"/>
                <w:lang w:val="en-GB"/>
              </w:rPr>
              <w:t xml:space="preserve"> </w:t>
            </w:r>
            <w:proofErr w:type="spellStart"/>
            <w:r w:rsidRPr="003B6A69">
              <w:rPr>
                <w:rFonts w:eastAsia="Times New Roman"/>
                <w:color w:val="000000"/>
                <w:szCs w:val="20"/>
                <w:lang w:val="en-GB"/>
              </w:rPr>
              <w:t>Kanjon</w:t>
            </w:r>
            <w:proofErr w:type="spellEnd"/>
          </w:p>
        </w:tc>
        <w:tc>
          <w:tcPr>
            <w:tcW w:w="1797" w:type="dxa"/>
            <w:gridSpan w:val="2"/>
            <w:tcBorders>
              <w:top w:val="nil"/>
              <w:left w:val="nil"/>
              <w:bottom w:val="single" w:sz="4" w:space="0" w:color="auto"/>
              <w:right w:val="single" w:sz="4" w:space="0" w:color="auto"/>
            </w:tcBorders>
            <w:shd w:val="clear" w:color="auto" w:fill="auto"/>
            <w:noWrap/>
            <w:vAlign w:val="center"/>
            <w:hideMark/>
          </w:tcPr>
          <w:p w14:paraId="4BBC3ED4" w14:textId="77777777" w:rsidR="008C4F26" w:rsidRPr="003B6A69" w:rsidRDefault="008C4F26" w:rsidP="00661293">
            <w:pPr>
              <w:spacing w:after="0"/>
              <w:jc w:val="left"/>
              <w:rPr>
                <w:rFonts w:eastAsia="Times New Roman"/>
                <w:color w:val="000000"/>
                <w:szCs w:val="20"/>
                <w:lang w:val="en-GB"/>
              </w:rPr>
            </w:pPr>
            <w:r w:rsidRPr="003B6A69">
              <w:rPr>
                <w:rFonts w:eastAsia="Times New Roman"/>
                <w:color w:val="000000"/>
                <w:szCs w:val="20"/>
                <w:lang w:val="en-GB"/>
              </w:rPr>
              <w:t>1,600</w:t>
            </w:r>
          </w:p>
        </w:tc>
      </w:tr>
      <w:tr w:rsidR="008C4F26" w:rsidRPr="003B6A69" w14:paraId="7E336F8B" w14:textId="77777777" w:rsidTr="00661293">
        <w:trPr>
          <w:trHeight w:val="58"/>
        </w:trPr>
        <w:tc>
          <w:tcPr>
            <w:tcW w:w="7484" w:type="dxa"/>
            <w:gridSpan w:val="4"/>
            <w:tcBorders>
              <w:top w:val="nil"/>
              <w:left w:val="single" w:sz="4" w:space="0" w:color="auto"/>
              <w:bottom w:val="single" w:sz="4" w:space="0" w:color="auto"/>
              <w:right w:val="single" w:sz="4" w:space="0" w:color="auto"/>
            </w:tcBorders>
            <w:shd w:val="clear" w:color="auto" w:fill="auto"/>
            <w:vAlign w:val="bottom"/>
            <w:hideMark/>
          </w:tcPr>
          <w:p w14:paraId="4D808AAF" w14:textId="77777777" w:rsidR="008C4F26" w:rsidRPr="003B6A69" w:rsidRDefault="008C4F26" w:rsidP="00661293">
            <w:pPr>
              <w:spacing w:after="0"/>
              <w:jc w:val="left"/>
              <w:rPr>
                <w:rFonts w:eastAsia="Times New Roman"/>
                <w:i/>
                <w:color w:val="000000"/>
                <w:szCs w:val="20"/>
                <w:lang w:val="en-GB"/>
              </w:rPr>
            </w:pPr>
          </w:p>
          <w:p w14:paraId="57554B37" w14:textId="77777777" w:rsidR="008C4F26" w:rsidRPr="003B6A69" w:rsidRDefault="008C4F26" w:rsidP="00661293">
            <w:pPr>
              <w:spacing w:after="0"/>
              <w:jc w:val="left"/>
              <w:rPr>
                <w:rFonts w:eastAsia="Times New Roman"/>
                <w:i/>
                <w:color w:val="000000"/>
                <w:szCs w:val="20"/>
                <w:lang w:val="en-GB"/>
              </w:rPr>
            </w:pPr>
            <w:r w:rsidRPr="003B6A69">
              <w:rPr>
                <w:rFonts w:eastAsia="Times New Roman"/>
                <w:i/>
                <w:color w:val="000000"/>
                <w:szCs w:val="20"/>
                <w:lang w:val="en-GB"/>
              </w:rPr>
              <w:t>City/residential area parks</w:t>
            </w:r>
          </w:p>
        </w:tc>
      </w:tr>
      <w:tr w:rsidR="008C4F26" w:rsidRPr="003B6A69" w14:paraId="1077609E" w14:textId="77777777" w:rsidTr="00661293">
        <w:trPr>
          <w:trHeight w:val="58"/>
        </w:trPr>
        <w:tc>
          <w:tcPr>
            <w:tcW w:w="5687" w:type="dxa"/>
            <w:gridSpan w:val="2"/>
            <w:tcBorders>
              <w:top w:val="nil"/>
              <w:left w:val="single" w:sz="4" w:space="0" w:color="auto"/>
              <w:bottom w:val="single" w:sz="4" w:space="0" w:color="auto"/>
              <w:right w:val="single" w:sz="4" w:space="0" w:color="auto"/>
            </w:tcBorders>
            <w:shd w:val="clear" w:color="auto" w:fill="auto"/>
            <w:vAlign w:val="bottom"/>
            <w:hideMark/>
          </w:tcPr>
          <w:p w14:paraId="164B1D49" w14:textId="77777777" w:rsidR="008C4F26" w:rsidRPr="003B6A69" w:rsidRDefault="008C4F26" w:rsidP="00661293">
            <w:pPr>
              <w:spacing w:after="0"/>
              <w:jc w:val="left"/>
              <w:rPr>
                <w:rFonts w:eastAsia="Times New Roman"/>
                <w:color w:val="000000"/>
                <w:szCs w:val="20"/>
                <w:lang w:val="en-GB"/>
              </w:rPr>
            </w:pPr>
            <w:r w:rsidRPr="003B6A69">
              <w:rPr>
                <w:rFonts w:eastAsia="Times New Roman"/>
                <w:color w:val="000000"/>
                <w:szCs w:val="20"/>
                <w:lang w:val="en-GB"/>
              </w:rPr>
              <w:t xml:space="preserve">Park 13 </w:t>
            </w:r>
            <w:proofErr w:type="spellStart"/>
            <w:r w:rsidRPr="003B6A69">
              <w:rPr>
                <w:rFonts w:eastAsia="Times New Roman"/>
                <w:color w:val="000000"/>
                <w:szCs w:val="20"/>
                <w:lang w:val="en-GB"/>
              </w:rPr>
              <w:t>jul</w:t>
            </w:r>
            <w:proofErr w:type="spellEnd"/>
            <w:r w:rsidRPr="003B6A69">
              <w:rPr>
                <w:rFonts w:eastAsia="Times New Roman"/>
                <w:color w:val="000000"/>
                <w:szCs w:val="20"/>
                <w:lang w:val="en-GB"/>
              </w:rPr>
              <w:t xml:space="preserve"> Cetinje </w:t>
            </w:r>
          </w:p>
        </w:tc>
        <w:tc>
          <w:tcPr>
            <w:tcW w:w="1797" w:type="dxa"/>
            <w:gridSpan w:val="2"/>
            <w:tcBorders>
              <w:top w:val="nil"/>
              <w:left w:val="nil"/>
              <w:bottom w:val="single" w:sz="4" w:space="0" w:color="auto"/>
              <w:right w:val="single" w:sz="4" w:space="0" w:color="auto"/>
            </w:tcBorders>
            <w:shd w:val="clear" w:color="auto" w:fill="auto"/>
            <w:noWrap/>
            <w:vAlign w:val="center"/>
            <w:hideMark/>
          </w:tcPr>
          <w:p w14:paraId="5AAF41AD" w14:textId="77777777" w:rsidR="008C4F26" w:rsidRPr="003B6A69" w:rsidRDefault="008C4F26" w:rsidP="00661293">
            <w:pPr>
              <w:spacing w:after="0"/>
              <w:jc w:val="left"/>
              <w:rPr>
                <w:rFonts w:eastAsia="Times New Roman"/>
                <w:color w:val="000000"/>
                <w:szCs w:val="20"/>
                <w:lang w:val="en-GB"/>
              </w:rPr>
            </w:pPr>
            <w:r w:rsidRPr="003B6A69">
              <w:rPr>
                <w:rFonts w:eastAsia="Times New Roman"/>
                <w:color w:val="000000"/>
                <w:szCs w:val="20"/>
                <w:lang w:val="en-GB"/>
              </w:rPr>
              <w:t>3.63</w:t>
            </w:r>
          </w:p>
        </w:tc>
      </w:tr>
      <w:tr w:rsidR="008C4F26" w:rsidRPr="003B6A69" w14:paraId="513AD5B9" w14:textId="77777777" w:rsidTr="00661293">
        <w:trPr>
          <w:trHeight w:val="58"/>
        </w:trPr>
        <w:tc>
          <w:tcPr>
            <w:tcW w:w="5687" w:type="dxa"/>
            <w:gridSpan w:val="2"/>
            <w:tcBorders>
              <w:top w:val="nil"/>
              <w:left w:val="single" w:sz="4" w:space="0" w:color="auto"/>
              <w:bottom w:val="single" w:sz="4" w:space="0" w:color="auto"/>
              <w:right w:val="single" w:sz="4" w:space="0" w:color="auto"/>
            </w:tcBorders>
            <w:shd w:val="clear" w:color="auto" w:fill="auto"/>
            <w:vAlign w:val="bottom"/>
            <w:hideMark/>
          </w:tcPr>
          <w:p w14:paraId="4EC24DE9" w14:textId="77777777" w:rsidR="008C4F26" w:rsidRPr="003B6A69" w:rsidRDefault="008C4F26" w:rsidP="00661293">
            <w:pPr>
              <w:spacing w:after="0"/>
              <w:jc w:val="left"/>
              <w:rPr>
                <w:rFonts w:eastAsia="Times New Roman"/>
                <w:color w:val="000000"/>
                <w:szCs w:val="20"/>
                <w:lang w:val="en-GB"/>
              </w:rPr>
            </w:pPr>
            <w:r w:rsidRPr="003B6A69">
              <w:rPr>
                <w:rFonts w:eastAsia="Times New Roman"/>
                <w:color w:val="000000"/>
                <w:szCs w:val="20"/>
                <w:lang w:val="en-GB"/>
              </w:rPr>
              <w:t xml:space="preserve">Park </w:t>
            </w:r>
            <w:proofErr w:type="spellStart"/>
            <w:r w:rsidRPr="003B6A69">
              <w:rPr>
                <w:rFonts w:eastAsia="Times New Roman"/>
                <w:color w:val="000000"/>
                <w:szCs w:val="20"/>
                <w:lang w:val="en-GB"/>
              </w:rPr>
              <w:t>Muzeja</w:t>
            </w:r>
            <w:proofErr w:type="spellEnd"/>
            <w:r w:rsidRPr="003B6A69">
              <w:rPr>
                <w:rFonts w:eastAsia="Times New Roman"/>
                <w:color w:val="000000"/>
                <w:szCs w:val="20"/>
                <w:lang w:val="en-GB"/>
              </w:rPr>
              <w:t xml:space="preserve"> </w:t>
            </w:r>
            <w:proofErr w:type="spellStart"/>
            <w:r w:rsidRPr="003B6A69">
              <w:rPr>
                <w:rFonts w:eastAsia="Times New Roman"/>
                <w:color w:val="000000"/>
                <w:szCs w:val="20"/>
                <w:lang w:val="en-GB"/>
              </w:rPr>
              <w:t>na</w:t>
            </w:r>
            <w:proofErr w:type="spellEnd"/>
            <w:r w:rsidRPr="003B6A69">
              <w:rPr>
                <w:rFonts w:eastAsia="Times New Roman"/>
                <w:color w:val="000000"/>
                <w:szCs w:val="20"/>
                <w:lang w:val="en-GB"/>
              </w:rPr>
              <w:t xml:space="preserve"> </w:t>
            </w:r>
            <w:proofErr w:type="spellStart"/>
            <w:r w:rsidRPr="003B6A69">
              <w:rPr>
                <w:rFonts w:eastAsia="Times New Roman"/>
                <w:color w:val="000000"/>
                <w:szCs w:val="20"/>
                <w:lang w:val="en-GB"/>
              </w:rPr>
              <w:t>Topolici</w:t>
            </w:r>
            <w:proofErr w:type="spellEnd"/>
          </w:p>
        </w:tc>
        <w:tc>
          <w:tcPr>
            <w:tcW w:w="1797" w:type="dxa"/>
            <w:gridSpan w:val="2"/>
            <w:tcBorders>
              <w:top w:val="nil"/>
              <w:left w:val="nil"/>
              <w:bottom w:val="single" w:sz="4" w:space="0" w:color="auto"/>
              <w:right w:val="single" w:sz="4" w:space="0" w:color="auto"/>
            </w:tcBorders>
            <w:shd w:val="clear" w:color="auto" w:fill="auto"/>
            <w:noWrap/>
            <w:vAlign w:val="center"/>
            <w:hideMark/>
          </w:tcPr>
          <w:p w14:paraId="0F33CC8C" w14:textId="77777777" w:rsidR="008C4F26" w:rsidRPr="003B6A69" w:rsidRDefault="008C4F26" w:rsidP="00661293">
            <w:pPr>
              <w:spacing w:after="0"/>
              <w:jc w:val="left"/>
              <w:rPr>
                <w:rFonts w:eastAsia="Times New Roman"/>
                <w:color w:val="000000"/>
                <w:szCs w:val="20"/>
                <w:lang w:val="en-GB"/>
              </w:rPr>
            </w:pPr>
            <w:r w:rsidRPr="003B6A69">
              <w:rPr>
                <w:rFonts w:eastAsia="Times New Roman"/>
                <w:color w:val="000000"/>
                <w:szCs w:val="20"/>
                <w:lang w:val="en-GB"/>
              </w:rPr>
              <w:t>2</w:t>
            </w:r>
          </w:p>
        </w:tc>
      </w:tr>
      <w:tr w:rsidR="008C4F26" w:rsidRPr="003B6A69" w14:paraId="1C97FE1A" w14:textId="77777777" w:rsidTr="00661293">
        <w:trPr>
          <w:trHeight w:val="58"/>
        </w:trPr>
        <w:tc>
          <w:tcPr>
            <w:tcW w:w="5687" w:type="dxa"/>
            <w:gridSpan w:val="2"/>
            <w:tcBorders>
              <w:top w:val="nil"/>
              <w:left w:val="single" w:sz="4" w:space="0" w:color="auto"/>
              <w:bottom w:val="single" w:sz="4" w:space="0" w:color="auto"/>
              <w:right w:val="single" w:sz="4" w:space="0" w:color="auto"/>
            </w:tcBorders>
            <w:shd w:val="clear" w:color="auto" w:fill="auto"/>
            <w:vAlign w:val="bottom"/>
            <w:hideMark/>
          </w:tcPr>
          <w:p w14:paraId="59260341" w14:textId="77777777" w:rsidR="008C4F26" w:rsidRPr="003B6A69" w:rsidRDefault="008C4F26" w:rsidP="00661293">
            <w:pPr>
              <w:spacing w:after="0"/>
              <w:jc w:val="left"/>
              <w:rPr>
                <w:rFonts w:eastAsia="Times New Roman"/>
                <w:color w:val="000000"/>
                <w:szCs w:val="20"/>
                <w:lang w:val="en-GB"/>
              </w:rPr>
            </w:pPr>
            <w:r w:rsidRPr="003B6A69">
              <w:rPr>
                <w:rFonts w:eastAsia="Times New Roman"/>
                <w:color w:val="000000"/>
                <w:szCs w:val="20"/>
                <w:lang w:val="en-GB"/>
              </w:rPr>
              <w:t xml:space="preserve">Park </w:t>
            </w:r>
            <w:proofErr w:type="spellStart"/>
            <w:r w:rsidRPr="003B6A69">
              <w:rPr>
                <w:rFonts w:eastAsia="Times New Roman"/>
                <w:color w:val="000000"/>
                <w:szCs w:val="20"/>
                <w:lang w:val="en-GB"/>
              </w:rPr>
              <w:t>Hotela</w:t>
            </w:r>
            <w:proofErr w:type="spellEnd"/>
            <w:r w:rsidRPr="003B6A69">
              <w:rPr>
                <w:rFonts w:eastAsia="Times New Roman"/>
                <w:color w:val="000000"/>
                <w:szCs w:val="20"/>
                <w:lang w:val="en-GB"/>
              </w:rPr>
              <w:t xml:space="preserve"> Boka</w:t>
            </w:r>
          </w:p>
        </w:tc>
        <w:tc>
          <w:tcPr>
            <w:tcW w:w="1797" w:type="dxa"/>
            <w:gridSpan w:val="2"/>
            <w:tcBorders>
              <w:top w:val="nil"/>
              <w:left w:val="nil"/>
              <w:bottom w:val="single" w:sz="4" w:space="0" w:color="auto"/>
              <w:right w:val="single" w:sz="4" w:space="0" w:color="auto"/>
            </w:tcBorders>
            <w:shd w:val="clear" w:color="auto" w:fill="auto"/>
            <w:noWrap/>
            <w:vAlign w:val="center"/>
            <w:hideMark/>
          </w:tcPr>
          <w:p w14:paraId="2257C7C8" w14:textId="77777777" w:rsidR="008C4F26" w:rsidRPr="003B6A69" w:rsidRDefault="008C4F26" w:rsidP="00661293">
            <w:pPr>
              <w:spacing w:after="0"/>
              <w:jc w:val="left"/>
              <w:rPr>
                <w:rFonts w:eastAsia="Times New Roman"/>
                <w:color w:val="000000"/>
                <w:szCs w:val="20"/>
                <w:lang w:val="en-GB"/>
              </w:rPr>
            </w:pPr>
            <w:r w:rsidRPr="003B6A69">
              <w:rPr>
                <w:rFonts w:eastAsia="Times New Roman"/>
                <w:color w:val="000000"/>
                <w:szCs w:val="20"/>
                <w:lang w:val="en-GB"/>
              </w:rPr>
              <w:t>1.2</w:t>
            </w:r>
          </w:p>
        </w:tc>
      </w:tr>
      <w:tr w:rsidR="008C4F26" w:rsidRPr="003B6A69" w14:paraId="19F6C220" w14:textId="77777777" w:rsidTr="00661293">
        <w:trPr>
          <w:trHeight w:val="58"/>
        </w:trPr>
        <w:tc>
          <w:tcPr>
            <w:tcW w:w="5687" w:type="dxa"/>
            <w:gridSpan w:val="2"/>
            <w:tcBorders>
              <w:top w:val="nil"/>
              <w:left w:val="single" w:sz="4" w:space="0" w:color="auto"/>
              <w:bottom w:val="single" w:sz="4" w:space="0" w:color="auto"/>
              <w:right w:val="single" w:sz="4" w:space="0" w:color="auto"/>
            </w:tcBorders>
            <w:shd w:val="clear" w:color="auto" w:fill="auto"/>
            <w:vAlign w:val="bottom"/>
            <w:hideMark/>
          </w:tcPr>
          <w:p w14:paraId="0DFBF900" w14:textId="77777777" w:rsidR="008C4F26" w:rsidRPr="003B6A69" w:rsidRDefault="008C4F26" w:rsidP="00661293">
            <w:pPr>
              <w:spacing w:after="0"/>
              <w:jc w:val="left"/>
              <w:rPr>
                <w:rFonts w:eastAsia="Times New Roman"/>
                <w:color w:val="000000"/>
                <w:szCs w:val="20"/>
                <w:lang w:val="en-GB"/>
              </w:rPr>
            </w:pPr>
            <w:proofErr w:type="spellStart"/>
            <w:r w:rsidRPr="003B6A69">
              <w:rPr>
                <w:rFonts w:eastAsia="Times New Roman"/>
                <w:color w:val="000000"/>
                <w:szCs w:val="20"/>
                <w:lang w:val="en-GB"/>
              </w:rPr>
              <w:t>Veliki</w:t>
            </w:r>
            <w:proofErr w:type="spellEnd"/>
            <w:r w:rsidRPr="003B6A69">
              <w:rPr>
                <w:rFonts w:eastAsia="Times New Roman"/>
                <w:color w:val="000000"/>
                <w:szCs w:val="20"/>
                <w:lang w:val="en-GB"/>
              </w:rPr>
              <w:t xml:space="preserve"> </w:t>
            </w:r>
            <w:proofErr w:type="spellStart"/>
            <w:r w:rsidRPr="003B6A69">
              <w:rPr>
                <w:rFonts w:eastAsia="Times New Roman"/>
                <w:color w:val="000000"/>
                <w:szCs w:val="20"/>
                <w:lang w:val="en-GB"/>
              </w:rPr>
              <w:t>gradski</w:t>
            </w:r>
            <w:proofErr w:type="spellEnd"/>
            <w:r w:rsidRPr="003B6A69">
              <w:rPr>
                <w:rFonts w:eastAsia="Times New Roman"/>
                <w:color w:val="000000"/>
                <w:szCs w:val="20"/>
                <w:lang w:val="en-GB"/>
              </w:rPr>
              <w:t xml:space="preserve"> park u </w:t>
            </w:r>
            <w:proofErr w:type="spellStart"/>
            <w:r w:rsidRPr="003B6A69">
              <w:rPr>
                <w:rFonts w:eastAsia="Times New Roman"/>
                <w:color w:val="000000"/>
                <w:szCs w:val="20"/>
                <w:lang w:val="en-GB"/>
              </w:rPr>
              <w:t>Tivtu</w:t>
            </w:r>
            <w:proofErr w:type="spellEnd"/>
          </w:p>
        </w:tc>
        <w:tc>
          <w:tcPr>
            <w:tcW w:w="1797" w:type="dxa"/>
            <w:gridSpan w:val="2"/>
            <w:tcBorders>
              <w:top w:val="nil"/>
              <w:left w:val="nil"/>
              <w:bottom w:val="single" w:sz="4" w:space="0" w:color="auto"/>
              <w:right w:val="single" w:sz="4" w:space="0" w:color="auto"/>
            </w:tcBorders>
            <w:shd w:val="clear" w:color="auto" w:fill="auto"/>
            <w:noWrap/>
            <w:vAlign w:val="center"/>
            <w:hideMark/>
          </w:tcPr>
          <w:p w14:paraId="168C2867" w14:textId="77777777" w:rsidR="008C4F26" w:rsidRPr="003B6A69" w:rsidRDefault="008C4F26" w:rsidP="00661293">
            <w:pPr>
              <w:spacing w:after="0"/>
              <w:jc w:val="left"/>
              <w:rPr>
                <w:rFonts w:eastAsia="Times New Roman"/>
                <w:color w:val="000000"/>
                <w:szCs w:val="20"/>
                <w:lang w:val="en-GB"/>
              </w:rPr>
            </w:pPr>
            <w:r w:rsidRPr="003B6A69">
              <w:rPr>
                <w:rFonts w:eastAsia="Times New Roman"/>
                <w:color w:val="000000"/>
                <w:szCs w:val="20"/>
                <w:lang w:val="en-GB"/>
              </w:rPr>
              <w:t>5.91</w:t>
            </w:r>
          </w:p>
        </w:tc>
      </w:tr>
      <w:tr w:rsidR="008C4F26" w:rsidRPr="003B6A69" w14:paraId="22A998EF" w14:textId="77777777" w:rsidTr="00661293">
        <w:trPr>
          <w:trHeight w:val="296"/>
        </w:trPr>
        <w:tc>
          <w:tcPr>
            <w:tcW w:w="5687" w:type="dxa"/>
            <w:gridSpan w:val="2"/>
            <w:tcBorders>
              <w:top w:val="nil"/>
              <w:left w:val="single" w:sz="4" w:space="0" w:color="auto"/>
              <w:bottom w:val="single" w:sz="4" w:space="0" w:color="auto"/>
              <w:right w:val="single" w:sz="4" w:space="0" w:color="auto"/>
            </w:tcBorders>
            <w:shd w:val="clear" w:color="auto" w:fill="auto"/>
            <w:vAlign w:val="bottom"/>
            <w:hideMark/>
          </w:tcPr>
          <w:p w14:paraId="2A81FCC6" w14:textId="77777777" w:rsidR="008C4F26" w:rsidRPr="003B6A69" w:rsidRDefault="008C4F26" w:rsidP="00661293">
            <w:pPr>
              <w:spacing w:after="0"/>
              <w:jc w:val="left"/>
              <w:rPr>
                <w:rFonts w:eastAsia="Times New Roman"/>
                <w:color w:val="000000"/>
                <w:szCs w:val="20"/>
                <w:lang w:val="en-GB"/>
              </w:rPr>
            </w:pPr>
            <w:r w:rsidRPr="003B6A69">
              <w:rPr>
                <w:rFonts w:eastAsia="Times New Roman"/>
                <w:color w:val="000000"/>
                <w:szCs w:val="20"/>
                <w:lang w:val="en-GB"/>
              </w:rPr>
              <w:t xml:space="preserve">Park u </w:t>
            </w:r>
            <w:proofErr w:type="spellStart"/>
            <w:r w:rsidRPr="003B6A69">
              <w:rPr>
                <w:rFonts w:eastAsia="Times New Roman"/>
                <w:color w:val="000000"/>
                <w:szCs w:val="20"/>
                <w:lang w:val="en-GB"/>
              </w:rPr>
              <w:t>dvoristu</w:t>
            </w:r>
            <w:proofErr w:type="spellEnd"/>
            <w:r w:rsidRPr="003B6A69">
              <w:rPr>
                <w:rFonts w:eastAsia="Times New Roman"/>
                <w:color w:val="000000"/>
                <w:szCs w:val="20"/>
                <w:lang w:val="en-GB"/>
              </w:rPr>
              <w:t xml:space="preserve"> </w:t>
            </w:r>
            <w:proofErr w:type="spellStart"/>
            <w:r w:rsidRPr="003B6A69">
              <w:rPr>
                <w:rFonts w:eastAsia="Times New Roman"/>
                <w:color w:val="000000"/>
                <w:szCs w:val="20"/>
                <w:lang w:val="en-GB"/>
              </w:rPr>
              <w:t>djecìje</w:t>
            </w:r>
            <w:proofErr w:type="spellEnd"/>
            <w:r w:rsidRPr="003B6A69">
              <w:rPr>
                <w:rFonts w:eastAsia="Times New Roman"/>
                <w:color w:val="000000"/>
                <w:szCs w:val="20"/>
                <w:lang w:val="en-GB"/>
              </w:rPr>
              <w:t xml:space="preserve"> </w:t>
            </w:r>
            <w:proofErr w:type="spellStart"/>
            <w:r w:rsidRPr="003B6A69">
              <w:rPr>
                <w:rFonts w:eastAsia="Times New Roman"/>
                <w:color w:val="000000"/>
                <w:szCs w:val="20"/>
                <w:lang w:val="en-GB"/>
              </w:rPr>
              <w:t>bolnice</w:t>
            </w:r>
            <w:proofErr w:type="spellEnd"/>
            <w:r w:rsidRPr="003B6A69">
              <w:rPr>
                <w:rFonts w:eastAsia="Times New Roman"/>
                <w:color w:val="000000"/>
                <w:szCs w:val="20"/>
                <w:lang w:val="en-GB"/>
              </w:rPr>
              <w:t xml:space="preserve"> </w:t>
            </w:r>
            <w:proofErr w:type="spellStart"/>
            <w:r w:rsidRPr="003B6A69">
              <w:rPr>
                <w:rFonts w:eastAsia="Times New Roman"/>
                <w:color w:val="000000"/>
                <w:szCs w:val="20"/>
                <w:lang w:val="en-GB"/>
              </w:rPr>
              <w:t>na</w:t>
            </w:r>
            <w:proofErr w:type="spellEnd"/>
            <w:r w:rsidRPr="003B6A69">
              <w:rPr>
                <w:rFonts w:eastAsia="Times New Roman"/>
                <w:color w:val="000000"/>
                <w:szCs w:val="20"/>
                <w:lang w:val="en-GB"/>
              </w:rPr>
              <w:t xml:space="preserve"> </w:t>
            </w:r>
            <w:proofErr w:type="spellStart"/>
            <w:r w:rsidRPr="003B6A69">
              <w:rPr>
                <w:rFonts w:eastAsia="Times New Roman"/>
                <w:color w:val="000000"/>
                <w:szCs w:val="20"/>
                <w:lang w:val="en-GB"/>
              </w:rPr>
              <w:t>Cetinju</w:t>
            </w:r>
            <w:proofErr w:type="spellEnd"/>
          </w:p>
        </w:tc>
        <w:tc>
          <w:tcPr>
            <w:tcW w:w="1797" w:type="dxa"/>
            <w:gridSpan w:val="2"/>
            <w:tcBorders>
              <w:top w:val="nil"/>
              <w:left w:val="nil"/>
              <w:bottom w:val="single" w:sz="4" w:space="0" w:color="auto"/>
              <w:right w:val="single" w:sz="4" w:space="0" w:color="auto"/>
            </w:tcBorders>
            <w:shd w:val="clear" w:color="auto" w:fill="auto"/>
            <w:noWrap/>
            <w:vAlign w:val="center"/>
            <w:hideMark/>
          </w:tcPr>
          <w:p w14:paraId="57CB05C7" w14:textId="77777777" w:rsidR="008C4F26" w:rsidRPr="003B6A69" w:rsidRDefault="008C4F26" w:rsidP="00661293">
            <w:pPr>
              <w:spacing w:after="0"/>
              <w:jc w:val="left"/>
              <w:rPr>
                <w:rFonts w:eastAsia="Times New Roman"/>
                <w:color w:val="000000"/>
                <w:szCs w:val="20"/>
                <w:lang w:val="en-GB"/>
              </w:rPr>
            </w:pPr>
            <w:r w:rsidRPr="003B6A69">
              <w:rPr>
                <w:rFonts w:eastAsia="Times New Roman"/>
                <w:color w:val="000000"/>
                <w:szCs w:val="20"/>
                <w:lang w:val="en-GB"/>
              </w:rPr>
              <w:t>0.34</w:t>
            </w:r>
          </w:p>
        </w:tc>
      </w:tr>
      <w:tr w:rsidR="008C4F26" w:rsidRPr="003B6A69" w14:paraId="6FDD787D" w14:textId="77777777" w:rsidTr="00661293">
        <w:trPr>
          <w:trHeight w:val="58"/>
        </w:trPr>
        <w:tc>
          <w:tcPr>
            <w:tcW w:w="5687" w:type="dxa"/>
            <w:gridSpan w:val="2"/>
            <w:tcBorders>
              <w:top w:val="nil"/>
              <w:left w:val="single" w:sz="4" w:space="0" w:color="auto"/>
              <w:bottom w:val="single" w:sz="4" w:space="0" w:color="auto"/>
              <w:right w:val="single" w:sz="4" w:space="0" w:color="auto"/>
            </w:tcBorders>
            <w:shd w:val="clear" w:color="auto" w:fill="auto"/>
            <w:vAlign w:val="bottom"/>
            <w:hideMark/>
          </w:tcPr>
          <w:p w14:paraId="5F5CC30B" w14:textId="77777777" w:rsidR="008C4F26" w:rsidRPr="003B6A69" w:rsidRDefault="008C4F26" w:rsidP="00661293">
            <w:pPr>
              <w:spacing w:after="0"/>
              <w:jc w:val="left"/>
              <w:rPr>
                <w:rFonts w:eastAsia="Times New Roman"/>
                <w:color w:val="000000"/>
                <w:szCs w:val="20"/>
                <w:lang w:val="en-GB"/>
              </w:rPr>
            </w:pPr>
            <w:proofErr w:type="spellStart"/>
            <w:r w:rsidRPr="003B6A69">
              <w:rPr>
                <w:rFonts w:eastAsia="Times New Roman"/>
                <w:color w:val="000000"/>
                <w:szCs w:val="20"/>
                <w:lang w:val="en-GB"/>
              </w:rPr>
              <w:t>Njegosev</w:t>
            </w:r>
            <w:proofErr w:type="spellEnd"/>
            <w:r w:rsidRPr="003B6A69">
              <w:rPr>
                <w:rFonts w:eastAsia="Times New Roman"/>
                <w:color w:val="000000"/>
                <w:szCs w:val="20"/>
                <w:lang w:val="en-GB"/>
              </w:rPr>
              <w:t xml:space="preserve"> park </w:t>
            </w:r>
            <w:proofErr w:type="spellStart"/>
            <w:r w:rsidRPr="003B6A69">
              <w:rPr>
                <w:rFonts w:eastAsia="Times New Roman"/>
                <w:color w:val="000000"/>
                <w:szCs w:val="20"/>
                <w:lang w:val="en-GB"/>
              </w:rPr>
              <w:t>na</w:t>
            </w:r>
            <w:proofErr w:type="spellEnd"/>
            <w:r w:rsidRPr="003B6A69">
              <w:rPr>
                <w:rFonts w:eastAsia="Times New Roman"/>
                <w:color w:val="000000"/>
                <w:szCs w:val="20"/>
                <w:lang w:val="en-GB"/>
              </w:rPr>
              <w:t xml:space="preserve"> </w:t>
            </w:r>
            <w:proofErr w:type="spellStart"/>
            <w:r w:rsidRPr="003B6A69">
              <w:rPr>
                <w:rFonts w:eastAsia="Times New Roman"/>
                <w:color w:val="000000"/>
                <w:szCs w:val="20"/>
                <w:lang w:val="en-GB"/>
              </w:rPr>
              <w:t>Cetinju</w:t>
            </w:r>
            <w:proofErr w:type="spellEnd"/>
          </w:p>
        </w:tc>
        <w:tc>
          <w:tcPr>
            <w:tcW w:w="1797" w:type="dxa"/>
            <w:gridSpan w:val="2"/>
            <w:tcBorders>
              <w:top w:val="nil"/>
              <w:left w:val="nil"/>
              <w:bottom w:val="single" w:sz="4" w:space="0" w:color="auto"/>
              <w:right w:val="single" w:sz="4" w:space="0" w:color="auto"/>
            </w:tcBorders>
            <w:shd w:val="clear" w:color="auto" w:fill="auto"/>
            <w:noWrap/>
            <w:vAlign w:val="center"/>
            <w:hideMark/>
          </w:tcPr>
          <w:p w14:paraId="04B35C02" w14:textId="77777777" w:rsidR="008C4F26" w:rsidRPr="003B6A69" w:rsidRDefault="008C4F26" w:rsidP="00661293">
            <w:pPr>
              <w:spacing w:after="0"/>
              <w:jc w:val="left"/>
              <w:rPr>
                <w:rFonts w:eastAsia="Times New Roman"/>
                <w:color w:val="000000"/>
                <w:szCs w:val="20"/>
                <w:lang w:val="en-GB"/>
              </w:rPr>
            </w:pPr>
            <w:r w:rsidRPr="003B6A69">
              <w:rPr>
                <w:rFonts w:eastAsia="Times New Roman"/>
                <w:color w:val="000000"/>
                <w:szCs w:val="20"/>
                <w:lang w:val="en-GB"/>
              </w:rPr>
              <w:t>4.2</w:t>
            </w:r>
          </w:p>
        </w:tc>
      </w:tr>
      <w:tr w:rsidR="008C4F26" w:rsidRPr="003B6A69" w14:paraId="3DCE199C" w14:textId="77777777" w:rsidTr="00661293">
        <w:trPr>
          <w:trHeight w:val="360"/>
        </w:trPr>
        <w:tc>
          <w:tcPr>
            <w:tcW w:w="5687" w:type="dxa"/>
            <w:gridSpan w:val="2"/>
            <w:tcBorders>
              <w:top w:val="nil"/>
              <w:left w:val="single" w:sz="4" w:space="0" w:color="auto"/>
              <w:bottom w:val="single" w:sz="4" w:space="0" w:color="auto"/>
              <w:right w:val="single" w:sz="4" w:space="0" w:color="auto"/>
            </w:tcBorders>
            <w:shd w:val="clear" w:color="auto" w:fill="auto"/>
            <w:vAlign w:val="bottom"/>
            <w:hideMark/>
          </w:tcPr>
          <w:p w14:paraId="1E64435B" w14:textId="77777777" w:rsidR="008C4F26" w:rsidRPr="003B6A69" w:rsidRDefault="008C4F26" w:rsidP="00661293">
            <w:pPr>
              <w:spacing w:after="0"/>
              <w:jc w:val="left"/>
              <w:rPr>
                <w:rFonts w:eastAsia="Times New Roman"/>
                <w:color w:val="000000"/>
                <w:szCs w:val="20"/>
                <w:lang w:val="en-GB"/>
              </w:rPr>
            </w:pPr>
            <w:r w:rsidRPr="003B6A69">
              <w:rPr>
                <w:rFonts w:eastAsia="Times New Roman"/>
                <w:color w:val="000000"/>
                <w:szCs w:val="20"/>
                <w:lang w:val="en-GB"/>
              </w:rPr>
              <w:t xml:space="preserve">Park </w:t>
            </w:r>
            <w:proofErr w:type="spellStart"/>
            <w:r w:rsidRPr="003B6A69">
              <w:rPr>
                <w:rFonts w:eastAsia="Times New Roman"/>
                <w:color w:val="000000"/>
                <w:szCs w:val="20"/>
                <w:lang w:val="en-GB"/>
              </w:rPr>
              <w:t>i</w:t>
            </w:r>
            <w:proofErr w:type="spellEnd"/>
            <w:r w:rsidRPr="003B6A69">
              <w:rPr>
                <w:rFonts w:eastAsia="Times New Roman"/>
                <w:color w:val="000000"/>
                <w:szCs w:val="20"/>
                <w:lang w:val="en-GB"/>
              </w:rPr>
              <w:t xml:space="preserve"> </w:t>
            </w:r>
            <w:proofErr w:type="spellStart"/>
            <w:r w:rsidRPr="003B6A69">
              <w:rPr>
                <w:rFonts w:eastAsia="Times New Roman"/>
                <w:color w:val="000000"/>
                <w:szCs w:val="20"/>
                <w:lang w:val="en-GB"/>
              </w:rPr>
              <w:t>zgrada</w:t>
            </w:r>
            <w:proofErr w:type="spellEnd"/>
            <w:r w:rsidRPr="003B6A69">
              <w:rPr>
                <w:rFonts w:eastAsia="Times New Roman"/>
                <w:color w:val="000000"/>
                <w:szCs w:val="20"/>
                <w:lang w:val="en-GB"/>
              </w:rPr>
              <w:t xml:space="preserve"> </w:t>
            </w:r>
            <w:proofErr w:type="spellStart"/>
            <w:r w:rsidRPr="003B6A69">
              <w:rPr>
                <w:rFonts w:eastAsia="Times New Roman"/>
                <w:color w:val="000000"/>
                <w:szCs w:val="20"/>
                <w:lang w:val="en-GB"/>
              </w:rPr>
              <w:t>zavicajnog</w:t>
            </w:r>
            <w:proofErr w:type="spellEnd"/>
            <w:r w:rsidRPr="003B6A69">
              <w:rPr>
                <w:rFonts w:eastAsia="Times New Roman"/>
                <w:color w:val="000000"/>
                <w:szCs w:val="20"/>
                <w:lang w:val="en-GB"/>
              </w:rPr>
              <w:t xml:space="preserve"> </w:t>
            </w:r>
            <w:proofErr w:type="spellStart"/>
            <w:r w:rsidRPr="003B6A69">
              <w:rPr>
                <w:rFonts w:eastAsia="Times New Roman"/>
                <w:color w:val="000000"/>
                <w:szCs w:val="20"/>
                <w:lang w:val="en-GB"/>
              </w:rPr>
              <w:t>muzeja</w:t>
            </w:r>
            <w:proofErr w:type="spellEnd"/>
            <w:r w:rsidRPr="003B6A69">
              <w:rPr>
                <w:rFonts w:eastAsia="Times New Roman"/>
                <w:color w:val="000000"/>
                <w:szCs w:val="20"/>
                <w:lang w:val="en-GB"/>
              </w:rPr>
              <w:t xml:space="preserve"> u HN</w:t>
            </w:r>
          </w:p>
        </w:tc>
        <w:tc>
          <w:tcPr>
            <w:tcW w:w="1797" w:type="dxa"/>
            <w:gridSpan w:val="2"/>
            <w:tcBorders>
              <w:top w:val="nil"/>
              <w:left w:val="nil"/>
              <w:bottom w:val="single" w:sz="4" w:space="0" w:color="auto"/>
              <w:right w:val="single" w:sz="4" w:space="0" w:color="auto"/>
            </w:tcBorders>
            <w:shd w:val="clear" w:color="auto" w:fill="auto"/>
            <w:noWrap/>
            <w:vAlign w:val="center"/>
            <w:hideMark/>
          </w:tcPr>
          <w:p w14:paraId="0778BBED" w14:textId="77777777" w:rsidR="008C4F26" w:rsidRPr="003B6A69" w:rsidRDefault="008C4F26" w:rsidP="00661293">
            <w:pPr>
              <w:spacing w:after="0"/>
              <w:jc w:val="left"/>
              <w:rPr>
                <w:rFonts w:eastAsia="Times New Roman"/>
                <w:color w:val="000000"/>
                <w:szCs w:val="20"/>
                <w:lang w:val="en-GB"/>
              </w:rPr>
            </w:pPr>
            <w:r w:rsidRPr="003B6A69">
              <w:rPr>
                <w:rFonts w:eastAsia="Times New Roman"/>
                <w:color w:val="000000"/>
                <w:szCs w:val="20"/>
                <w:lang w:val="en-GB"/>
              </w:rPr>
              <w:t>1</w:t>
            </w:r>
          </w:p>
        </w:tc>
      </w:tr>
      <w:tr w:rsidR="008C4F26" w:rsidRPr="003B6A69" w14:paraId="0DEDA165" w14:textId="77777777" w:rsidTr="00661293">
        <w:trPr>
          <w:trHeight w:val="58"/>
        </w:trPr>
        <w:tc>
          <w:tcPr>
            <w:tcW w:w="7484" w:type="dxa"/>
            <w:gridSpan w:val="4"/>
            <w:tcBorders>
              <w:top w:val="nil"/>
              <w:left w:val="single" w:sz="4" w:space="0" w:color="auto"/>
              <w:bottom w:val="single" w:sz="4" w:space="0" w:color="auto"/>
              <w:right w:val="single" w:sz="4" w:space="0" w:color="auto"/>
            </w:tcBorders>
            <w:shd w:val="clear" w:color="auto" w:fill="auto"/>
            <w:vAlign w:val="bottom"/>
            <w:hideMark/>
          </w:tcPr>
          <w:p w14:paraId="26B95D73" w14:textId="77777777" w:rsidR="008C4F26" w:rsidRPr="003B6A69" w:rsidRDefault="008C4F26" w:rsidP="00661293">
            <w:pPr>
              <w:spacing w:after="0"/>
              <w:jc w:val="left"/>
              <w:rPr>
                <w:rFonts w:eastAsia="Times New Roman"/>
                <w:i/>
                <w:color w:val="000000"/>
                <w:szCs w:val="20"/>
                <w:lang w:val="en-GB"/>
              </w:rPr>
            </w:pPr>
          </w:p>
          <w:p w14:paraId="3042CE35" w14:textId="77777777" w:rsidR="008C4F26" w:rsidRPr="003B6A69" w:rsidRDefault="008C4F26" w:rsidP="00661293">
            <w:pPr>
              <w:spacing w:after="0"/>
              <w:jc w:val="left"/>
              <w:rPr>
                <w:rFonts w:eastAsia="Times New Roman"/>
                <w:i/>
                <w:color w:val="000000"/>
                <w:szCs w:val="20"/>
                <w:lang w:val="en-GB"/>
              </w:rPr>
            </w:pPr>
            <w:proofErr w:type="gramStart"/>
            <w:r w:rsidRPr="003B6A69">
              <w:rPr>
                <w:rFonts w:eastAsia="Times New Roman"/>
                <w:i/>
                <w:color w:val="000000"/>
                <w:szCs w:val="20"/>
                <w:lang w:val="en-GB"/>
              </w:rPr>
              <w:t>Botanical  features</w:t>
            </w:r>
            <w:proofErr w:type="gramEnd"/>
          </w:p>
        </w:tc>
      </w:tr>
      <w:tr w:rsidR="008C4F26" w:rsidRPr="003B6A69" w14:paraId="35A561F5" w14:textId="77777777" w:rsidTr="00661293">
        <w:trPr>
          <w:trHeight w:val="58"/>
        </w:trPr>
        <w:tc>
          <w:tcPr>
            <w:tcW w:w="5687" w:type="dxa"/>
            <w:gridSpan w:val="2"/>
            <w:tcBorders>
              <w:top w:val="nil"/>
              <w:left w:val="single" w:sz="4" w:space="0" w:color="auto"/>
              <w:bottom w:val="single" w:sz="4" w:space="0" w:color="auto"/>
              <w:right w:val="single" w:sz="4" w:space="0" w:color="auto"/>
            </w:tcBorders>
            <w:shd w:val="clear" w:color="auto" w:fill="auto"/>
            <w:vAlign w:val="bottom"/>
            <w:hideMark/>
          </w:tcPr>
          <w:p w14:paraId="705566DF" w14:textId="77777777" w:rsidR="008C4F26" w:rsidRPr="003B6A69" w:rsidRDefault="008C4F26" w:rsidP="00661293">
            <w:pPr>
              <w:spacing w:after="0"/>
              <w:jc w:val="left"/>
              <w:rPr>
                <w:rFonts w:eastAsia="Times New Roman"/>
                <w:color w:val="000000"/>
                <w:szCs w:val="20"/>
                <w:lang w:val="en-GB"/>
              </w:rPr>
            </w:pPr>
            <w:r w:rsidRPr="003B6A69">
              <w:rPr>
                <w:rFonts w:eastAsia="Times New Roman"/>
                <w:color w:val="000000"/>
                <w:szCs w:val="20"/>
                <w:lang w:val="en-GB"/>
              </w:rPr>
              <w:t xml:space="preserve">Laurel-Oleander community in Sopot - </w:t>
            </w:r>
            <w:proofErr w:type="spellStart"/>
            <w:r w:rsidRPr="003B6A69">
              <w:rPr>
                <w:rFonts w:eastAsia="Times New Roman"/>
                <w:color w:val="000000"/>
                <w:szCs w:val="20"/>
                <w:lang w:val="en-GB"/>
              </w:rPr>
              <w:t>Risan</w:t>
            </w:r>
            <w:proofErr w:type="spellEnd"/>
          </w:p>
        </w:tc>
        <w:tc>
          <w:tcPr>
            <w:tcW w:w="1797" w:type="dxa"/>
            <w:gridSpan w:val="2"/>
            <w:tcBorders>
              <w:top w:val="nil"/>
              <w:left w:val="nil"/>
              <w:bottom w:val="single" w:sz="4" w:space="0" w:color="auto"/>
              <w:right w:val="single" w:sz="4" w:space="0" w:color="auto"/>
            </w:tcBorders>
            <w:shd w:val="clear" w:color="auto" w:fill="auto"/>
            <w:noWrap/>
            <w:vAlign w:val="center"/>
            <w:hideMark/>
          </w:tcPr>
          <w:p w14:paraId="17586848" w14:textId="77777777" w:rsidR="008C4F26" w:rsidRPr="003B6A69" w:rsidRDefault="008C4F26" w:rsidP="00661293">
            <w:pPr>
              <w:spacing w:after="0"/>
              <w:jc w:val="left"/>
              <w:rPr>
                <w:rFonts w:eastAsia="Times New Roman"/>
                <w:color w:val="000000"/>
                <w:szCs w:val="20"/>
                <w:lang w:val="en-GB"/>
              </w:rPr>
            </w:pPr>
            <w:r w:rsidRPr="003B6A69">
              <w:rPr>
                <w:rFonts w:eastAsia="Times New Roman"/>
                <w:color w:val="000000"/>
                <w:szCs w:val="20"/>
                <w:lang w:val="en-GB"/>
              </w:rPr>
              <w:t>40</w:t>
            </w:r>
          </w:p>
        </w:tc>
      </w:tr>
      <w:tr w:rsidR="008C4F26" w:rsidRPr="003B6A69" w14:paraId="5C029469" w14:textId="77777777" w:rsidTr="00661293">
        <w:trPr>
          <w:trHeight w:val="58"/>
        </w:trPr>
        <w:tc>
          <w:tcPr>
            <w:tcW w:w="5687" w:type="dxa"/>
            <w:gridSpan w:val="2"/>
            <w:tcBorders>
              <w:top w:val="nil"/>
              <w:left w:val="single" w:sz="4" w:space="0" w:color="auto"/>
              <w:bottom w:val="single" w:sz="4" w:space="0" w:color="auto"/>
              <w:right w:val="single" w:sz="4" w:space="0" w:color="auto"/>
            </w:tcBorders>
            <w:shd w:val="clear" w:color="auto" w:fill="auto"/>
            <w:vAlign w:val="bottom"/>
            <w:hideMark/>
          </w:tcPr>
          <w:p w14:paraId="24ABB8A4" w14:textId="77777777" w:rsidR="008C4F26" w:rsidRPr="003B6A69" w:rsidRDefault="008C4F26" w:rsidP="00661293">
            <w:pPr>
              <w:spacing w:after="0"/>
              <w:jc w:val="left"/>
              <w:rPr>
                <w:rFonts w:eastAsia="Times New Roman"/>
                <w:color w:val="000000"/>
                <w:szCs w:val="20"/>
                <w:lang w:val="en-GB"/>
              </w:rPr>
            </w:pPr>
            <w:r w:rsidRPr="003B6A69">
              <w:rPr>
                <w:rFonts w:eastAsia="Times New Roman"/>
                <w:color w:val="000000"/>
                <w:szCs w:val="20"/>
                <w:lang w:val="en-GB"/>
              </w:rPr>
              <w:t xml:space="preserve">Green complex </w:t>
            </w:r>
            <w:proofErr w:type="gramStart"/>
            <w:r w:rsidRPr="003B6A69">
              <w:rPr>
                <w:rFonts w:eastAsia="Times New Roman"/>
                <w:color w:val="000000"/>
                <w:szCs w:val="20"/>
                <w:lang w:val="en-GB"/>
              </w:rPr>
              <w:t>between  Forte</w:t>
            </w:r>
            <w:proofErr w:type="gramEnd"/>
            <w:r w:rsidRPr="003B6A69">
              <w:rPr>
                <w:rFonts w:eastAsia="Times New Roman"/>
                <w:color w:val="000000"/>
                <w:szCs w:val="20"/>
                <w:lang w:val="en-GB"/>
              </w:rPr>
              <w:t xml:space="preserve"> mare and </w:t>
            </w:r>
            <w:proofErr w:type="spellStart"/>
            <w:r w:rsidRPr="003B6A69">
              <w:rPr>
                <w:rFonts w:eastAsia="Times New Roman"/>
                <w:color w:val="000000"/>
                <w:szCs w:val="20"/>
                <w:lang w:val="en-GB"/>
              </w:rPr>
              <w:t>theCitadel</w:t>
            </w:r>
            <w:proofErr w:type="spellEnd"/>
          </w:p>
        </w:tc>
        <w:tc>
          <w:tcPr>
            <w:tcW w:w="1797" w:type="dxa"/>
            <w:gridSpan w:val="2"/>
            <w:tcBorders>
              <w:top w:val="nil"/>
              <w:left w:val="nil"/>
              <w:bottom w:val="single" w:sz="4" w:space="0" w:color="auto"/>
              <w:right w:val="single" w:sz="4" w:space="0" w:color="auto"/>
            </w:tcBorders>
            <w:shd w:val="clear" w:color="auto" w:fill="auto"/>
            <w:noWrap/>
            <w:vAlign w:val="center"/>
            <w:hideMark/>
          </w:tcPr>
          <w:p w14:paraId="6AD72DBD" w14:textId="77777777" w:rsidR="008C4F26" w:rsidRPr="003B6A69" w:rsidRDefault="008C4F26" w:rsidP="00661293">
            <w:pPr>
              <w:spacing w:after="0"/>
              <w:jc w:val="left"/>
              <w:rPr>
                <w:rFonts w:eastAsia="Times New Roman"/>
                <w:color w:val="000000"/>
                <w:szCs w:val="20"/>
                <w:lang w:val="en-GB"/>
              </w:rPr>
            </w:pPr>
            <w:r w:rsidRPr="003B6A69">
              <w:rPr>
                <w:rFonts w:eastAsia="Times New Roman"/>
                <w:color w:val="000000"/>
                <w:szCs w:val="20"/>
                <w:lang w:val="en-GB"/>
              </w:rPr>
              <w:t>0.32</w:t>
            </w:r>
          </w:p>
        </w:tc>
      </w:tr>
      <w:tr w:rsidR="008C4F26" w:rsidRPr="003B6A69" w14:paraId="0FE5033C" w14:textId="77777777" w:rsidTr="00661293">
        <w:trPr>
          <w:trHeight w:val="58"/>
        </w:trPr>
        <w:tc>
          <w:tcPr>
            <w:tcW w:w="7484" w:type="dxa"/>
            <w:gridSpan w:val="4"/>
            <w:tcBorders>
              <w:top w:val="nil"/>
              <w:left w:val="single" w:sz="4" w:space="0" w:color="auto"/>
              <w:bottom w:val="single" w:sz="4" w:space="0" w:color="auto"/>
              <w:right w:val="single" w:sz="4" w:space="0" w:color="auto"/>
            </w:tcBorders>
            <w:shd w:val="clear" w:color="auto" w:fill="auto"/>
            <w:vAlign w:val="bottom"/>
            <w:hideMark/>
          </w:tcPr>
          <w:p w14:paraId="6A045795" w14:textId="77777777" w:rsidR="008C4F26" w:rsidRPr="003B6A69" w:rsidRDefault="008C4F26" w:rsidP="00661293">
            <w:pPr>
              <w:spacing w:after="0"/>
              <w:jc w:val="left"/>
              <w:rPr>
                <w:rFonts w:eastAsia="Times New Roman"/>
                <w:i/>
                <w:color w:val="000000"/>
                <w:szCs w:val="20"/>
                <w:lang w:val="en-GB"/>
              </w:rPr>
            </w:pPr>
          </w:p>
          <w:p w14:paraId="43A0EE5B" w14:textId="77777777" w:rsidR="008C4F26" w:rsidRPr="003B6A69" w:rsidRDefault="008C4F26" w:rsidP="00661293">
            <w:pPr>
              <w:spacing w:after="0"/>
              <w:jc w:val="left"/>
              <w:rPr>
                <w:rFonts w:eastAsia="Times New Roman"/>
                <w:color w:val="000000"/>
                <w:szCs w:val="20"/>
                <w:lang w:val="en-GB"/>
              </w:rPr>
            </w:pPr>
            <w:r w:rsidRPr="003B6A69">
              <w:rPr>
                <w:rFonts w:eastAsia="Times New Roman"/>
                <w:i/>
                <w:color w:val="000000"/>
                <w:szCs w:val="20"/>
                <w:lang w:val="en-GB"/>
              </w:rPr>
              <w:t>Individual trees (dendrologic objects)</w:t>
            </w:r>
          </w:p>
        </w:tc>
      </w:tr>
      <w:tr w:rsidR="008C4F26" w:rsidRPr="003B6A69" w14:paraId="4DF7F64B" w14:textId="77777777" w:rsidTr="00661293">
        <w:trPr>
          <w:trHeight w:val="58"/>
        </w:trPr>
        <w:tc>
          <w:tcPr>
            <w:tcW w:w="5687" w:type="dxa"/>
            <w:gridSpan w:val="2"/>
            <w:tcBorders>
              <w:top w:val="nil"/>
              <w:left w:val="single" w:sz="4" w:space="0" w:color="auto"/>
              <w:bottom w:val="single" w:sz="4" w:space="0" w:color="auto"/>
              <w:right w:val="single" w:sz="4" w:space="0" w:color="auto"/>
            </w:tcBorders>
            <w:shd w:val="clear" w:color="auto" w:fill="auto"/>
          </w:tcPr>
          <w:p w14:paraId="5FB9D708" w14:textId="77777777" w:rsidR="008C4F26" w:rsidRPr="003B6A69" w:rsidRDefault="008C4F26" w:rsidP="00661293">
            <w:pPr>
              <w:spacing w:after="0"/>
              <w:jc w:val="left"/>
              <w:rPr>
                <w:rFonts w:eastAsia="Times New Roman"/>
                <w:color w:val="000000"/>
                <w:szCs w:val="20"/>
                <w:lang w:val="en-GB"/>
              </w:rPr>
            </w:pPr>
            <w:r w:rsidRPr="003B6A69">
              <w:rPr>
                <w:rFonts w:eastAsia="Times New Roman"/>
                <w:color w:val="000000"/>
                <w:szCs w:val="20"/>
                <w:lang w:val="en-GB"/>
              </w:rPr>
              <w:t xml:space="preserve">Holly oak (Quercus ilex) - Bar, </w:t>
            </w:r>
            <w:proofErr w:type="spellStart"/>
            <w:r w:rsidRPr="003B6A69">
              <w:rPr>
                <w:rFonts w:eastAsia="Times New Roman"/>
                <w:color w:val="000000"/>
                <w:szCs w:val="20"/>
                <w:lang w:val="en-GB"/>
              </w:rPr>
              <w:t>Crni</w:t>
            </w:r>
            <w:proofErr w:type="spellEnd"/>
            <w:r w:rsidRPr="003B6A69">
              <w:rPr>
                <w:rFonts w:eastAsia="Times New Roman"/>
                <w:color w:val="000000"/>
                <w:szCs w:val="20"/>
                <w:lang w:val="en-GB"/>
              </w:rPr>
              <w:t xml:space="preserve"> Rt </w:t>
            </w:r>
            <w:proofErr w:type="gramStart"/>
            <w:r w:rsidRPr="003B6A69">
              <w:rPr>
                <w:rFonts w:eastAsia="Times New Roman"/>
                <w:color w:val="000000"/>
                <w:szCs w:val="20"/>
                <w:lang w:val="en-GB"/>
              </w:rPr>
              <w:t xml:space="preserve">near  </w:t>
            </w:r>
            <w:proofErr w:type="spellStart"/>
            <w:r w:rsidRPr="003B6A69">
              <w:rPr>
                <w:rFonts w:eastAsia="Times New Roman"/>
                <w:color w:val="000000"/>
                <w:szCs w:val="20"/>
                <w:lang w:val="en-GB"/>
              </w:rPr>
              <w:t>Sutomore</w:t>
            </w:r>
            <w:proofErr w:type="spellEnd"/>
            <w:proofErr w:type="gramEnd"/>
          </w:p>
        </w:tc>
        <w:tc>
          <w:tcPr>
            <w:tcW w:w="1797" w:type="dxa"/>
            <w:gridSpan w:val="2"/>
            <w:tcBorders>
              <w:top w:val="nil"/>
              <w:left w:val="nil"/>
              <w:bottom w:val="single" w:sz="4" w:space="0" w:color="auto"/>
              <w:right w:val="single" w:sz="4" w:space="0" w:color="auto"/>
            </w:tcBorders>
            <w:shd w:val="clear" w:color="auto" w:fill="auto"/>
            <w:noWrap/>
          </w:tcPr>
          <w:p w14:paraId="777B3D9F" w14:textId="77777777" w:rsidR="008C4F26" w:rsidRPr="003B6A69" w:rsidRDefault="008C4F26" w:rsidP="00661293">
            <w:pPr>
              <w:spacing w:after="0"/>
              <w:jc w:val="left"/>
              <w:rPr>
                <w:rFonts w:eastAsia="Times New Roman"/>
                <w:color w:val="000000"/>
                <w:szCs w:val="20"/>
                <w:lang w:val="en-GB"/>
              </w:rPr>
            </w:pPr>
            <w:r w:rsidRPr="003B6A69">
              <w:rPr>
                <w:rFonts w:eastAsia="Times New Roman"/>
                <w:color w:val="000000"/>
                <w:szCs w:val="20"/>
                <w:lang w:val="en-GB"/>
              </w:rPr>
              <w:t>0</w:t>
            </w:r>
          </w:p>
        </w:tc>
      </w:tr>
      <w:tr w:rsidR="008C4F26" w:rsidRPr="003B6A69" w14:paraId="64401628" w14:textId="77777777" w:rsidTr="00661293">
        <w:trPr>
          <w:trHeight w:val="58"/>
        </w:trPr>
        <w:tc>
          <w:tcPr>
            <w:tcW w:w="5687" w:type="dxa"/>
            <w:gridSpan w:val="2"/>
            <w:tcBorders>
              <w:top w:val="nil"/>
              <w:left w:val="single" w:sz="4" w:space="0" w:color="auto"/>
              <w:bottom w:val="single" w:sz="4" w:space="0" w:color="auto"/>
              <w:right w:val="single" w:sz="4" w:space="0" w:color="auto"/>
            </w:tcBorders>
            <w:shd w:val="clear" w:color="auto" w:fill="auto"/>
            <w:hideMark/>
          </w:tcPr>
          <w:p w14:paraId="3CB08D10" w14:textId="77777777" w:rsidR="008C4F26" w:rsidRPr="003B6A69" w:rsidRDefault="008C4F26" w:rsidP="00661293">
            <w:pPr>
              <w:spacing w:after="0"/>
              <w:jc w:val="left"/>
              <w:rPr>
                <w:rFonts w:eastAsia="Times New Roman"/>
                <w:color w:val="000000"/>
                <w:szCs w:val="20"/>
                <w:lang w:val="en-GB"/>
              </w:rPr>
            </w:pPr>
            <w:r w:rsidRPr="003B6A69">
              <w:rPr>
                <w:rFonts w:eastAsia="Times New Roman"/>
                <w:color w:val="000000"/>
                <w:szCs w:val="20"/>
                <w:lang w:val="en-GB"/>
              </w:rPr>
              <w:t xml:space="preserve">Holly oak (Quercus ilex) - Bar, </w:t>
            </w:r>
            <w:proofErr w:type="spellStart"/>
            <w:r w:rsidRPr="003B6A69">
              <w:rPr>
                <w:rFonts w:eastAsia="Times New Roman"/>
                <w:color w:val="000000"/>
                <w:szCs w:val="20"/>
                <w:lang w:val="en-GB"/>
              </w:rPr>
              <w:t>Sutomore</w:t>
            </w:r>
            <w:proofErr w:type="spellEnd"/>
          </w:p>
        </w:tc>
        <w:tc>
          <w:tcPr>
            <w:tcW w:w="1797" w:type="dxa"/>
            <w:gridSpan w:val="2"/>
            <w:tcBorders>
              <w:top w:val="nil"/>
              <w:left w:val="nil"/>
              <w:bottom w:val="single" w:sz="4" w:space="0" w:color="auto"/>
              <w:right w:val="single" w:sz="4" w:space="0" w:color="auto"/>
            </w:tcBorders>
            <w:shd w:val="clear" w:color="auto" w:fill="auto"/>
            <w:noWrap/>
            <w:hideMark/>
          </w:tcPr>
          <w:p w14:paraId="5C207547" w14:textId="77777777" w:rsidR="008C4F26" w:rsidRPr="003B6A69" w:rsidRDefault="008C4F26" w:rsidP="00661293">
            <w:pPr>
              <w:spacing w:after="0"/>
              <w:jc w:val="left"/>
              <w:rPr>
                <w:rFonts w:eastAsia="Times New Roman"/>
                <w:color w:val="000000"/>
                <w:szCs w:val="20"/>
                <w:lang w:val="en-GB"/>
              </w:rPr>
            </w:pPr>
            <w:r w:rsidRPr="003B6A69">
              <w:rPr>
                <w:rFonts w:eastAsia="Times New Roman"/>
                <w:color w:val="000000"/>
                <w:szCs w:val="20"/>
                <w:lang w:val="en-GB"/>
              </w:rPr>
              <w:t>0</w:t>
            </w:r>
          </w:p>
        </w:tc>
      </w:tr>
      <w:tr w:rsidR="008C4F26" w:rsidRPr="003B6A69" w14:paraId="4D7C246F" w14:textId="77777777" w:rsidTr="00661293">
        <w:trPr>
          <w:trHeight w:val="58"/>
        </w:trPr>
        <w:tc>
          <w:tcPr>
            <w:tcW w:w="5687" w:type="dxa"/>
            <w:gridSpan w:val="2"/>
            <w:tcBorders>
              <w:top w:val="nil"/>
              <w:left w:val="single" w:sz="4" w:space="0" w:color="auto"/>
              <w:bottom w:val="single" w:sz="4" w:space="0" w:color="auto"/>
              <w:right w:val="single" w:sz="4" w:space="0" w:color="auto"/>
            </w:tcBorders>
            <w:shd w:val="clear" w:color="auto" w:fill="auto"/>
            <w:vAlign w:val="bottom"/>
            <w:hideMark/>
          </w:tcPr>
          <w:p w14:paraId="099EF5EB" w14:textId="77777777" w:rsidR="008C4F26" w:rsidRPr="003B6A69" w:rsidRDefault="008C4F26" w:rsidP="00661293">
            <w:pPr>
              <w:spacing w:after="0"/>
              <w:jc w:val="left"/>
              <w:rPr>
                <w:rFonts w:eastAsia="Times New Roman"/>
                <w:color w:val="000000"/>
                <w:szCs w:val="20"/>
                <w:lang w:val="en-GB"/>
              </w:rPr>
            </w:pPr>
            <w:r w:rsidRPr="003B6A69">
              <w:rPr>
                <w:rFonts w:eastAsia="Times New Roman"/>
                <w:color w:val="000000"/>
                <w:szCs w:val="20"/>
                <w:lang w:val="en-GB"/>
              </w:rPr>
              <w:lastRenderedPageBreak/>
              <w:t xml:space="preserve">Holly oak (Quercus ilex) - </w:t>
            </w:r>
            <w:proofErr w:type="spellStart"/>
            <w:r w:rsidRPr="003B6A69">
              <w:rPr>
                <w:rFonts w:eastAsia="Times New Roman"/>
                <w:color w:val="000000"/>
                <w:szCs w:val="20"/>
                <w:lang w:val="en-GB"/>
              </w:rPr>
              <w:t>Herceg</w:t>
            </w:r>
            <w:proofErr w:type="spellEnd"/>
            <w:r w:rsidRPr="003B6A69">
              <w:rPr>
                <w:rFonts w:eastAsia="Times New Roman"/>
                <w:color w:val="000000"/>
                <w:szCs w:val="20"/>
                <w:lang w:val="en-GB"/>
              </w:rPr>
              <w:t xml:space="preserve"> Novi, a </w:t>
            </w:r>
            <w:proofErr w:type="spellStart"/>
            <w:r w:rsidRPr="003B6A69">
              <w:rPr>
                <w:rFonts w:eastAsia="Times New Roman"/>
                <w:color w:val="000000"/>
                <w:szCs w:val="20"/>
                <w:lang w:val="en-GB"/>
              </w:rPr>
              <w:t>Ilinjica</w:t>
            </w:r>
            <w:proofErr w:type="spellEnd"/>
          </w:p>
        </w:tc>
        <w:tc>
          <w:tcPr>
            <w:tcW w:w="1797" w:type="dxa"/>
            <w:gridSpan w:val="2"/>
            <w:tcBorders>
              <w:top w:val="nil"/>
              <w:left w:val="nil"/>
              <w:bottom w:val="single" w:sz="4" w:space="0" w:color="auto"/>
              <w:right w:val="single" w:sz="4" w:space="0" w:color="auto"/>
            </w:tcBorders>
            <w:shd w:val="clear" w:color="auto" w:fill="auto"/>
            <w:noWrap/>
            <w:vAlign w:val="center"/>
            <w:hideMark/>
          </w:tcPr>
          <w:p w14:paraId="324CF5BD" w14:textId="77777777" w:rsidR="008C4F26" w:rsidRPr="003B6A69" w:rsidRDefault="008C4F26" w:rsidP="00661293">
            <w:pPr>
              <w:spacing w:after="0"/>
              <w:jc w:val="left"/>
              <w:rPr>
                <w:rFonts w:eastAsia="Times New Roman"/>
                <w:color w:val="000000"/>
                <w:szCs w:val="20"/>
                <w:lang w:val="en-GB"/>
              </w:rPr>
            </w:pPr>
            <w:r w:rsidRPr="003B6A69">
              <w:rPr>
                <w:rFonts w:eastAsia="Times New Roman"/>
                <w:color w:val="000000"/>
                <w:szCs w:val="20"/>
                <w:lang w:val="en-GB"/>
              </w:rPr>
              <w:t>0</w:t>
            </w:r>
          </w:p>
        </w:tc>
      </w:tr>
      <w:tr w:rsidR="008C4F26" w:rsidRPr="003B6A69" w14:paraId="4E943691" w14:textId="77777777" w:rsidTr="00661293">
        <w:trPr>
          <w:trHeight w:val="58"/>
        </w:trPr>
        <w:tc>
          <w:tcPr>
            <w:tcW w:w="5687" w:type="dxa"/>
            <w:gridSpan w:val="2"/>
            <w:tcBorders>
              <w:top w:val="nil"/>
              <w:left w:val="single" w:sz="4" w:space="0" w:color="auto"/>
              <w:bottom w:val="single" w:sz="4" w:space="0" w:color="auto"/>
              <w:right w:val="single" w:sz="4" w:space="0" w:color="auto"/>
            </w:tcBorders>
            <w:shd w:val="clear" w:color="auto" w:fill="auto"/>
            <w:vAlign w:val="bottom"/>
            <w:hideMark/>
          </w:tcPr>
          <w:p w14:paraId="2E8E88D2" w14:textId="77777777" w:rsidR="008C4F26" w:rsidRPr="003B6A69" w:rsidRDefault="008C4F26" w:rsidP="00661293">
            <w:pPr>
              <w:spacing w:after="0"/>
              <w:jc w:val="left"/>
              <w:rPr>
                <w:rFonts w:eastAsia="Times New Roman"/>
                <w:color w:val="000000"/>
                <w:szCs w:val="20"/>
                <w:lang w:val="en-GB"/>
              </w:rPr>
            </w:pPr>
            <w:r w:rsidRPr="003B6A69">
              <w:rPr>
                <w:rFonts w:eastAsia="Times New Roman"/>
                <w:color w:val="000000"/>
                <w:szCs w:val="20"/>
                <w:lang w:val="en-GB"/>
              </w:rPr>
              <w:t xml:space="preserve">Holly oak (Quercus ilex) - </w:t>
            </w:r>
            <w:proofErr w:type="spellStart"/>
            <w:r w:rsidRPr="003B6A69">
              <w:rPr>
                <w:rFonts w:eastAsia="Times New Roman"/>
                <w:color w:val="000000"/>
                <w:szCs w:val="20"/>
                <w:lang w:val="en-GB"/>
              </w:rPr>
              <w:t>Herceg</w:t>
            </w:r>
            <w:proofErr w:type="spellEnd"/>
            <w:r w:rsidRPr="003B6A69">
              <w:rPr>
                <w:rFonts w:eastAsia="Times New Roman"/>
                <w:color w:val="000000"/>
                <w:szCs w:val="20"/>
                <w:lang w:val="en-GB"/>
              </w:rPr>
              <w:t xml:space="preserve"> Novi, </w:t>
            </w:r>
            <w:proofErr w:type="spellStart"/>
            <w:r w:rsidRPr="003B6A69">
              <w:rPr>
                <w:rFonts w:eastAsia="Times New Roman"/>
                <w:color w:val="000000"/>
                <w:szCs w:val="20"/>
                <w:lang w:val="en-GB"/>
              </w:rPr>
              <w:t>Savina</w:t>
            </w:r>
            <w:proofErr w:type="spellEnd"/>
          </w:p>
        </w:tc>
        <w:tc>
          <w:tcPr>
            <w:tcW w:w="1797" w:type="dxa"/>
            <w:gridSpan w:val="2"/>
            <w:tcBorders>
              <w:top w:val="nil"/>
              <w:left w:val="nil"/>
              <w:bottom w:val="single" w:sz="4" w:space="0" w:color="auto"/>
              <w:right w:val="single" w:sz="4" w:space="0" w:color="auto"/>
            </w:tcBorders>
            <w:shd w:val="clear" w:color="auto" w:fill="auto"/>
            <w:noWrap/>
            <w:vAlign w:val="center"/>
            <w:hideMark/>
          </w:tcPr>
          <w:p w14:paraId="2D23B99B" w14:textId="77777777" w:rsidR="008C4F26" w:rsidRPr="003B6A69" w:rsidRDefault="008C4F26" w:rsidP="00661293">
            <w:pPr>
              <w:spacing w:after="0"/>
              <w:jc w:val="left"/>
              <w:rPr>
                <w:rFonts w:eastAsia="Times New Roman"/>
                <w:color w:val="000000"/>
                <w:szCs w:val="20"/>
                <w:lang w:val="en-GB"/>
              </w:rPr>
            </w:pPr>
            <w:r w:rsidRPr="003B6A69">
              <w:rPr>
                <w:rFonts w:eastAsia="Times New Roman"/>
                <w:color w:val="000000"/>
                <w:szCs w:val="20"/>
                <w:lang w:val="en-GB"/>
              </w:rPr>
              <w:t>0</w:t>
            </w:r>
          </w:p>
        </w:tc>
      </w:tr>
      <w:tr w:rsidR="008C4F26" w:rsidRPr="003B6A69" w14:paraId="189CA70F" w14:textId="77777777" w:rsidTr="00661293">
        <w:trPr>
          <w:trHeight w:val="58"/>
        </w:trPr>
        <w:tc>
          <w:tcPr>
            <w:tcW w:w="5687" w:type="dxa"/>
            <w:gridSpan w:val="2"/>
            <w:tcBorders>
              <w:top w:val="nil"/>
              <w:left w:val="single" w:sz="4" w:space="0" w:color="auto"/>
              <w:bottom w:val="single" w:sz="4" w:space="0" w:color="auto"/>
              <w:right w:val="single" w:sz="4" w:space="0" w:color="auto"/>
            </w:tcBorders>
            <w:shd w:val="clear" w:color="auto" w:fill="auto"/>
            <w:vAlign w:val="bottom"/>
            <w:hideMark/>
          </w:tcPr>
          <w:p w14:paraId="26FE288D" w14:textId="77777777" w:rsidR="008C4F26" w:rsidRPr="003B6A69" w:rsidRDefault="008C4F26" w:rsidP="00661293">
            <w:pPr>
              <w:spacing w:after="0"/>
              <w:jc w:val="left"/>
              <w:rPr>
                <w:rFonts w:eastAsia="Times New Roman"/>
                <w:color w:val="000000"/>
                <w:szCs w:val="20"/>
                <w:lang w:val="en-GB"/>
              </w:rPr>
            </w:pPr>
            <w:r w:rsidRPr="003B6A69">
              <w:rPr>
                <w:rFonts w:eastAsia="Times New Roman"/>
                <w:color w:val="000000"/>
                <w:szCs w:val="20"/>
                <w:lang w:val="en-GB"/>
              </w:rPr>
              <w:t xml:space="preserve">Holly oak (Quercus ilex) - Ulcinj, below </w:t>
            </w:r>
            <w:proofErr w:type="spellStart"/>
            <w:r w:rsidRPr="003B6A69">
              <w:rPr>
                <w:rFonts w:eastAsia="Times New Roman"/>
                <w:color w:val="000000"/>
                <w:szCs w:val="20"/>
                <w:lang w:val="en-GB"/>
              </w:rPr>
              <w:t>Komina</w:t>
            </w:r>
            <w:proofErr w:type="spellEnd"/>
          </w:p>
        </w:tc>
        <w:tc>
          <w:tcPr>
            <w:tcW w:w="1797" w:type="dxa"/>
            <w:gridSpan w:val="2"/>
            <w:tcBorders>
              <w:top w:val="nil"/>
              <w:left w:val="nil"/>
              <w:bottom w:val="single" w:sz="4" w:space="0" w:color="auto"/>
              <w:right w:val="single" w:sz="4" w:space="0" w:color="auto"/>
            </w:tcBorders>
            <w:shd w:val="clear" w:color="auto" w:fill="auto"/>
            <w:noWrap/>
            <w:vAlign w:val="center"/>
            <w:hideMark/>
          </w:tcPr>
          <w:p w14:paraId="7F6674D2" w14:textId="77777777" w:rsidR="008C4F26" w:rsidRPr="003B6A69" w:rsidRDefault="008C4F26" w:rsidP="00661293">
            <w:pPr>
              <w:spacing w:after="0"/>
              <w:jc w:val="left"/>
              <w:rPr>
                <w:rFonts w:eastAsia="Times New Roman"/>
                <w:color w:val="000000"/>
                <w:szCs w:val="20"/>
                <w:lang w:val="en-GB"/>
              </w:rPr>
            </w:pPr>
            <w:r w:rsidRPr="003B6A69">
              <w:rPr>
                <w:rFonts w:eastAsia="Times New Roman"/>
                <w:color w:val="000000"/>
                <w:szCs w:val="20"/>
                <w:lang w:val="en-GB"/>
              </w:rPr>
              <w:t>0</w:t>
            </w:r>
          </w:p>
        </w:tc>
      </w:tr>
      <w:tr w:rsidR="008C4F26" w:rsidRPr="003B6A69" w14:paraId="6060E6A6" w14:textId="77777777" w:rsidTr="00661293">
        <w:trPr>
          <w:trHeight w:val="58"/>
        </w:trPr>
        <w:tc>
          <w:tcPr>
            <w:tcW w:w="5687" w:type="dxa"/>
            <w:gridSpan w:val="2"/>
            <w:tcBorders>
              <w:top w:val="nil"/>
              <w:left w:val="single" w:sz="4" w:space="0" w:color="auto"/>
              <w:bottom w:val="single" w:sz="4" w:space="0" w:color="auto"/>
              <w:right w:val="single" w:sz="4" w:space="0" w:color="auto"/>
            </w:tcBorders>
            <w:shd w:val="clear" w:color="auto" w:fill="auto"/>
            <w:vAlign w:val="bottom"/>
            <w:hideMark/>
          </w:tcPr>
          <w:p w14:paraId="4CC1AD36" w14:textId="77777777" w:rsidR="008C4F26" w:rsidRPr="003B6A69" w:rsidRDefault="008C4F26" w:rsidP="00661293">
            <w:pPr>
              <w:spacing w:after="0"/>
              <w:jc w:val="left"/>
              <w:rPr>
                <w:rFonts w:eastAsia="Times New Roman"/>
                <w:color w:val="000000"/>
                <w:szCs w:val="20"/>
                <w:lang w:val="en-GB"/>
              </w:rPr>
            </w:pPr>
            <w:r w:rsidRPr="003B6A69">
              <w:rPr>
                <w:rFonts w:eastAsia="Times New Roman"/>
                <w:color w:val="000000"/>
                <w:szCs w:val="20"/>
                <w:lang w:val="en-GB"/>
              </w:rPr>
              <w:t xml:space="preserve">Holly oak (Quercus ilex) - </w:t>
            </w:r>
            <w:proofErr w:type="gramStart"/>
            <w:r w:rsidRPr="003B6A69">
              <w:rPr>
                <w:rFonts w:eastAsia="Times New Roman"/>
                <w:color w:val="000000"/>
                <w:szCs w:val="20"/>
                <w:lang w:val="en-GB"/>
              </w:rPr>
              <w:t>Ulcinj,  Liman</w:t>
            </w:r>
            <w:proofErr w:type="gramEnd"/>
          </w:p>
        </w:tc>
        <w:tc>
          <w:tcPr>
            <w:tcW w:w="1797" w:type="dxa"/>
            <w:gridSpan w:val="2"/>
            <w:tcBorders>
              <w:top w:val="nil"/>
              <w:left w:val="nil"/>
              <w:bottom w:val="single" w:sz="4" w:space="0" w:color="auto"/>
              <w:right w:val="single" w:sz="4" w:space="0" w:color="auto"/>
            </w:tcBorders>
            <w:shd w:val="clear" w:color="auto" w:fill="auto"/>
            <w:noWrap/>
            <w:vAlign w:val="center"/>
            <w:hideMark/>
          </w:tcPr>
          <w:p w14:paraId="3D1EC463" w14:textId="77777777" w:rsidR="008C4F26" w:rsidRPr="003B6A69" w:rsidRDefault="008C4F26" w:rsidP="00661293">
            <w:pPr>
              <w:spacing w:after="0"/>
              <w:jc w:val="left"/>
              <w:rPr>
                <w:rFonts w:eastAsia="Times New Roman"/>
                <w:color w:val="000000"/>
                <w:szCs w:val="20"/>
                <w:lang w:val="en-GB"/>
              </w:rPr>
            </w:pPr>
            <w:r w:rsidRPr="003B6A69">
              <w:rPr>
                <w:rFonts w:eastAsia="Times New Roman"/>
                <w:color w:val="000000"/>
                <w:szCs w:val="20"/>
                <w:lang w:val="en-GB"/>
              </w:rPr>
              <w:t>0</w:t>
            </w:r>
          </w:p>
        </w:tc>
      </w:tr>
      <w:tr w:rsidR="008C4F26" w:rsidRPr="003B6A69" w14:paraId="52288654" w14:textId="77777777" w:rsidTr="00661293">
        <w:trPr>
          <w:trHeight w:val="58"/>
        </w:trPr>
        <w:tc>
          <w:tcPr>
            <w:tcW w:w="5687" w:type="dxa"/>
            <w:gridSpan w:val="2"/>
            <w:tcBorders>
              <w:top w:val="nil"/>
              <w:left w:val="single" w:sz="4" w:space="0" w:color="auto"/>
              <w:bottom w:val="single" w:sz="4" w:space="0" w:color="auto"/>
              <w:right w:val="single" w:sz="4" w:space="0" w:color="auto"/>
            </w:tcBorders>
            <w:shd w:val="clear" w:color="auto" w:fill="auto"/>
            <w:vAlign w:val="bottom"/>
            <w:hideMark/>
          </w:tcPr>
          <w:p w14:paraId="007D6299" w14:textId="77777777" w:rsidR="008C4F26" w:rsidRPr="003B6A69" w:rsidRDefault="008C4F26" w:rsidP="00661293">
            <w:pPr>
              <w:spacing w:after="0"/>
              <w:jc w:val="left"/>
              <w:rPr>
                <w:rFonts w:eastAsia="Times New Roman"/>
                <w:color w:val="000000"/>
                <w:szCs w:val="20"/>
                <w:lang w:val="fr-FR"/>
              </w:rPr>
            </w:pPr>
            <w:r w:rsidRPr="003B6A69">
              <w:rPr>
                <w:rFonts w:eastAsia="Times New Roman"/>
                <w:color w:val="000000"/>
                <w:szCs w:val="20"/>
                <w:lang w:val="fr-FR"/>
              </w:rPr>
              <w:t xml:space="preserve">Pubescent </w:t>
            </w:r>
            <w:proofErr w:type="spellStart"/>
            <w:r w:rsidRPr="003B6A69">
              <w:rPr>
                <w:rFonts w:eastAsia="Times New Roman"/>
                <w:color w:val="000000"/>
                <w:szCs w:val="20"/>
                <w:lang w:val="fr-FR"/>
              </w:rPr>
              <w:t>oak</w:t>
            </w:r>
            <w:proofErr w:type="spellEnd"/>
            <w:r w:rsidRPr="003B6A69">
              <w:rPr>
                <w:rFonts w:eastAsia="Times New Roman"/>
                <w:color w:val="000000"/>
                <w:szCs w:val="20"/>
                <w:lang w:val="fr-FR"/>
              </w:rPr>
              <w:t xml:space="preserve"> (Quercus </w:t>
            </w:r>
            <w:proofErr w:type="spellStart"/>
            <w:r w:rsidRPr="003B6A69">
              <w:rPr>
                <w:rFonts w:eastAsia="Times New Roman"/>
                <w:color w:val="000000"/>
                <w:szCs w:val="20"/>
                <w:lang w:val="fr-FR"/>
              </w:rPr>
              <w:t>pubescens</w:t>
            </w:r>
            <w:proofErr w:type="spellEnd"/>
            <w:r w:rsidRPr="003B6A69">
              <w:rPr>
                <w:rFonts w:eastAsia="Times New Roman"/>
                <w:color w:val="000000"/>
                <w:szCs w:val="20"/>
                <w:lang w:val="fr-FR"/>
              </w:rPr>
              <w:t xml:space="preserve">) - Ulcinj, </w:t>
            </w:r>
            <w:proofErr w:type="spellStart"/>
            <w:r w:rsidRPr="003B6A69">
              <w:rPr>
                <w:rFonts w:eastAsia="Times New Roman"/>
                <w:color w:val="000000"/>
                <w:szCs w:val="20"/>
                <w:lang w:val="fr-FR"/>
              </w:rPr>
              <w:t>Kruti</w:t>
            </w:r>
            <w:proofErr w:type="spellEnd"/>
          </w:p>
        </w:tc>
        <w:tc>
          <w:tcPr>
            <w:tcW w:w="1797" w:type="dxa"/>
            <w:gridSpan w:val="2"/>
            <w:tcBorders>
              <w:top w:val="nil"/>
              <w:left w:val="nil"/>
              <w:bottom w:val="single" w:sz="4" w:space="0" w:color="auto"/>
              <w:right w:val="single" w:sz="4" w:space="0" w:color="auto"/>
            </w:tcBorders>
            <w:shd w:val="clear" w:color="auto" w:fill="auto"/>
            <w:noWrap/>
            <w:vAlign w:val="center"/>
            <w:hideMark/>
          </w:tcPr>
          <w:p w14:paraId="653C3776" w14:textId="77777777" w:rsidR="008C4F26" w:rsidRPr="003B6A69" w:rsidRDefault="008C4F26" w:rsidP="00661293">
            <w:pPr>
              <w:spacing w:after="0"/>
              <w:jc w:val="left"/>
              <w:rPr>
                <w:rFonts w:eastAsia="Times New Roman"/>
                <w:color w:val="000000"/>
                <w:szCs w:val="20"/>
                <w:lang w:val="en-GB"/>
              </w:rPr>
            </w:pPr>
            <w:r w:rsidRPr="003B6A69">
              <w:rPr>
                <w:rFonts w:eastAsia="Times New Roman"/>
                <w:color w:val="000000"/>
                <w:szCs w:val="20"/>
                <w:lang w:val="en-GB"/>
              </w:rPr>
              <w:t>0</w:t>
            </w:r>
          </w:p>
        </w:tc>
      </w:tr>
      <w:tr w:rsidR="008C4F26" w:rsidRPr="003B6A69" w14:paraId="7D907693" w14:textId="77777777" w:rsidTr="00661293">
        <w:trPr>
          <w:trHeight w:val="58"/>
        </w:trPr>
        <w:tc>
          <w:tcPr>
            <w:tcW w:w="5687" w:type="dxa"/>
            <w:gridSpan w:val="2"/>
            <w:tcBorders>
              <w:top w:val="nil"/>
              <w:left w:val="single" w:sz="4" w:space="0" w:color="auto"/>
              <w:bottom w:val="single" w:sz="4" w:space="0" w:color="auto"/>
              <w:right w:val="single" w:sz="4" w:space="0" w:color="auto"/>
            </w:tcBorders>
            <w:shd w:val="clear" w:color="auto" w:fill="auto"/>
            <w:hideMark/>
          </w:tcPr>
          <w:p w14:paraId="77B62F5C" w14:textId="77777777" w:rsidR="008C4F26" w:rsidRPr="003B6A69" w:rsidRDefault="008C4F26" w:rsidP="00661293">
            <w:pPr>
              <w:spacing w:after="0"/>
              <w:jc w:val="left"/>
              <w:rPr>
                <w:rFonts w:eastAsia="Times New Roman"/>
                <w:color w:val="000000"/>
                <w:szCs w:val="20"/>
                <w:lang w:val="en-GB"/>
              </w:rPr>
            </w:pPr>
            <w:r w:rsidRPr="003B6A69">
              <w:rPr>
                <w:rFonts w:eastAsia="Times New Roman"/>
                <w:color w:val="000000"/>
                <w:szCs w:val="20"/>
                <w:lang w:val="en-GB"/>
              </w:rPr>
              <w:t>Pubescent oak</w:t>
            </w:r>
            <w:r w:rsidRPr="003B6A69" w:rsidDel="00D1150C">
              <w:rPr>
                <w:rFonts w:eastAsia="Times New Roman"/>
                <w:color w:val="000000"/>
                <w:szCs w:val="20"/>
                <w:lang w:val="en-GB"/>
              </w:rPr>
              <w:t xml:space="preserve"> </w:t>
            </w:r>
            <w:r w:rsidRPr="003B6A69">
              <w:rPr>
                <w:rFonts w:eastAsia="Times New Roman"/>
                <w:color w:val="000000"/>
                <w:szCs w:val="20"/>
                <w:lang w:val="en-GB"/>
              </w:rPr>
              <w:t xml:space="preserve">(Quercus </w:t>
            </w:r>
            <w:proofErr w:type="spellStart"/>
            <w:r w:rsidRPr="003B6A69">
              <w:rPr>
                <w:rFonts w:eastAsia="Times New Roman"/>
                <w:color w:val="000000"/>
                <w:szCs w:val="20"/>
                <w:lang w:val="en-GB"/>
              </w:rPr>
              <w:t>pubescens</w:t>
            </w:r>
            <w:proofErr w:type="spellEnd"/>
            <w:r w:rsidRPr="003B6A69">
              <w:rPr>
                <w:rFonts w:eastAsia="Times New Roman"/>
                <w:color w:val="000000"/>
                <w:szCs w:val="20"/>
                <w:lang w:val="en-GB"/>
              </w:rPr>
              <w:t xml:space="preserve">) - Kotor, </w:t>
            </w:r>
            <w:proofErr w:type="spellStart"/>
            <w:r w:rsidRPr="003B6A69">
              <w:rPr>
                <w:rFonts w:eastAsia="Times New Roman"/>
                <w:color w:val="000000"/>
                <w:szCs w:val="20"/>
                <w:lang w:val="en-GB"/>
              </w:rPr>
              <w:t>Donji</w:t>
            </w:r>
            <w:proofErr w:type="spellEnd"/>
            <w:r w:rsidRPr="003B6A69">
              <w:rPr>
                <w:rFonts w:eastAsia="Times New Roman"/>
                <w:color w:val="000000"/>
                <w:szCs w:val="20"/>
                <w:lang w:val="en-GB"/>
              </w:rPr>
              <w:t xml:space="preserve"> </w:t>
            </w:r>
            <w:proofErr w:type="spellStart"/>
            <w:r w:rsidRPr="003B6A69">
              <w:rPr>
                <w:rFonts w:eastAsia="Times New Roman"/>
                <w:color w:val="000000"/>
                <w:szCs w:val="20"/>
                <w:lang w:val="en-GB"/>
              </w:rPr>
              <w:t>Orahovac</w:t>
            </w:r>
            <w:proofErr w:type="spellEnd"/>
          </w:p>
        </w:tc>
        <w:tc>
          <w:tcPr>
            <w:tcW w:w="1797" w:type="dxa"/>
            <w:gridSpan w:val="2"/>
            <w:tcBorders>
              <w:top w:val="nil"/>
              <w:left w:val="nil"/>
              <w:bottom w:val="single" w:sz="4" w:space="0" w:color="auto"/>
              <w:right w:val="single" w:sz="4" w:space="0" w:color="auto"/>
            </w:tcBorders>
            <w:shd w:val="clear" w:color="auto" w:fill="auto"/>
            <w:noWrap/>
            <w:hideMark/>
          </w:tcPr>
          <w:p w14:paraId="2343DD60" w14:textId="77777777" w:rsidR="008C4F26" w:rsidRPr="003B6A69" w:rsidRDefault="008C4F26" w:rsidP="00661293">
            <w:pPr>
              <w:spacing w:after="0"/>
              <w:jc w:val="left"/>
              <w:rPr>
                <w:rFonts w:eastAsia="Times New Roman"/>
                <w:color w:val="000000"/>
                <w:szCs w:val="20"/>
                <w:lang w:val="en-GB"/>
              </w:rPr>
            </w:pPr>
            <w:r w:rsidRPr="003B6A69">
              <w:rPr>
                <w:rFonts w:eastAsia="Times New Roman"/>
                <w:color w:val="000000"/>
                <w:szCs w:val="20"/>
                <w:lang w:val="en-GB"/>
              </w:rPr>
              <w:t>0</w:t>
            </w:r>
          </w:p>
        </w:tc>
      </w:tr>
      <w:tr w:rsidR="008C4F26" w:rsidRPr="003B6A69" w14:paraId="62148737" w14:textId="77777777" w:rsidTr="00661293">
        <w:trPr>
          <w:trHeight w:val="58"/>
        </w:trPr>
        <w:tc>
          <w:tcPr>
            <w:tcW w:w="5687" w:type="dxa"/>
            <w:gridSpan w:val="2"/>
            <w:tcBorders>
              <w:top w:val="nil"/>
              <w:left w:val="single" w:sz="4" w:space="0" w:color="auto"/>
              <w:bottom w:val="single" w:sz="4" w:space="0" w:color="auto"/>
              <w:right w:val="single" w:sz="4" w:space="0" w:color="auto"/>
            </w:tcBorders>
            <w:shd w:val="clear" w:color="auto" w:fill="auto"/>
            <w:vAlign w:val="bottom"/>
            <w:hideMark/>
          </w:tcPr>
          <w:p w14:paraId="2A21E947" w14:textId="77777777" w:rsidR="008C4F26" w:rsidRPr="003B6A69" w:rsidRDefault="008C4F26" w:rsidP="00661293">
            <w:pPr>
              <w:spacing w:after="0"/>
              <w:jc w:val="left"/>
              <w:rPr>
                <w:rFonts w:eastAsia="Times New Roman"/>
                <w:color w:val="000000"/>
                <w:szCs w:val="20"/>
                <w:lang w:val="fr-FR"/>
              </w:rPr>
            </w:pPr>
            <w:r w:rsidRPr="003B6A69">
              <w:rPr>
                <w:rFonts w:eastAsia="Times New Roman"/>
                <w:color w:val="000000"/>
                <w:szCs w:val="20"/>
                <w:lang w:val="fr-FR"/>
              </w:rPr>
              <w:t xml:space="preserve">Pubescent </w:t>
            </w:r>
            <w:proofErr w:type="spellStart"/>
            <w:r w:rsidRPr="003B6A69">
              <w:rPr>
                <w:rFonts w:eastAsia="Times New Roman"/>
                <w:color w:val="000000"/>
                <w:szCs w:val="20"/>
                <w:lang w:val="fr-FR"/>
              </w:rPr>
              <w:t>oak</w:t>
            </w:r>
            <w:proofErr w:type="spellEnd"/>
            <w:r w:rsidRPr="003B6A69" w:rsidDel="00D1150C">
              <w:rPr>
                <w:rFonts w:eastAsia="Times New Roman"/>
                <w:color w:val="000000"/>
                <w:szCs w:val="20"/>
                <w:lang w:val="fr-FR"/>
              </w:rPr>
              <w:t xml:space="preserve"> </w:t>
            </w:r>
            <w:r w:rsidRPr="003B6A69">
              <w:rPr>
                <w:rFonts w:eastAsia="Times New Roman"/>
                <w:color w:val="000000"/>
                <w:szCs w:val="20"/>
                <w:lang w:val="fr-FR"/>
              </w:rPr>
              <w:t xml:space="preserve">(Q. </w:t>
            </w:r>
            <w:proofErr w:type="spellStart"/>
            <w:r w:rsidRPr="003B6A69">
              <w:rPr>
                <w:rFonts w:eastAsia="Times New Roman"/>
                <w:color w:val="000000"/>
                <w:szCs w:val="20"/>
                <w:lang w:val="fr-FR"/>
              </w:rPr>
              <w:t>pubescens</w:t>
            </w:r>
            <w:proofErr w:type="spellEnd"/>
            <w:r w:rsidRPr="003B6A69">
              <w:rPr>
                <w:rFonts w:eastAsia="Times New Roman"/>
                <w:color w:val="000000"/>
                <w:szCs w:val="20"/>
                <w:lang w:val="fr-FR"/>
              </w:rPr>
              <w:t xml:space="preserve">) - Podgorica, </w:t>
            </w:r>
            <w:proofErr w:type="spellStart"/>
            <w:r w:rsidRPr="003B6A69">
              <w:rPr>
                <w:rFonts w:eastAsia="Times New Roman"/>
                <w:color w:val="000000"/>
                <w:szCs w:val="20"/>
                <w:lang w:val="fr-FR"/>
              </w:rPr>
              <w:t>Tuzi</w:t>
            </w:r>
            <w:proofErr w:type="spellEnd"/>
            <w:r w:rsidRPr="003B6A69">
              <w:rPr>
                <w:rFonts w:eastAsia="Times New Roman"/>
                <w:color w:val="000000"/>
                <w:szCs w:val="20"/>
                <w:lang w:val="fr-FR"/>
              </w:rPr>
              <w:t xml:space="preserve">, </w:t>
            </w:r>
            <w:proofErr w:type="spellStart"/>
            <w:r w:rsidRPr="003B6A69">
              <w:rPr>
                <w:rFonts w:eastAsia="Times New Roman"/>
                <w:color w:val="000000"/>
                <w:szCs w:val="20"/>
                <w:lang w:val="fr-FR"/>
              </w:rPr>
              <w:t>Vranj</w:t>
            </w:r>
            <w:proofErr w:type="spellEnd"/>
          </w:p>
        </w:tc>
        <w:tc>
          <w:tcPr>
            <w:tcW w:w="1797" w:type="dxa"/>
            <w:gridSpan w:val="2"/>
            <w:tcBorders>
              <w:top w:val="nil"/>
              <w:left w:val="nil"/>
              <w:bottom w:val="single" w:sz="4" w:space="0" w:color="auto"/>
              <w:right w:val="single" w:sz="4" w:space="0" w:color="auto"/>
            </w:tcBorders>
            <w:shd w:val="clear" w:color="auto" w:fill="auto"/>
            <w:noWrap/>
            <w:vAlign w:val="center"/>
            <w:hideMark/>
          </w:tcPr>
          <w:p w14:paraId="71FF16A4" w14:textId="77777777" w:rsidR="008C4F26" w:rsidRPr="003B6A69" w:rsidRDefault="008C4F26" w:rsidP="00661293">
            <w:pPr>
              <w:spacing w:after="0"/>
              <w:jc w:val="left"/>
              <w:rPr>
                <w:rFonts w:eastAsia="Times New Roman"/>
                <w:color w:val="000000"/>
                <w:szCs w:val="20"/>
                <w:lang w:val="en-GB"/>
              </w:rPr>
            </w:pPr>
            <w:r w:rsidRPr="003B6A69">
              <w:rPr>
                <w:rFonts w:eastAsia="Times New Roman"/>
                <w:color w:val="000000"/>
                <w:szCs w:val="20"/>
                <w:lang w:val="en-GB"/>
              </w:rPr>
              <w:t>0</w:t>
            </w:r>
          </w:p>
        </w:tc>
      </w:tr>
      <w:tr w:rsidR="008C4F26" w:rsidRPr="003B6A69" w14:paraId="65D4FBB2" w14:textId="77777777" w:rsidTr="00661293">
        <w:trPr>
          <w:trHeight w:val="58"/>
        </w:trPr>
        <w:tc>
          <w:tcPr>
            <w:tcW w:w="5687" w:type="dxa"/>
            <w:gridSpan w:val="2"/>
            <w:tcBorders>
              <w:top w:val="nil"/>
              <w:left w:val="single" w:sz="4" w:space="0" w:color="auto"/>
              <w:bottom w:val="single" w:sz="4" w:space="0" w:color="auto"/>
              <w:right w:val="single" w:sz="4" w:space="0" w:color="auto"/>
            </w:tcBorders>
            <w:shd w:val="clear" w:color="auto" w:fill="auto"/>
            <w:vAlign w:val="bottom"/>
            <w:hideMark/>
          </w:tcPr>
          <w:p w14:paraId="489429B6" w14:textId="77777777" w:rsidR="008C4F26" w:rsidRPr="003B6A69" w:rsidRDefault="008C4F26" w:rsidP="00661293">
            <w:pPr>
              <w:spacing w:after="0"/>
              <w:jc w:val="left"/>
              <w:rPr>
                <w:rFonts w:eastAsia="Times New Roman"/>
                <w:color w:val="000000"/>
                <w:szCs w:val="20"/>
                <w:lang w:val="fr-FR"/>
              </w:rPr>
            </w:pPr>
            <w:r w:rsidRPr="003B6A69">
              <w:rPr>
                <w:rFonts w:eastAsia="Times New Roman"/>
                <w:color w:val="000000"/>
                <w:szCs w:val="20"/>
                <w:lang w:val="fr-FR"/>
              </w:rPr>
              <w:t xml:space="preserve">Pubescent </w:t>
            </w:r>
            <w:proofErr w:type="spellStart"/>
            <w:r w:rsidRPr="003B6A69">
              <w:rPr>
                <w:rFonts w:eastAsia="Times New Roman"/>
                <w:color w:val="000000"/>
                <w:szCs w:val="20"/>
                <w:lang w:val="fr-FR"/>
              </w:rPr>
              <w:t>oak</w:t>
            </w:r>
            <w:proofErr w:type="spellEnd"/>
            <w:r w:rsidRPr="003B6A69" w:rsidDel="00D1150C">
              <w:rPr>
                <w:rFonts w:eastAsia="Times New Roman"/>
                <w:color w:val="000000"/>
                <w:szCs w:val="20"/>
                <w:lang w:val="fr-FR"/>
              </w:rPr>
              <w:t xml:space="preserve"> </w:t>
            </w:r>
            <w:r w:rsidRPr="003B6A69">
              <w:rPr>
                <w:rFonts w:eastAsia="Times New Roman"/>
                <w:color w:val="000000"/>
                <w:szCs w:val="20"/>
                <w:lang w:val="fr-FR"/>
              </w:rPr>
              <w:t xml:space="preserve">(Quercus </w:t>
            </w:r>
            <w:proofErr w:type="spellStart"/>
            <w:r w:rsidRPr="003B6A69">
              <w:rPr>
                <w:rFonts w:eastAsia="Times New Roman"/>
                <w:color w:val="000000"/>
                <w:szCs w:val="20"/>
                <w:lang w:val="fr-FR"/>
              </w:rPr>
              <w:t>pubescens</w:t>
            </w:r>
            <w:proofErr w:type="spellEnd"/>
            <w:r w:rsidRPr="003B6A69">
              <w:rPr>
                <w:rFonts w:eastAsia="Times New Roman"/>
                <w:color w:val="000000"/>
                <w:szCs w:val="20"/>
                <w:lang w:val="fr-FR"/>
              </w:rPr>
              <w:t xml:space="preserve">) - Ulcinj, </w:t>
            </w:r>
            <w:proofErr w:type="spellStart"/>
            <w:r w:rsidRPr="003B6A69">
              <w:rPr>
                <w:rFonts w:eastAsia="Times New Roman"/>
                <w:color w:val="000000"/>
                <w:szCs w:val="20"/>
                <w:lang w:val="fr-FR"/>
              </w:rPr>
              <w:t>Zoganj</w:t>
            </w:r>
            <w:proofErr w:type="spellEnd"/>
          </w:p>
        </w:tc>
        <w:tc>
          <w:tcPr>
            <w:tcW w:w="1797" w:type="dxa"/>
            <w:gridSpan w:val="2"/>
            <w:tcBorders>
              <w:top w:val="nil"/>
              <w:left w:val="nil"/>
              <w:bottom w:val="single" w:sz="4" w:space="0" w:color="auto"/>
              <w:right w:val="single" w:sz="4" w:space="0" w:color="auto"/>
            </w:tcBorders>
            <w:shd w:val="clear" w:color="auto" w:fill="auto"/>
            <w:noWrap/>
            <w:vAlign w:val="center"/>
            <w:hideMark/>
          </w:tcPr>
          <w:p w14:paraId="7711180F" w14:textId="77777777" w:rsidR="008C4F26" w:rsidRPr="003B6A69" w:rsidRDefault="008C4F26" w:rsidP="00661293">
            <w:pPr>
              <w:spacing w:after="0"/>
              <w:jc w:val="left"/>
              <w:rPr>
                <w:rFonts w:eastAsia="Times New Roman"/>
                <w:color w:val="000000"/>
                <w:szCs w:val="20"/>
                <w:lang w:val="en-GB"/>
              </w:rPr>
            </w:pPr>
            <w:r w:rsidRPr="003B6A69">
              <w:rPr>
                <w:rFonts w:eastAsia="Times New Roman"/>
                <w:color w:val="000000"/>
                <w:szCs w:val="20"/>
                <w:lang w:val="en-GB"/>
              </w:rPr>
              <w:t>0</w:t>
            </w:r>
          </w:p>
        </w:tc>
      </w:tr>
      <w:tr w:rsidR="008C4F26" w:rsidRPr="003B6A69" w14:paraId="47D4DEB4" w14:textId="77777777" w:rsidTr="00661293">
        <w:trPr>
          <w:trHeight w:val="58"/>
        </w:trPr>
        <w:tc>
          <w:tcPr>
            <w:tcW w:w="5687" w:type="dxa"/>
            <w:gridSpan w:val="2"/>
            <w:tcBorders>
              <w:top w:val="nil"/>
              <w:left w:val="single" w:sz="4" w:space="0" w:color="auto"/>
              <w:bottom w:val="single" w:sz="4" w:space="0" w:color="auto"/>
              <w:right w:val="single" w:sz="4" w:space="0" w:color="auto"/>
            </w:tcBorders>
            <w:shd w:val="clear" w:color="auto" w:fill="auto"/>
            <w:vAlign w:val="bottom"/>
            <w:hideMark/>
          </w:tcPr>
          <w:p w14:paraId="36C8CC6F" w14:textId="77777777" w:rsidR="008C4F26" w:rsidRPr="003B6A69" w:rsidRDefault="008C4F26" w:rsidP="00661293">
            <w:pPr>
              <w:spacing w:after="0"/>
              <w:jc w:val="left"/>
              <w:rPr>
                <w:rFonts w:eastAsia="Times New Roman"/>
                <w:color w:val="000000"/>
                <w:szCs w:val="20"/>
                <w:lang w:val="en-GB"/>
              </w:rPr>
            </w:pPr>
            <w:r w:rsidRPr="003B6A69">
              <w:rPr>
                <w:rFonts w:eastAsia="Times New Roman"/>
                <w:color w:val="000000"/>
                <w:szCs w:val="20"/>
                <w:lang w:val="en-GB"/>
              </w:rPr>
              <w:t>Pubescent oak</w:t>
            </w:r>
            <w:r w:rsidRPr="003B6A69" w:rsidDel="00D1150C">
              <w:rPr>
                <w:rFonts w:eastAsia="Times New Roman"/>
                <w:color w:val="000000"/>
                <w:szCs w:val="20"/>
                <w:lang w:val="en-GB"/>
              </w:rPr>
              <w:t xml:space="preserve"> </w:t>
            </w:r>
            <w:r w:rsidRPr="003B6A69">
              <w:rPr>
                <w:rFonts w:eastAsia="Times New Roman"/>
                <w:color w:val="000000"/>
                <w:szCs w:val="20"/>
                <w:lang w:val="en-GB"/>
              </w:rPr>
              <w:t xml:space="preserve">(Quercus </w:t>
            </w:r>
            <w:proofErr w:type="spellStart"/>
            <w:r w:rsidRPr="003B6A69">
              <w:rPr>
                <w:rFonts w:eastAsia="Times New Roman"/>
                <w:color w:val="000000"/>
                <w:szCs w:val="20"/>
                <w:lang w:val="en-GB"/>
              </w:rPr>
              <w:t>pubescens</w:t>
            </w:r>
            <w:proofErr w:type="spellEnd"/>
            <w:r w:rsidRPr="003B6A69">
              <w:rPr>
                <w:rFonts w:eastAsia="Times New Roman"/>
                <w:color w:val="000000"/>
                <w:szCs w:val="20"/>
                <w:lang w:val="en-GB"/>
              </w:rPr>
              <w:t xml:space="preserve">), grove in Kotor, St. </w:t>
            </w:r>
            <w:proofErr w:type="spellStart"/>
            <w:r w:rsidRPr="003B6A69">
              <w:rPr>
                <w:rFonts w:eastAsia="Times New Roman"/>
                <w:color w:val="000000"/>
                <w:szCs w:val="20"/>
                <w:lang w:val="en-GB"/>
              </w:rPr>
              <w:t>Petka</w:t>
            </w:r>
            <w:proofErr w:type="spellEnd"/>
            <w:r w:rsidRPr="003B6A69">
              <w:rPr>
                <w:rFonts w:eastAsia="Times New Roman"/>
                <w:color w:val="000000"/>
                <w:szCs w:val="20"/>
                <w:lang w:val="en-GB"/>
              </w:rPr>
              <w:t xml:space="preserve"> Church </w:t>
            </w:r>
          </w:p>
        </w:tc>
        <w:tc>
          <w:tcPr>
            <w:tcW w:w="1797" w:type="dxa"/>
            <w:gridSpan w:val="2"/>
            <w:tcBorders>
              <w:top w:val="nil"/>
              <w:left w:val="nil"/>
              <w:bottom w:val="single" w:sz="4" w:space="0" w:color="auto"/>
              <w:right w:val="single" w:sz="4" w:space="0" w:color="auto"/>
            </w:tcBorders>
            <w:shd w:val="clear" w:color="auto" w:fill="auto"/>
            <w:noWrap/>
            <w:vAlign w:val="center"/>
            <w:hideMark/>
          </w:tcPr>
          <w:p w14:paraId="50577FF6" w14:textId="77777777" w:rsidR="008C4F26" w:rsidRPr="003B6A69" w:rsidRDefault="008C4F26" w:rsidP="00661293">
            <w:pPr>
              <w:spacing w:after="0"/>
              <w:jc w:val="left"/>
              <w:rPr>
                <w:rFonts w:eastAsia="Times New Roman"/>
                <w:color w:val="000000"/>
                <w:szCs w:val="20"/>
                <w:lang w:val="en-GB"/>
              </w:rPr>
            </w:pPr>
            <w:r w:rsidRPr="003B6A69">
              <w:rPr>
                <w:rFonts w:eastAsia="Times New Roman"/>
                <w:color w:val="000000"/>
                <w:szCs w:val="20"/>
                <w:lang w:val="en-GB"/>
              </w:rPr>
              <w:t>0</w:t>
            </w:r>
          </w:p>
        </w:tc>
      </w:tr>
      <w:tr w:rsidR="008C4F26" w:rsidRPr="003B6A69" w14:paraId="2360B2CE" w14:textId="77777777" w:rsidTr="00661293">
        <w:trPr>
          <w:trHeight w:val="58"/>
        </w:trPr>
        <w:tc>
          <w:tcPr>
            <w:tcW w:w="5687" w:type="dxa"/>
            <w:gridSpan w:val="2"/>
            <w:tcBorders>
              <w:top w:val="nil"/>
              <w:left w:val="single" w:sz="4" w:space="0" w:color="auto"/>
              <w:bottom w:val="single" w:sz="4" w:space="0" w:color="auto"/>
              <w:right w:val="single" w:sz="4" w:space="0" w:color="auto"/>
            </w:tcBorders>
            <w:shd w:val="clear" w:color="auto" w:fill="auto"/>
            <w:vAlign w:val="bottom"/>
            <w:hideMark/>
          </w:tcPr>
          <w:p w14:paraId="4C706D2A" w14:textId="77777777" w:rsidR="008C4F26" w:rsidRPr="003B6A69" w:rsidRDefault="008C4F26" w:rsidP="00661293">
            <w:pPr>
              <w:spacing w:after="0"/>
              <w:jc w:val="left"/>
              <w:rPr>
                <w:rFonts w:eastAsia="Times New Roman"/>
                <w:color w:val="000000"/>
                <w:szCs w:val="20"/>
                <w:lang w:val="fr-FR"/>
              </w:rPr>
            </w:pPr>
            <w:proofErr w:type="spellStart"/>
            <w:r w:rsidRPr="003B6A69">
              <w:rPr>
                <w:rFonts w:eastAsia="Times New Roman"/>
                <w:color w:val="000000"/>
                <w:szCs w:val="20"/>
                <w:lang w:val="fr-FR"/>
              </w:rPr>
              <w:t>Kermes</w:t>
            </w:r>
            <w:proofErr w:type="spellEnd"/>
            <w:r w:rsidRPr="003B6A69">
              <w:rPr>
                <w:rFonts w:eastAsia="Times New Roman"/>
                <w:color w:val="000000"/>
                <w:szCs w:val="20"/>
                <w:lang w:val="fr-FR"/>
              </w:rPr>
              <w:t xml:space="preserve"> </w:t>
            </w:r>
            <w:proofErr w:type="spellStart"/>
            <w:r w:rsidRPr="003B6A69">
              <w:rPr>
                <w:rFonts w:eastAsia="Times New Roman"/>
                <w:color w:val="000000"/>
                <w:szCs w:val="20"/>
                <w:lang w:val="fr-FR"/>
              </w:rPr>
              <w:t>oak</w:t>
            </w:r>
            <w:proofErr w:type="spellEnd"/>
            <w:r w:rsidRPr="003B6A69">
              <w:rPr>
                <w:rFonts w:eastAsia="Times New Roman"/>
                <w:color w:val="000000"/>
                <w:szCs w:val="20"/>
                <w:lang w:val="fr-FR"/>
              </w:rPr>
              <w:t xml:space="preserve"> (Quercus </w:t>
            </w:r>
            <w:proofErr w:type="spellStart"/>
            <w:r w:rsidRPr="003B6A69">
              <w:rPr>
                <w:rFonts w:eastAsia="Times New Roman"/>
                <w:color w:val="000000"/>
                <w:szCs w:val="20"/>
                <w:lang w:val="fr-FR"/>
              </w:rPr>
              <w:t>coccifera</w:t>
            </w:r>
            <w:proofErr w:type="spellEnd"/>
            <w:r w:rsidRPr="003B6A69">
              <w:rPr>
                <w:rFonts w:eastAsia="Times New Roman"/>
                <w:color w:val="000000"/>
                <w:szCs w:val="20"/>
                <w:lang w:val="fr-FR"/>
              </w:rPr>
              <w:t xml:space="preserve">) - Ulcinj, </w:t>
            </w:r>
            <w:proofErr w:type="spellStart"/>
            <w:r w:rsidRPr="003B6A69">
              <w:rPr>
                <w:rFonts w:eastAsia="Times New Roman"/>
                <w:color w:val="000000"/>
                <w:szCs w:val="20"/>
                <w:lang w:val="fr-FR"/>
              </w:rPr>
              <w:t>Hotel</w:t>
            </w:r>
            <w:proofErr w:type="spellEnd"/>
            <w:r w:rsidRPr="003B6A69">
              <w:rPr>
                <w:rFonts w:eastAsia="Times New Roman"/>
                <w:color w:val="000000"/>
                <w:szCs w:val="20"/>
                <w:lang w:val="fr-FR"/>
              </w:rPr>
              <w:t xml:space="preserve"> </w:t>
            </w:r>
            <w:proofErr w:type="spellStart"/>
            <w:r w:rsidRPr="003B6A69">
              <w:rPr>
                <w:rFonts w:eastAsia="Times New Roman"/>
                <w:color w:val="000000"/>
                <w:szCs w:val="20"/>
                <w:lang w:val="fr-FR"/>
              </w:rPr>
              <w:t>Jadran</w:t>
            </w:r>
            <w:proofErr w:type="spellEnd"/>
          </w:p>
        </w:tc>
        <w:tc>
          <w:tcPr>
            <w:tcW w:w="1797" w:type="dxa"/>
            <w:gridSpan w:val="2"/>
            <w:tcBorders>
              <w:top w:val="nil"/>
              <w:left w:val="nil"/>
              <w:bottom w:val="single" w:sz="4" w:space="0" w:color="auto"/>
              <w:right w:val="single" w:sz="4" w:space="0" w:color="auto"/>
            </w:tcBorders>
            <w:shd w:val="clear" w:color="auto" w:fill="auto"/>
            <w:noWrap/>
            <w:vAlign w:val="center"/>
            <w:hideMark/>
          </w:tcPr>
          <w:p w14:paraId="1018D2EE" w14:textId="77777777" w:rsidR="008C4F26" w:rsidRPr="003B6A69" w:rsidRDefault="008C4F26" w:rsidP="00661293">
            <w:pPr>
              <w:spacing w:after="0"/>
              <w:jc w:val="left"/>
              <w:rPr>
                <w:rFonts w:eastAsia="Times New Roman"/>
                <w:color w:val="000000"/>
                <w:szCs w:val="20"/>
                <w:lang w:val="en-GB"/>
              </w:rPr>
            </w:pPr>
            <w:r w:rsidRPr="003B6A69">
              <w:rPr>
                <w:rFonts w:eastAsia="Times New Roman"/>
                <w:color w:val="000000"/>
                <w:szCs w:val="20"/>
                <w:lang w:val="en-GB"/>
              </w:rPr>
              <w:t>0</w:t>
            </w:r>
          </w:p>
        </w:tc>
      </w:tr>
      <w:tr w:rsidR="008C4F26" w:rsidRPr="003B6A69" w14:paraId="134D70B1" w14:textId="77777777" w:rsidTr="00661293">
        <w:trPr>
          <w:trHeight w:val="58"/>
        </w:trPr>
        <w:tc>
          <w:tcPr>
            <w:tcW w:w="5687" w:type="dxa"/>
            <w:gridSpan w:val="2"/>
            <w:tcBorders>
              <w:top w:val="nil"/>
              <w:left w:val="single" w:sz="4" w:space="0" w:color="auto"/>
              <w:bottom w:val="single" w:sz="4" w:space="0" w:color="auto"/>
              <w:right w:val="single" w:sz="4" w:space="0" w:color="auto"/>
            </w:tcBorders>
            <w:shd w:val="clear" w:color="auto" w:fill="auto"/>
            <w:vAlign w:val="bottom"/>
            <w:hideMark/>
          </w:tcPr>
          <w:p w14:paraId="4FB8411B" w14:textId="77777777" w:rsidR="008C4F26" w:rsidRPr="003B6A69" w:rsidRDefault="008C4F26" w:rsidP="00661293">
            <w:pPr>
              <w:spacing w:after="0"/>
              <w:jc w:val="left"/>
              <w:rPr>
                <w:rFonts w:eastAsia="Times New Roman"/>
                <w:color w:val="000000"/>
                <w:szCs w:val="20"/>
                <w:lang w:val="en-GB"/>
              </w:rPr>
            </w:pPr>
            <w:r w:rsidRPr="003B6A69">
              <w:rPr>
                <w:rFonts w:eastAsia="Times New Roman"/>
                <w:color w:val="000000"/>
                <w:szCs w:val="20"/>
                <w:lang w:val="en-GB"/>
              </w:rPr>
              <w:t xml:space="preserve">Kermes oak (Quercus </w:t>
            </w:r>
            <w:proofErr w:type="spellStart"/>
            <w:r w:rsidRPr="003B6A69">
              <w:rPr>
                <w:rFonts w:eastAsia="Times New Roman"/>
                <w:color w:val="000000"/>
                <w:szCs w:val="20"/>
                <w:lang w:val="en-GB"/>
              </w:rPr>
              <w:t>coccifera</w:t>
            </w:r>
            <w:proofErr w:type="spellEnd"/>
            <w:r w:rsidRPr="003B6A69">
              <w:rPr>
                <w:rFonts w:eastAsia="Times New Roman"/>
                <w:color w:val="000000"/>
                <w:szCs w:val="20"/>
                <w:lang w:val="en-GB"/>
              </w:rPr>
              <w:t xml:space="preserve">), grove - Ulcinj, </w:t>
            </w:r>
            <w:proofErr w:type="spellStart"/>
            <w:r w:rsidRPr="003B6A69">
              <w:rPr>
                <w:rFonts w:eastAsia="Times New Roman"/>
                <w:color w:val="000000"/>
                <w:szCs w:val="20"/>
                <w:lang w:val="en-GB"/>
              </w:rPr>
              <w:t>Meterizi</w:t>
            </w:r>
            <w:proofErr w:type="spellEnd"/>
          </w:p>
        </w:tc>
        <w:tc>
          <w:tcPr>
            <w:tcW w:w="1797" w:type="dxa"/>
            <w:gridSpan w:val="2"/>
            <w:tcBorders>
              <w:top w:val="nil"/>
              <w:left w:val="nil"/>
              <w:bottom w:val="single" w:sz="4" w:space="0" w:color="auto"/>
              <w:right w:val="single" w:sz="4" w:space="0" w:color="auto"/>
            </w:tcBorders>
            <w:shd w:val="clear" w:color="auto" w:fill="auto"/>
            <w:noWrap/>
            <w:vAlign w:val="center"/>
            <w:hideMark/>
          </w:tcPr>
          <w:p w14:paraId="6AA69275" w14:textId="77777777" w:rsidR="008C4F26" w:rsidRPr="003B6A69" w:rsidRDefault="008C4F26" w:rsidP="00661293">
            <w:pPr>
              <w:spacing w:after="0"/>
              <w:jc w:val="left"/>
              <w:rPr>
                <w:rFonts w:eastAsia="Times New Roman"/>
                <w:color w:val="000000"/>
                <w:szCs w:val="20"/>
                <w:lang w:val="en-GB"/>
              </w:rPr>
            </w:pPr>
            <w:r w:rsidRPr="003B6A69">
              <w:rPr>
                <w:rFonts w:eastAsia="Times New Roman"/>
                <w:color w:val="000000"/>
                <w:szCs w:val="20"/>
                <w:lang w:val="en-GB"/>
              </w:rPr>
              <w:t>0</w:t>
            </w:r>
          </w:p>
        </w:tc>
      </w:tr>
      <w:tr w:rsidR="008C4F26" w:rsidRPr="003B6A69" w14:paraId="5F274514" w14:textId="77777777" w:rsidTr="00661293">
        <w:trPr>
          <w:trHeight w:val="58"/>
        </w:trPr>
        <w:tc>
          <w:tcPr>
            <w:tcW w:w="5687" w:type="dxa"/>
            <w:gridSpan w:val="2"/>
            <w:tcBorders>
              <w:top w:val="nil"/>
              <w:left w:val="single" w:sz="4" w:space="0" w:color="auto"/>
              <w:bottom w:val="single" w:sz="4" w:space="0" w:color="auto"/>
              <w:right w:val="single" w:sz="4" w:space="0" w:color="auto"/>
            </w:tcBorders>
            <w:shd w:val="clear" w:color="auto" w:fill="auto"/>
            <w:vAlign w:val="bottom"/>
            <w:hideMark/>
          </w:tcPr>
          <w:p w14:paraId="1CE8F624" w14:textId="77777777" w:rsidR="008C4F26" w:rsidRPr="003B6A69" w:rsidRDefault="008C4F26" w:rsidP="00661293">
            <w:pPr>
              <w:spacing w:after="0"/>
              <w:jc w:val="left"/>
              <w:rPr>
                <w:rFonts w:eastAsia="Times New Roman"/>
                <w:color w:val="000000"/>
                <w:szCs w:val="20"/>
                <w:lang w:val="en-GB"/>
              </w:rPr>
            </w:pPr>
            <w:r w:rsidRPr="003B6A69">
              <w:rPr>
                <w:rFonts w:eastAsia="Times New Roman"/>
                <w:color w:val="000000"/>
                <w:szCs w:val="20"/>
                <w:lang w:val="en-GB"/>
              </w:rPr>
              <w:t xml:space="preserve">Olive </w:t>
            </w:r>
            <w:proofErr w:type="gramStart"/>
            <w:r w:rsidRPr="003B6A69">
              <w:rPr>
                <w:rFonts w:eastAsia="Times New Roman"/>
                <w:color w:val="000000"/>
                <w:szCs w:val="20"/>
                <w:lang w:val="en-GB"/>
              </w:rPr>
              <w:t>( Olea</w:t>
            </w:r>
            <w:proofErr w:type="gramEnd"/>
            <w:r w:rsidRPr="003B6A69">
              <w:rPr>
                <w:rFonts w:eastAsia="Times New Roman"/>
                <w:color w:val="000000"/>
                <w:szCs w:val="20"/>
                <w:lang w:val="en-GB"/>
              </w:rPr>
              <w:t xml:space="preserve"> europaea L. ) </w:t>
            </w:r>
            <w:proofErr w:type="spellStart"/>
            <w:r w:rsidRPr="003B6A69">
              <w:rPr>
                <w:rFonts w:eastAsia="Times New Roman"/>
                <w:color w:val="000000"/>
                <w:szCs w:val="20"/>
                <w:lang w:val="en-GB"/>
              </w:rPr>
              <w:t>Budva</w:t>
            </w:r>
            <w:proofErr w:type="spellEnd"/>
            <w:r w:rsidRPr="003B6A69">
              <w:rPr>
                <w:rFonts w:eastAsia="Times New Roman"/>
                <w:color w:val="000000"/>
                <w:szCs w:val="20"/>
                <w:lang w:val="en-GB"/>
              </w:rPr>
              <w:t xml:space="preserve">, </w:t>
            </w:r>
            <w:proofErr w:type="spellStart"/>
            <w:r w:rsidRPr="003B6A69">
              <w:rPr>
                <w:rFonts w:eastAsia="Times New Roman"/>
                <w:color w:val="000000"/>
                <w:szCs w:val="20"/>
                <w:lang w:val="en-GB"/>
              </w:rPr>
              <w:t>Pićanovina</w:t>
            </w:r>
            <w:proofErr w:type="spellEnd"/>
            <w:r w:rsidRPr="003B6A69">
              <w:rPr>
                <w:rFonts w:eastAsia="Times New Roman"/>
                <w:color w:val="000000"/>
                <w:szCs w:val="20"/>
                <w:lang w:val="en-GB"/>
              </w:rPr>
              <w:t xml:space="preserve"> , </w:t>
            </w:r>
            <w:proofErr w:type="spellStart"/>
            <w:r w:rsidRPr="003B6A69">
              <w:rPr>
                <w:rFonts w:eastAsia="Times New Roman"/>
                <w:color w:val="000000"/>
                <w:szCs w:val="20"/>
                <w:lang w:val="en-GB"/>
              </w:rPr>
              <w:t>Ivanovići</w:t>
            </w:r>
            <w:proofErr w:type="spellEnd"/>
          </w:p>
        </w:tc>
        <w:tc>
          <w:tcPr>
            <w:tcW w:w="1797" w:type="dxa"/>
            <w:gridSpan w:val="2"/>
            <w:tcBorders>
              <w:top w:val="nil"/>
              <w:left w:val="nil"/>
              <w:bottom w:val="single" w:sz="4" w:space="0" w:color="auto"/>
              <w:right w:val="single" w:sz="4" w:space="0" w:color="auto"/>
            </w:tcBorders>
            <w:shd w:val="clear" w:color="auto" w:fill="auto"/>
            <w:noWrap/>
            <w:vAlign w:val="center"/>
            <w:hideMark/>
          </w:tcPr>
          <w:p w14:paraId="303793A1" w14:textId="77777777" w:rsidR="008C4F26" w:rsidRPr="003B6A69" w:rsidRDefault="008C4F26" w:rsidP="00661293">
            <w:pPr>
              <w:spacing w:after="0"/>
              <w:jc w:val="left"/>
              <w:rPr>
                <w:rFonts w:eastAsia="Times New Roman"/>
                <w:color w:val="000000"/>
                <w:szCs w:val="20"/>
                <w:lang w:val="en-GB"/>
              </w:rPr>
            </w:pPr>
            <w:r w:rsidRPr="003B6A69">
              <w:rPr>
                <w:rFonts w:eastAsia="Times New Roman"/>
                <w:color w:val="000000"/>
                <w:szCs w:val="20"/>
                <w:lang w:val="en-GB"/>
              </w:rPr>
              <w:t>0</w:t>
            </w:r>
          </w:p>
        </w:tc>
      </w:tr>
    </w:tbl>
    <w:p w14:paraId="0091F5F3" w14:textId="77777777" w:rsidR="008C4F26" w:rsidRPr="003B6A69" w:rsidRDefault="008C4F26" w:rsidP="00661293">
      <w:pPr>
        <w:spacing w:after="0"/>
        <w:rPr>
          <w:rFonts w:asciiTheme="minorHAnsi" w:eastAsia="Times New Roman" w:hAnsiTheme="minorHAnsi"/>
          <w:noProof/>
          <w:color w:val="000000"/>
          <w:szCs w:val="20"/>
          <w:lang w:val="en-GB"/>
        </w:rPr>
      </w:pPr>
    </w:p>
    <w:p w14:paraId="42D5A5CD" w14:textId="77777777" w:rsidR="008C4F26" w:rsidRPr="003B6A69" w:rsidRDefault="008C4F26" w:rsidP="00661293">
      <w:pPr>
        <w:spacing w:after="120"/>
        <w:rPr>
          <w:rFonts w:asciiTheme="minorHAnsi" w:eastAsia="Times New Roman" w:hAnsiTheme="minorHAnsi"/>
          <w:noProof/>
          <w:color w:val="000000"/>
          <w:szCs w:val="20"/>
          <w:lang w:val="en-GB"/>
        </w:rPr>
      </w:pPr>
      <w:r w:rsidRPr="003B6A69">
        <w:rPr>
          <w:rFonts w:asciiTheme="minorHAnsi" w:eastAsia="Times New Roman" w:hAnsiTheme="minorHAnsi"/>
          <w:noProof/>
          <w:color w:val="000000"/>
          <w:szCs w:val="20"/>
          <w:lang w:val="en-GB"/>
        </w:rPr>
        <w:t xml:space="preserve">Several sites in Montenegro hold important international designations. NP Durmitor has been on UNESCO’s World Natural Heritage List since 1980. Together with Tara River canyon (total area of the NP and the canyon is 182,889  ha) it has been a part of UNESCO’s network of Man &amp; Biosphere (MAB) reserves since 1977. Kotor-Risan Bay (14,600 ha) is also listed as a World’s Natural and Cultural Heritage site. Ramsar sites include NP Skadar Lake (40,000 ha), </w:t>
      </w:r>
      <w:proofErr w:type="spellStart"/>
      <w:r w:rsidRPr="003B6A69">
        <w:rPr>
          <w:rFonts w:asciiTheme="minorHAnsi" w:eastAsia="Times New Roman" w:hAnsiTheme="minorHAnsi"/>
          <w:color w:val="000000"/>
          <w:szCs w:val="20"/>
          <w:lang w:val="en-GB"/>
        </w:rPr>
        <w:t>Ulcinjska</w:t>
      </w:r>
      <w:proofErr w:type="spellEnd"/>
      <w:r w:rsidRPr="003B6A69">
        <w:rPr>
          <w:rFonts w:asciiTheme="minorHAnsi" w:eastAsia="Times New Roman" w:hAnsiTheme="minorHAnsi"/>
          <w:color w:val="000000"/>
          <w:szCs w:val="20"/>
          <w:lang w:val="en-GB"/>
        </w:rPr>
        <w:t xml:space="preserve"> Solana</w:t>
      </w:r>
      <w:r w:rsidRPr="003B6A69" w:rsidDel="00361742">
        <w:rPr>
          <w:rFonts w:asciiTheme="minorHAnsi" w:eastAsia="Times New Roman" w:hAnsiTheme="minorHAnsi"/>
          <w:noProof/>
          <w:color w:val="000000"/>
          <w:szCs w:val="20"/>
          <w:lang w:val="en-GB"/>
        </w:rPr>
        <w:t xml:space="preserve"> </w:t>
      </w:r>
      <w:r w:rsidRPr="003B6A69">
        <w:rPr>
          <w:rFonts w:asciiTheme="minorHAnsi" w:eastAsia="Times New Roman" w:hAnsiTheme="minorHAnsi"/>
          <w:noProof/>
          <w:color w:val="000000"/>
          <w:szCs w:val="20"/>
          <w:lang w:val="en-GB"/>
        </w:rPr>
        <w:t>(</w:t>
      </w:r>
      <w:r w:rsidRPr="003B6A69">
        <w:rPr>
          <w:rFonts w:asciiTheme="minorHAnsi" w:eastAsia="Times New Roman" w:hAnsiTheme="minorHAnsi"/>
          <w:color w:val="000000"/>
          <w:szCs w:val="20"/>
          <w:lang w:val="en-GB"/>
        </w:rPr>
        <w:t>1,477</w:t>
      </w:r>
      <w:r w:rsidRPr="003B6A69">
        <w:rPr>
          <w:rFonts w:asciiTheme="minorHAnsi" w:eastAsia="Times New Roman" w:hAnsiTheme="minorHAnsi"/>
          <w:noProof/>
          <w:color w:val="000000"/>
          <w:szCs w:val="20"/>
          <w:lang w:val="en-GB"/>
        </w:rPr>
        <w:t xml:space="preserve"> ha) and Tivatska Solila (150 ha).</w:t>
      </w:r>
    </w:p>
    <w:p w14:paraId="7976EC45" w14:textId="77777777" w:rsidR="008C4F26" w:rsidRPr="003B6A69" w:rsidRDefault="008C4F26" w:rsidP="00661293">
      <w:pPr>
        <w:autoSpaceDE w:val="0"/>
        <w:autoSpaceDN w:val="0"/>
        <w:adjustRightInd w:val="0"/>
        <w:spacing w:after="120"/>
        <w:ind w:right="509"/>
        <w:jc w:val="left"/>
        <w:rPr>
          <w:rFonts w:asciiTheme="minorHAnsi" w:eastAsia="Calibri" w:hAnsiTheme="minorHAnsi" w:cstheme="minorBidi"/>
          <w:b/>
          <w:color w:val="000000"/>
          <w:szCs w:val="20"/>
          <w:lang w:val="en-GB"/>
        </w:rPr>
      </w:pPr>
      <w:r w:rsidRPr="003B6A69">
        <w:rPr>
          <w:rFonts w:asciiTheme="minorHAnsi" w:eastAsia="Calibri" w:hAnsiTheme="minorHAnsi" w:cstheme="minorBidi"/>
          <w:b/>
          <w:color w:val="000000"/>
          <w:szCs w:val="20"/>
          <w:lang w:val="en-GB"/>
        </w:rPr>
        <w:t>Table 2:</w:t>
      </w:r>
      <w:r w:rsidRPr="003B6A69">
        <w:rPr>
          <w:rFonts w:asciiTheme="minorHAnsi" w:eastAsia="Calibri" w:hAnsiTheme="minorHAnsi" w:cstheme="minorBidi"/>
          <w:color w:val="000000"/>
          <w:szCs w:val="20"/>
          <w:lang w:val="en-GB"/>
        </w:rPr>
        <w:t xml:space="preserve"> </w:t>
      </w:r>
      <w:r w:rsidRPr="003B6A69">
        <w:rPr>
          <w:rFonts w:asciiTheme="minorHAnsi" w:eastAsia="Calibri" w:hAnsiTheme="minorHAnsi" w:cstheme="minorBidi"/>
          <w:b/>
          <w:color w:val="000000"/>
          <w:szCs w:val="20"/>
          <w:lang w:val="en-GB"/>
        </w:rPr>
        <w:t>Areas with international protection status in Montenegro</w:t>
      </w:r>
    </w:p>
    <w:tbl>
      <w:tblPr>
        <w:tblW w:w="7313" w:type="dxa"/>
        <w:tblInd w:w="85" w:type="dxa"/>
        <w:tblLook w:val="04A0" w:firstRow="1" w:lastRow="0" w:firstColumn="1" w:lastColumn="0" w:noHBand="0" w:noVBand="1"/>
      </w:tblPr>
      <w:tblGrid>
        <w:gridCol w:w="2598"/>
        <w:gridCol w:w="3592"/>
        <w:gridCol w:w="1123"/>
      </w:tblGrid>
      <w:tr w:rsidR="008C4F26" w:rsidRPr="003B6A69" w14:paraId="428C0AB2" w14:textId="77777777" w:rsidTr="00661293">
        <w:trPr>
          <w:trHeight w:val="332"/>
        </w:trPr>
        <w:tc>
          <w:tcPr>
            <w:tcW w:w="259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252FCB7" w14:textId="77777777" w:rsidR="008C4F26" w:rsidRPr="003B6A69" w:rsidRDefault="008C4F26" w:rsidP="00661293">
            <w:pPr>
              <w:spacing w:after="120"/>
              <w:jc w:val="left"/>
              <w:rPr>
                <w:rFonts w:asciiTheme="minorHAnsi" w:eastAsiaTheme="minorHAnsi" w:hAnsiTheme="minorHAnsi" w:cstheme="minorBidi"/>
                <w:b/>
                <w:bCs/>
                <w:color w:val="000000"/>
                <w:szCs w:val="20"/>
                <w:lang w:val="en-GB"/>
              </w:rPr>
            </w:pPr>
            <w:r w:rsidRPr="003B6A69">
              <w:rPr>
                <w:rFonts w:asciiTheme="minorHAnsi" w:eastAsiaTheme="minorHAnsi" w:hAnsiTheme="minorHAnsi" w:cstheme="minorBidi"/>
                <w:b/>
                <w:bCs/>
                <w:color w:val="000000"/>
                <w:szCs w:val="20"/>
                <w:lang w:val="en-GB"/>
              </w:rPr>
              <w:t xml:space="preserve">Name </w:t>
            </w:r>
          </w:p>
        </w:tc>
        <w:tc>
          <w:tcPr>
            <w:tcW w:w="3592" w:type="dxa"/>
            <w:tcBorders>
              <w:top w:val="single" w:sz="4" w:space="0" w:color="auto"/>
              <w:left w:val="nil"/>
              <w:bottom w:val="single" w:sz="4" w:space="0" w:color="auto"/>
              <w:right w:val="single" w:sz="4" w:space="0" w:color="auto"/>
            </w:tcBorders>
            <w:shd w:val="clear" w:color="auto" w:fill="auto"/>
            <w:vAlign w:val="bottom"/>
            <w:hideMark/>
          </w:tcPr>
          <w:p w14:paraId="24B5D6D1" w14:textId="77777777" w:rsidR="008C4F26" w:rsidRPr="003B6A69" w:rsidRDefault="008C4F26" w:rsidP="00661293">
            <w:pPr>
              <w:spacing w:after="120"/>
              <w:jc w:val="center"/>
              <w:rPr>
                <w:rFonts w:asciiTheme="minorHAnsi" w:eastAsiaTheme="minorHAnsi" w:hAnsiTheme="minorHAnsi" w:cstheme="minorBidi"/>
                <w:b/>
                <w:bCs/>
                <w:color w:val="000000"/>
                <w:szCs w:val="20"/>
                <w:lang w:val="en-GB"/>
              </w:rPr>
            </w:pPr>
            <w:r w:rsidRPr="003B6A69">
              <w:rPr>
                <w:rFonts w:asciiTheme="minorHAnsi" w:eastAsiaTheme="minorHAnsi" w:hAnsiTheme="minorHAnsi" w:cstheme="minorBidi"/>
                <w:b/>
                <w:bCs/>
                <w:color w:val="000000"/>
                <w:szCs w:val="20"/>
                <w:lang w:val="en-GB"/>
              </w:rPr>
              <w:t>International nomination</w:t>
            </w:r>
          </w:p>
        </w:tc>
        <w:tc>
          <w:tcPr>
            <w:tcW w:w="1123" w:type="dxa"/>
            <w:tcBorders>
              <w:top w:val="single" w:sz="4" w:space="0" w:color="auto"/>
              <w:left w:val="nil"/>
              <w:bottom w:val="single" w:sz="4" w:space="0" w:color="auto"/>
              <w:right w:val="single" w:sz="4" w:space="0" w:color="auto"/>
            </w:tcBorders>
            <w:shd w:val="clear" w:color="auto" w:fill="auto"/>
            <w:noWrap/>
            <w:vAlign w:val="center"/>
            <w:hideMark/>
          </w:tcPr>
          <w:p w14:paraId="6EFEDDB3" w14:textId="77777777" w:rsidR="008C4F26" w:rsidRPr="003B6A69" w:rsidRDefault="008C4F26" w:rsidP="00661293">
            <w:pPr>
              <w:spacing w:after="120"/>
              <w:jc w:val="center"/>
              <w:rPr>
                <w:rFonts w:asciiTheme="minorHAnsi" w:eastAsiaTheme="minorHAnsi" w:hAnsiTheme="minorHAnsi" w:cstheme="minorBidi"/>
                <w:b/>
                <w:bCs/>
                <w:color w:val="000000"/>
                <w:szCs w:val="20"/>
                <w:lang w:val="en-GB"/>
              </w:rPr>
            </w:pPr>
            <w:r w:rsidRPr="003B6A69">
              <w:rPr>
                <w:rFonts w:asciiTheme="minorHAnsi" w:eastAsiaTheme="minorHAnsi" w:hAnsiTheme="minorHAnsi" w:cstheme="minorBidi"/>
                <w:b/>
                <w:bCs/>
                <w:color w:val="000000"/>
                <w:szCs w:val="20"/>
                <w:lang w:val="en-GB"/>
              </w:rPr>
              <w:t>Area, ha</w:t>
            </w:r>
          </w:p>
        </w:tc>
      </w:tr>
      <w:tr w:rsidR="008C4F26" w:rsidRPr="003B6A69" w14:paraId="753A8BCC" w14:textId="77777777" w:rsidTr="00661293">
        <w:trPr>
          <w:trHeight w:val="224"/>
        </w:trPr>
        <w:tc>
          <w:tcPr>
            <w:tcW w:w="2598" w:type="dxa"/>
            <w:vMerge w:val="restart"/>
            <w:tcBorders>
              <w:top w:val="nil"/>
              <w:left w:val="single" w:sz="4" w:space="0" w:color="auto"/>
              <w:right w:val="single" w:sz="4" w:space="0" w:color="auto"/>
            </w:tcBorders>
            <w:shd w:val="clear" w:color="auto" w:fill="auto"/>
            <w:vAlign w:val="bottom"/>
            <w:hideMark/>
          </w:tcPr>
          <w:p w14:paraId="11833372" w14:textId="77777777" w:rsidR="008C4F26" w:rsidRPr="003B6A69" w:rsidRDefault="008C4F26" w:rsidP="00661293">
            <w:pPr>
              <w:spacing w:after="120"/>
              <w:jc w:val="left"/>
              <w:rPr>
                <w:rFonts w:asciiTheme="minorHAnsi" w:eastAsiaTheme="minorHAnsi" w:hAnsiTheme="minorHAnsi" w:cstheme="minorBidi"/>
                <w:color w:val="000000"/>
                <w:szCs w:val="20"/>
                <w:lang w:val="en-GB"/>
              </w:rPr>
            </w:pPr>
            <w:r w:rsidRPr="003B6A69">
              <w:rPr>
                <w:rFonts w:asciiTheme="minorHAnsi" w:eastAsiaTheme="minorHAnsi" w:hAnsiTheme="minorHAnsi" w:cstheme="minorBidi"/>
                <w:color w:val="000000"/>
                <w:szCs w:val="20"/>
              </w:rPr>
              <w:t>Natural and Culture-Historical Region of Kotor</w:t>
            </w:r>
          </w:p>
        </w:tc>
        <w:tc>
          <w:tcPr>
            <w:tcW w:w="3592" w:type="dxa"/>
            <w:tcBorders>
              <w:top w:val="nil"/>
              <w:left w:val="nil"/>
              <w:bottom w:val="single" w:sz="4" w:space="0" w:color="auto"/>
              <w:right w:val="single" w:sz="4" w:space="0" w:color="auto"/>
            </w:tcBorders>
            <w:shd w:val="clear" w:color="auto" w:fill="auto"/>
            <w:vAlign w:val="bottom"/>
            <w:hideMark/>
          </w:tcPr>
          <w:p w14:paraId="71595BA7" w14:textId="77777777" w:rsidR="008C4F26" w:rsidRPr="003B6A69" w:rsidRDefault="008C4F26" w:rsidP="00661293">
            <w:pPr>
              <w:spacing w:after="120"/>
              <w:jc w:val="left"/>
              <w:rPr>
                <w:rFonts w:asciiTheme="minorHAnsi" w:eastAsiaTheme="minorHAnsi" w:hAnsiTheme="minorHAnsi" w:cstheme="minorBidi"/>
                <w:color w:val="000000"/>
                <w:szCs w:val="20"/>
                <w:lang w:val="en-GB"/>
              </w:rPr>
            </w:pPr>
            <w:r w:rsidRPr="003B6A69">
              <w:rPr>
                <w:rFonts w:asciiTheme="minorHAnsi" w:eastAsiaTheme="minorHAnsi" w:hAnsiTheme="minorHAnsi" w:cstheme="minorBidi"/>
                <w:color w:val="000000"/>
                <w:szCs w:val="20"/>
                <w:lang w:val="en-GB"/>
              </w:rPr>
              <w:t xml:space="preserve">UNESCO World </w:t>
            </w:r>
            <w:proofErr w:type="gramStart"/>
            <w:r w:rsidRPr="003B6A69">
              <w:rPr>
                <w:rFonts w:asciiTheme="minorHAnsi" w:eastAsiaTheme="minorHAnsi" w:hAnsiTheme="minorHAnsi" w:cstheme="minorBidi"/>
                <w:color w:val="000000"/>
                <w:szCs w:val="20"/>
                <w:lang w:val="en-GB"/>
              </w:rPr>
              <w:t>Heritage  site</w:t>
            </w:r>
            <w:proofErr w:type="gramEnd"/>
            <w:r w:rsidRPr="003B6A69">
              <w:rPr>
                <w:rFonts w:asciiTheme="minorHAnsi" w:eastAsiaTheme="minorHAnsi" w:hAnsiTheme="minorHAnsi" w:cstheme="minorBidi"/>
                <w:color w:val="000000"/>
                <w:szCs w:val="20"/>
                <w:lang w:val="en-GB"/>
              </w:rPr>
              <w:t xml:space="preserve"> </w:t>
            </w:r>
          </w:p>
        </w:tc>
        <w:tc>
          <w:tcPr>
            <w:tcW w:w="1123" w:type="dxa"/>
            <w:tcBorders>
              <w:top w:val="nil"/>
              <w:left w:val="nil"/>
              <w:bottom w:val="single" w:sz="4" w:space="0" w:color="auto"/>
              <w:right w:val="single" w:sz="4" w:space="0" w:color="auto"/>
            </w:tcBorders>
            <w:shd w:val="clear" w:color="auto" w:fill="auto"/>
            <w:noWrap/>
            <w:vAlign w:val="center"/>
            <w:hideMark/>
          </w:tcPr>
          <w:p w14:paraId="0C1DFB33" w14:textId="77777777" w:rsidR="008C4F26" w:rsidRPr="003B6A69" w:rsidRDefault="008C4F26" w:rsidP="00661293">
            <w:pPr>
              <w:spacing w:after="120"/>
              <w:jc w:val="right"/>
              <w:rPr>
                <w:rFonts w:asciiTheme="minorHAnsi" w:eastAsiaTheme="minorHAnsi" w:hAnsiTheme="minorHAnsi" w:cstheme="minorBidi"/>
                <w:color w:val="000000"/>
                <w:szCs w:val="20"/>
                <w:lang w:val="en-GB"/>
              </w:rPr>
            </w:pPr>
            <w:r w:rsidRPr="003B6A69">
              <w:rPr>
                <w:rFonts w:asciiTheme="minorHAnsi" w:eastAsiaTheme="minorHAnsi" w:hAnsiTheme="minorHAnsi" w:cstheme="minorBidi"/>
                <w:color w:val="000000"/>
                <w:szCs w:val="20"/>
                <w:lang w:val="en-GB"/>
              </w:rPr>
              <w:t>14,600</w:t>
            </w:r>
          </w:p>
        </w:tc>
      </w:tr>
      <w:tr w:rsidR="008C4F26" w:rsidRPr="003B6A69" w14:paraId="5ED098E9" w14:textId="77777777" w:rsidTr="00661293">
        <w:trPr>
          <w:trHeight w:val="161"/>
        </w:trPr>
        <w:tc>
          <w:tcPr>
            <w:tcW w:w="2598" w:type="dxa"/>
            <w:vMerge/>
            <w:tcBorders>
              <w:left w:val="single" w:sz="4" w:space="0" w:color="auto"/>
              <w:bottom w:val="single" w:sz="4" w:space="0" w:color="auto"/>
              <w:right w:val="single" w:sz="4" w:space="0" w:color="auto"/>
            </w:tcBorders>
            <w:shd w:val="clear" w:color="auto" w:fill="auto"/>
            <w:vAlign w:val="bottom"/>
            <w:hideMark/>
          </w:tcPr>
          <w:p w14:paraId="6211FAC2" w14:textId="77777777" w:rsidR="008C4F26" w:rsidRPr="003B6A69" w:rsidRDefault="008C4F26" w:rsidP="00661293">
            <w:pPr>
              <w:spacing w:after="120"/>
              <w:jc w:val="left"/>
              <w:rPr>
                <w:rFonts w:asciiTheme="minorHAnsi" w:eastAsiaTheme="minorHAnsi" w:hAnsiTheme="minorHAnsi" w:cstheme="minorBidi"/>
                <w:color w:val="000000"/>
                <w:szCs w:val="20"/>
                <w:lang w:val="en-GB"/>
              </w:rPr>
            </w:pPr>
          </w:p>
        </w:tc>
        <w:tc>
          <w:tcPr>
            <w:tcW w:w="3592" w:type="dxa"/>
            <w:tcBorders>
              <w:top w:val="nil"/>
              <w:left w:val="nil"/>
              <w:bottom w:val="single" w:sz="4" w:space="0" w:color="auto"/>
              <w:right w:val="single" w:sz="4" w:space="0" w:color="auto"/>
            </w:tcBorders>
            <w:shd w:val="clear" w:color="auto" w:fill="auto"/>
            <w:vAlign w:val="bottom"/>
            <w:hideMark/>
          </w:tcPr>
          <w:p w14:paraId="66CDC2CF" w14:textId="77777777" w:rsidR="008C4F26" w:rsidRPr="003B6A69" w:rsidRDefault="008C4F26" w:rsidP="00661293">
            <w:pPr>
              <w:spacing w:after="120"/>
              <w:jc w:val="left"/>
              <w:rPr>
                <w:rFonts w:asciiTheme="minorHAnsi" w:eastAsiaTheme="minorHAnsi" w:hAnsiTheme="minorHAnsi" w:cstheme="minorBidi"/>
                <w:color w:val="000000"/>
                <w:szCs w:val="20"/>
                <w:lang w:val="en-GB"/>
              </w:rPr>
            </w:pPr>
            <w:r w:rsidRPr="003B6A69">
              <w:rPr>
                <w:rFonts w:asciiTheme="minorHAnsi" w:eastAsiaTheme="minorHAnsi" w:hAnsiTheme="minorHAnsi" w:cstheme="minorBidi"/>
                <w:color w:val="000000"/>
                <w:szCs w:val="20"/>
                <w:lang w:val="en-GB"/>
              </w:rPr>
              <w:t>UNESCO World Heritage -buffer zone</w:t>
            </w:r>
          </w:p>
        </w:tc>
        <w:tc>
          <w:tcPr>
            <w:tcW w:w="1123" w:type="dxa"/>
            <w:tcBorders>
              <w:top w:val="nil"/>
              <w:left w:val="nil"/>
              <w:bottom w:val="single" w:sz="4" w:space="0" w:color="auto"/>
              <w:right w:val="single" w:sz="4" w:space="0" w:color="auto"/>
            </w:tcBorders>
            <w:shd w:val="clear" w:color="auto" w:fill="auto"/>
            <w:noWrap/>
            <w:vAlign w:val="center"/>
            <w:hideMark/>
          </w:tcPr>
          <w:p w14:paraId="7EB77356" w14:textId="77777777" w:rsidR="008C4F26" w:rsidRPr="003B6A69" w:rsidRDefault="008C4F26" w:rsidP="00661293">
            <w:pPr>
              <w:spacing w:after="120"/>
              <w:jc w:val="right"/>
              <w:rPr>
                <w:rFonts w:asciiTheme="minorHAnsi" w:eastAsiaTheme="minorHAnsi" w:hAnsiTheme="minorHAnsi" w:cstheme="minorBidi"/>
                <w:color w:val="000000"/>
                <w:szCs w:val="20"/>
                <w:lang w:val="en-GB"/>
              </w:rPr>
            </w:pPr>
            <w:r w:rsidRPr="003B6A69">
              <w:rPr>
                <w:rFonts w:asciiTheme="minorHAnsi" w:eastAsiaTheme="minorHAnsi" w:hAnsiTheme="minorHAnsi" w:cstheme="minorBidi"/>
                <w:color w:val="000000"/>
                <w:szCs w:val="20"/>
                <w:lang w:val="en-GB"/>
              </w:rPr>
              <w:t>36,491</w:t>
            </w:r>
          </w:p>
        </w:tc>
      </w:tr>
      <w:tr w:rsidR="008C4F26" w:rsidRPr="003B6A69" w14:paraId="28CAC7B4" w14:textId="77777777" w:rsidTr="00661293">
        <w:trPr>
          <w:trHeight w:val="58"/>
        </w:trPr>
        <w:tc>
          <w:tcPr>
            <w:tcW w:w="2598" w:type="dxa"/>
            <w:tcBorders>
              <w:top w:val="nil"/>
              <w:left w:val="single" w:sz="4" w:space="0" w:color="auto"/>
              <w:bottom w:val="single" w:sz="4" w:space="0" w:color="auto"/>
              <w:right w:val="single" w:sz="4" w:space="0" w:color="auto"/>
            </w:tcBorders>
            <w:shd w:val="clear" w:color="auto" w:fill="auto"/>
            <w:vAlign w:val="bottom"/>
            <w:hideMark/>
          </w:tcPr>
          <w:p w14:paraId="0387076D" w14:textId="77777777" w:rsidR="008C4F26" w:rsidRPr="003B6A69" w:rsidRDefault="008C4F26" w:rsidP="00661293">
            <w:pPr>
              <w:spacing w:after="120"/>
              <w:jc w:val="left"/>
              <w:rPr>
                <w:rFonts w:asciiTheme="minorHAnsi" w:eastAsiaTheme="minorHAnsi" w:hAnsiTheme="minorHAnsi" w:cstheme="minorBidi"/>
                <w:color w:val="000000"/>
                <w:szCs w:val="20"/>
                <w:lang w:val="en-GB"/>
              </w:rPr>
            </w:pPr>
            <w:r w:rsidRPr="003B6A69">
              <w:rPr>
                <w:rFonts w:asciiTheme="minorHAnsi" w:eastAsiaTheme="minorHAnsi" w:hAnsiTheme="minorHAnsi" w:cstheme="minorBidi"/>
                <w:color w:val="000000"/>
                <w:szCs w:val="20"/>
                <w:lang w:val="en-GB"/>
              </w:rPr>
              <w:t xml:space="preserve">Tara River Basin </w:t>
            </w:r>
          </w:p>
        </w:tc>
        <w:tc>
          <w:tcPr>
            <w:tcW w:w="3592" w:type="dxa"/>
            <w:tcBorders>
              <w:top w:val="nil"/>
              <w:left w:val="nil"/>
              <w:bottom w:val="single" w:sz="4" w:space="0" w:color="auto"/>
              <w:right w:val="single" w:sz="4" w:space="0" w:color="auto"/>
            </w:tcBorders>
            <w:shd w:val="clear" w:color="auto" w:fill="auto"/>
            <w:vAlign w:val="bottom"/>
            <w:hideMark/>
          </w:tcPr>
          <w:p w14:paraId="6E349FD6" w14:textId="77777777" w:rsidR="008C4F26" w:rsidRPr="003B6A69" w:rsidRDefault="008C4F26" w:rsidP="00661293">
            <w:pPr>
              <w:spacing w:after="120"/>
              <w:jc w:val="left"/>
              <w:rPr>
                <w:rFonts w:asciiTheme="minorHAnsi" w:eastAsiaTheme="minorHAnsi" w:hAnsiTheme="minorHAnsi" w:cstheme="minorBidi"/>
                <w:color w:val="000000"/>
                <w:szCs w:val="20"/>
                <w:lang w:val="en-GB"/>
              </w:rPr>
            </w:pPr>
            <w:r w:rsidRPr="003B6A69">
              <w:rPr>
                <w:rFonts w:asciiTheme="minorHAnsi" w:eastAsiaTheme="minorHAnsi" w:hAnsiTheme="minorHAnsi" w:cstheme="minorBidi"/>
                <w:color w:val="000000"/>
                <w:szCs w:val="20"/>
                <w:lang w:val="en-GB"/>
              </w:rPr>
              <w:t>UNESCO Biosphere Reserve</w:t>
            </w:r>
          </w:p>
        </w:tc>
        <w:tc>
          <w:tcPr>
            <w:tcW w:w="1123" w:type="dxa"/>
            <w:tcBorders>
              <w:top w:val="nil"/>
              <w:left w:val="nil"/>
              <w:bottom w:val="single" w:sz="4" w:space="0" w:color="auto"/>
              <w:right w:val="single" w:sz="4" w:space="0" w:color="auto"/>
            </w:tcBorders>
            <w:shd w:val="clear" w:color="auto" w:fill="auto"/>
            <w:noWrap/>
            <w:vAlign w:val="center"/>
            <w:hideMark/>
          </w:tcPr>
          <w:p w14:paraId="73E4BA44" w14:textId="77777777" w:rsidR="008C4F26" w:rsidRPr="003B6A69" w:rsidRDefault="008C4F26" w:rsidP="00661293">
            <w:pPr>
              <w:spacing w:after="120"/>
              <w:jc w:val="right"/>
              <w:rPr>
                <w:rFonts w:asciiTheme="minorHAnsi" w:eastAsiaTheme="minorHAnsi" w:hAnsiTheme="minorHAnsi" w:cstheme="minorBidi"/>
                <w:color w:val="000000"/>
                <w:szCs w:val="20"/>
                <w:lang w:val="en-GB"/>
              </w:rPr>
            </w:pPr>
            <w:r w:rsidRPr="003B6A69">
              <w:rPr>
                <w:rFonts w:asciiTheme="minorHAnsi" w:eastAsiaTheme="minorHAnsi" w:hAnsiTheme="minorHAnsi" w:cstheme="minorBidi"/>
                <w:color w:val="000000"/>
                <w:szCs w:val="20"/>
                <w:lang w:val="en-GB"/>
              </w:rPr>
              <w:t>182,889</w:t>
            </w:r>
          </w:p>
        </w:tc>
      </w:tr>
      <w:tr w:rsidR="008C4F26" w:rsidRPr="003B6A69" w14:paraId="3ECAEDEC" w14:textId="77777777" w:rsidTr="00661293">
        <w:trPr>
          <w:trHeight w:val="89"/>
        </w:trPr>
        <w:tc>
          <w:tcPr>
            <w:tcW w:w="2598" w:type="dxa"/>
            <w:tcBorders>
              <w:top w:val="nil"/>
              <w:left w:val="single" w:sz="4" w:space="0" w:color="auto"/>
              <w:bottom w:val="single" w:sz="4" w:space="0" w:color="auto"/>
              <w:right w:val="single" w:sz="4" w:space="0" w:color="auto"/>
            </w:tcBorders>
            <w:shd w:val="clear" w:color="auto" w:fill="auto"/>
            <w:vAlign w:val="bottom"/>
            <w:hideMark/>
          </w:tcPr>
          <w:p w14:paraId="065C07C1" w14:textId="77777777" w:rsidR="008C4F26" w:rsidRPr="003B6A69" w:rsidRDefault="008C4F26" w:rsidP="00661293">
            <w:pPr>
              <w:spacing w:after="120"/>
              <w:jc w:val="left"/>
              <w:rPr>
                <w:rFonts w:asciiTheme="minorHAnsi" w:eastAsiaTheme="minorHAnsi" w:hAnsiTheme="minorHAnsi" w:cstheme="minorBidi"/>
                <w:color w:val="000000"/>
                <w:szCs w:val="20"/>
                <w:lang w:val="en-GB"/>
              </w:rPr>
            </w:pPr>
            <w:proofErr w:type="spellStart"/>
            <w:r w:rsidRPr="003B6A69">
              <w:rPr>
                <w:rFonts w:asciiTheme="minorHAnsi" w:eastAsiaTheme="minorHAnsi" w:hAnsiTheme="minorHAnsi" w:cstheme="minorBidi"/>
                <w:color w:val="000000"/>
                <w:szCs w:val="20"/>
                <w:lang w:val="en-GB"/>
              </w:rPr>
              <w:t>Durmitor</w:t>
            </w:r>
            <w:proofErr w:type="spellEnd"/>
            <w:r w:rsidRPr="003B6A69">
              <w:rPr>
                <w:rFonts w:asciiTheme="minorHAnsi" w:eastAsiaTheme="minorHAnsi" w:hAnsiTheme="minorHAnsi" w:cstheme="minorBidi"/>
                <w:color w:val="000000"/>
                <w:szCs w:val="20"/>
                <w:lang w:val="en-GB"/>
              </w:rPr>
              <w:t xml:space="preserve"> </w:t>
            </w:r>
          </w:p>
        </w:tc>
        <w:tc>
          <w:tcPr>
            <w:tcW w:w="3592" w:type="dxa"/>
            <w:tcBorders>
              <w:top w:val="nil"/>
              <w:left w:val="nil"/>
              <w:bottom w:val="single" w:sz="4" w:space="0" w:color="auto"/>
              <w:right w:val="single" w:sz="4" w:space="0" w:color="auto"/>
            </w:tcBorders>
            <w:shd w:val="clear" w:color="auto" w:fill="auto"/>
            <w:vAlign w:val="bottom"/>
            <w:hideMark/>
          </w:tcPr>
          <w:p w14:paraId="13A235E8" w14:textId="77777777" w:rsidR="008C4F26" w:rsidRPr="003B6A69" w:rsidRDefault="008C4F26" w:rsidP="00661293">
            <w:pPr>
              <w:spacing w:after="120"/>
              <w:jc w:val="left"/>
              <w:rPr>
                <w:rFonts w:asciiTheme="minorHAnsi" w:eastAsiaTheme="minorHAnsi" w:hAnsiTheme="minorHAnsi" w:cstheme="minorBidi"/>
                <w:color w:val="000000"/>
                <w:szCs w:val="20"/>
                <w:lang w:val="en-GB"/>
              </w:rPr>
            </w:pPr>
            <w:r w:rsidRPr="003B6A69">
              <w:rPr>
                <w:rFonts w:asciiTheme="minorHAnsi" w:eastAsiaTheme="minorHAnsi" w:hAnsiTheme="minorHAnsi" w:cstheme="minorBidi"/>
                <w:color w:val="000000"/>
                <w:szCs w:val="20"/>
                <w:lang w:val="en-GB"/>
              </w:rPr>
              <w:t xml:space="preserve">UNESCO World </w:t>
            </w:r>
            <w:proofErr w:type="gramStart"/>
            <w:r w:rsidRPr="003B6A69">
              <w:rPr>
                <w:rFonts w:asciiTheme="minorHAnsi" w:eastAsiaTheme="minorHAnsi" w:hAnsiTheme="minorHAnsi" w:cstheme="minorBidi"/>
                <w:color w:val="000000"/>
                <w:szCs w:val="20"/>
                <w:lang w:val="en-GB"/>
              </w:rPr>
              <w:t>Heritage  site</w:t>
            </w:r>
            <w:proofErr w:type="gramEnd"/>
            <w:r w:rsidRPr="003B6A69">
              <w:rPr>
                <w:rFonts w:asciiTheme="minorHAnsi" w:eastAsiaTheme="minorHAnsi" w:hAnsiTheme="minorHAnsi" w:cstheme="minorBidi"/>
                <w:color w:val="000000"/>
                <w:szCs w:val="20"/>
                <w:lang w:val="en-GB"/>
              </w:rPr>
              <w:t xml:space="preserve"> </w:t>
            </w:r>
          </w:p>
        </w:tc>
        <w:tc>
          <w:tcPr>
            <w:tcW w:w="1123" w:type="dxa"/>
            <w:tcBorders>
              <w:top w:val="nil"/>
              <w:left w:val="nil"/>
              <w:bottom w:val="single" w:sz="4" w:space="0" w:color="auto"/>
              <w:right w:val="single" w:sz="4" w:space="0" w:color="auto"/>
            </w:tcBorders>
            <w:shd w:val="clear" w:color="auto" w:fill="auto"/>
            <w:noWrap/>
            <w:vAlign w:val="center"/>
            <w:hideMark/>
          </w:tcPr>
          <w:p w14:paraId="50FAC100" w14:textId="77777777" w:rsidR="008C4F26" w:rsidRPr="003B6A69" w:rsidRDefault="008C4F26" w:rsidP="00661293">
            <w:pPr>
              <w:spacing w:after="120"/>
              <w:jc w:val="right"/>
              <w:rPr>
                <w:rFonts w:asciiTheme="minorHAnsi" w:eastAsiaTheme="minorHAnsi" w:hAnsiTheme="minorHAnsi" w:cstheme="minorBidi"/>
                <w:color w:val="000000"/>
                <w:szCs w:val="20"/>
                <w:lang w:val="en-GB"/>
              </w:rPr>
            </w:pPr>
            <w:r w:rsidRPr="003B6A69">
              <w:rPr>
                <w:rFonts w:asciiTheme="minorHAnsi" w:eastAsiaTheme="minorHAnsi" w:hAnsiTheme="minorHAnsi" w:cstheme="minorBidi"/>
                <w:color w:val="000000"/>
                <w:szCs w:val="20"/>
                <w:lang w:val="en-GB"/>
              </w:rPr>
              <w:t>32,100</w:t>
            </w:r>
          </w:p>
        </w:tc>
      </w:tr>
      <w:tr w:rsidR="008C4F26" w:rsidRPr="003B6A69" w14:paraId="66F43850" w14:textId="77777777" w:rsidTr="00661293">
        <w:trPr>
          <w:trHeight w:val="58"/>
        </w:trPr>
        <w:tc>
          <w:tcPr>
            <w:tcW w:w="2598" w:type="dxa"/>
            <w:tcBorders>
              <w:top w:val="nil"/>
              <w:left w:val="single" w:sz="4" w:space="0" w:color="auto"/>
              <w:bottom w:val="single" w:sz="4" w:space="0" w:color="auto"/>
              <w:right w:val="single" w:sz="4" w:space="0" w:color="auto"/>
            </w:tcBorders>
            <w:shd w:val="clear" w:color="auto" w:fill="auto"/>
            <w:vAlign w:val="bottom"/>
            <w:hideMark/>
          </w:tcPr>
          <w:p w14:paraId="0A16572C" w14:textId="77777777" w:rsidR="008C4F26" w:rsidRPr="003B6A69" w:rsidRDefault="008C4F26" w:rsidP="00661293">
            <w:pPr>
              <w:spacing w:after="120"/>
              <w:jc w:val="left"/>
              <w:rPr>
                <w:rFonts w:asciiTheme="minorHAnsi" w:eastAsiaTheme="minorHAnsi" w:hAnsiTheme="minorHAnsi" w:cstheme="minorBidi"/>
                <w:color w:val="000000"/>
                <w:szCs w:val="20"/>
                <w:lang w:val="en-GB"/>
              </w:rPr>
            </w:pPr>
            <w:proofErr w:type="spellStart"/>
            <w:r w:rsidRPr="003B6A69">
              <w:rPr>
                <w:rFonts w:asciiTheme="minorHAnsi" w:eastAsiaTheme="minorHAnsi" w:hAnsiTheme="minorHAnsi" w:cstheme="minorBidi"/>
                <w:color w:val="000000"/>
                <w:szCs w:val="20"/>
                <w:lang w:val="en-GB"/>
              </w:rPr>
              <w:t>Skadar</w:t>
            </w:r>
            <w:proofErr w:type="spellEnd"/>
            <w:r w:rsidRPr="003B6A69">
              <w:rPr>
                <w:rFonts w:asciiTheme="minorHAnsi" w:eastAsiaTheme="minorHAnsi" w:hAnsiTheme="minorHAnsi" w:cstheme="minorBidi"/>
                <w:color w:val="000000"/>
                <w:szCs w:val="20"/>
                <w:lang w:val="en-GB"/>
              </w:rPr>
              <w:t xml:space="preserve"> Lake</w:t>
            </w:r>
          </w:p>
        </w:tc>
        <w:tc>
          <w:tcPr>
            <w:tcW w:w="3592" w:type="dxa"/>
            <w:tcBorders>
              <w:top w:val="nil"/>
              <w:left w:val="nil"/>
              <w:bottom w:val="single" w:sz="4" w:space="0" w:color="auto"/>
              <w:right w:val="single" w:sz="4" w:space="0" w:color="auto"/>
            </w:tcBorders>
            <w:shd w:val="clear" w:color="auto" w:fill="auto"/>
            <w:vAlign w:val="bottom"/>
            <w:hideMark/>
          </w:tcPr>
          <w:p w14:paraId="161ADDB2" w14:textId="77777777" w:rsidR="008C4F26" w:rsidRPr="003B6A69" w:rsidRDefault="008C4F26" w:rsidP="00661293">
            <w:pPr>
              <w:spacing w:after="120"/>
              <w:jc w:val="left"/>
              <w:rPr>
                <w:rFonts w:asciiTheme="minorHAnsi" w:eastAsiaTheme="minorHAnsi" w:hAnsiTheme="minorHAnsi" w:cstheme="minorBidi"/>
                <w:color w:val="000000"/>
                <w:szCs w:val="20"/>
                <w:lang w:val="en-GB"/>
              </w:rPr>
            </w:pPr>
            <w:r w:rsidRPr="003B6A69">
              <w:rPr>
                <w:rFonts w:asciiTheme="minorHAnsi" w:eastAsiaTheme="minorHAnsi" w:hAnsiTheme="minorHAnsi" w:cstheme="minorBidi"/>
                <w:color w:val="000000"/>
                <w:szCs w:val="20"/>
                <w:lang w:val="en-GB"/>
              </w:rPr>
              <w:t xml:space="preserve">Ramsar </w:t>
            </w:r>
          </w:p>
        </w:tc>
        <w:tc>
          <w:tcPr>
            <w:tcW w:w="1123" w:type="dxa"/>
            <w:tcBorders>
              <w:top w:val="nil"/>
              <w:left w:val="nil"/>
              <w:bottom w:val="single" w:sz="4" w:space="0" w:color="auto"/>
              <w:right w:val="single" w:sz="4" w:space="0" w:color="auto"/>
            </w:tcBorders>
            <w:shd w:val="clear" w:color="auto" w:fill="auto"/>
            <w:noWrap/>
            <w:vAlign w:val="center"/>
            <w:hideMark/>
          </w:tcPr>
          <w:p w14:paraId="1FB7BDAC" w14:textId="77777777" w:rsidR="008C4F26" w:rsidRPr="003B6A69" w:rsidRDefault="008C4F26" w:rsidP="00661293">
            <w:pPr>
              <w:spacing w:after="120"/>
              <w:jc w:val="right"/>
              <w:rPr>
                <w:rFonts w:asciiTheme="minorHAnsi" w:eastAsiaTheme="minorHAnsi" w:hAnsiTheme="minorHAnsi" w:cstheme="minorBidi"/>
                <w:color w:val="000000"/>
                <w:szCs w:val="20"/>
                <w:lang w:val="en-GB"/>
              </w:rPr>
            </w:pPr>
            <w:r w:rsidRPr="003B6A69">
              <w:rPr>
                <w:rFonts w:asciiTheme="minorHAnsi" w:eastAsiaTheme="minorHAnsi" w:hAnsiTheme="minorHAnsi" w:cstheme="minorBidi"/>
                <w:color w:val="000000"/>
                <w:szCs w:val="20"/>
                <w:lang w:val="en-GB"/>
              </w:rPr>
              <w:t>20,000</w:t>
            </w:r>
          </w:p>
        </w:tc>
      </w:tr>
      <w:tr w:rsidR="008C4F26" w:rsidRPr="003B6A69" w14:paraId="328597B3" w14:textId="77777777" w:rsidTr="00661293">
        <w:trPr>
          <w:trHeight w:val="58"/>
        </w:trPr>
        <w:tc>
          <w:tcPr>
            <w:tcW w:w="2598" w:type="dxa"/>
            <w:tcBorders>
              <w:top w:val="nil"/>
              <w:left w:val="single" w:sz="4" w:space="0" w:color="auto"/>
              <w:bottom w:val="single" w:sz="4" w:space="0" w:color="auto"/>
              <w:right w:val="single" w:sz="4" w:space="0" w:color="auto"/>
            </w:tcBorders>
            <w:shd w:val="clear" w:color="auto" w:fill="auto"/>
            <w:vAlign w:val="bottom"/>
            <w:hideMark/>
          </w:tcPr>
          <w:p w14:paraId="4221442E" w14:textId="77777777" w:rsidR="008C4F26" w:rsidRPr="003B6A69" w:rsidRDefault="008C4F26" w:rsidP="00661293">
            <w:pPr>
              <w:spacing w:after="120"/>
              <w:jc w:val="left"/>
              <w:rPr>
                <w:rFonts w:asciiTheme="minorHAnsi" w:eastAsiaTheme="minorHAnsi" w:hAnsiTheme="minorHAnsi" w:cstheme="minorBidi"/>
                <w:color w:val="000000"/>
                <w:szCs w:val="20"/>
                <w:lang w:val="en-GB"/>
              </w:rPr>
            </w:pPr>
            <w:proofErr w:type="spellStart"/>
            <w:r w:rsidRPr="003B6A69">
              <w:rPr>
                <w:rFonts w:asciiTheme="minorHAnsi" w:eastAsiaTheme="minorHAnsi" w:hAnsiTheme="minorHAnsi" w:cstheme="minorBidi"/>
                <w:color w:val="000000"/>
                <w:szCs w:val="20"/>
                <w:lang w:val="en-GB"/>
              </w:rPr>
              <w:t>Tivatska</w:t>
            </w:r>
            <w:proofErr w:type="spellEnd"/>
            <w:r w:rsidRPr="003B6A69">
              <w:rPr>
                <w:rFonts w:asciiTheme="minorHAnsi" w:eastAsiaTheme="minorHAnsi" w:hAnsiTheme="minorHAnsi" w:cstheme="minorBidi"/>
                <w:color w:val="000000"/>
                <w:szCs w:val="20"/>
                <w:lang w:val="en-GB"/>
              </w:rPr>
              <w:t xml:space="preserve"> </w:t>
            </w:r>
            <w:proofErr w:type="spellStart"/>
            <w:r w:rsidRPr="003B6A69">
              <w:rPr>
                <w:rFonts w:asciiTheme="minorHAnsi" w:eastAsiaTheme="minorHAnsi" w:hAnsiTheme="minorHAnsi" w:cstheme="minorBidi"/>
                <w:color w:val="000000"/>
                <w:szCs w:val="20"/>
                <w:lang w:val="en-GB"/>
              </w:rPr>
              <w:t>Solila</w:t>
            </w:r>
            <w:proofErr w:type="spellEnd"/>
          </w:p>
        </w:tc>
        <w:tc>
          <w:tcPr>
            <w:tcW w:w="3592" w:type="dxa"/>
            <w:tcBorders>
              <w:top w:val="nil"/>
              <w:left w:val="nil"/>
              <w:bottom w:val="single" w:sz="4" w:space="0" w:color="auto"/>
              <w:right w:val="single" w:sz="4" w:space="0" w:color="auto"/>
            </w:tcBorders>
            <w:shd w:val="clear" w:color="auto" w:fill="auto"/>
            <w:vAlign w:val="bottom"/>
            <w:hideMark/>
          </w:tcPr>
          <w:p w14:paraId="114180DD" w14:textId="77777777" w:rsidR="008C4F26" w:rsidRPr="003B6A69" w:rsidRDefault="008C4F26" w:rsidP="00661293">
            <w:pPr>
              <w:spacing w:after="120"/>
              <w:jc w:val="left"/>
              <w:rPr>
                <w:rFonts w:asciiTheme="minorHAnsi" w:eastAsiaTheme="minorHAnsi" w:hAnsiTheme="minorHAnsi" w:cstheme="minorBidi"/>
                <w:color w:val="000000"/>
                <w:szCs w:val="20"/>
                <w:lang w:val="en-GB"/>
              </w:rPr>
            </w:pPr>
            <w:r w:rsidRPr="003B6A69">
              <w:rPr>
                <w:rFonts w:asciiTheme="minorHAnsi" w:eastAsiaTheme="minorHAnsi" w:hAnsiTheme="minorHAnsi" w:cstheme="minorBidi"/>
                <w:color w:val="000000"/>
                <w:szCs w:val="20"/>
                <w:lang w:val="en-GB"/>
              </w:rPr>
              <w:t>Ramsar</w:t>
            </w:r>
          </w:p>
        </w:tc>
        <w:tc>
          <w:tcPr>
            <w:tcW w:w="1123" w:type="dxa"/>
            <w:tcBorders>
              <w:top w:val="nil"/>
              <w:left w:val="nil"/>
              <w:bottom w:val="single" w:sz="4" w:space="0" w:color="auto"/>
              <w:right w:val="single" w:sz="4" w:space="0" w:color="auto"/>
            </w:tcBorders>
            <w:shd w:val="clear" w:color="auto" w:fill="auto"/>
            <w:noWrap/>
            <w:vAlign w:val="center"/>
            <w:hideMark/>
          </w:tcPr>
          <w:p w14:paraId="18F96432" w14:textId="77777777" w:rsidR="008C4F26" w:rsidRPr="003B6A69" w:rsidRDefault="008C4F26" w:rsidP="00661293">
            <w:pPr>
              <w:spacing w:after="120"/>
              <w:jc w:val="right"/>
              <w:rPr>
                <w:rFonts w:asciiTheme="minorHAnsi" w:eastAsiaTheme="minorHAnsi" w:hAnsiTheme="minorHAnsi" w:cstheme="minorBidi"/>
                <w:color w:val="000000"/>
                <w:szCs w:val="20"/>
                <w:lang w:val="en-GB"/>
              </w:rPr>
            </w:pPr>
            <w:r w:rsidRPr="003B6A69">
              <w:rPr>
                <w:rFonts w:asciiTheme="minorHAnsi" w:eastAsiaTheme="minorHAnsi" w:hAnsiTheme="minorHAnsi" w:cstheme="minorBidi"/>
                <w:color w:val="000000"/>
                <w:szCs w:val="20"/>
                <w:lang w:val="en-GB"/>
              </w:rPr>
              <w:t>150</w:t>
            </w:r>
          </w:p>
        </w:tc>
      </w:tr>
      <w:tr w:rsidR="008C4F26" w:rsidRPr="003B6A69" w14:paraId="3C062584" w14:textId="77777777" w:rsidTr="00661293">
        <w:trPr>
          <w:trHeight w:val="58"/>
        </w:trPr>
        <w:tc>
          <w:tcPr>
            <w:tcW w:w="2598" w:type="dxa"/>
            <w:tcBorders>
              <w:top w:val="nil"/>
              <w:left w:val="single" w:sz="4" w:space="0" w:color="auto"/>
              <w:bottom w:val="single" w:sz="4" w:space="0" w:color="auto"/>
              <w:right w:val="single" w:sz="4" w:space="0" w:color="auto"/>
            </w:tcBorders>
            <w:shd w:val="clear" w:color="auto" w:fill="auto"/>
            <w:vAlign w:val="bottom"/>
            <w:hideMark/>
          </w:tcPr>
          <w:p w14:paraId="4A197715" w14:textId="77777777" w:rsidR="008C4F26" w:rsidRPr="003B6A69" w:rsidRDefault="008C4F26" w:rsidP="00661293">
            <w:pPr>
              <w:spacing w:after="120"/>
              <w:jc w:val="left"/>
              <w:rPr>
                <w:rFonts w:asciiTheme="minorHAnsi" w:eastAsiaTheme="minorHAnsi" w:hAnsiTheme="minorHAnsi" w:cstheme="minorBidi"/>
                <w:color w:val="000000"/>
                <w:szCs w:val="20"/>
                <w:lang w:val="en-GB"/>
              </w:rPr>
            </w:pPr>
            <w:proofErr w:type="spellStart"/>
            <w:r w:rsidRPr="003B6A69">
              <w:rPr>
                <w:rFonts w:asciiTheme="minorHAnsi" w:eastAsiaTheme="minorHAnsi" w:hAnsiTheme="minorHAnsi" w:cstheme="minorBidi"/>
                <w:color w:val="000000"/>
                <w:szCs w:val="20"/>
                <w:lang w:val="en-GB"/>
              </w:rPr>
              <w:t>Ulcinjska</w:t>
            </w:r>
            <w:proofErr w:type="spellEnd"/>
            <w:r w:rsidRPr="003B6A69">
              <w:rPr>
                <w:rFonts w:asciiTheme="minorHAnsi" w:eastAsiaTheme="minorHAnsi" w:hAnsiTheme="minorHAnsi" w:cstheme="minorBidi"/>
                <w:color w:val="000000"/>
                <w:szCs w:val="20"/>
                <w:lang w:val="en-GB"/>
              </w:rPr>
              <w:t xml:space="preserve"> Solana</w:t>
            </w:r>
          </w:p>
        </w:tc>
        <w:tc>
          <w:tcPr>
            <w:tcW w:w="3592" w:type="dxa"/>
            <w:tcBorders>
              <w:top w:val="nil"/>
              <w:left w:val="nil"/>
              <w:bottom w:val="single" w:sz="4" w:space="0" w:color="auto"/>
              <w:right w:val="single" w:sz="4" w:space="0" w:color="auto"/>
            </w:tcBorders>
            <w:shd w:val="clear" w:color="auto" w:fill="auto"/>
            <w:vAlign w:val="bottom"/>
            <w:hideMark/>
          </w:tcPr>
          <w:p w14:paraId="4DFA3E4A" w14:textId="77777777" w:rsidR="008C4F26" w:rsidRPr="003B6A69" w:rsidRDefault="008C4F26" w:rsidP="00661293">
            <w:pPr>
              <w:spacing w:after="120"/>
              <w:jc w:val="left"/>
              <w:rPr>
                <w:rFonts w:asciiTheme="minorHAnsi" w:eastAsiaTheme="minorHAnsi" w:hAnsiTheme="minorHAnsi" w:cstheme="minorBidi"/>
                <w:color w:val="000000"/>
                <w:szCs w:val="20"/>
                <w:lang w:val="en-GB"/>
              </w:rPr>
            </w:pPr>
            <w:r w:rsidRPr="003B6A69">
              <w:rPr>
                <w:rFonts w:asciiTheme="minorHAnsi" w:eastAsiaTheme="minorHAnsi" w:hAnsiTheme="minorHAnsi" w:cstheme="minorBidi"/>
                <w:color w:val="000000"/>
                <w:szCs w:val="20"/>
                <w:lang w:val="en-GB"/>
              </w:rPr>
              <w:t>Ramsar</w:t>
            </w:r>
          </w:p>
        </w:tc>
        <w:tc>
          <w:tcPr>
            <w:tcW w:w="1123" w:type="dxa"/>
            <w:tcBorders>
              <w:top w:val="nil"/>
              <w:left w:val="nil"/>
              <w:bottom w:val="single" w:sz="4" w:space="0" w:color="auto"/>
              <w:right w:val="single" w:sz="4" w:space="0" w:color="auto"/>
            </w:tcBorders>
            <w:shd w:val="clear" w:color="auto" w:fill="auto"/>
            <w:noWrap/>
            <w:vAlign w:val="center"/>
            <w:hideMark/>
          </w:tcPr>
          <w:p w14:paraId="143478AC" w14:textId="77777777" w:rsidR="008C4F26" w:rsidRPr="003B6A69" w:rsidRDefault="008C4F26" w:rsidP="00661293">
            <w:pPr>
              <w:spacing w:after="120"/>
              <w:jc w:val="right"/>
              <w:rPr>
                <w:rFonts w:asciiTheme="minorHAnsi" w:eastAsiaTheme="minorHAnsi" w:hAnsiTheme="minorHAnsi" w:cstheme="minorBidi"/>
                <w:color w:val="000000"/>
                <w:szCs w:val="20"/>
                <w:lang w:val="en-GB"/>
              </w:rPr>
            </w:pPr>
            <w:r w:rsidRPr="003B6A69">
              <w:rPr>
                <w:rFonts w:asciiTheme="minorHAnsi" w:eastAsiaTheme="minorHAnsi" w:hAnsiTheme="minorHAnsi" w:cstheme="minorBidi"/>
                <w:color w:val="000000"/>
                <w:szCs w:val="20"/>
                <w:lang w:val="en-GB"/>
              </w:rPr>
              <w:t>1,477</w:t>
            </w:r>
          </w:p>
        </w:tc>
      </w:tr>
    </w:tbl>
    <w:p w14:paraId="52DA1A49" w14:textId="77777777" w:rsidR="008C4F26" w:rsidRPr="003B6A69" w:rsidRDefault="008C4F26" w:rsidP="00661293">
      <w:pPr>
        <w:spacing w:after="120"/>
        <w:jc w:val="left"/>
        <w:rPr>
          <w:rFonts w:asciiTheme="minorHAnsi" w:eastAsia="Times New Roman" w:hAnsiTheme="minorHAnsi"/>
          <w:noProof/>
          <w:color w:val="000000"/>
          <w:szCs w:val="20"/>
          <w:lang w:val="en-GB"/>
        </w:rPr>
      </w:pPr>
    </w:p>
    <w:p w14:paraId="142F3A7D" w14:textId="28303324" w:rsidR="008C4F26" w:rsidRPr="003B6A69" w:rsidRDefault="008C4F26" w:rsidP="00661293">
      <w:pPr>
        <w:spacing w:after="120"/>
        <w:rPr>
          <w:rFonts w:asciiTheme="minorHAnsi" w:eastAsia="Times New Roman" w:hAnsiTheme="minorHAnsi"/>
          <w:noProof/>
          <w:color w:val="000000"/>
          <w:szCs w:val="20"/>
          <w:lang w:val="en-GB"/>
        </w:rPr>
      </w:pPr>
      <w:r w:rsidRPr="003B6A69">
        <w:rPr>
          <w:rFonts w:asciiTheme="minorHAnsi" w:eastAsia="Times New Roman" w:hAnsiTheme="minorHAnsi"/>
          <w:noProof/>
          <w:color w:val="000000"/>
          <w:szCs w:val="20"/>
          <w:lang w:val="en-GB"/>
        </w:rPr>
        <w:t xml:space="preserve">The total area with the international protection status covers 287,707 ha (including the buffer zone of UNESCO Kotor). Some of it overlaps with the national protected areas and is fully or partially managed through the existing PA management structures. This refers to the following: </w:t>
      </w:r>
    </w:p>
    <w:p w14:paraId="72E38A53" w14:textId="77777777" w:rsidR="008C4F26" w:rsidRPr="003B6A69" w:rsidRDefault="008C4F26" w:rsidP="00661293">
      <w:pPr>
        <w:spacing w:after="120"/>
        <w:rPr>
          <w:rFonts w:asciiTheme="minorHAnsi" w:eastAsia="Times New Roman" w:hAnsiTheme="minorHAnsi"/>
          <w:noProof/>
          <w:color w:val="000000"/>
          <w:szCs w:val="20"/>
          <w:lang w:val="en-GB"/>
        </w:rPr>
      </w:pPr>
      <w:r w:rsidRPr="003B6A69">
        <w:rPr>
          <w:rFonts w:asciiTheme="minorHAnsi" w:eastAsia="Times New Roman" w:hAnsiTheme="minorHAnsi"/>
          <w:noProof/>
          <w:color w:val="000000"/>
          <w:szCs w:val="20"/>
          <w:lang w:val="en-GB"/>
        </w:rPr>
        <w:t xml:space="preserve">- Natural and Culture-Historical Region of Kotor does not overlap with the existing protected areas, though its wider buffer zone includes Tivatska Solila and partially overlaps with Nature Park Orjen. The area is managed by the Council for the Management of Natural and Culture-Historical Region of Kotor, on the basis of the management plan endorsed in 2011. The Government has been accepting the reports on the Plan's implementation, and since its period of validity is expiring, a new one is currently being prepared. </w:t>
      </w:r>
    </w:p>
    <w:p w14:paraId="1E3E85D8" w14:textId="77777777" w:rsidR="008C4F26" w:rsidRPr="003B6A69" w:rsidRDefault="008C4F26" w:rsidP="00661293">
      <w:pPr>
        <w:spacing w:after="120"/>
        <w:rPr>
          <w:rFonts w:asciiTheme="minorHAnsi" w:eastAsia="Times New Roman" w:hAnsiTheme="minorHAnsi"/>
          <w:noProof/>
          <w:color w:val="000000"/>
          <w:szCs w:val="20"/>
          <w:lang w:val="en-GB"/>
        </w:rPr>
      </w:pPr>
      <w:r w:rsidRPr="003B6A69">
        <w:rPr>
          <w:rFonts w:asciiTheme="minorHAnsi" w:eastAsia="Times New Roman" w:hAnsiTheme="minorHAnsi"/>
          <w:noProof/>
          <w:color w:val="000000"/>
          <w:szCs w:val="20"/>
          <w:lang w:val="en-GB"/>
        </w:rPr>
        <w:t xml:space="preserve">- The </w:t>
      </w:r>
      <w:r w:rsidRPr="003B6A69">
        <w:rPr>
          <w:rFonts w:asciiTheme="minorHAnsi" w:eastAsia="Times New Roman" w:hAnsiTheme="minorHAnsi"/>
          <w:b/>
          <w:noProof/>
          <w:color w:val="000000"/>
          <w:szCs w:val="20"/>
          <w:lang w:val="en-GB"/>
        </w:rPr>
        <w:t>Tara River Basin Man and Biosphere reserve</w:t>
      </w:r>
      <w:r w:rsidRPr="003B6A69">
        <w:rPr>
          <w:rFonts w:asciiTheme="minorHAnsi" w:eastAsia="Times New Roman" w:hAnsiTheme="minorHAnsi"/>
          <w:noProof/>
          <w:color w:val="000000"/>
          <w:szCs w:val="20"/>
          <w:lang w:val="en-GB"/>
        </w:rPr>
        <w:t xml:space="preserve"> covers a wide area (around 13,2% of Montenegro). 63.115,9 ha (34,5%) of that surface overlaps with the existing national protected areas - national parks Durmitor and  Biogradska Gora (both are 100% within the MaB), nature parks Piva (17% overlap with the MaB), Komovi (74%) and Dragisnica and Komarnica (84%). Although proclaimed in 1977 and having such a wide area, the MaB reserve has only recently started functioning as such. Some parts of the MaB area are managed through the protected areas that have active management (Durmitor, Biogradska Gora and Piva), though these plans do not make any special references to MaB nor extend to buffer zones beyond the parks' borders. Recently, a coordination body was formed and an Action Plan for the Tara River Biosphere Reserve (2018) has been designed, aiming to kick off the integrated protection, management and use of the Reserve. </w:t>
      </w:r>
    </w:p>
    <w:p w14:paraId="5FA17454" w14:textId="77777777" w:rsidR="008C4F26" w:rsidRPr="003B6A69" w:rsidRDefault="008C4F26" w:rsidP="00661293">
      <w:pPr>
        <w:spacing w:after="120"/>
        <w:rPr>
          <w:rFonts w:asciiTheme="minorHAnsi" w:eastAsia="Times New Roman" w:hAnsiTheme="minorHAnsi"/>
          <w:noProof/>
          <w:color w:val="000000"/>
          <w:szCs w:val="20"/>
          <w:lang w:val="en-GB"/>
        </w:rPr>
      </w:pPr>
      <w:r w:rsidRPr="003B6A69">
        <w:rPr>
          <w:rFonts w:asciiTheme="minorHAnsi" w:eastAsia="Times New Roman" w:hAnsiTheme="minorHAnsi"/>
          <w:noProof/>
          <w:color w:val="000000"/>
          <w:szCs w:val="20"/>
          <w:lang w:val="en-GB"/>
        </w:rPr>
        <w:t xml:space="preserve">- </w:t>
      </w:r>
      <w:r w:rsidRPr="003B6A69">
        <w:rPr>
          <w:rFonts w:asciiTheme="minorHAnsi" w:eastAsia="Times New Roman" w:hAnsiTheme="minorHAnsi"/>
          <w:b/>
          <w:noProof/>
          <w:color w:val="000000"/>
          <w:szCs w:val="20"/>
          <w:lang w:val="en-GB"/>
        </w:rPr>
        <w:t>Durmitor World Heritage site</w:t>
      </w:r>
      <w:r w:rsidRPr="003B6A69">
        <w:rPr>
          <w:rFonts w:asciiTheme="minorHAnsi" w:eastAsia="Times New Roman" w:hAnsiTheme="minorHAnsi"/>
          <w:noProof/>
          <w:color w:val="000000"/>
          <w:szCs w:val="20"/>
          <w:lang w:val="en-GB"/>
        </w:rPr>
        <w:t xml:space="preserve"> - The border of the UNESCO WH site used to coincide with the borders of the national park. However, in 2005 and 2013, certain parts of the park were exluded from the protected area due to urbanisation and illegal </w:t>
      </w:r>
      <w:r w:rsidRPr="003B6A69">
        <w:rPr>
          <w:rFonts w:asciiTheme="minorHAnsi" w:eastAsia="Times New Roman" w:hAnsiTheme="minorHAnsi"/>
          <w:noProof/>
          <w:color w:val="000000"/>
          <w:szCs w:val="20"/>
          <w:lang w:val="en-GB"/>
        </w:rPr>
        <w:lastRenderedPageBreak/>
        <w:t xml:space="preserve">construction (like the town of Zabljak and the adjacent territories), while the borders of the WH property remained the same. Although the UNESCO evaluation mission recommended compensation for this loss, it has not taken place and the discrepancy between the two borders remains. Despite that, most of the WH site is managed through the National Park, on the basis of the Park's management plan. Although this plan includes measures for biodiversity conservation, public participation, etc., they are not specifically tailored towards preservation of the Outstanding Universal Values of Durmitor as a WH site. </w:t>
      </w:r>
    </w:p>
    <w:p w14:paraId="4FF89195" w14:textId="77777777" w:rsidR="008C4F26" w:rsidRPr="003B6A69" w:rsidRDefault="008C4F26" w:rsidP="00661293">
      <w:pPr>
        <w:spacing w:after="120"/>
        <w:rPr>
          <w:rFonts w:asciiTheme="minorHAnsi" w:eastAsia="Times New Roman" w:hAnsiTheme="minorHAnsi"/>
          <w:noProof/>
          <w:color w:val="000000"/>
          <w:szCs w:val="20"/>
          <w:lang w:val="en-GB"/>
        </w:rPr>
      </w:pPr>
      <w:r w:rsidRPr="003B6A69">
        <w:rPr>
          <w:rFonts w:asciiTheme="minorHAnsi" w:eastAsia="Times New Roman" w:hAnsiTheme="minorHAnsi"/>
          <w:noProof/>
          <w:color w:val="000000"/>
          <w:szCs w:val="20"/>
          <w:lang w:val="en-GB"/>
        </w:rPr>
        <w:t xml:space="preserve">- </w:t>
      </w:r>
      <w:r w:rsidRPr="003B6A69">
        <w:rPr>
          <w:rFonts w:asciiTheme="minorHAnsi" w:eastAsia="Times New Roman" w:hAnsiTheme="minorHAnsi"/>
          <w:b/>
          <w:noProof/>
          <w:color w:val="000000"/>
          <w:szCs w:val="20"/>
          <w:lang w:val="en-GB"/>
        </w:rPr>
        <w:t>Skadar Lake</w:t>
      </w:r>
      <w:r w:rsidRPr="003B6A69">
        <w:rPr>
          <w:rFonts w:asciiTheme="minorHAnsi" w:eastAsia="Times New Roman" w:hAnsiTheme="minorHAnsi"/>
          <w:noProof/>
          <w:color w:val="000000"/>
          <w:szCs w:val="20"/>
          <w:lang w:val="en-GB"/>
        </w:rPr>
        <w:t xml:space="preserve"> – 20,000 ha were included in the Ramsar list in 2019. This covers the aquatic surface of the Lake and parts of the shoreline wetlands and comprises half the area of the National Park. Although the exact borders of the Ramsar site are not available, the Ramsar site is located within the National Park, so it is managed through the Park structures and on the basis of the management plan. As is the case with Durmitor UNESCO WH site, in the management plan there are no special provisions with regard to the Ramsar requirements. </w:t>
      </w:r>
    </w:p>
    <w:p w14:paraId="0DF5DD85" w14:textId="7F0A1B69" w:rsidR="008C4F26" w:rsidRPr="003B6A69" w:rsidRDefault="008C4F26" w:rsidP="00661293">
      <w:pPr>
        <w:spacing w:after="120"/>
        <w:rPr>
          <w:rFonts w:asciiTheme="minorHAnsi" w:eastAsia="Times New Roman" w:hAnsiTheme="minorHAnsi"/>
          <w:noProof/>
          <w:color w:val="000000"/>
          <w:szCs w:val="20"/>
          <w:lang w:val="en-GB"/>
        </w:rPr>
      </w:pPr>
      <w:r w:rsidRPr="003B6A69">
        <w:rPr>
          <w:rFonts w:asciiTheme="minorHAnsi" w:eastAsia="Times New Roman" w:hAnsiTheme="minorHAnsi"/>
          <w:noProof/>
          <w:color w:val="000000"/>
          <w:szCs w:val="20"/>
          <w:lang w:val="en-GB"/>
        </w:rPr>
        <w:t xml:space="preserve">- </w:t>
      </w:r>
      <w:r w:rsidRPr="003B6A69">
        <w:rPr>
          <w:rFonts w:asciiTheme="minorHAnsi" w:eastAsia="Times New Roman" w:hAnsiTheme="minorHAnsi"/>
          <w:b/>
          <w:noProof/>
          <w:color w:val="000000"/>
          <w:szCs w:val="20"/>
          <w:lang w:val="en-GB"/>
        </w:rPr>
        <w:t>Tivatska solila</w:t>
      </w:r>
      <w:r w:rsidRPr="003B6A69">
        <w:rPr>
          <w:rFonts w:asciiTheme="minorHAnsi" w:eastAsia="Times New Roman" w:hAnsiTheme="minorHAnsi"/>
          <w:noProof/>
          <w:color w:val="000000"/>
          <w:szCs w:val="20"/>
          <w:lang w:val="en-GB"/>
        </w:rPr>
        <w:t xml:space="preserve"> - the protected area coincides with the Ramsar site. </w:t>
      </w:r>
      <w:r w:rsidR="00E06AE4" w:rsidRPr="003B6A69">
        <w:rPr>
          <w:rFonts w:asciiTheme="minorHAnsi" w:eastAsia="Times New Roman" w:hAnsiTheme="minorHAnsi"/>
          <w:noProof/>
          <w:color w:val="000000"/>
          <w:szCs w:val="20"/>
        </w:rPr>
        <w:t>Morsko Dobro manages the area since 2014. For 2016-2019, the management effort complemented by extra funding from Euronatur and the German Government was aimed at the promotion of the area as a tourism destination. The area has a visitor management programme, visitor infrastructure (observation points, info boards, a bird-watching trail),  employs regular tourist guide service, has an ecotourism promotion toolkit, and implements educational activities for primary and secondary school children.</w:t>
      </w:r>
    </w:p>
    <w:p w14:paraId="2C3FE95F" w14:textId="77777777" w:rsidR="008C4F26" w:rsidRPr="003B6A69" w:rsidRDefault="008C4F26" w:rsidP="00661293">
      <w:pPr>
        <w:spacing w:after="120"/>
        <w:rPr>
          <w:rFonts w:asciiTheme="minorHAnsi" w:eastAsia="Times New Roman" w:hAnsiTheme="minorHAnsi"/>
          <w:noProof/>
          <w:color w:val="000000"/>
          <w:szCs w:val="20"/>
          <w:lang w:val="en-GB"/>
        </w:rPr>
      </w:pPr>
      <w:r w:rsidRPr="003B6A69">
        <w:rPr>
          <w:rFonts w:asciiTheme="minorHAnsi" w:eastAsia="Times New Roman" w:hAnsiTheme="minorHAnsi"/>
          <w:noProof/>
          <w:color w:val="000000"/>
          <w:szCs w:val="20"/>
          <w:lang w:val="en-GB"/>
        </w:rPr>
        <w:t xml:space="preserve">- </w:t>
      </w:r>
      <w:r w:rsidRPr="003B6A69">
        <w:rPr>
          <w:rFonts w:asciiTheme="minorHAnsi" w:eastAsia="Times New Roman" w:hAnsiTheme="minorHAnsi"/>
          <w:b/>
          <w:noProof/>
          <w:color w:val="000000"/>
          <w:szCs w:val="20"/>
          <w:lang w:val="en-GB"/>
        </w:rPr>
        <w:t>Ulcinjska solana</w:t>
      </w:r>
      <w:r w:rsidRPr="003B6A69">
        <w:rPr>
          <w:rFonts w:asciiTheme="minorHAnsi" w:eastAsia="Times New Roman" w:hAnsiTheme="minorHAnsi"/>
          <w:noProof/>
          <w:color w:val="000000"/>
          <w:szCs w:val="20"/>
          <w:lang w:val="en-GB"/>
        </w:rPr>
        <w:t xml:space="preserve"> - has a recent Ramsar listing (2019). Since the establishment of the reserve, it has temporarily been managed by the PE National Parks of Montenegro (PENP). PENP has been managing the site on the basis of the annual workplan for 2019-2020. </w:t>
      </w:r>
    </w:p>
    <w:p w14:paraId="2AE8A1E0" w14:textId="77777777" w:rsidR="008C4F26" w:rsidRPr="003B6A69" w:rsidRDefault="008C4F26" w:rsidP="00661293">
      <w:pPr>
        <w:spacing w:after="120"/>
        <w:rPr>
          <w:rFonts w:asciiTheme="minorHAnsi" w:eastAsia="Times New Roman" w:hAnsiTheme="minorHAnsi"/>
          <w:noProof/>
          <w:color w:val="000000"/>
          <w:szCs w:val="20"/>
          <w:lang w:val="en-GB"/>
        </w:rPr>
      </w:pPr>
      <w:r w:rsidRPr="003B6A69">
        <w:rPr>
          <w:rFonts w:asciiTheme="minorHAnsi" w:eastAsia="Times New Roman" w:hAnsiTheme="minorHAnsi"/>
          <w:noProof/>
          <w:color w:val="000000"/>
          <w:szCs w:val="20"/>
          <w:lang w:val="en-GB"/>
        </w:rPr>
        <w:t xml:space="preserve">This temporary management arrangement expires in 2020, when the Municipality of Ulcinj is supposed to found an enterprise (company) for managing the protected area. The reserve does not currently have a management plan (it is under development) nor has it been managed in accordance with the Ramsar guidelines.  </w:t>
      </w:r>
    </w:p>
    <w:p w14:paraId="6D8275B6" w14:textId="77777777" w:rsidR="008C4F26" w:rsidRPr="003B6A69" w:rsidRDefault="008C4F26" w:rsidP="00661293">
      <w:pPr>
        <w:spacing w:after="120"/>
        <w:rPr>
          <w:rFonts w:asciiTheme="minorHAnsi" w:eastAsia="Times New Roman" w:hAnsiTheme="minorHAnsi"/>
          <w:b/>
          <w:color w:val="000000"/>
          <w:spacing w:val="-2"/>
          <w:szCs w:val="20"/>
          <w:u w:val="single"/>
          <w:lang w:val="en-GB"/>
        </w:rPr>
      </w:pPr>
      <w:r w:rsidRPr="003B6A69">
        <w:rPr>
          <w:rFonts w:asciiTheme="minorHAnsi" w:eastAsia="Times New Roman" w:hAnsiTheme="minorHAnsi"/>
          <w:b/>
          <w:color w:val="000000"/>
          <w:spacing w:val="-2"/>
          <w:szCs w:val="20"/>
          <w:u w:val="single"/>
          <w:lang w:val="en-GB"/>
        </w:rPr>
        <w:t>Key Biodiversity Areas</w:t>
      </w:r>
    </w:p>
    <w:p w14:paraId="40EAAF6B" w14:textId="77777777" w:rsidR="008C4F26" w:rsidRPr="003B6A69" w:rsidRDefault="008C4F26" w:rsidP="00661293">
      <w:pPr>
        <w:widowControl w:val="0"/>
        <w:autoSpaceDE w:val="0"/>
        <w:autoSpaceDN w:val="0"/>
        <w:adjustRightInd w:val="0"/>
        <w:spacing w:after="120"/>
        <w:ind w:right="90"/>
        <w:rPr>
          <w:rFonts w:asciiTheme="minorHAnsi" w:eastAsiaTheme="minorHAnsi" w:hAnsiTheme="minorHAnsi" w:cstheme="minorBidi"/>
          <w:color w:val="000000"/>
          <w:spacing w:val="-2"/>
          <w:szCs w:val="20"/>
          <w:lang w:val="en-GB"/>
        </w:rPr>
      </w:pPr>
      <w:r w:rsidRPr="003B6A69">
        <w:rPr>
          <w:rFonts w:asciiTheme="minorHAnsi" w:eastAsiaTheme="minorHAnsi" w:hAnsiTheme="minorHAnsi" w:cstheme="minorBidi"/>
          <w:color w:val="000000"/>
          <w:spacing w:val="-2"/>
          <w:szCs w:val="20"/>
          <w:lang w:val="en-GB"/>
        </w:rPr>
        <w:t xml:space="preserve">Numerous areas of international importance with rare, </w:t>
      </w:r>
      <w:proofErr w:type="gramStart"/>
      <w:r w:rsidRPr="003B6A69">
        <w:rPr>
          <w:rFonts w:asciiTheme="minorHAnsi" w:eastAsiaTheme="minorHAnsi" w:hAnsiTheme="minorHAnsi" w:cstheme="minorBidi"/>
          <w:color w:val="000000"/>
          <w:spacing w:val="-2"/>
          <w:szCs w:val="20"/>
          <w:lang w:val="en-GB"/>
        </w:rPr>
        <w:t>endemic</w:t>
      </w:r>
      <w:proofErr w:type="gramEnd"/>
      <w:r w:rsidRPr="003B6A69">
        <w:rPr>
          <w:rFonts w:asciiTheme="minorHAnsi" w:eastAsiaTheme="minorHAnsi" w:hAnsiTheme="minorHAnsi" w:cstheme="minorBidi"/>
          <w:color w:val="000000"/>
          <w:spacing w:val="-2"/>
          <w:szCs w:val="20"/>
          <w:lang w:val="en-GB"/>
        </w:rPr>
        <w:t xml:space="preserve"> and endangered species have been identified in the country. The official list of KBAs, altogether covering some 145.5 thousand hectares, includes 19 areas listed below in Table 3: </w:t>
      </w:r>
    </w:p>
    <w:p w14:paraId="06586FB8" w14:textId="77777777" w:rsidR="008C4F26" w:rsidRPr="003B6A69" w:rsidRDefault="008C4F26" w:rsidP="00661293">
      <w:pPr>
        <w:spacing w:after="120"/>
        <w:rPr>
          <w:rFonts w:asciiTheme="minorHAnsi" w:eastAsiaTheme="minorHAnsi" w:hAnsiTheme="minorHAnsi" w:cstheme="minorBidi"/>
          <w:b/>
          <w:szCs w:val="20"/>
        </w:rPr>
      </w:pPr>
      <w:r w:rsidRPr="003B6A69">
        <w:rPr>
          <w:rFonts w:asciiTheme="minorHAnsi" w:eastAsiaTheme="minorHAnsi" w:hAnsiTheme="minorHAnsi" w:cstheme="minorBidi"/>
          <w:b/>
          <w:szCs w:val="20"/>
        </w:rPr>
        <w:t>Table 3: KBAs registered for Montenegro</w:t>
      </w:r>
    </w:p>
    <w:tbl>
      <w:tblPr>
        <w:tblW w:w="9720" w:type="dxa"/>
        <w:tblInd w:w="82" w:type="dxa"/>
        <w:tblLayout w:type="fixed"/>
        <w:tblLook w:val="0000" w:firstRow="0" w:lastRow="0" w:firstColumn="0" w:lastColumn="0" w:noHBand="0" w:noVBand="0"/>
      </w:tblPr>
      <w:tblGrid>
        <w:gridCol w:w="1800"/>
        <w:gridCol w:w="1890"/>
        <w:gridCol w:w="990"/>
        <w:gridCol w:w="1800"/>
        <w:gridCol w:w="3240"/>
      </w:tblGrid>
      <w:tr w:rsidR="008C4F26" w:rsidRPr="003B6A69" w14:paraId="632C5ACF" w14:textId="77777777" w:rsidTr="00661293">
        <w:trPr>
          <w:trHeight w:val="53"/>
        </w:trPr>
        <w:tc>
          <w:tcPr>
            <w:tcW w:w="1800" w:type="dxa"/>
            <w:tcBorders>
              <w:top w:val="single" w:sz="6" w:space="0" w:color="auto"/>
              <w:left w:val="single" w:sz="6" w:space="0" w:color="auto"/>
              <w:bottom w:val="single" w:sz="6" w:space="0" w:color="auto"/>
              <w:right w:val="single" w:sz="6" w:space="0" w:color="auto"/>
            </w:tcBorders>
          </w:tcPr>
          <w:p w14:paraId="09C2A324" w14:textId="77777777" w:rsidR="008C4F26" w:rsidRPr="003B6A69" w:rsidRDefault="008C4F26" w:rsidP="00661293">
            <w:pPr>
              <w:autoSpaceDE w:val="0"/>
              <w:autoSpaceDN w:val="0"/>
              <w:adjustRightInd w:val="0"/>
              <w:spacing w:after="0"/>
              <w:jc w:val="left"/>
              <w:rPr>
                <w:rFonts w:asciiTheme="minorHAnsi" w:eastAsiaTheme="minorHAnsi" w:hAnsiTheme="minorHAnsi" w:cstheme="minorBidi"/>
                <w:b/>
                <w:bCs/>
                <w:color w:val="000000"/>
                <w:szCs w:val="20"/>
              </w:rPr>
            </w:pPr>
            <w:proofErr w:type="spellStart"/>
            <w:r w:rsidRPr="003B6A69">
              <w:rPr>
                <w:rFonts w:asciiTheme="minorHAnsi" w:eastAsiaTheme="minorHAnsi" w:hAnsiTheme="minorHAnsi" w:cstheme="minorBidi"/>
                <w:b/>
                <w:bCs/>
                <w:color w:val="000000"/>
                <w:szCs w:val="20"/>
              </w:rPr>
              <w:t>SiteID</w:t>
            </w:r>
            <w:proofErr w:type="spellEnd"/>
          </w:p>
        </w:tc>
        <w:tc>
          <w:tcPr>
            <w:tcW w:w="1890" w:type="dxa"/>
            <w:tcBorders>
              <w:top w:val="single" w:sz="6" w:space="0" w:color="auto"/>
              <w:left w:val="single" w:sz="6" w:space="0" w:color="auto"/>
              <w:bottom w:val="single" w:sz="6" w:space="0" w:color="auto"/>
              <w:right w:val="single" w:sz="6" w:space="0" w:color="auto"/>
            </w:tcBorders>
          </w:tcPr>
          <w:p w14:paraId="0AF93F86" w14:textId="77777777" w:rsidR="008C4F26" w:rsidRPr="003B6A69" w:rsidRDefault="008C4F26" w:rsidP="00661293">
            <w:pPr>
              <w:autoSpaceDE w:val="0"/>
              <w:autoSpaceDN w:val="0"/>
              <w:adjustRightInd w:val="0"/>
              <w:spacing w:after="0"/>
              <w:jc w:val="left"/>
              <w:rPr>
                <w:rFonts w:asciiTheme="minorHAnsi" w:eastAsiaTheme="minorHAnsi" w:hAnsiTheme="minorHAnsi" w:cstheme="minorBidi"/>
                <w:b/>
                <w:bCs/>
                <w:color w:val="000000"/>
                <w:szCs w:val="20"/>
              </w:rPr>
            </w:pPr>
            <w:r w:rsidRPr="003B6A69">
              <w:rPr>
                <w:rFonts w:asciiTheme="minorHAnsi" w:eastAsiaTheme="minorHAnsi" w:hAnsiTheme="minorHAnsi" w:cstheme="minorBidi"/>
                <w:b/>
                <w:bCs/>
                <w:color w:val="000000"/>
                <w:szCs w:val="20"/>
              </w:rPr>
              <w:t>Name</w:t>
            </w:r>
          </w:p>
        </w:tc>
        <w:tc>
          <w:tcPr>
            <w:tcW w:w="990" w:type="dxa"/>
            <w:tcBorders>
              <w:top w:val="single" w:sz="6" w:space="0" w:color="auto"/>
              <w:left w:val="single" w:sz="6" w:space="0" w:color="auto"/>
              <w:bottom w:val="single" w:sz="6" w:space="0" w:color="auto"/>
              <w:right w:val="single" w:sz="6" w:space="0" w:color="auto"/>
            </w:tcBorders>
          </w:tcPr>
          <w:p w14:paraId="1706A7F0" w14:textId="77777777" w:rsidR="008C4F26" w:rsidRPr="003B6A69" w:rsidRDefault="008C4F26" w:rsidP="00661293">
            <w:pPr>
              <w:autoSpaceDE w:val="0"/>
              <w:autoSpaceDN w:val="0"/>
              <w:adjustRightInd w:val="0"/>
              <w:spacing w:after="0"/>
              <w:jc w:val="left"/>
              <w:rPr>
                <w:rFonts w:asciiTheme="minorHAnsi" w:eastAsiaTheme="minorHAnsi" w:hAnsiTheme="minorHAnsi" w:cstheme="minorBidi"/>
                <w:b/>
                <w:bCs/>
                <w:color w:val="000000"/>
                <w:szCs w:val="20"/>
              </w:rPr>
            </w:pPr>
            <w:r w:rsidRPr="003B6A69">
              <w:rPr>
                <w:rFonts w:asciiTheme="minorHAnsi" w:eastAsiaTheme="minorHAnsi" w:hAnsiTheme="minorHAnsi" w:cstheme="minorBidi"/>
                <w:b/>
                <w:bCs/>
                <w:color w:val="000000"/>
                <w:szCs w:val="20"/>
              </w:rPr>
              <w:t>Area, ha</w:t>
            </w:r>
          </w:p>
        </w:tc>
        <w:tc>
          <w:tcPr>
            <w:tcW w:w="1800" w:type="dxa"/>
            <w:tcBorders>
              <w:top w:val="single" w:sz="6" w:space="0" w:color="auto"/>
              <w:left w:val="single" w:sz="6" w:space="0" w:color="auto"/>
              <w:bottom w:val="single" w:sz="6" w:space="0" w:color="auto"/>
              <w:right w:val="single" w:sz="6" w:space="0" w:color="auto"/>
            </w:tcBorders>
          </w:tcPr>
          <w:p w14:paraId="756554C3" w14:textId="77777777" w:rsidR="008C4F26" w:rsidRPr="003B6A69" w:rsidRDefault="008C4F26" w:rsidP="00661293">
            <w:pPr>
              <w:autoSpaceDE w:val="0"/>
              <w:autoSpaceDN w:val="0"/>
              <w:adjustRightInd w:val="0"/>
              <w:spacing w:after="0"/>
              <w:jc w:val="left"/>
              <w:rPr>
                <w:rFonts w:asciiTheme="minorHAnsi" w:eastAsiaTheme="minorHAnsi" w:hAnsiTheme="minorHAnsi" w:cstheme="minorBidi"/>
                <w:b/>
                <w:bCs/>
                <w:szCs w:val="20"/>
              </w:rPr>
            </w:pPr>
            <w:r w:rsidRPr="003B6A69">
              <w:rPr>
                <w:rFonts w:asciiTheme="minorHAnsi" w:eastAsiaTheme="minorHAnsi" w:hAnsiTheme="minorHAnsi" w:cstheme="minorBidi"/>
                <w:b/>
                <w:bCs/>
                <w:szCs w:val="20"/>
              </w:rPr>
              <w:t>Status of a National Protected Area in Montenegro</w:t>
            </w:r>
          </w:p>
        </w:tc>
        <w:tc>
          <w:tcPr>
            <w:tcW w:w="3240" w:type="dxa"/>
            <w:tcBorders>
              <w:top w:val="single" w:sz="6" w:space="0" w:color="auto"/>
              <w:left w:val="single" w:sz="6" w:space="0" w:color="auto"/>
              <w:bottom w:val="single" w:sz="6" w:space="0" w:color="auto"/>
              <w:right w:val="single" w:sz="6" w:space="0" w:color="auto"/>
            </w:tcBorders>
          </w:tcPr>
          <w:p w14:paraId="4B71ADFB" w14:textId="77777777" w:rsidR="008C4F26" w:rsidRPr="003B6A69" w:rsidRDefault="008C4F26" w:rsidP="00661293">
            <w:pPr>
              <w:autoSpaceDE w:val="0"/>
              <w:autoSpaceDN w:val="0"/>
              <w:adjustRightInd w:val="0"/>
              <w:spacing w:after="0"/>
              <w:jc w:val="left"/>
              <w:rPr>
                <w:rFonts w:asciiTheme="minorHAnsi" w:eastAsiaTheme="minorHAnsi" w:hAnsiTheme="minorHAnsi" w:cstheme="minorBidi"/>
                <w:b/>
                <w:bCs/>
                <w:szCs w:val="20"/>
              </w:rPr>
            </w:pPr>
            <w:r w:rsidRPr="003B6A69">
              <w:rPr>
                <w:rFonts w:asciiTheme="minorHAnsi" w:eastAsiaTheme="minorHAnsi" w:hAnsiTheme="minorHAnsi" w:cstheme="minorBidi"/>
                <w:b/>
                <w:spacing w:val="-2"/>
                <w:szCs w:val="20"/>
                <w:lang w:val="en-GB"/>
              </w:rPr>
              <w:t>International protection/recognition status but no national protection status</w:t>
            </w:r>
          </w:p>
        </w:tc>
      </w:tr>
      <w:tr w:rsidR="008C4F26" w:rsidRPr="003B6A69" w14:paraId="72F8AEF1" w14:textId="77777777" w:rsidTr="00661293">
        <w:trPr>
          <w:trHeight w:val="53"/>
        </w:trPr>
        <w:tc>
          <w:tcPr>
            <w:tcW w:w="1800" w:type="dxa"/>
            <w:tcBorders>
              <w:top w:val="single" w:sz="6" w:space="0" w:color="auto"/>
              <w:left w:val="single" w:sz="6" w:space="0" w:color="auto"/>
              <w:bottom w:val="single" w:sz="6" w:space="0" w:color="auto"/>
              <w:right w:val="single" w:sz="6" w:space="0" w:color="auto"/>
            </w:tcBorders>
          </w:tcPr>
          <w:p w14:paraId="37A4B53B" w14:textId="77777777" w:rsidR="008C4F26" w:rsidRPr="003B6A69" w:rsidRDefault="008C4F26" w:rsidP="00661293">
            <w:pPr>
              <w:autoSpaceDE w:val="0"/>
              <w:autoSpaceDN w:val="0"/>
              <w:adjustRightInd w:val="0"/>
              <w:spacing w:after="0"/>
              <w:jc w:val="right"/>
              <w:rPr>
                <w:rFonts w:asciiTheme="minorHAnsi" w:eastAsiaTheme="minorHAnsi" w:hAnsiTheme="minorHAnsi" w:cstheme="minorBidi"/>
                <w:color w:val="000000"/>
                <w:szCs w:val="20"/>
              </w:rPr>
            </w:pPr>
            <w:r w:rsidRPr="003B6A69">
              <w:rPr>
                <w:rFonts w:asciiTheme="minorHAnsi" w:eastAsiaTheme="minorHAnsi" w:hAnsiTheme="minorHAnsi" w:cstheme="minorBidi"/>
                <w:color w:val="000000"/>
                <w:szCs w:val="20"/>
              </w:rPr>
              <w:t>114</w:t>
            </w:r>
          </w:p>
        </w:tc>
        <w:tc>
          <w:tcPr>
            <w:tcW w:w="1890" w:type="dxa"/>
            <w:tcBorders>
              <w:top w:val="single" w:sz="6" w:space="0" w:color="auto"/>
              <w:left w:val="single" w:sz="6" w:space="0" w:color="auto"/>
              <w:bottom w:val="single" w:sz="6" w:space="0" w:color="auto"/>
              <w:right w:val="single" w:sz="6" w:space="0" w:color="auto"/>
            </w:tcBorders>
          </w:tcPr>
          <w:p w14:paraId="44C95FD7" w14:textId="77777777" w:rsidR="008C4F26" w:rsidRPr="003B6A69" w:rsidRDefault="008C4F26" w:rsidP="00661293">
            <w:pPr>
              <w:autoSpaceDE w:val="0"/>
              <w:autoSpaceDN w:val="0"/>
              <w:adjustRightInd w:val="0"/>
              <w:spacing w:after="0"/>
              <w:jc w:val="left"/>
              <w:rPr>
                <w:rFonts w:asciiTheme="minorHAnsi" w:eastAsiaTheme="minorHAnsi" w:hAnsiTheme="minorHAnsi" w:cstheme="minorBidi"/>
                <w:szCs w:val="20"/>
              </w:rPr>
            </w:pPr>
            <w:proofErr w:type="spellStart"/>
            <w:r w:rsidRPr="003B6A69">
              <w:rPr>
                <w:rFonts w:asciiTheme="minorHAnsi" w:eastAsiaTheme="minorHAnsi" w:hAnsiTheme="minorHAnsi" w:cstheme="minorBidi"/>
                <w:szCs w:val="20"/>
              </w:rPr>
              <w:t>Durmitor</w:t>
            </w:r>
            <w:proofErr w:type="spellEnd"/>
          </w:p>
        </w:tc>
        <w:tc>
          <w:tcPr>
            <w:tcW w:w="990" w:type="dxa"/>
            <w:tcBorders>
              <w:top w:val="single" w:sz="6" w:space="0" w:color="auto"/>
              <w:left w:val="single" w:sz="6" w:space="0" w:color="auto"/>
              <w:bottom w:val="single" w:sz="6" w:space="0" w:color="auto"/>
              <w:right w:val="single" w:sz="6" w:space="0" w:color="auto"/>
            </w:tcBorders>
          </w:tcPr>
          <w:p w14:paraId="7C6E98EA" w14:textId="77777777" w:rsidR="008C4F26" w:rsidRPr="003B6A69" w:rsidRDefault="008C4F26" w:rsidP="00661293">
            <w:pPr>
              <w:autoSpaceDE w:val="0"/>
              <w:autoSpaceDN w:val="0"/>
              <w:adjustRightInd w:val="0"/>
              <w:spacing w:after="0"/>
              <w:jc w:val="right"/>
              <w:rPr>
                <w:rFonts w:asciiTheme="minorHAnsi" w:eastAsiaTheme="minorHAnsi" w:hAnsiTheme="minorHAnsi" w:cstheme="minorBidi"/>
                <w:color w:val="000000"/>
                <w:szCs w:val="20"/>
              </w:rPr>
            </w:pPr>
            <w:r w:rsidRPr="003B6A69">
              <w:rPr>
                <w:rFonts w:asciiTheme="minorHAnsi" w:eastAsiaTheme="minorHAnsi" w:hAnsiTheme="minorHAnsi" w:cstheme="minorBidi"/>
                <w:color w:val="000000"/>
                <w:szCs w:val="20"/>
              </w:rPr>
              <w:t>33,000</w:t>
            </w:r>
          </w:p>
        </w:tc>
        <w:tc>
          <w:tcPr>
            <w:tcW w:w="1800" w:type="dxa"/>
            <w:tcBorders>
              <w:top w:val="single" w:sz="6" w:space="0" w:color="auto"/>
              <w:left w:val="single" w:sz="6" w:space="0" w:color="auto"/>
              <w:bottom w:val="single" w:sz="6" w:space="0" w:color="auto"/>
              <w:right w:val="single" w:sz="6" w:space="0" w:color="auto"/>
            </w:tcBorders>
          </w:tcPr>
          <w:p w14:paraId="39ED32BB" w14:textId="77777777" w:rsidR="008C4F26" w:rsidRPr="003B6A69" w:rsidRDefault="008C4F26" w:rsidP="00661293">
            <w:pPr>
              <w:autoSpaceDE w:val="0"/>
              <w:autoSpaceDN w:val="0"/>
              <w:adjustRightInd w:val="0"/>
              <w:spacing w:after="0"/>
              <w:jc w:val="left"/>
              <w:rPr>
                <w:rFonts w:asciiTheme="minorHAnsi" w:eastAsiaTheme="minorHAnsi" w:hAnsiTheme="minorHAnsi" w:cstheme="minorBidi"/>
                <w:szCs w:val="20"/>
              </w:rPr>
            </w:pPr>
            <w:r w:rsidRPr="003B6A69">
              <w:rPr>
                <w:rFonts w:asciiTheme="minorHAnsi" w:eastAsiaTheme="minorHAnsi" w:hAnsiTheme="minorHAnsi" w:cstheme="minorBidi"/>
                <w:szCs w:val="20"/>
              </w:rPr>
              <w:t>National park</w:t>
            </w:r>
          </w:p>
        </w:tc>
        <w:tc>
          <w:tcPr>
            <w:tcW w:w="3240" w:type="dxa"/>
            <w:tcBorders>
              <w:top w:val="single" w:sz="6" w:space="0" w:color="auto"/>
              <w:left w:val="single" w:sz="6" w:space="0" w:color="auto"/>
              <w:bottom w:val="single" w:sz="6" w:space="0" w:color="auto"/>
              <w:right w:val="single" w:sz="6" w:space="0" w:color="auto"/>
            </w:tcBorders>
          </w:tcPr>
          <w:p w14:paraId="5BC01529" w14:textId="77777777" w:rsidR="008C4F26" w:rsidRPr="003B6A69" w:rsidRDefault="008C4F26" w:rsidP="00661293">
            <w:pPr>
              <w:autoSpaceDE w:val="0"/>
              <w:autoSpaceDN w:val="0"/>
              <w:adjustRightInd w:val="0"/>
              <w:spacing w:after="0"/>
              <w:jc w:val="left"/>
              <w:rPr>
                <w:rFonts w:asciiTheme="minorHAnsi" w:eastAsiaTheme="minorHAnsi" w:hAnsiTheme="minorHAnsi" w:cstheme="minorBidi"/>
                <w:szCs w:val="20"/>
              </w:rPr>
            </w:pPr>
          </w:p>
        </w:tc>
      </w:tr>
      <w:tr w:rsidR="008C4F26" w:rsidRPr="003B6A69" w14:paraId="54A49854" w14:textId="77777777" w:rsidTr="00661293">
        <w:trPr>
          <w:trHeight w:val="53"/>
        </w:trPr>
        <w:tc>
          <w:tcPr>
            <w:tcW w:w="1800" w:type="dxa"/>
            <w:tcBorders>
              <w:top w:val="single" w:sz="6" w:space="0" w:color="auto"/>
              <w:left w:val="single" w:sz="6" w:space="0" w:color="auto"/>
              <w:bottom w:val="single" w:sz="6" w:space="0" w:color="auto"/>
              <w:right w:val="single" w:sz="6" w:space="0" w:color="auto"/>
            </w:tcBorders>
          </w:tcPr>
          <w:p w14:paraId="495C46B7" w14:textId="77777777" w:rsidR="008C4F26" w:rsidRPr="003B6A69" w:rsidRDefault="008C4F26" w:rsidP="00661293">
            <w:pPr>
              <w:autoSpaceDE w:val="0"/>
              <w:autoSpaceDN w:val="0"/>
              <w:adjustRightInd w:val="0"/>
              <w:spacing w:after="0"/>
              <w:jc w:val="right"/>
              <w:rPr>
                <w:rFonts w:asciiTheme="minorHAnsi" w:eastAsiaTheme="minorHAnsi" w:hAnsiTheme="minorHAnsi" w:cstheme="minorBidi"/>
                <w:color w:val="000000"/>
                <w:szCs w:val="20"/>
              </w:rPr>
            </w:pPr>
            <w:r w:rsidRPr="003B6A69">
              <w:rPr>
                <w:rFonts w:asciiTheme="minorHAnsi" w:eastAsiaTheme="minorHAnsi" w:hAnsiTheme="minorHAnsi" w:cstheme="minorBidi"/>
                <w:color w:val="000000"/>
                <w:szCs w:val="20"/>
              </w:rPr>
              <w:t>115</w:t>
            </w:r>
          </w:p>
        </w:tc>
        <w:tc>
          <w:tcPr>
            <w:tcW w:w="1890" w:type="dxa"/>
            <w:tcBorders>
              <w:top w:val="single" w:sz="6" w:space="0" w:color="auto"/>
              <w:left w:val="single" w:sz="6" w:space="0" w:color="auto"/>
              <w:bottom w:val="single" w:sz="6" w:space="0" w:color="auto"/>
              <w:right w:val="single" w:sz="6" w:space="0" w:color="auto"/>
            </w:tcBorders>
          </w:tcPr>
          <w:p w14:paraId="7411BB5C" w14:textId="77777777" w:rsidR="008C4F26" w:rsidRPr="003B6A69" w:rsidRDefault="008C4F26" w:rsidP="00661293">
            <w:pPr>
              <w:autoSpaceDE w:val="0"/>
              <w:autoSpaceDN w:val="0"/>
              <w:adjustRightInd w:val="0"/>
              <w:spacing w:after="0"/>
              <w:jc w:val="left"/>
              <w:rPr>
                <w:rFonts w:asciiTheme="minorHAnsi" w:eastAsiaTheme="minorHAnsi" w:hAnsiTheme="minorHAnsi" w:cstheme="minorBidi"/>
                <w:szCs w:val="20"/>
              </w:rPr>
            </w:pPr>
            <w:r w:rsidRPr="003B6A69">
              <w:rPr>
                <w:rFonts w:asciiTheme="minorHAnsi" w:eastAsiaTheme="minorHAnsi" w:hAnsiTheme="minorHAnsi" w:cstheme="minorBidi"/>
                <w:szCs w:val="20"/>
              </w:rPr>
              <w:t xml:space="preserve">Lake </w:t>
            </w:r>
            <w:proofErr w:type="spellStart"/>
            <w:r w:rsidRPr="003B6A69">
              <w:rPr>
                <w:rFonts w:asciiTheme="minorHAnsi" w:eastAsiaTheme="minorHAnsi" w:hAnsiTheme="minorHAnsi" w:cstheme="minorBidi"/>
                <w:szCs w:val="20"/>
              </w:rPr>
              <w:t>Skadar</w:t>
            </w:r>
            <w:proofErr w:type="spellEnd"/>
          </w:p>
        </w:tc>
        <w:tc>
          <w:tcPr>
            <w:tcW w:w="990" w:type="dxa"/>
            <w:tcBorders>
              <w:top w:val="single" w:sz="6" w:space="0" w:color="auto"/>
              <w:left w:val="single" w:sz="6" w:space="0" w:color="auto"/>
              <w:bottom w:val="single" w:sz="6" w:space="0" w:color="auto"/>
              <w:right w:val="single" w:sz="6" w:space="0" w:color="auto"/>
            </w:tcBorders>
          </w:tcPr>
          <w:p w14:paraId="674DB34D" w14:textId="77777777" w:rsidR="008C4F26" w:rsidRPr="003B6A69" w:rsidRDefault="008C4F26" w:rsidP="00661293">
            <w:pPr>
              <w:autoSpaceDE w:val="0"/>
              <w:autoSpaceDN w:val="0"/>
              <w:adjustRightInd w:val="0"/>
              <w:spacing w:after="0"/>
              <w:jc w:val="right"/>
              <w:rPr>
                <w:rFonts w:asciiTheme="minorHAnsi" w:eastAsiaTheme="minorHAnsi" w:hAnsiTheme="minorHAnsi" w:cstheme="minorBidi"/>
                <w:color w:val="000000"/>
                <w:szCs w:val="20"/>
              </w:rPr>
            </w:pPr>
            <w:r w:rsidRPr="003B6A69">
              <w:rPr>
                <w:rFonts w:asciiTheme="minorHAnsi" w:eastAsiaTheme="minorHAnsi" w:hAnsiTheme="minorHAnsi" w:cstheme="minorBidi"/>
                <w:color w:val="000000"/>
                <w:szCs w:val="20"/>
              </w:rPr>
              <w:t>40,000</w:t>
            </w:r>
          </w:p>
        </w:tc>
        <w:tc>
          <w:tcPr>
            <w:tcW w:w="1800" w:type="dxa"/>
            <w:tcBorders>
              <w:top w:val="single" w:sz="6" w:space="0" w:color="auto"/>
              <w:left w:val="single" w:sz="6" w:space="0" w:color="auto"/>
              <w:bottom w:val="single" w:sz="6" w:space="0" w:color="auto"/>
              <w:right w:val="single" w:sz="6" w:space="0" w:color="auto"/>
            </w:tcBorders>
          </w:tcPr>
          <w:p w14:paraId="2AE48CFB" w14:textId="77777777" w:rsidR="008C4F26" w:rsidRPr="003B6A69" w:rsidRDefault="008C4F26" w:rsidP="00661293">
            <w:pPr>
              <w:autoSpaceDE w:val="0"/>
              <w:autoSpaceDN w:val="0"/>
              <w:adjustRightInd w:val="0"/>
              <w:spacing w:after="0"/>
              <w:jc w:val="left"/>
              <w:rPr>
                <w:rFonts w:asciiTheme="minorHAnsi" w:eastAsiaTheme="minorHAnsi" w:hAnsiTheme="minorHAnsi" w:cstheme="minorBidi"/>
                <w:szCs w:val="20"/>
              </w:rPr>
            </w:pPr>
            <w:r w:rsidRPr="003B6A69">
              <w:rPr>
                <w:rFonts w:asciiTheme="minorHAnsi" w:eastAsiaTheme="minorHAnsi" w:hAnsiTheme="minorHAnsi" w:cstheme="minorBidi"/>
                <w:szCs w:val="20"/>
              </w:rPr>
              <w:t>National park</w:t>
            </w:r>
          </w:p>
        </w:tc>
        <w:tc>
          <w:tcPr>
            <w:tcW w:w="3240" w:type="dxa"/>
            <w:tcBorders>
              <w:top w:val="single" w:sz="6" w:space="0" w:color="auto"/>
              <w:left w:val="single" w:sz="6" w:space="0" w:color="auto"/>
              <w:bottom w:val="single" w:sz="6" w:space="0" w:color="auto"/>
              <w:right w:val="single" w:sz="6" w:space="0" w:color="auto"/>
            </w:tcBorders>
          </w:tcPr>
          <w:p w14:paraId="1D014444" w14:textId="77777777" w:rsidR="008C4F26" w:rsidRPr="003B6A69" w:rsidRDefault="008C4F26" w:rsidP="00661293">
            <w:pPr>
              <w:autoSpaceDE w:val="0"/>
              <w:autoSpaceDN w:val="0"/>
              <w:adjustRightInd w:val="0"/>
              <w:spacing w:after="0"/>
              <w:jc w:val="left"/>
              <w:rPr>
                <w:rFonts w:asciiTheme="minorHAnsi" w:eastAsiaTheme="minorHAnsi" w:hAnsiTheme="minorHAnsi" w:cstheme="minorBidi"/>
                <w:szCs w:val="20"/>
              </w:rPr>
            </w:pPr>
            <w:r w:rsidRPr="003B6A69">
              <w:rPr>
                <w:rFonts w:asciiTheme="minorHAnsi" w:eastAsiaTheme="minorHAnsi" w:hAnsiTheme="minorHAnsi" w:cstheme="minorBidi"/>
                <w:szCs w:val="20"/>
              </w:rPr>
              <w:t>EMERALD</w:t>
            </w:r>
          </w:p>
        </w:tc>
      </w:tr>
      <w:tr w:rsidR="008C4F26" w:rsidRPr="003B6A69" w14:paraId="599AC50C" w14:textId="77777777" w:rsidTr="00661293">
        <w:trPr>
          <w:trHeight w:val="53"/>
        </w:trPr>
        <w:tc>
          <w:tcPr>
            <w:tcW w:w="1800" w:type="dxa"/>
            <w:tcBorders>
              <w:top w:val="single" w:sz="6" w:space="0" w:color="auto"/>
              <w:left w:val="single" w:sz="6" w:space="0" w:color="auto"/>
              <w:bottom w:val="single" w:sz="6" w:space="0" w:color="auto"/>
              <w:right w:val="single" w:sz="6" w:space="0" w:color="auto"/>
            </w:tcBorders>
          </w:tcPr>
          <w:p w14:paraId="4974AE20" w14:textId="77777777" w:rsidR="008C4F26" w:rsidRPr="003B6A69" w:rsidRDefault="008C4F26" w:rsidP="00661293">
            <w:pPr>
              <w:autoSpaceDE w:val="0"/>
              <w:autoSpaceDN w:val="0"/>
              <w:adjustRightInd w:val="0"/>
              <w:spacing w:after="0"/>
              <w:jc w:val="right"/>
              <w:rPr>
                <w:rFonts w:asciiTheme="minorHAnsi" w:eastAsiaTheme="minorHAnsi" w:hAnsiTheme="minorHAnsi" w:cstheme="minorBidi"/>
                <w:color w:val="000000"/>
                <w:szCs w:val="20"/>
              </w:rPr>
            </w:pPr>
            <w:r w:rsidRPr="003B6A69">
              <w:rPr>
                <w:rFonts w:asciiTheme="minorHAnsi" w:eastAsiaTheme="minorHAnsi" w:hAnsiTheme="minorHAnsi" w:cstheme="minorBidi"/>
                <w:color w:val="000000"/>
                <w:szCs w:val="20"/>
              </w:rPr>
              <w:t>116</w:t>
            </w:r>
          </w:p>
        </w:tc>
        <w:tc>
          <w:tcPr>
            <w:tcW w:w="1890" w:type="dxa"/>
            <w:tcBorders>
              <w:top w:val="single" w:sz="6" w:space="0" w:color="auto"/>
              <w:left w:val="single" w:sz="6" w:space="0" w:color="auto"/>
              <w:bottom w:val="single" w:sz="6" w:space="0" w:color="auto"/>
              <w:right w:val="single" w:sz="6" w:space="0" w:color="auto"/>
            </w:tcBorders>
          </w:tcPr>
          <w:p w14:paraId="1C48D2C6" w14:textId="77777777" w:rsidR="008C4F26" w:rsidRPr="003B6A69" w:rsidRDefault="008C4F26" w:rsidP="00661293">
            <w:pPr>
              <w:autoSpaceDE w:val="0"/>
              <w:autoSpaceDN w:val="0"/>
              <w:adjustRightInd w:val="0"/>
              <w:spacing w:after="0"/>
              <w:jc w:val="left"/>
              <w:rPr>
                <w:rFonts w:asciiTheme="minorHAnsi" w:eastAsiaTheme="minorHAnsi" w:hAnsiTheme="minorHAnsi" w:cstheme="minorBidi"/>
                <w:szCs w:val="20"/>
              </w:rPr>
            </w:pPr>
            <w:r w:rsidRPr="003B6A69">
              <w:rPr>
                <w:rFonts w:asciiTheme="minorHAnsi" w:eastAsiaTheme="minorHAnsi" w:hAnsiTheme="minorHAnsi" w:cstheme="minorBidi"/>
                <w:szCs w:val="20"/>
              </w:rPr>
              <w:t xml:space="preserve">Lake </w:t>
            </w:r>
            <w:proofErr w:type="spellStart"/>
            <w:r w:rsidRPr="003B6A69">
              <w:rPr>
                <w:rFonts w:asciiTheme="minorHAnsi" w:eastAsiaTheme="minorHAnsi" w:hAnsiTheme="minorHAnsi" w:cstheme="minorBidi"/>
                <w:szCs w:val="20"/>
              </w:rPr>
              <w:t>Sasko</w:t>
            </w:r>
            <w:proofErr w:type="spellEnd"/>
          </w:p>
        </w:tc>
        <w:tc>
          <w:tcPr>
            <w:tcW w:w="990" w:type="dxa"/>
            <w:tcBorders>
              <w:top w:val="single" w:sz="6" w:space="0" w:color="auto"/>
              <w:left w:val="single" w:sz="6" w:space="0" w:color="auto"/>
              <w:bottom w:val="single" w:sz="6" w:space="0" w:color="auto"/>
              <w:right w:val="single" w:sz="6" w:space="0" w:color="auto"/>
            </w:tcBorders>
          </w:tcPr>
          <w:p w14:paraId="30CAC4E8" w14:textId="77777777" w:rsidR="008C4F26" w:rsidRPr="003B6A69" w:rsidRDefault="008C4F26" w:rsidP="00661293">
            <w:pPr>
              <w:autoSpaceDE w:val="0"/>
              <w:autoSpaceDN w:val="0"/>
              <w:adjustRightInd w:val="0"/>
              <w:spacing w:after="0"/>
              <w:jc w:val="right"/>
              <w:rPr>
                <w:rFonts w:asciiTheme="minorHAnsi" w:eastAsiaTheme="minorHAnsi" w:hAnsiTheme="minorHAnsi" w:cstheme="minorBidi"/>
                <w:color w:val="000000"/>
                <w:szCs w:val="20"/>
              </w:rPr>
            </w:pPr>
            <w:r w:rsidRPr="003B6A69">
              <w:rPr>
                <w:rFonts w:asciiTheme="minorHAnsi" w:eastAsiaTheme="minorHAnsi" w:hAnsiTheme="minorHAnsi" w:cstheme="minorBidi"/>
                <w:color w:val="000000"/>
                <w:szCs w:val="20"/>
              </w:rPr>
              <w:t>350</w:t>
            </w:r>
          </w:p>
        </w:tc>
        <w:tc>
          <w:tcPr>
            <w:tcW w:w="1800" w:type="dxa"/>
            <w:tcBorders>
              <w:top w:val="single" w:sz="6" w:space="0" w:color="auto"/>
              <w:left w:val="single" w:sz="6" w:space="0" w:color="auto"/>
              <w:bottom w:val="single" w:sz="6" w:space="0" w:color="auto"/>
              <w:right w:val="single" w:sz="6" w:space="0" w:color="auto"/>
            </w:tcBorders>
          </w:tcPr>
          <w:p w14:paraId="6DF0BCFD" w14:textId="77777777" w:rsidR="008C4F26" w:rsidRPr="003B6A69" w:rsidRDefault="008C4F26" w:rsidP="00661293">
            <w:pPr>
              <w:autoSpaceDE w:val="0"/>
              <w:autoSpaceDN w:val="0"/>
              <w:adjustRightInd w:val="0"/>
              <w:spacing w:after="0"/>
              <w:jc w:val="left"/>
              <w:rPr>
                <w:rFonts w:asciiTheme="minorHAnsi" w:eastAsiaTheme="minorHAnsi" w:hAnsiTheme="minorHAnsi" w:cstheme="minorBidi"/>
                <w:szCs w:val="20"/>
              </w:rPr>
            </w:pPr>
            <w:r w:rsidRPr="003B6A69">
              <w:rPr>
                <w:rFonts w:asciiTheme="minorHAnsi" w:eastAsiaTheme="minorHAnsi" w:hAnsiTheme="minorHAnsi" w:cstheme="minorBidi"/>
                <w:szCs w:val="20"/>
              </w:rPr>
              <w:t>No</w:t>
            </w:r>
          </w:p>
        </w:tc>
        <w:tc>
          <w:tcPr>
            <w:tcW w:w="3240" w:type="dxa"/>
            <w:tcBorders>
              <w:top w:val="single" w:sz="6" w:space="0" w:color="auto"/>
              <w:left w:val="single" w:sz="6" w:space="0" w:color="auto"/>
              <w:bottom w:val="single" w:sz="6" w:space="0" w:color="auto"/>
              <w:right w:val="single" w:sz="6" w:space="0" w:color="auto"/>
            </w:tcBorders>
          </w:tcPr>
          <w:p w14:paraId="478F2567" w14:textId="77777777" w:rsidR="008C4F26" w:rsidRPr="003B6A69" w:rsidRDefault="008C4F26" w:rsidP="00661293">
            <w:pPr>
              <w:autoSpaceDE w:val="0"/>
              <w:autoSpaceDN w:val="0"/>
              <w:adjustRightInd w:val="0"/>
              <w:spacing w:after="0"/>
              <w:jc w:val="left"/>
              <w:rPr>
                <w:rFonts w:asciiTheme="minorHAnsi" w:eastAsiaTheme="minorHAnsi" w:hAnsiTheme="minorHAnsi" w:cstheme="minorBidi"/>
                <w:szCs w:val="20"/>
              </w:rPr>
            </w:pPr>
            <w:r w:rsidRPr="003B6A69">
              <w:rPr>
                <w:rFonts w:asciiTheme="minorHAnsi" w:eastAsiaTheme="minorHAnsi" w:hAnsiTheme="minorHAnsi" w:cstheme="minorBidi"/>
                <w:szCs w:val="20"/>
              </w:rPr>
              <w:t>IBA</w:t>
            </w:r>
          </w:p>
        </w:tc>
      </w:tr>
      <w:tr w:rsidR="008C4F26" w:rsidRPr="003B6A69" w14:paraId="3B3DCECE" w14:textId="77777777" w:rsidTr="00661293">
        <w:trPr>
          <w:trHeight w:val="53"/>
        </w:trPr>
        <w:tc>
          <w:tcPr>
            <w:tcW w:w="1800" w:type="dxa"/>
            <w:tcBorders>
              <w:top w:val="single" w:sz="6" w:space="0" w:color="auto"/>
              <w:left w:val="single" w:sz="6" w:space="0" w:color="auto"/>
              <w:bottom w:val="single" w:sz="6" w:space="0" w:color="auto"/>
              <w:right w:val="single" w:sz="6" w:space="0" w:color="auto"/>
            </w:tcBorders>
          </w:tcPr>
          <w:p w14:paraId="21863507" w14:textId="77777777" w:rsidR="008C4F26" w:rsidRPr="003B6A69" w:rsidRDefault="008C4F26" w:rsidP="00661293">
            <w:pPr>
              <w:autoSpaceDE w:val="0"/>
              <w:autoSpaceDN w:val="0"/>
              <w:adjustRightInd w:val="0"/>
              <w:spacing w:after="0"/>
              <w:jc w:val="right"/>
              <w:rPr>
                <w:rFonts w:asciiTheme="minorHAnsi" w:eastAsiaTheme="minorHAnsi" w:hAnsiTheme="minorHAnsi" w:cstheme="minorBidi"/>
                <w:color w:val="000000"/>
                <w:szCs w:val="20"/>
              </w:rPr>
            </w:pPr>
            <w:r w:rsidRPr="003B6A69">
              <w:rPr>
                <w:rFonts w:asciiTheme="minorHAnsi" w:eastAsiaTheme="minorHAnsi" w:hAnsiTheme="minorHAnsi" w:cstheme="minorBidi"/>
                <w:color w:val="000000"/>
                <w:szCs w:val="20"/>
              </w:rPr>
              <w:t>117</w:t>
            </w:r>
          </w:p>
        </w:tc>
        <w:tc>
          <w:tcPr>
            <w:tcW w:w="1890" w:type="dxa"/>
            <w:tcBorders>
              <w:top w:val="single" w:sz="6" w:space="0" w:color="auto"/>
              <w:left w:val="single" w:sz="6" w:space="0" w:color="auto"/>
              <w:bottom w:val="single" w:sz="6" w:space="0" w:color="auto"/>
              <w:right w:val="single" w:sz="6" w:space="0" w:color="auto"/>
            </w:tcBorders>
          </w:tcPr>
          <w:p w14:paraId="34AD14F3" w14:textId="77777777" w:rsidR="008C4F26" w:rsidRPr="003B6A69" w:rsidRDefault="008C4F26" w:rsidP="00661293">
            <w:pPr>
              <w:autoSpaceDE w:val="0"/>
              <w:autoSpaceDN w:val="0"/>
              <w:adjustRightInd w:val="0"/>
              <w:spacing w:after="0"/>
              <w:jc w:val="left"/>
              <w:rPr>
                <w:rFonts w:asciiTheme="minorHAnsi" w:eastAsiaTheme="minorHAnsi" w:hAnsiTheme="minorHAnsi" w:cstheme="minorBidi"/>
                <w:szCs w:val="20"/>
              </w:rPr>
            </w:pPr>
            <w:r w:rsidRPr="003B6A69">
              <w:rPr>
                <w:rFonts w:asciiTheme="minorHAnsi" w:eastAsiaTheme="minorHAnsi" w:hAnsiTheme="minorHAnsi" w:cstheme="minorBidi"/>
                <w:szCs w:val="20"/>
              </w:rPr>
              <w:t xml:space="preserve">Ulcinj </w:t>
            </w:r>
            <w:proofErr w:type="spellStart"/>
            <w:r w:rsidRPr="003B6A69">
              <w:rPr>
                <w:rFonts w:asciiTheme="minorHAnsi" w:eastAsiaTheme="minorHAnsi" w:hAnsiTheme="minorHAnsi" w:cstheme="minorBidi"/>
                <w:szCs w:val="20"/>
              </w:rPr>
              <w:t>saltplants</w:t>
            </w:r>
            <w:proofErr w:type="spellEnd"/>
          </w:p>
        </w:tc>
        <w:tc>
          <w:tcPr>
            <w:tcW w:w="990" w:type="dxa"/>
            <w:tcBorders>
              <w:top w:val="single" w:sz="6" w:space="0" w:color="auto"/>
              <w:left w:val="single" w:sz="6" w:space="0" w:color="auto"/>
              <w:bottom w:val="single" w:sz="6" w:space="0" w:color="auto"/>
              <w:right w:val="single" w:sz="6" w:space="0" w:color="auto"/>
            </w:tcBorders>
          </w:tcPr>
          <w:p w14:paraId="6F098C16" w14:textId="77777777" w:rsidR="008C4F26" w:rsidRPr="003B6A69" w:rsidRDefault="008C4F26" w:rsidP="00661293">
            <w:pPr>
              <w:autoSpaceDE w:val="0"/>
              <w:autoSpaceDN w:val="0"/>
              <w:adjustRightInd w:val="0"/>
              <w:spacing w:after="0"/>
              <w:jc w:val="right"/>
              <w:rPr>
                <w:rFonts w:asciiTheme="minorHAnsi" w:eastAsiaTheme="minorHAnsi" w:hAnsiTheme="minorHAnsi" w:cstheme="minorBidi"/>
                <w:color w:val="000000"/>
                <w:szCs w:val="20"/>
              </w:rPr>
            </w:pPr>
            <w:r w:rsidRPr="003B6A69">
              <w:rPr>
                <w:rFonts w:asciiTheme="minorHAnsi" w:eastAsiaTheme="minorHAnsi" w:hAnsiTheme="minorHAnsi" w:cstheme="minorBidi"/>
                <w:color w:val="000000"/>
                <w:szCs w:val="20"/>
              </w:rPr>
              <w:t>1,477</w:t>
            </w:r>
          </w:p>
        </w:tc>
        <w:tc>
          <w:tcPr>
            <w:tcW w:w="1800" w:type="dxa"/>
            <w:tcBorders>
              <w:top w:val="single" w:sz="6" w:space="0" w:color="auto"/>
              <w:left w:val="single" w:sz="6" w:space="0" w:color="auto"/>
              <w:bottom w:val="single" w:sz="6" w:space="0" w:color="auto"/>
              <w:right w:val="single" w:sz="6" w:space="0" w:color="auto"/>
            </w:tcBorders>
          </w:tcPr>
          <w:p w14:paraId="5C5011B7" w14:textId="77777777" w:rsidR="008C4F26" w:rsidRPr="003B6A69" w:rsidRDefault="008C4F26" w:rsidP="00661293">
            <w:pPr>
              <w:autoSpaceDE w:val="0"/>
              <w:autoSpaceDN w:val="0"/>
              <w:adjustRightInd w:val="0"/>
              <w:spacing w:after="0"/>
              <w:jc w:val="left"/>
              <w:rPr>
                <w:rFonts w:asciiTheme="minorHAnsi" w:eastAsiaTheme="minorHAnsi" w:hAnsiTheme="minorHAnsi" w:cstheme="minorBidi"/>
                <w:szCs w:val="20"/>
              </w:rPr>
            </w:pPr>
            <w:r w:rsidRPr="003B6A69">
              <w:rPr>
                <w:rFonts w:asciiTheme="minorHAnsi" w:eastAsiaTheme="minorHAnsi" w:hAnsiTheme="minorHAnsi" w:cstheme="minorBidi"/>
                <w:szCs w:val="20"/>
              </w:rPr>
              <w:t>Nature park</w:t>
            </w:r>
          </w:p>
        </w:tc>
        <w:tc>
          <w:tcPr>
            <w:tcW w:w="3240" w:type="dxa"/>
            <w:tcBorders>
              <w:top w:val="single" w:sz="6" w:space="0" w:color="auto"/>
              <w:left w:val="single" w:sz="6" w:space="0" w:color="auto"/>
              <w:bottom w:val="single" w:sz="6" w:space="0" w:color="auto"/>
              <w:right w:val="single" w:sz="6" w:space="0" w:color="auto"/>
            </w:tcBorders>
          </w:tcPr>
          <w:p w14:paraId="06C47EB6" w14:textId="77777777" w:rsidR="008C4F26" w:rsidRPr="003B6A69" w:rsidRDefault="008C4F26" w:rsidP="00661293">
            <w:pPr>
              <w:autoSpaceDE w:val="0"/>
              <w:autoSpaceDN w:val="0"/>
              <w:adjustRightInd w:val="0"/>
              <w:spacing w:after="0"/>
              <w:jc w:val="left"/>
              <w:rPr>
                <w:rFonts w:asciiTheme="minorHAnsi" w:eastAsiaTheme="minorHAnsi" w:hAnsiTheme="minorHAnsi" w:cstheme="minorBidi"/>
                <w:szCs w:val="20"/>
              </w:rPr>
            </w:pPr>
            <w:r w:rsidRPr="003B6A69">
              <w:rPr>
                <w:rFonts w:asciiTheme="minorHAnsi" w:eastAsiaTheme="minorHAnsi" w:hAnsiTheme="minorHAnsi" w:cstheme="minorBidi"/>
                <w:szCs w:val="20"/>
              </w:rPr>
              <w:t>EMERALD</w:t>
            </w:r>
          </w:p>
        </w:tc>
      </w:tr>
      <w:tr w:rsidR="008C4F26" w:rsidRPr="003B6A69" w14:paraId="63F29D71" w14:textId="77777777" w:rsidTr="00661293">
        <w:trPr>
          <w:trHeight w:val="53"/>
        </w:trPr>
        <w:tc>
          <w:tcPr>
            <w:tcW w:w="1800" w:type="dxa"/>
            <w:tcBorders>
              <w:top w:val="single" w:sz="6" w:space="0" w:color="auto"/>
              <w:left w:val="single" w:sz="6" w:space="0" w:color="auto"/>
              <w:bottom w:val="single" w:sz="6" w:space="0" w:color="auto"/>
              <w:right w:val="single" w:sz="6" w:space="0" w:color="auto"/>
            </w:tcBorders>
          </w:tcPr>
          <w:p w14:paraId="4D3381A3" w14:textId="77777777" w:rsidR="008C4F26" w:rsidRPr="003B6A69" w:rsidRDefault="008C4F26" w:rsidP="00661293">
            <w:pPr>
              <w:autoSpaceDE w:val="0"/>
              <w:autoSpaceDN w:val="0"/>
              <w:adjustRightInd w:val="0"/>
              <w:spacing w:after="0"/>
              <w:jc w:val="right"/>
              <w:rPr>
                <w:rFonts w:asciiTheme="minorHAnsi" w:eastAsiaTheme="minorHAnsi" w:hAnsiTheme="minorHAnsi" w:cstheme="minorBidi"/>
                <w:color w:val="000000"/>
                <w:szCs w:val="20"/>
              </w:rPr>
            </w:pPr>
            <w:r w:rsidRPr="003B6A69">
              <w:rPr>
                <w:rFonts w:asciiTheme="minorHAnsi" w:eastAsiaTheme="minorHAnsi" w:hAnsiTheme="minorHAnsi" w:cstheme="minorBidi"/>
                <w:color w:val="000000"/>
                <w:szCs w:val="20"/>
              </w:rPr>
              <w:t>3619</w:t>
            </w:r>
          </w:p>
        </w:tc>
        <w:tc>
          <w:tcPr>
            <w:tcW w:w="1890" w:type="dxa"/>
            <w:tcBorders>
              <w:top w:val="single" w:sz="6" w:space="0" w:color="auto"/>
              <w:left w:val="single" w:sz="6" w:space="0" w:color="auto"/>
              <w:bottom w:val="single" w:sz="6" w:space="0" w:color="auto"/>
              <w:right w:val="single" w:sz="6" w:space="0" w:color="auto"/>
            </w:tcBorders>
          </w:tcPr>
          <w:p w14:paraId="4C012B06" w14:textId="77777777" w:rsidR="008C4F26" w:rsidRPr="003B6A69" w:rsidRDefault="008C4F26" w:rsidP="00661293">
            <w:pPr>
              <w:autoSpaceDE w:val="0"/>
              <w:autoSpaceDN w:val="0"/>
              <w:adjustRightInd w:val="0"/>
              <w:spacing w:after="0"/>
              <w:jc w:val="left"/>
              <w:rPr>
                <w:rFonts w:asciiTheme="minorHAnsi" w:eastAsiaTheme="minorHAnsi" w:hAnsiTheme="minorHAnsi" w:cstheme="minorBidi"/>
                <w:szCs w:val="20"/>
              </w:rPr>
            </w:pPr>
            <w:proofErr w:type="spellStart"/>
            <w:r w:rsidRPr="003B6A69">
              <w:rPr>
                <w:rFonts w:asciiTheme="minorHAnsi" w:eastAsiaTheme="minorHAnsi" w:hAnsiTheme="minorHAnsi" w:cstheme="minorBidi"/>
                <w:szCs w:val="20"/>
              </w:rPr>
              <w:t>Biogradska</w:t>
            </w:r>
            <w:proofErr w:type="spellEnd"/>
            <w:r w:rsidRPr="003B6A69">
              <w:rPr>
                <w:rFonts w:asciiTheme="minorHAnsi" w:eastAsiaTheme="minorHAnsi" w:hAnsiTheme="minorHAnsi" w:cstheme="minorBidi"/>
                <w:szCs w:val="20"/>
              </w:rPr>
              <w:t xml:space="preserve"> woods</w:t>
            </w:r>
          </w:p>
        </w:tc>
        <w:tc>
          <w:tcPr>
            <w:tcW w:w="990" w:type="dxa"/>
            <w:tcBorders>
              <w:top w:val="single" w:sz="6" w:space="0" w:color="auto"/>
              <w:left w:val="single" w:sz="6" w:space="0" w:color="auto"/>
              <w:bottom w:val="single" w:sz="6" w:space="0" w:color="auto"/>
              <w:right w:val="single" w:sz="6" w:space="0" w:color="auto"/>
            </w:tcBorders>
          </w:tcPr>
          <w:p w14:paraId="63DC52BB" w14:textId="77777777" w:rsidR="008C4F26" w:rsidRPr="003B6A69" w:rsidRDefault="008C4F26" w:rsidP="00661293">
            <w:pPr>
              <w:autoSpaceDE w:val="0"/>
              <w:autoSpaceDN w:val="0"/>
              <w:adjustRightInd w:val="0"/>
              <w:spacing w:after="0"/>
              <w:jc w:val="right"/>
              <w:rPr>
                <w:rFonts w:asciiTheme="minorHAnsi" w:eastAsiaTheme="minorHAnsi" w:hAnsiTheme="minorHAnsi" w:cstheme="minorBidi"/>
                <w:color w:val="000000"/>
                <w:szCs w:val="20"/>
              </w:rPr>
            </w:pPr>
            <w:r w:rsidRPr="003B6A69">
              <w:rPr>
                <w:rFonts w:asciiTheme="minorHAnsi" w:eastAsiaTheme="minorHAnsi" w:hAnsiTheme="minorHAnsi" w:cstheme="minorBidi"/>
                <w:color w:val="000000"/>
                <w:szCs w:val="20"/>
              </w:rPr>
              <w:t>20,000</w:t>
            </w:r>
          </w:p>
        </w:tc>
        <w:tc>
          <w:tcPr>
            <w:tcW w:w="1800" w:type="dxa"/>
            <w:tcBorders>
              <w:top w:val="single" w:sz="6" w:space="0" w:color="auto"/>
              <w:left w:val="single" w:sz="6" w:space="0" w:color="auto"/>
              <w:bottom w:val="single" w:sz="6" w:space="0" w:color="auto"/>
              <w:right w:val="single" w:sz="6" w:space="0" w:color="auto"/>
            </w:tcBorders>
          </w:tcPr>
          <w:p w14:paraId="165EA9B3" w14:textId="77777777" w:rsidR="008C4F26" w:rsidRPr="003B6A69" w:rsidRDefault="008C4F26" w:rsidP="00661293">
            <w:pPr>
              <w:autoSpaceDE w:val="0"/>
              <w:autoSpaceDN w:val="0"/>
              <w:adjustRightInd w:val="0"/>
              <w:spacing w:after="0"/>
              <w:jc w:val="left"/>
              <w:rPr>
                <w:rFonts w:asciiTheme="minorHAnsi" w:eastAsiaTheme="minorHAnsi" w:hAnsiTheme="minorHAnsi" w:cstheme="minorBidi"/>
                <w:szCs w:val="20"/>
              </w:rPr>
            </w:pPr>
            <w:r w:rsidRPr="003B6A69">
              <w:rPr>
                <w:rFonts w:asciiTheme="minorHAnsi" w:eastAsiaTheme="minorHAnsi" w:hAnsiTheme="minorHAnsi" w:cstheme="minorBidi"/>
                <w:szCs w:val="20"/>
              </w:rPr>
              <w:t>National park</w:t>
            </w:r>
          </w:p>
        </w:tc>
        <w:tc>
          <w:tcPr>
            <w:tcW w:w="3240" w:type="dxa"/>
            <w:tcBorders>
              <w:top w:val="single" w:sz="6" w:space="0" w:color="auto"/>
              <w:left w:val="single" w:sz="6" w:space="0" w:color="auto"/>
              <w:bottom w:val="single" w:sz="6" w:space="0" w:color="auto"/>
              <w:right w:val="single" w:sz="6" w:space="0" w:color="auto"/>
            </w:tcBorders>
          </w:tcPr>
          <w:p w14:paraId="48A102BB" w14:textId="77777777" w:rsidR="008C4F26" w:rsidRPr="003B6A69" w:rsidRDefault="008C4F26" w:rsidP="00661293">
            <w:pPr>
              <w:autoSpaceDE w:val="0"/>
              <w:autoSpaceDN w:val="0"/>
              <w:adjustRightInd w:val="0"/>
              <w:spacing w:after="0"/>
              <w:jc w:val="left"/>
              <w:rPr>
                <w:rFonts w:asciiTheme="minorHAnsi" w:eastAsiaTheme="minorHAnsi" w:hAnsiTheme="minorHAnsi" w:cstheme="minorBidi"/>
                <w:szCs w:val="20"/>
              </w:rPr>
            </w:pPr>
            <w:r w:rsidRPr="003B6A69">
              <w:rPr>
                <w:rFonts w:asciiTheme="minorHAnsi" w:eastAsiaTheme="minorHAnsi" w:hAnsiTheme="minorHAnsi" w:cstheme="minorBidi"/>
                <w:szCs w:val="20"/>
              </w:rPr>
              <w:t>EMERALD</w:t>
            </w:r>
          </w:p>
        </w:tc>
      </w:tr>
      <w:tr w:rsidR="008C4F26" w:rsidRPr="003B6A69" w14:paraId="4CEA144C" w14:textId="77777777" w:rsidTr="00661293">
        <w:trPr>
          <w:trHeight w:val="53"/>
        </w:trPr>
        <w:tc>
          <w:tcPr>
            <w:tcW w:w="1800" w:type="dxa"/>
            <w:tcBorders>
              <w:top w:val="single" w:sz="6" w:space="0" w:color="auto"/>
              <w:left w:val="single" w:sz="6" w:space="0" w:color="auto"/>
              <w:bottom w:val="single" w:sz="6" w:space="0" w:color="auto"/>
              <w:right w:val="single" w:sz="6" w:space="0" w:color="auto"/>
            </w:tcBorders>
          </w:tcPr>
          <w:p w14:paraId="6D8EEC43" w14:textId="77777777" w:rsidR="008C4F26" w:rsidRPr="003B6A69" w:rsidRDefault="008C4F26" w:rsidP="00661293">
            <w:pPr>
              <w:autoSpaceDE w:val="0"/>
              <w:autoSpaceDN w:val="0"/>
              <w:adjustRightInd w:val="0"/>
              <w:spacing w:after="0"/>
              <w:jc w:val="right"/>
              <w:rPr>
                <w:rFonts w:asciiTheme="minorHAnsi" w:eastAsiaTheme="minorHAnsi" w:hAnsiTheme="minorHAnsi" w:cstheme="minorBidi"/>
                <w:color w:val="000000"/>
                <w:szCs w:val="20"/>
              </w:rPr>
            </w:pPr>
            <w:r w:rsidRPr="003B6A69">
              <w:rPr>
                <w:rFonts w:asciiTheme="minorHAnsi" w:eastAsiaTheme="minorHAnsi" w:hAnsiTheme="minorHAnsi" w:cstheme="minorBidi"/>
                <w:color w:val="000000"/>
                <w:szCs w:val="20"/>
              </w:rPr>
              <w:t>31675</w:t>
            </w:r>
          </w:p>
        </w:tc>
        <w:tc>
          <w:tcPr>
            <w:tcW w:w="1890" w:type="dxa"/>
            <w:tcBorders>
              <w:top w:val="single" w:sz="6" w:space="0" w:color="auto"/>
              <w:left w:val="single" w:sz="6" w:space="0" w:color="auto"/>
              <w:bottom w:val="single" w:sz="6" w:space="0" w:color="auto"/>
              <w:right w:val="single" w:sz="6" w:space="0" w:color="auto"/>
            </w:tcBorders>
          </w:tcPr>
          <w:p w14:paraId="1F0ABBFB" w14:textId="77777777" w:rsidR="008C4F26" w:rsidRPr="003B6A69" w:rsidRDefault="008C4F26" w:rsidP="00661293">
            <w:pPr>
              <w:autoSpaceDE w:val="0"/>
              <w:autoSpaceDN w:val="0"/>
              <w:adjustRightInd w:val="0"/>
              <w:spacing w:after="0"/>
              <w:jc w:val="left"/>
              <w:rPr>
                <w:rFonts w:asciiTheme="minorHAnsi" w:eastAsiaTheme="minorHAnsi" w:hAnsiTheme="minorHAnsi" w:cstheme="minorBidi"/>
                <w:szCs w:val="20"/>
              </w:rPr>
            </w:pPr>
            <w:proofErr w:type="spellStart"/>
            <w:r w:rsidRPr="003B6A69">
              <w:rPr>
                <w:rFonts w:asciiTheme="minorHAnsi" w:eastAsiaTheme="minorHAnsi" w:hAnsiTheme="minorHAnsi" w:cstheme="minorBidi"/>
                <w:szCs w:val="20"/>
              </w:rPr>
              <w:t>Cijevna</w:t>
            </w:r>
            <w:proofErr w:type="spellEnd"/>
            <w:r w:rsidRPr="003B6A69">
              <w:rPr>
                <w:rFonts w:asciiTheme="minorHAnsi" w:eastAsiaTheme="minorHAnsi" w:hAnsiTheme="minorHAnsi" w:cstheme="minorBidi"/>
                <w:szCs w:val="20"/>
              </w:rPr>
              <w:t xml:space="preserve"> Canyon and Hum </w:t>
            </w:r>
            <w:proofErr w:type="spellStart"/>
            <w:r w:rsidRPr="003B6A69">
              <w:rPr>
                <w:rFonts w:asciiTheme="minorHAnsi" w:eastAsiaTheme="minorHAnsi" w:hAnsiTheme="minorHAnsi" w:cstheme="minorBidi"/>
                <w:szCs w:val="20"/>
              </w:rPr>
              <w:t>Orahovski</w:t>
            </w:r>
            <w:proofErr w:type="spellEnd"/>
          </w:p>
        </w:tc>
        <w:tc>
          <w:tcPr>
            <w:tcW w:w="990" w:type="dxa"/>
            <w:tcBorders>
              <w:top w:val="single" w:sz="6" w:space="0" w:color="auto"/>
              <w:left w:val="single" w:sz="6" w:space="0" w:color="auto"/>
              <w:bottom w:val="single" w:sz="6" w:space="0" w:color="auto"/>
              <w:right w:val="single" w:sz="6" w:space="0" w:color="auto"/>
            </w:tcBorders>
          </w:tcPr>
          <w:p w14:paraId="79DA468D" w14:textId="77777777" w:rsidR="008C4F26" w:rsidRPr="003B6A69" w:rsidRDefault="008C4F26" w:rsidP="00661293">
            <w:pPr>
              <w:autoSpaceDE w:val="0"/>
              <w:autoSpaceDN w:val="0"/>
              <w:adjustRightInd w:val="0"/>
              <w:spacing w:after="0"/>
              <w:jc w:val="right"/>
              <w:rPr>
                <w:rFonts w:asciiTheme="minorHAnsi" w:eastAsiaTheme="minorHAnsi" w:hAnsiTheme="minorHAnsi" w:cstheme="minorBidi"/>
                <w:color w:val="000000"/>
                <w:szCs w:val="20"/>
              </w:rPr>
            </w:pPr>
            <w:r w:rsidRPr="003B6A69">
              <w:rPr>
                <w:rFonts w:asciiTheme="minorHAnsi" w:eastAsiaTheme="minorHAnsi" w:hAnsiTheme="minorHAnsi" w:cstheme="minorBidi"/>
                <w:color w:val="000000"/>
                <w:szCs w:val="20"/>
              </w:rPr>
              <w:t>3,600</w:t>
            </w:r>
          </w:p>
        </w:tc>
        <w:tc>
          <w:tcPr>
            <w:tcW w:w="1800" w:type="dxa"/>
            <w:tcBorders>
              <w:top w:val="single" w:sz="6" w:space="0" w:color="auto"/>
              <w:left w:val="single" w:sz="6" w:space="0" w:color="auto"/>
              <w:bottom w:val="single" w:sz="6" w:space="0" w:color="auto"/>
              <w:right w:val="single" w:sz="6" w:space="0" w:color="auto"/>
            </w:tcBorders>
          </w:tcPr>
          <w:p w14:paraId="45D17C2B" w14:textId="77777777" w:rsidR="008C4F26" w:rsidRPr="003B6A69" w:rsidRDefault="008C4F26" w:rsidP="00661293">
            <w:pPr>
              <w:autoSpaceDE w:val="0"/>
              <w:autoSpaceDN w:val="0"/>
              <w:adjustRightInd w:val="0"/>
              <w:spacing w:after="0"/>
              <w:jc w:val="left"/>
              <w:rPr>
                <w:rFonts w:asciiTheme="minorHAnsi" w:eastAsiaTheme="minorHAnsi" w:hAnsiTheme="minorHAnsi" w:cstheme="minorBidi"/>
                <w:szCs w:val="20"/>
              </w:rPr>
            </w:pPr>
            <w:r w:rsidRPr="003B6A69">
              <w:rPr>
                <w:rFonts w:asciiTheme="minorHAnsi" w:eastAsiaTheme="minorHAnsi" w:hAnsiTheme="minorHAnsi" w:cstheme="minorBidi"/>
                <w:szCs w:val="20"/>
              </w:rPr>
              <w:t>Nature park</w:t>
            </w:r>
          </w:p>
        </w:tc>
        <w:tc>
          <w:tcPr>
            <w:tcW w:w="3240" w:type="dxa"/>
            <w:tcBorders>
              <w:top w:val="single" w:sz="6" w:space="0" w:color="auto"/>
              <w:left w:val="single" w:sz="6" w:space="0" w:color="auto"/>
              <w:bottom w:val="single" w:sz="6" w:space="0" w:color="auto"/>
              <w:right w:val="single" w:sz="6" w:space="0" w:color="auto"/>
            </w:tcBorders>
          </w:tcPr>
          <w:p w14:paraId="10955BA9" w14:textId="77777777" w:rsidR="008C4F26" w:rsidRPr="003B6A69" w:rsidRDefault="008C4F26" w:rsidP="00661293">
            <w:pPr>
              <w:autoSpaceDE w:val="0"/>
              <w:autoSpaceDN w:val="0"/>
              <w:adjustRightInd w:val="0"/>
              <w:spacing w:after="0"/>
              <w:jc w:val="left"/>
              <w:rPr>
                <w:rFonts w:asciiTheme="minorHAnsi" w:eastAsiaTheme="minorHAnsi" w:hAnsiTheme="minorHAnsi" w:cstheme="minorBidi"/>
                <w:szCs w:val="20"/>
              </w:rPr>
            </w:pPr>
            <w:r w:rsidRPr="003B6A69">
              <w:rPr>
                <w:rFonts w:asciiTheme="minorHAnsi" w:eastAsiaTheme="minorHAnsi" w:hAnsiTheme="minorHAnsi" w:cstheme="minorBidi"/>
                <w:szCs w:val="20"/>
              </w:rPr>
              <w:t>EMERALD</w:t>
            </w:r>
          </w:p>
        </w:tc>
      </w:tr>
      <w:tr w:rsidR="008C4F26" w:rsidRPr="003B6A69" w14:paraId="58A15785" w14:textId="77777777" w:rsidTr="00661293">
        <w:trPr>
          <w:trHeight w:val="53"/>
        </w:trPr>
        <w:tc>
          <w:tcPr>
            <w:tcW w:w="1800" w:type="dxa"/>
            <w:tcBorders>
              <w:top w:val="single" w:sz="6" w:space="0" w:color="auto"/>
              <w:left w:val="single" w:sz="6" w:space="0" w:color="auto"/>
              <w:bottom w:val="single" w:sz="6" w:space="0" w:color="auto"/>
              <w:right w:val="single" w:sz="6" w:space="0" w:color="auto"/>
            </w:tcBorders>
          </w:tcPr>
          <w:p w14:paraId="4B198066" w14:textId="77777777" w:rsidR="008C4F26" w:rsidRPr="003B6A69" w:rsidRDefault="008C4F26" w:rsidP="00661293">
            <w:pPr>
              <w:autoSpaceDE w:val="0"/>
              <w:autoSpaceDN w:val="0"/>
              <w:adjustRightInd w:val="0"/>
              <w:spacing w:after="0"/>
              <w:jc w:val="right"/>
              <w:rPr>
                <w:rFonts w:asciiTheme="minorHAnsi" w:eastAsiaTheme="minorHAnsi" w:hAnsiTheme="minorHAnsi" w:cstheme="minorBidi"/>
                <w:color w:val="000000"/>
                <w:szCs w:val="20"/>
              </w:rPr>
            </w:pPr>
            <w:r w:rsidRPr="003B6A69">
              <w:rPr>
                <w:rFonts w:asciiTheme="minorHAnsi" w:eastAsiaTheme="minorHAnsi" w:hAnsiTheme="minorHAnsi" w:cstheme="minorBidi"/>
                <w:color w:val="000000"/>
                <w:szCs w:val="20"/>
              </w:rPr>
              <w:t>31700</w:t>
            </w:r>
          </w:p>
        </w:tc>
        <w:tc>
          <w:tcPr>
            <w:tcW w:w="1890" w:type="dxa"/>
            <w:tcBorders>
              <w:top w:val="single" w:sz="6" w:space="0" w:color="auto"/>
              <w:left w:val="single" w:sz="6" w:space="0" w:color="auto"/>
              <w:bottom w:val="single" w:sz="6" w:space="0" w:color="auto"/>
              <w:right w:val="single" w:sz="6" w:space="0" w:color="auto"/>
            </w:tcBorders>
          </w:tcPr>
          <w:p w14:paraId="2C5FAC43" w14:textId="77777777" w:rsidR="008C4F26" w:rsidRPr="003B6A69" w:rsidRDefault="008C4F26" w:rsidP="00661293">
            <w:pPr>
              <w:autoSpaceDE w:val="0"/>
              <w:autoSpaceDN w:val="0"/>
              <w:adjustRightInd w:val="0"/>
              <w:spacing w:after="0"/>
              <w:jc w:val="left"/>
              <w:rPr>
                <w:rFonts w:asciiTheme="minorHAnsi" w:eastAsiaTheme="minorHAnsi" w:hAnsiTheme="minorHAnsi" w:cstheme="minorBidi"/>
                <w:szCs w:val="20"/>
              </w:rPr>
            </w:pPr>
            <w:proofErr w:type="spellStart"/>
            <w:r w:rsidRPr="003B6A69">
              <w:rPr>
                <w:rFonts w:asciiTheme="minorHAnsi" w:eastAsiaTheme="minorHAnsi" w:hAnsiTheme="minorHAnsi" w:cstheme="minorBidi"/>
                <w:szCs w:val="20"/>
              </w:rPr>
              <w:t>Kakaricka</w:t>
            </w:r>
            <w:proofErr w:type="spellEnd"/>
            <w:r w:rsidRPr="003B6A69">
              <w:rPr>
                <w:rFonts w:asciiTheme="minorHAnsi" w:eastAsiaTheme="minorHAnsi" w:hAnsiTheme="minorHAnsi" w:cstheme="minorBidi"/>
                <w:szCs w:val="20"/>
              </w:rPr>
              <w:t xml:space="preserve"> </w:t>
            </w:r>
            <w:proofErr w:type="spellStart"/>
            <w:r w:rsidRPr="003B6A69">
              <w:rPr>
                <w:rFonts w:asciiTheme="minorHAnsi" w:eastAsiaTheme="minorHAnsi" w:hAnsiTheme="minorHAnsi" w:cstheme="minorBidi"/>
                <w:szCs w:val="20"/>
              </w:rPr>
              <w:t>gora</w:t>
            </w:r>
            <w:proofErr w:type="spellEnd"/>
          </w:p>
        </w:tc>
        <w:tc>
          <w:tcPr>
            <w:tcW w:w="990" w:type="dxa"/>
            <w:tcBorders>
              <w:top w:val="single" w:sz="6" w:space="0" w:color="auto"/>
              <w:left w:val="single" w:sz="6" w:space="0" w:color="auto"/>
              <w:bottom w:val="single" w:sz="6" w:space="0" w:color="auto"/>
              <w:right w:val="single" w:sz="6" w:space="0" w:color="auto"/>
            </w:tcBorders>
          </w:tcPr>
          <w:p w14:paraId="6D604CB2" w14:textId="77777777" w:rsidR="008C4F26" w:rsidRPr="003B6A69" w:rsidRDefault="008C4F26" w:rsidP="00661293">
            <w:pPr>
              <w:autoSpaceDE w:val="0"/>
              <w:autoSpaceDN w:val="0"/>
              <w:adjustRightInd w:val="0"/>
              <w:spacing w:after="0"/>
              <w:jc w:val="right"/>
              <w:rPr>
                <w:rFonts w:asciiTheme="minorHAnsi" w:eastAsiaTheme="minorHAnsi" w:hAnsiTheme="minorHAnsi" w:cstheme="minorBidi"/>
                <w:color w:val="000000"/>
                <w:szCs w:val="20"/>
              </w:rPr>
            </w:pPr>
            <w:r w:rsidRPr="003B6A69">
              <w:rPr>
                <w:rFonts w:asciiTheme="minorHAnsi" w:eastAsiaTheme="minorHAnsi" w:hAnsiTheme="minorHAnsi" w:cstheme="minorBidi"/>
                <w:color w:val="000000"/>
                <w:szCs w:val="20"/>
              </w:rPr>
              <w:t>500</w:t>
            </w:r>
          </w:p>
        </w:tc>
        <w:tc>
          <w:tcPr>
            <w:tcW w:w="1800" w:type="dxa"/>
            <w:tcBorders>
              <w:top w:val="single" w:sz="6" w:space="0" w:color="auto"/>
              <w:left w:val="single" w:sz="6" w:space="0" w:color="auto"/>
              <w:bottom w:val="single" w:sz="6" w:space="0" w:color="auto"/>
              <w:right w:val="single" w:sz="6" w:space="0" w:color="auto"/>
            </w:tcBorders>
          </w:tcPr>
          <w:p w14:paraId="226B3802" w14:textId="77777777" w:rsidR="008C4F26" w:rsidRPr="003B6A69" w:rsidRDefault="008C4F26" w:rsidP="00661293">
            <w:pPr>
              <w:autoSpaceDE w:val="0"/>
              <w:autoSpaceDN w:val="0"/>
              <w:adjustRightInd w:val="0"/>
              <w:spacing w:after="0"/>
              <w:jc w:val="left"/>
              <w:rPr>
                <w:rFonts w:asciiTheme="minorHAnsi" w:eastAsiaTheme="minorHAnsi" w:hAnsiTheme="minorHAnsi" w:cstheme="minorBidi"/>
                <w:szCs w:val="20"/>
              </w:rPr>
            </w:pPr>
            <w:r w:rsidRPr="003B6A69">
              <w:rPr>
                <w:rFonts w:asciiTheme="minorHAnsi" w:eastAsiaTheme="minorHAnsi" w:hAnsiTheme="minorHAnsi" w:cstheme="minorBidi"/>
                <w:szCs w:val="20"/>
              </w:rPr>
              <w:t>No</w:t>
            </w:r>
          </w:p>
        </w:tc>
        <w:tc>
          <w:tcPr>
            <w:tcW w:w="3240" w:type="dxa"/>
            <w:tcBorders>
              <w:top w:val="single" w:sz="6" w:space="0" w:color="auto"/>
              <w:left w:val="single" w:sz="6" w:space="0" w:color="auto"/>
              <w:bottom w:val="single" w:sz="6" w:space="0" w:color="auto"/>
              <w:right w:val="single" w:sz="6" w:space="0" w:color="auto"/>
            </w:tcBorders>
          </w:tcPr>
          <w:p w14:paraId="06507B93" w14:textId="77777777" w:rsidR="008C4F26" w:rsidRPr="003B6A69" w:rsidRDefault="008C4F26" w:rsidP="00661293">
            <w:pPr>
              <w:autoSpaceDE w:val="0"/>
              <w:autoSpaceDN w:val="0"/>
              <w:adjustRightInd w:val="0"/>
              <w:spacing w:after="0"/>
              <w:jc w:val="left"/>
              <w:rPr>
                <w:rFonts w:asciiTheme="minorHAnsi" w:eastAsiaTheme="minorHAnsi" w:hAnsiTheme="minorHAnsi" w:cstheme="minorBidi"/>
                <w:szCs w:val="20"/>
              </w:rPr>
            </w:pPr>
            <w:r w:rsidRPr="003B6A69">
              <w:rPr>
                <w:rFonts w:asciiTheme="minorHAnsi" w:eastAsiaTheme="minorHAnsi" w:hAnsiTheme="minorHAnsi" w:cstheme="minorBidi"/>
                <w:szCs w:val="20"/>
              </w:rPr>
              <w:t>IPA</w:t>
            </w:r>
          </w:p>
        </w:tc>
      </w:tr>
      <w:tr w:rsidR="008C4F26" w:rsidRPr="003B6A69" w14:paraId="6AECB344" w14:textId="77777777" w:rsidTr="00661293">
        <w:trPr>
          <w:trHeight w:val="53"/>
        </w:trPr>
        <w:tc>
          <w:tcPr>
            <w:tcW w:w="1800" w:type="dxa"/>
            <w:tcBorders>
              <w:top w:val="single" w:sz="6" w:space="0" w:color="auto"/>
              <w:left w:val="single" w:sz="6" w:space="0" w:color="auto"/>
              <w:bottom w:val="single" w:sz="6" w:space="0" w:color="auto"/>
              <w:right w:val="single" w:sz="6" w:space="0" w:color="auto"/>
            </w:tcBorders>
          </w:tcPr>
          <w:p w14:paraId="40A76E18" w14:textId="77777777" w:rsidR="008C4F26" w:rsidRPr="003B6A69" w:rsidRDefault="008C4F26" w:rsidP="00661293">
            <w:pPr>
              <w:autoSpaceDE w:val="0"/>
              <w:autoSpaceDN w:val="0"/>
              <w:adjustRightInd w:val="0"/>
              <w:spacing w:after="0"/>
              <w:jc w:val="right"/>
              <w:rPr>
                <w:rFonts w:asciiTheme="minorHAnsi" w:eastAsiaTheme="minorHAnsi" w:hAnsiTheme="minorHAnsi" w:cstheme="minorBidi"/>
                <w:color w:val="000000"/>
                <w:szCs w:val="20"/>
              </w:rPr>
            </w:pPr>
            <w:r w:rsidRPr="003B6A69">
              <w:rPr>
                <w:rFonts w:asciiTheme="minorHAnsi" w:eastAsiaTheme="minorHAnsi" w:hAnsiTheme="minorHAnsi" w:cstheme="minorBidi"/>
                <w:color w:val="000000"/>
                <w:szCs w:val="20"/>
              </w:rPr>
              <w:t>31717</w:t>
            </w:r>
          </w:p>
        </w:tc>
        <w:tc>
          <w:tcPr>
            <w:tcW w:w="1890" w:type="dxa"/>
            <w:tcBorders>
              <w:top w:val="single" w:sz="6" w:space="0" w:color="auto"/>
              <w:left w:val="single" w:sz="6" w:space="0" w:color="auto"/>
              <w:bottom w:val="single" w:sz="6" w:space="0" w:color="auto"/>
              <w:right w:val="single" w:sz="6" w:space="0" w:color="auto"/>
            </w:tcBorders>
          </w:tcPr>
          <w:p w14:paraId="72377452" w14:textId="77777777" w:rsidR="008C4F26" w:rsidRPr="003B6A69" w:rsidRDefault="008C4F26" w:rsidP="00661293">
            <w:pPr>
              <w:autoSpaceDE w:val="0"/>
              <w:autoSpaceDN w:val="0"/>
              <w:adjustRightInd w:val="0"/>
              <w:spacing w:after="0"/>
              <w:jc w:val="left"/>
              <w:rPr>
                <w:rFonts w:asciiTheme="minorHAnsi" w:eastAsiaTheme="minorHAnsi" w:hAnsiTheme="minorHAnsi" w:cstheme="minorBidi"/>
                <w:szCs w:val="20"/>
              </w:rPr>
            </w:pPr>
            <w:proofErr w:type="spellStart"/>
            <w:r w:rsidRPr="003B6A69">
              <w:rPr>
                <w:rFonts w:asciiTheme="minorHAnsi" w:eastAsiaTheme="minorHAnsi" w:hAnsiTheme="minorHAnsi" w:cstheme="minorBidi"/>
                <w:szCs w:val="20"/>
              </w:rPr>
              <w:t>Rumija</w:t>
            </w:r>
            <w:proofErr w:type="spellEnd"/>
          </w:p>
        </w:tc>
        <w:tc>
          <w:tcPr>
            <w:tcW w:w="990" w:type="dxa"/>
            <w:tcBorders>
              <w:top w:val="single" w:sz="6" w:space="0" w:color="auto"/>
              <w:left w:val="single" w:sz="6" w:space="0" w:color="auto"/>
              <w:bottom w:val="single" w:sz="6" w:space="0" w:color="auto"/>
              <w:right w:val="single" w:sz="6" w:space="0" w:color="auto"/>
            </w:tcBorders>
          </w:tcPr>
          <w:p w14:paraId="54765351" w14:textId="77777777" w:rsidR="008C4F26" w:rsidRPr="003B6A69" w:rsidRDefault="008C4F26" w:rsidP="00661293">
            <w:pPr>
              <w:autoSpaceDE w:val="0"/>
              <w:autoSpaceDN w:val="0"/>
              <w:adjustRightInd w:val="0"/>
              <w:spacing w:after="0"/>
              <w:jc w:val="right"/>
              <w:rPr>
                <w:rFonts w:asciiTheme="minorHAnsi" w:eastAsiaTheme="minorHAnsi" w:hAnsiTheme="minorHAnsi" w:cstheme="minorBidi"/>
                <w:color w:val="000000"/>
                <w:szCs w:val="20"/>
              </w:rPr>
            </w:pPr>
            <w:r w:rsidRPr="003B6A69">
              <w:rPr>
                <w:rFonts w:asciiTheme="minorHAnsi" w:eastAsiaTheme="minorHAnsi" w:hAnsiTheme="minorHAnsi" w:cstheme="minorBidi"/>
                <w:color w:val="000000"/>
                <w:szCs w:val="20"/>
              </w:rPr>
              <w:t>4,300</w:t>
            </w:r>
          </w:p>
        </w:tc>
        <w:tc>
          <w:tcPr>
            <w:tcW w:w="1800" w:type="dxa"/>
            <w:tcBorders>
              <w:top w:val="single" w:sz="6" w:space="0" w:color="auto"/>
              <w:left w:val="single" w:sz="6" w:space="0" w:color="auto"/>
              <w:bottom w:val="single" w:sz="6" w:space="0" w:color="auto"/>
              <w:right w:val="single" w:sz="6" w:space="0" w:color="auto"/>
            </w:tcBorders>
          </w:tcPr>
          <w:p w14:paraId="5A67290F" w14:textId="77777777" w:rsidR="008C4F26" w:rsidRPr="003B6A69" w:rsidRDefault="008C4F26" w:rsidP="00661293">
            <w:pPr>
              <w:autoSpaceDE w:val="0"/>
              <w:autoSpaceDN w:val="0"/>
              <w:adjustRightInd w:val="0"/>
              <w:spacing w:after="0"/>
              <w:jc w:val="left"/>
              <w:rPr>
                <w:rFonts w:asciiTheme="minorHAnsi" w:eastAsiaTheme="minorHAnsi" w:hAnsiTheme="minorHAnsi" w:cstheme="minorBidi"/>
                <w:szCs w:val="20"/>
              </w:rPr>
            </w:pPr>
            <w:r w:rsidRPr="003B6A69">
              <w:rPr>
                <w:rFonts w:asciiTheme="minorHAnsi" w:eastAsiaTheme="minorHAnsi" w:hAnsiTheme="minorHAnsi" w:cstheme="minorBidi"/>
                <w:szCs w:val="20"/>
              </w:rPr>
              <w:t>No</w:t>
            </w:r>
          </w:p>
        </w:tc>
        <w:tc>
          <w:tcPr>
            <w:tcW w:w="3240" w:type="dxa"/>
            <w:tcBorders>
              <w:top w:val="single" w:sz="6" w:space="0" w:color="auto"/>
              <w:left w:val="single" w:sz="6" w:space="0" w:color="auto"/>
              <w:bottom w:val="single" w:sz="6" w:space="0" w:color="auto"/>
              <w:right w:val="single" w:sz="6" w:space="0" w:color="auto"/>
            </w:tcBorders>
          </w:tcPr>
          <w:p w14:paraId="429F0E19" w14:textId="77777777" w:rsidR="008C4F26" w:rsidRPr="003B6A69" w:rsidRDefault="008C4F26" w:rsidP="00661293">
            <w:pPr>
              <w:autoSpaceDE w:val="0"/>
              <w:autoSpaceDN w:val="0"/>
              <w:adjustRightInd w:val="0"/>
              <w:spacing w:after="0"/>
              <w:jc w:val="left"/>
              <w:rPr>
                <w:rFonts w:asciiTheme="minorHAnsi" w:eastAsiaTheme="minorHAnsi" w:hAnsiTheme="minorHAnsi" w:cstheme="minorBidi"/>
                <w:szCs w:val="20"/>
              </w:rPr>
            </w:pPr>
            <w:r w:rsidRPr="003B6A69">
              <w:rPr>
                <w:rFonts w:asciiTheme="minorHAnsi" w:eastAsiaTheme="minorHAnsi" w:hAnsiTheme="minorHAnsi" w:cstheme="minorBidi"/>
                <w:szCs w:val="20"/>
              </w:rPr>
              <w:t>EMERALD, IBA</w:t>
            </w:r>
          </w:p>
        </w:tc>
      </w:tr>
      <w:tr w:rsidR="008C4F26" w:rsidRPr="003B6A69" w14:paraId="3E5F6640" w14:textId="77777777" w:rsidTr="00661293">
        <w:trPr>
          <w:trHeight w:val="53"/>
        </w:trPr>
        <w:tc>
          <w:tcPr>
            <w:tcW w:w="1800" w:type="dxa"/>
            <w:tcBorders>
              <w:top w:val="single" w:sz="6" w:space="0" w:color="auto"/>
              <w:left w:val="single" w:sz="6" w:space="0" w:color="auto"/>
              <w:bottom w:val="single" w:sz="6" w:space="0" w:color="auto"/>
              <w:right w:val="single" w:sz="6" w:space="0" w:color="auto"/>
            </w:tcBorders>
          </w:tcPr>
          <w:p w14:paraId="15A61DE9" w14:textId="77777777" w:rsidR="008C4F26" w:rsidRPr="003B6A69" w:rsidRDefault="008C4F26" w:rsidP="00661293">
            <w:pPr>
              <w:autoSpaceDE w:val="0"/>
              <w:autoSpaceDN w:val="0"/>
              <w:adjustRightInd w:val="0"/>
              <w:spacing w:after="0"/>
              <w:jc w:val="right"/>
              <w:rPr>
                <w:rFonts w:asciiTheme="minorHAnsi" w:eastAsiaTheme="minorHAnsi" w:hAnsiTheme="minorHAnsi" w:cstheme="minorBidi"/>
                <w:color w:val="000000"/>
                <w:szCs w:val="20"/>
              </w:rPr>
            </w:pPr>
            <w:r w:rsidRPr="003B6A69">
              <w:rPr>
                <w:rFonts w:asciiTheme="minorHAnsi" w:eastAsiaTheme="minorHAnsi" w:hAnsiTheme="minorHAnsi" w:cstheme="minorBidi"/>
                <w:color w:val="000000"/>
                <w:szCs w:val="20"/>
              </w:rPr>
              <w:t>31738</w:t>
            </w:r>
          </w:p>
        </w:tc>
        <w:tc>
          <w:tcPr>
            <w:tcW w:w="1890" w:type="dxa"/>
            <w:tcBorders>
              <w:top w:val="single" w:sz="6" w:space="0" w:color="auto"/>
              <w:left w:val="single" w:sz="6" w:space="0" w:color="auto"/>
              <w:bottom w:val="single" w:sz="6" w:space="0" w:color="auto"/>
              <w:right w:val="single" w:sz="6" w:space="0" w:color="auto"/>
            </w:tcBorders>
          </w:tcPr>
          <w:p w14:paraId="20D61DD5" w14:textId="77777777" w:rsidR="008C4F26" w:rsidRPr="003B6A69" w:rsidRDefault="008C4F26" w:rsidP="00661293">
            <w:pPr>
              <w:autoSpaceDE w:val="0"/>
              <w:autoSpaceDN w:val="0"/>
              <w:adjustRightInd w:val="0"/>
              <w:spacing w:after="0"/>
              <w:jc w:val="left"/>
              <w:rPr>
                <w:rFonts w:asciiTheme="minorHAnsi" w:eastAsiaTheme="minorHAnsi" w:hAnsiTheme="minorHAnsi" w:cstheme="minorBidi"/>
                <w:szCs w:val="20"/>
              </w:rPr>
            </w:pPr>
            <w:r w:rsidRPr="003B6A69">
              <w:rPr>
                <w:rFonts w:asciiTheme="minorHAnsi" w:eastAsiaTheme="minorHAnsi" w:hAnsiTheme="minorHAnsi" w:cstheme="minorBidi"/>
                <w:szCs w:val="20"/>
              </w:rPr>
              <w:t>Zeta Stream</w:t>
            </w:r>
          </w:p>
        </w:tc>
        <w:tc>
          <w:tcPr>
            <w:tcW w:w="990" w:type="dxa"/>
            <w:tcBorders>
              <w:top w:val="single" w:sz="6" w:space="0" w:color="auto"/>
              <w:left w:val="single" w:sz="6" w:space="0" w:color="auto"/>
              <w:bottom w:val="single" w:sz="6" w:space="0" w:color="auto"/>
              <w:right w:val="single" w:sz="6" w:space="0" w:color="auto"/>
            </w:tcBorders>
          </w:tcPr>
          <w:p w14:paraId="514331F8" w14:textId="77777777" w:rsidR="008C4F26" w:rsidRPr="003B6A69" w:rsidRDefault="008C4F26" w:rsidP="00661293">
            <w:pPr>
              <w:autoSpaceDE w:val="0"/>
              <w:autoSpaceDN w:val="0"/>
              <w:adjustRightInd w:val="0"/>
              <w:spacing w:after="0"/>
              <w:jc w:val="right"/>
              <w:rPr>
                <w:rFonts w:asciiTheme="minorHAnsi" w:eastAsiaTheme="minorHAnsi" w:hAnsiTheme="minorHAnsi" w:cstheme="minorBidi"/>
                <w:color w:val="000000"/>
                <w:szCs w:val="20"/>
              </w:rPr>
            </w:pPr>
            <w:r w:rsidRPr="003B6A69">
              <w:rPr>
                <w:rFonts w:asciiTheme="minorHAnsi" w:eastAsiaTheme="minorHAnsi" w:hAnsiTheme="minorHAnsi" w:cstheme="minorBidi"/>
                <w:color w:val="000000"/>
                <w:szCs w:val="20"/>
              </w:rPr>
              <w:t>2,000</w:t>
            </w:r>
          </w:p>
        </w:tc>
        <w:tc>
          <w:tcPr>
            <w:tcW w:w="1800" w:type="dxa"/>
            <w:tcBorders>
              <w:top w:val="single" w:sz="6" w:space="0" w:color="auto"/>
              <w:left w:val="single" w:sz="6" w:space="0" w:color="auto"/>
              <w:bottom w:val="single" w:sz="6" w:space="0" w:color="auto"/>
              <w:right w:val="single" w:sz="6" w:space="0" w:color="auto"/>
            </w:tcBorders>
          </w:tcPr>
          <w:p w14:paraId="19E0DCC6" w14:textId="77777777" w:rsidR="008C4F26" w:rsidRPr="003B6A69" w:rsidRDefault="008C4F26" w:rsidP="00661293">
            <w:pPr>
              <w:autoSpaceDE w:val="0"/>
              <w:autoSpaceDN w:val="0"/>
              <w:adjustRightInd w:val="0"/>
              <w:spacing w:after="0"/>
              <w:jc w:val="left"/>
              <w:rPr>
                <w:rFonts w:asciiTheme="minorHAnsi" w:eastAsiaTheme="minorHAnsi" w:hAnsiTheme="minorHAnsi" w:cstheme="minorBidi"/>
                <w:szCs w:val="20"/>
              </w:rPr>
            </w:pPr>
            <w:r w:rsidRPr="003B6A69">
              <w:rPr>
                <w:rFonts w:asciiTheme="minorHAnsi" w:eastAsiaTheme="minorHAnsi" w:hAnsiTheme="minorHAnsi" w:cstheme="minorBidi"/>
                <w:szCs w:val="20"/>
              </w:rPr>
              <w:t>Nature park</w:t>
            </w:r>
          </w:p>
        </w:tc>
        <w:tc>
          <w:tcPr>
            <w:tcW w:w="3240" w:type="dxa"/>
            <w:tcBorders>
              <w:top w:val="single" w:sz="6" w:space="0" w:color="auto"/>
              <w:left w:val="single" w:sz="6" w:space="0" w:color="auto"/>
              <w:bottom w:val="single" w:sz="6" w:space="0" w:color="auto"/>
              <w:right w:val="single" w:sz="6" w:space="0" w:color="auto"/>
            </w:tcBorders>
          </w:tcPr>
          <w:p w14:paraId="62825E10" w14:textId="77777777" w:rsidR="008C4F26" w:rsidRPr="003B6A69" w:rsidRDefault="008C4F26" w:rsidP="00661293">
            <w:pPr>
              <w:autoSpaceDE w:val="0"/>
              <w:autoSpaceDN w:val="0"/>
              <w:adjustRightInd w:val="0"/>
              <w:spacing w:after="0"/>
              <w:jc w:val="left"/>
              <w:rPr>
                <w:rFonts w:asciiTheme="minorHAnsi" w:eastAsiaTheme="minorHAnsi" w:hAnsiTheme="minorHAnsi" w:cstheme="minorBidi"/>
                <w:szCs w:val="20"/>
              </w:rPr>
            </w:pPr>
            <w:r w:rsidRPr="003B6A69">
              <w:rPr>
                <w:rFonts w:asciiTheme="minorHAnsi" w:eastAsiaTheme="minorHAnsi" w:hAnsiTheme="minorHAnsi" w:cstheme="minorBidi"/>
                <w:szCs w:val="20"/>
              </w:rPr>
              <w:t>EMERALD</w:t>
            </w:r>
          </w:p>
        </w:tc>
      </w:tr>
      <w:tr w:rsidR="008C4F26" w:rsidRPr="003B6A69" w14:paraId="0570F6FF" w14:textId="77777777" w:rsidTr="00661293">
        <w:trPr>
          <w:trHeight w:val="53"/>
        </w:trPr>
        <w:tc>
          <w:tcPr>
            <w:tcW w:w="1800" w:type="dxa"/>
            <w:tcBorders>
              <w:top w:val="single" w:sz="6" w:space="0" w:color="auto"/>
              <w:left w:val="single" w:sz="6" w:space="0" w:color="auto"/>
              <w:bottom w:val="single" w:sz="6" w:space="0" w:color="auto"/>
              <w:right w:val="single" w:sz="6" w:space="0" w:color="auto"/>
            </w:tcBorders>
          </w:tcPr>
          <w:p w14:paraId="6CE2884E" w14:textId="77777777" w:rsidR="008C4F26" w:rsidRPr="003B6A69" w:rsidRDefault="008C4F26" w:rsidP="00661293">
            <w:pPr>
              <w:autoSpaceDE w:val="0"/>
              <w:autoSpaceDN w:val="0"/>
              <w:adjustRightInd w:val="0"/>
              <w:spacing w:after="0"/>
              <w:jc w:val="right"/>
              <w:rPr>
                <w:rFonts w:asciiTheme="minorHAnsi" w:eastAsiaTheme="minorHAnsi" w:hAnsiTheme="minorHAnsi" w:cstheme="minorBidi"/>
                <w:color w:val="000000"/>
                <w:szCs w:val="20"/>
              </w:rPr>
            </w:pPr>
            <w:r w:rsidRPr="003B6A69">
              <w:rPr>
                <w:rFonts w:asciiTheme="minorHAnsi" w:eastAsiaTheme="minorHAnsi" w:hAnsiTheme="minorHAnsi" w:cstheme="minorBidi"/>
                <w:color w:val="000000"/>
                <w:szCs w:val="20"/>
              </w:rPr>
              <w:t>31847</w:t>
            </w:r>
          </w:p>
        </w:tc>
        <w:tc>
          <w:tcPr>
            <w:tcW w:w="1890" w:type="dxa"/>
            <w:tcBorders>
              <w:top w:val="single" w:sz="6" w:space="0" w:color="auto"/>
              <w:left w:val="single" w:sz="6" w:space="0" w:color="auto"/>
              <w:bottom w:val="single" w:sz="6" w:space="0" w:color="auto"/>
              <w:right w:val="single" w:sz="6" w:space="0" w:color="auto"/>
            </w:tcBorders>
          </w:tcPr>
          <w:p w14:paraId="4993F71F" w14:textId="77777777" w:rsidR="008C4F26" w:rsidRPr="003B6A69" w:rsidRDefault="008C4F26" w:rsidP="00661293">
            <w:pPr>
              <w:autoSpaceDE w:val="0"/>
              <w:autoSpaceDN w:val="0"/>
              <w:adjustRightInd w:val="0"/>
              <w:spacing w:after="0"/>
              <w:jc w:val="left"/>
              <w:rPr>
                <w:rFonts w:asciiTheme="minorHAnsi" w:eastAsiaTheme="minorHAnsi" w:hAnsiTheme="minorHAnsi" w:cstheme="minorBidi"/>
                <w:szCs w:val="20"/>
              </w:rPr>
            </w:pPr>
            <w:proofErr w:type="spellStart"/>
            <w:r w:rsidRPr="003B6A69">
              <w:rPr>
                <w:rFonts w:asciiTheme="minorHAnsi" w:eastAsiaTheme="minorHAnsi" w:hAnsiTheme="minorHAnsi" w:cstheme="minorBidi"/>
                <w:szCs w:val="20"/>
              </w:rPr>
              <w:t>Lovcen</w:t>
            </w:r>
            <w:proofErr w:type="spellEnd"/>
          </w:p>
        </w:tc>
        <w:tc>
          <w:tcPr>
            <w:tcW w:w="990" w:type="dxa"/>
            <w:tcBorders>
              <w:top w:val="single" w:sz="6" w:space="0" w:color="auto"/>
              <w:left w:val="single" w:sz="6" w:space="0" w:color="auto"/>
              <w:bottom w:val="single" w:sz="6" w:space="0" w:color="auto"/>
              <w:right w:val="single" w:sz="6" w:space="0" w:color="auto"/>
            </w:tcBorders>
          </w:tcPr>
          <w:p w14:paraId="4C7C318F" w14:textId="77777777" w:rsidR="008C4F26" w:rsidRPr="003B6A69" w:rsidRDefault="008C4F26" w:rsidP="00661293">
            <w:pPr>
              <w:autoSpaceDE w:val="0"/>
              <w:autoSpaceDN w:val="0"/>
              <w:adjustRightInd w:val="0"/>
              <w:spacing w:after="0"/>
              <w:jc w:val="right"/>
              <w:rPr>
                <w:rFonts w:asciiTheme="minorHAnsi" w:eastAsiaTheme="minorHAnsi" w:hAnsiTheme="minorHAnsi" w:cstheme="minorBidi"/>
                <w:color w:val="000000"/>
                <w:szCs w:val="20"/>
              </w:rPr>
            </w:pPr>
            <w:r w:rsidRPr="003B6A69">
              <w:rPr>
                <w:rFonts w:asciiTheme="minorHAnsi" w:eastAsiaTheme="minorHAnsi" w:hAnsiTheme="minorHAnsi" w:cstheme="minorBidi"/>
                <w:color w:val="000000"/>
                <w:szCs w:val="20"/>
              </w:rPr>
              <w:t>6,300</w:t>
            </w:r>
          </w:p>
        </w:tc>
        <w:tc>
          <w:tcPr>
            <w:tcW w:w="1800" w:type="dxa"/>
            <w:tcBorders>
              <w:top w:val="single" w:sz="6" w:space="0" w:color="auto"/>
              <w:left w:val="single" w:sz="6" w:space="0" w:color="auto"/>
              <w:bottom w:val="single" w:sz="6" w:space="0" w:color="auto"/>
              <w:right w:val="single" w:sz="6" w:space="0" w:color="auto"/>
            </w:tcBorders>
          </w:tcPr>
          <w:p w14:paraId="538617DC" w14:textId="77777777" w:rsidR="008C4F26" w:rsidRPr="003B6A69" w:rsidRDefault="008C4F26" w:rsidP="00661293">
            <w:pPr>
              <w:autoSpaceDE w:val="0"/>
              <w:autoSpaceDN w:val="0"/>
              <w:adjustRightInd w:val="0"/>
              <w:spacing w:after="0"/>
              <w:jc w:val="left"/>
              <w:rPr>
                <w:rFonts w:asciiTheme="minorHAnsi" w:eastAsiaTheme="minorHAnsi" w:hAnsiTheme="minorHAnsi" w:cstheme="minorBidi"/>
                <w:szCs w:val="20"/>
              </w:rPr>
            </w:pPr>
            <w:r w:rsidRPr="003B6A69">
              <w:rPr>
                <w:rFonts w:asciiTheme="minorHAnsi" w:eastAsiaTheme="minorHAnsi" w:hAnsiTheme="minorHAnsi" w:cstheme="minorBidi"/>
                <w:szCs w:val="20"/>
              </w:rPr>
              <w:t>National park</w:t>
            </w:r>
          </w:p>
        </w:tc>
        <w:tc>
          <w:tcPr>
            <w:tcW w:w="3240" w:type="dxa"/>
            <w:tcBorders>
              <w:top w:val="single" w:sz="6" w:space="0" w:color="auto"/>
              <w:left w:val="single" w:sz="6" w:space="0" w:color="auto"/>
              <w:bottom w:val="single" w:sz="6" w:space="0" w:color="auto"/>
              <w:right w:val="single" w:sz="6" w:space="0" w:color="auto"/>
            </w:tcBorders>
          </w:tcPr>
          <w:p w14:paraId="5A4E35C0" w14:textId="77777777" w:rsidR="008C4F26" w:rsidRPr="003B6A69" w:rsidRDefault="008C4F26" w:rsidP="00661293">
            <w:pPr>
              <w:autoSpaceDE w:val="0"/>
              <w:autoSpaceDN w:val="0"/>
              <w:adjustRightInd w:val="0"/>
              <w:spacing w:after="0"/>
              <w:jc w:val="left"/>
              <w:rPr>
                <w:rFonts w:asciiTheme="minorHAnsi" w:eastAsiaTheme="minorHAnsi" w:hAnsiTheme="minorHAnsi" w:cstheme="minorBidi"/>
                <w:szCs w:val="20"/>
              </w:rPr>
            </w:pPr>
            <w:r w:rsidRPr="003B6A69">
              <w:rPr>
                <w:rFonts w:asciiTheme="minorHAnsi" w:eastAsiaTheme="minorHAnsi" w:hAnsiTheme="minorHAnsi" w:cstheme="minorBidi"/>
                <w:szCs w:val="20"/>
              </w:rPr>
              <w:t>EMERALD</w:t>
            </w:r>
          </w:p>
        </w:tc>
      </w:tr>
      <w:tr w:rsidR="008C4F26" w:rsidRPr="003B6A69" w14:paraId="2E03152D" w14:textId="77777777" w:rsidTr="00661293">
        <w:trPr>
          <w:trHeight w:val="53"/>
        </w:trPr>
        <w:tc>
          <w:tcPr>
            <w:tcW w:w="1800" w:type="dxa"/>
            <w:tcBorders>
              <w:top w:val="single" w:sz="6" w:space="0" w:color="auto"/>
              <w:left w:val="single" w:sz="6" w:space="0" w:color="auto"/>
              <w:bottom w:val="single" w:sz="6" w:space="0" w:color="auto"/>
              <w:right w:val="single" w:sz="6" w:space="0" w:color="auto"/>
            </w:tcBorders>
          </w:tcPr>
          <w:p w14:paraId="59C04BDC" w14:textId="77777777" w:rsidR="008C4F26" w:rsidRPr="003B6A69" w:rsidRDefault="008C4F26" w:rsidP="00661293">
            <w:pPr>
              <w:autoSpaceDE w:val="0"/>
              <w:autoSpaceDN w:val="0"/>
              <w:adjustRightInd w:val="0"/>
              <w:spacing w:after="0"/>
              <w:jc w:val="right"/>
              <w:rPr>
                <w:rFonts w:asciiTheme="minorHAnsi" w:eastAsiaTheme="minorHAnsi" w:hAnsiTheme="minorHAnsi" w:cstheme="minorBidi"/>
                <w:color w:val="000000"/>
                <w:szCs w:val="20"/>
              </w:rPr>
            </w:pPr>
            <w:r w:rsidRPr="003B6A69">
              <w:rPr>
                <w:rFonts w:asciiTheme="minorHAnsi" w:eastAsiaTheme="minorHAnsi" w:hAnsiTheme="minorHAnsi" w:cstheme="minorBidi"/>
                <w:color w:val="000000"/>
                <w:szCs w:val="20"/>
              </w:rPr>
              <w:t>31891</w:t>
            </w:r>
          </w:p>
        </w:tc>
        <w:tc>
          <w:tcPr>
            <w:tcW w:w="1890" w:type="dxa"/>
            <w:tcBorders>
              <w:top w:val="single" w:sz="6" w:space="0" w:color="auto"/>
              <w:left w:val="single" w:sz="6" w:space="0" w:color="auto"/>
              <w:bottom w:val="single" w:sz="6" w:space="0" w:color="auto"/>
              <w:right w:val="single" w:sz="6" w:space="0" w:color="auto"/>
            </w:tcBorders>
          </w:tcPr>
          <w:p w14:paraId="412B0BBE" w14:textId="77777777" w:rsidR="008C4F26" w:rsidRPr="003B6A69" w:rsidRDefault="008C4F26" w:rsidP="00661293">
            <w:pPr>
              <w:autoSpaceDE w:val="0"/>
              <w:autoSpaceDN w:val="0"/>
              <w:adjustRightInd w:val="0"/>
              <w:spacing w:after="0"/>
              <w:jc w:val="left"/>
              <w:rPr>
                <w:rFonts w:asciiTheme="minorHAnsi" w:eastAsiaTheme="minorHAnsi" w:hAnsiTheme="minorHAnsi" w:cstheme="minorBidi"/>
                <w:szCs w:val="20"/>
              </w:rPr>
            </w:pPr>
            <w:proofErr w:type="spellStart"/>
            <w:r w:rsidRPr="003B6A69">
              <w:rPr>
                <w:rFonts w:asciiTheme="minorHAnsi" w:eastAsiaTheme="minorHAnsi" w:hAnsiTheme="minorHAnsi" w:cstheme="minorBidi"/>
                <w:szCs w:val="20"/>
              </w:rPr>
              <w:t>Orjen</w:t>
            </w:r>
            <w:proofErr w:type="spellEnd"/>
          </w:p>
        </w:tc>
        <w:tc>
          <w:tcPr>
            <w:tcW w:w="990" w:type="dxa"/>
            <w:tcBorders>
              <w:top w:val="single" w:sz="6" w:space="0" w:color="auto"/>
              <w:left w:val="single" w:sz="6" w:space="0" w:color="auto"/>
              <w:bottom w:val="single" w:sz="6" w:space="0" w:color="auto"/>
              <w:right w:val="single" w:sz="6" w:space="0" w:color="auto"/>
            </w:tcBorders>
          </w:tcPr>
          <w:p w14:paraId="2B6E432E" w14:textId="77777777" w:rsidR="008C4F26" w:rsidRPr="003B6A69" w:rsidRDefault="008C4F26" w:rsidP="00661293">
            <w:pPr>
              <w:autoSpaceDE w:val="0"/>
              <w:autoSpaceDN w:val="0"/>
              <w:adjustRightInd w:val="0"/>
              <w:spacing w:after="0"/>
              <w:jc w:val="right"/>
              <w:rPr>
                <w:rFonts w:asciiTheme="minorHAnsi" w:eastAsiaTheme="minorHAnsi" w:hAnsiTheme="minorHAnsi" w:cstheme="minorBidi"/>
                <w:color w:val="000000"/>
                <w:szCs w:val="20"/>
              </w:rPr>
            </w:pPr>
            <w:r w:rsidRPr="003B6A69">
              <w:rPr>
                <w:rFonts w:asciiTheme="minorHAnsi" w:eastAsiaTheme="minorHAnsi" w:hAnsiTheme="minorHAnsi" w:cstheme="minorBidi"/>
                <w:color w:val="000000"/>
                <w:szCs w:val="20"/>
              </w:rPr>
              <w:t>10,000</w:t>
            </w:r>
          </w:p>
        </w:tc>
        <w:tc>
          <w:tcPr>
            <w:tcW w:w="1800" w:type="dxa"/>
            <w:tcBorders>
              <w:top w:val="single" w:sz="6" w:space="0" w:color="auto"/>
              <w:left w:val="single" w:sz="6" w:space="0" w:color="auto"/>
              <w:bottom w:val="single" w:sz="6" w:space="0" w:color="auto"/>
              <w:right w:val="single" w:sz="6" w:space="0" w:color="auto"/>
            </w:tcBorders>
          </w:tcPr>
          <w:p w14:paraId="4013F64E" w14:textId="77777777" w:rsidR="008C4F26" w:rsidRPr="003B6A69" w:rsidRDefault="008C4F26" w:rsidP="00661293">
            <w:pPr>
              <w:autoSpaceDE w:val="0"/>
              <w:autoSpaceDN w:val="0"/>
              <w:adjustRightInd w:val="0"/>
              <w:spacing w:after="0"/>
              <w:jc w:val="left"/>
              <w:rPr>
                <w:rFonts w:asciiTheme="minorHAnsi" w:eastAsiaTheme="minorHAnsi" w:hAnsiTheme="minorHAnsi" w:cstheme="minorBidi"/>
                <w:szCs w:val="20"/>
              </w:rPr>
            </w:pPr>
            <w:r w:rsidRPr="003B6A69">
              <w:rPr>
                <w:rFonts w:asciiTheme="minorHAnsi" w:eastAsiaTheme="minorHAnsi" w:hAnsiTheme="minorHAnsi" w:cstheme="minorBidi"/>
                <w:szCs w:val="20"/>
              </w:rPr>
              <w:t>Nature park</w:t>
            </w:r>
          </w:p>
        </w:tc>
        <w:tc>
          <w:tcPr>
            <w:tcW w:w="3240" w:type="dxa"/>
            <w:tcBorders>
              <w:top w:val="single" w:sz="6" w:space="0" w:color="auto"/>
              <w:left w:val="single" w:sz="6" w:space="0" w:color="auto"/>
              <w:bottom w:val="single" w:sz="6" w:space="0" w:color="auto"/>
              <w:right w:val="single" w:sz="6" w:space="0" w:color="auto"/>
            </w:tcBorders>
          </w:tcPr>
          <w:p w14:paraId="58DCE9D2" w14:textId="77777777" w:rsidR="008C4F26" w:rsidRPr="003B6A69" w:rsidRDefault="008C4F26" w:rsidP="00661293">
            <w:pPr>
              <w:autoSpaceDE w:val="0"/>
              <w:autoSpaceDN w:val="0"/>
              <w:adjustRightInd w:val="0"/>
              <w:spacing w:after="0"/>
              <w:jc w:val="left"/>
              <w:rPr>
                <w:rFonts w:asciiTheme="minorHAnsi" w:eastAsiaTheme="minorHAnsi" w:hAnsiTheme="minorHAnsi" w:cstheme="minorBidi"/>
                <w:szCs w:val="20"/>
              </w:rPr>
            </w:pPr>
            <w:r w:rsidRPr="003B6A69">
              <w:rPr>
                <w:rFonts w:asciiTheme="minorHAnsi" w:eastAsiaTheme="minorHAnsi" w:hAnsiTheme="minorHAnsi" w:cstheme="minorBidi"/>
                <w:szCs w:val="20"/>
              </w:rPr>
              <w:t>EMERALD</w:t>
            </w:r>
          </w:p>
        </w:tc>
      </w:tr>
      <w:tr w:rsidR="008C4F26" w:rsidRPr="003B6A69" w14:paraId="0E8DF869" w14:textId="77777777" w:rsidTr="00661293">
        <w:trPr>
          <w:trHeight w:val="53"/>
        </w:trPr>
        <w:tc>
          <w:tcPr>
            <w:tcW w:w="1800" w:type="dxa"/>
            <w:tcBorders>
              <w:top w:val="single" w:sz="6" w:space="0" w:color="auto"/>
              <w:left w:val="single" w:sz="6" w:space="0" w:color="auto"/>
              <w:bottom w:val="single" w:sz="6" w:space="0" w:color="auto"/>
              <w:right w:val="single" w:sz="6" w:space="0" w:color="auto"/>
            </w:tcBorders>
          </w:tcPr>
          <w:p w14:paraId="47502ACD" w14:textId="77777777" w:rsidR="008C4F26" w:rsidRPr="003B6A69" w:rsidRDefault="008C4F26" w:rsidP="00661293">
            <w:pPr>
              <w:autoSpaceDE w:val="0"/>
              <w:autoSpaceDN w:val="0"/>
              <w:adjustRightInd w:val="0"/>
              <w:spacing w:after="0"/>
              <w:jc w:val="right"/>
              <w:rPr>
                <w:rFonts w:asciiTheme="minorHAnsi" w:eastAsiaTheme="minorHAnsi" w:hAnsiTheme="minorHAnsi" w:cstheme="minorBidi"/>
                <w:color w:val="000000"/>
                <w:szCs w:val="20"/>
              </w:rPr>
            </w:pPr>
            <w:r w:rsidRPr="003B6A69">
              <w:rPr>
                <w:rFonts w:asciiTheme="minorHAnsi" w:eastAsiaTheme="minorHAnsi" w:hAnsiTheme="minorHAnsi" w:cstheme="minorBidi"/>
                <w:color w:val="000000"/>
                <w:szCs w:val="20"/>
              </w:rPr>
              <w:t>31928</w:t>
            </w:r>
          </w:p>
        </w:tc>
        <w:tc>
          <w:tcPr>
            <w:tcW w:w="1890" w:type="dxa"/>
            <w:tcBorders>
              <w:top w:val="single" w:sz="6" w:space="0" w:color="auto"/>
              <w:left w:val="single" w:sz="6" w:space="0" w:color="auto"/>
              <w:bottom w:val="single" w:sz="6" w:space="0" w:color="auto"/>
              <w:right w:val="single" w:sz="6" w:space="0" w:color="auto"/>
            </w:tcBorders>
          </w:tcPr>
          <w:p w14:paraId="6986D0F0" w14:textId="77777777" w:rsidR="008C4F26" w:rsidRPr="003B6A69" w:rsidRDefault="008C4F26" w:rsidP="00661293">
            <w:pPr>
              <w:autoSpaceDE w:val="0"/>
              <w:autoSpaceDN w:val="0"/>
              <w:adjustRightInd w:val="0"/>
              <w:spacing w:after="0"/>
              <w:jc w:val="left"/>
              <w:rPr>
                <w:rFonts w:asciiTheme="minorHAnsi" w:eastAsiaTheme="minorHAnsi" w:hAnsiTheme="minorHAnsi" w:cstheme="minorBidi"/>
                <w:szCs w:val="20"/>
              </w:rPr>
            </w:pPr>
            <w:proofErr w:type="spellStart"/>
            <w:r w:rsidRPr="003B6A69">
              <w:rPr>
                <w:rFonts w:asciiTheme="minorHAnsi" w:eastAsiaTheme="minorHAnsi" w:hAnsiTheme="minorHAnsi" w:cstheme="minorBidi"/>
                <w:szCs w:val="20"/>
              </w:rPr>
              <w:t>Trebjesa</w:t>
            </w:r>
            <w:proofErr w:type="spellEnd"/>
          </w:p>
        </w:tc>
        <w:tc>
          <w:tcPr>
            <w:tcW w:w="990" w:type="dxa"/>
            <w:tcBorders>
              <w:top w:val="single" w:sz="6" w:space="0" w:color="auto"/>
              <w:left w:val="single" w:sz="6" w:space="0" w:color="auto"/>
              <w:bottom w:val="single" w:sz="6" w:space="0" w:color="auto"/>
              <w:right w:val="single" w:sz="6" w:space="0" w:color="auto"/>
            </w:tcBorders>
          </w:tcPr>
          <w:p w14:paraId="740A788D" w14:textId="77777777" w:rsidR="008C4F26" w:rsidRPr="003B6A69" w:rsidRDefault="008C4F26" w:rsidP="00661293">
            <w:pPr>
              <w:autoSpaceDE w:val="0"/>
              <w:autoSpaceDN w:val="0"/>
              <w:adjustRightInd w:val="0"/>
              <w:spacing w:after="0"/>
              <w:jc w:val="right"/>
              <w:rPr>
                <w:rFonts w:asciiTheme="minorHAnsi" w:eastAsiaTheme="minorHAnsi" w:hAnsiTheme="minorHAnsi" w:cstheme="minorBidi"/>
                <w:color w:val="000000"/>
                <w:szCs w:val="20"/>
              </w:rPr>
            </w:pPr>
            <w:r w:rsidRPr="003B6A69">
              <w:rPr>
                <w:rFonts w:asciiTheme="minorHAnsi" w:eastAsiaTheme="minorHAnsi" w:hAnsiTheme="minorHAnsi" w:cstheme="minorBidi"/>
                <w:color w:val="000000"/>
                <w:szCs w:val="20"/>
              </w:rPr>
              <w:t>40</w:t>
            </w:r>
          </w:p>
        </w:tc>
        <w:tc>
          <w:tcPr>
            <w:tcW w:w="1800" w:type="dxa"/>
            <w:tcBorders>
              <w:top w:val="single" w:sz="6" w:space="0" w:color="auto"/>
              <w:left w:val="single" w:sz="6" w:space="0" w:color="auto"/>
              <w:bottom w:val="single" w:sz="6" w:space="0" w:color="auto"/>
              <w:right w:val="single" w:sz="6" w:space="0" w:color="auto"/>
            </w:tcBorders>
            <w:vAlign w:val="bottom"/>
          </w:tcPr>
          <w:p w14:paraId="50BFB29B" w14:textId="77777777" w:rsidR="008C4F26" w:rsidRPr="003B6A69" w:rsidRDefault="008C4F26" w:rsidP="00661293">
            <w:pPr>
              <w:spacing w:after="0"/>
              <w:jc w:val="left"/>
              <w:rPr>
                <w:rFonts w:asciiTheme="minorHAnsi" w:eastAsiaTheme="minorHAnsi" w:hAnsiTheme="minorHAnsi" w:cstheme="minorBidi"/>
                <w:szCs w:val="20"/>
              </w:rPr>
            </w:pPr>
            <w:r w:rsidRPr="003B6A69">
              <w:rPr>
                <w:rFonts w:asciiTheme="minorHAnsi" w:eastAsiaTheme="minorHAnsi" w:hAnsiTheme="minorHAnsi" w:cstheme="minorBidi"/>
                <w:szCs w:val="20"/>
              </w:rPr>
              <w:t>Protected Landscape</w:t>
            </w:r>
          </w:p>
        </w:tc>
        <w:tc>
          <w:tcPr>
            <w:tcW w:w="3240" w:type="dxa"/>
            <w:tcBorders>
              <w:top w:val="single" w:sz="6" w:space="0" w:color="auto"/>
              <w:left w:val="single" w:sz="6" w:space="0" w:color="auto"/>
              <w:bottom w:val="single" w:sz="6" w:space="0" w:color="auto"/>
              <w:right w:val="single" w:sz="6" w:space="0" w:color="auto"/>
            </w:tcBorders>
          </w:tcPr>
          <w:p w14:paraId="6533C809" w14:textId="77777777" w:rsidR="008C4F26" w:rsidRPr="003B6A69" w:rsidRDefault="008C4F26" w:rsidP="00661293">
            <w:pPr>
              <w:autoSpaceDE w:val="0"/>
              <w:autoSpaceDN w:val="0"/>
              <w:adjustRightInd w:val="0"/>
              <w:spacing w:after="0"/>
              <w:jc w:val="left"/>
              <w:rPr>
                <w:rFonts w:asciiTheme="minorHAnsi" w:eastAsiaTheme="minorHAnsi" w:hAnsiTheme="minorHAnsi" w:cstheme="minorBidi"/>
                <w:szCs w:val="20"/>
              </w:rPr>
            </w:pPr>
            <w:r w:rsidRPr="003B6A69">
              <w:rPr>
                <w:rFonts w:asciiTheme="minorHAnsi" w:eastAsiaTheme="minorHAnsi" w:hAnsiTheme="minorHAnsi" w:cstheme="minorBidi"/>
                <w:szCs w:val="20"/>
              </w:rPr>
              <w:t>EMERALD</w:t>
            </w:r>
          </w:p>
        </w:tc>
      </w:tr>
      <w:tr w:rsidR="008C4F26" w:rsidRPr="003B6A69" w14:paraId="6A381443" w14:textId="77777777" w:rsidTr="00661293">
        <w:trPr>
          <w:trHeight w:val="53"/>
        </w:trPr>
        <w:tc>
          <w:tcPr>
            <w:tcW w:w="1800" w:type="dxa"/>
            <w:tcBorders>
              <w:top w:val="single" w:sz="6" w:space="0" w:color="auto"/>
              <w:left w:val="single" w:sz="6" w:space="0" w:color="auto"/>
              <w:bottom w:val="single" w:sz="6" w:space="0" w:color="auto"/>
              <w:right w:val="single" w:sz="6" w:space="0" w:color="auto"/>
            </w:tcBorders>
          </w:tcPr>
          <w:p w14:paraId="777F8046" w14:textId="77777777" w:rsidR="008C4F26" w:rsidRPr="003B6A69" w:rsidRDefault="008C4F26" w:rsidP="00661293">
            <w:pPr>
              <w:autoSpaceDE w:val="0"/>
              <w:autoSpaceDN w:val="0"/>
              <w:adjustRightInd w:val="0"/>
              <w:spacing w:after="0"/>
              <w:jc w:val="right"/>
              <w:rPr>
                <w:rFonts w:asciiTheme="minorHAnsi" w:eastAsiaTheme="minorHAnsi" w:hAnsiTheme="minorHAnsi" w:cstheme="minorBidi"/>
                <w:color w:val="000000"/>
                <w:szCs w:val="20"/>
              </w:rPr>
            </w:pPr>
            <w:r w:rsidRPr="003B6A69">
              <w:rPr>
                <w:rFonts w:asciiTheme="minorHAnsi" w:eastAsiaTheme="minorHAnsi" w:hAnsiTheme="minorHAnsi" w:cstheme="minorBidi"/>
                <w:color w:val="000000"/>
                <w:szCs w:val="20"/>
              </w:rPr>
              <w:t>31958</w:t>
            </w:r>
          </w:p>
        </w:tc>
        <w:tc>
          <w:tcPr>
            <w:tcW w:w="1890" w:type="dxa"/>
            <w:tcBorders>
              <w:top w:val="single" w:sz="6" w:space="0" w:color="auto"/>
              <w:left w:val="single" w:sz="6" w:space="0" w:color="auto"/>
              <w:bottom w:val="single" w:sz="6" w:space="0" w:color="auto"/>
              <w:right w:val="single" w:sz="6" w:space="0" w:color="auto"/>
            </w:tcBorders>
          </w:tcPr>
          <w:p w14:paraId="7168FD1B" w14:textId="77777777" w:rsidR="008C4F26" w:rsidRPr="003B6A69" w:rsidRDefault="008C4F26" w:rsidP="00661293">
            <w:pPr>
              <w:autoSpaceDE w:val="0"/>
              <w:autoSpaceDN w:val="0"/>
              <w:adjustRightInd w:val="0"/>
              <w:spacing w:after="0"/>
              <w:jc w:val="left"/>
              <w:rPr>
                <w:rFonts w:asciiTheme="minorHAnsi" w:eastAsiaTheme="minorHAnsi" w:hAnsiTheme="minorHAnsi" w:cstheme="minorBidi"/>
                <w:szCs w:val="20"/>
              </w:rPr>
            </w:pPr>
            <w:r w:rsidRPr="003B6A69">
              <w:rPr>
                <w:rFonts w:asciiTheme="minorHAnsi" w:eastAsiaTheme="minorHAnsi" w:hAnsiTheme="minorHAnsi" w:cstheme="minorBidi"/>
                <w:szCs w:val="20"/>
              </w:rPr>
              <w:t>Bojana Delta</w:t>
            </w:r>
          </w:p>
        </w:tc>
        <w:tc>
          <w:tcPr>
            <w:tcW w:w="990" w:type="dxa"/>
            <w:tcBorders>
              <w:top w:val="single" w:sz="6" w:space="0" w:color="auto"/>
              <w:left w:val="single" w:sz="6" w:space="0" w:color="auto"/>
              <w:bottom w:val="single" w:sz="6" w:space="0" w:color="auto"/>
              <w:right w:val="single" w:sz="6" w:space="0" w:color="auto"/>
            </w:tcBorders>
          </w:tcPr>
          <w:p w14:paraId="63C2E26D" w14:textId="77777777" w:rsidR="008C4F26" w:rsidRPr="003B6A69" w:rsidRDefault="008C4F26" w:rsidP="00661293">
            <w:pPr>
              <w:autoSpaceDE w:val="0"/>
              <w:autoSpaceDN w:val="0"/>
              <w:adjustRightInd w:val="0"/>
              <w:spacing w:after="0"/>
              <w:jc w:val="right"/>
              <w:rPr>
                <w:rFonts w:asciiTheme="minorHAnsi" w:eastAsiaTheme="minorHAnsi" w:hAnsiTheme="minorHAnsi" w:cstheme="minorBidi"/>
                <w:color w:val="000000"/>
                <w:szCs w:val="20"/>
              </w:rPr>
            </w:pPr>
            <w:r w:rsidRPr="003B6A69">
              <w:rPr>
                <w:rFonts w:asciiTheme="minorHAnsi" w:eastAsiaTheme="minorHAnsi" w:hAnsiTheme="minorHAnsi" w:cstheme="minorBidi"/>
                <w:color w:val="000000"/>
                <w:szCs w:val="20"/>
              </w:rPr>
              <w:t>11,000</w:t>
            </w:r>
          </w:p>
        </w:tc>
        <w:tc>
          <w:tcPr>
            <w:tcW w:w="1800" w:type="dxa"/>
            <w:tcBorders>
              <w:top w:val="single" w:sz="6" w:space="0" w:color="auto"/>
              <w:left w:val="single" w:sz="6" w:space="0" w:color="auto"/>
              <w:bottom w:val="single" w:sz="6" w:space="0" w:color="auto"/>
              <w:right w:val="single" w:sz="6" w:space="0" w:color="auto"/>
            </w:tcBorders>
          </w:tcPr>
          <w:p w14:paraId="467565E9" w14:textId="77777777" w:rsidR="008C4F26" w:rsidRPr="003B6A69" w:rsidRDefault="008C4F26" w:rsidP="00661293">
            <w:pPr>
              <w:autoSpaceDE w:val="0"/>
              <w:autoSpaceDN w:val="0"/>
              <w:adjustRightInd w:val="0"/>
              <w:spacing w:after="0"/>
              <w:jc w:val="left"/>
              <w:rPr>
                <w:rFonts w:asciiTheme="minorHAnsi" w:eastAsiaTheme="minorHAnsi" w:hAnsiTheme="minorHAnsi" w:cstheme="minorBidi"/>
                <w:szCs w:val="20"/>
                <w:lang w:val="sr-Latn-ME"/>
              </w:rPr>
            </w:pPr>
            <w:r w:rsidRPr="003B6A69">
              <w:rPr>
                <w:rFonts w:asciiTheme="minorHAnsi" w:eastAsiaTheme="minorHAnsi" w:hAnsiTheme="minorHAnsi" w:cstheme="minorBidi"/>
                <w:szCs w:val="20"/>
                <w:lang w:val="sr-Latn-ME"/>
              </w:rPr>
              <w:t>Small part of KBA (part of Velika plaža) is a nature monument</w:t>
            </w:r>
          </w:p>
        </w:tc>
        <w:tc>
          <w:tcPr>
            <w:tcW w:w="3240" w:type="dxa"/>
            <w:tcBorders>
              <w:top w:val="single" w:sz="6" w:space="0" w:color="auto"/>
              <w:left w:val="single" w:sz="6" w:space="0" w:color="auto"/>
              <w:bottom w:val="single" w:sz="6" w:space="0" w:color="auto"/>
              <w:right w:val="single" w:sz="6" w:space="0" w:color="auto"/>
            </w:tcBorders>
          </w:tcPr>
          <w:p w14:paraId="20D36E38" w14:textId="77777777" w:rsidR="008C4F26" w:rsidRPr="003B6A69" w:rsidRDefault="008C4F26" w:rsidP="00661293">
            <w:pPr>
              <w:autoSpaceDE w:val="0"/>
              <w:autoSpaceDN w:val="0"/>
              <w:adjustRightInd w:val="0"/>
              <w:spacing w:after="0"/>
              <w:jc w:val="left"/>
              <w:rPr>
                <w:rFonts w:asciiTheme="minorHAnsi" w:eastAsiaTheme="minorHAnsi" w:hAnsiTheme="minorHAnsi" w:cstheme="minorBidi"/>
                <w:szCs w:val="20"/>
              </w:rPr>
            </w:pPr>
            <w:r w:rsidRPr="003B6A69">
              <w:rPr>
                <w:rFonts w:asciiTheme="minorHAnsi" w:eastAsiaTheme="minorHAnsi" w:hAnsiTheme="minorHAnsi" w:cstheme="minorBidi"/>
                <w:szCs w:val="20"/>
              </w:rPr>
              <w:t>IBA, one part is EMERALD, one part (Velika plaza, Ada Bojana) IPA</w:t>
            </w:r>
          </w:p>
        </w:tc>
      </w:tr>
      <w:tr w:rsidR="008C4F26" w:rsidRPr="003B6A69" w14:paraId="75998F09" w14:textId="77777777" w:rsidTr="00661293">
        <w:trPr>
          <w:trHeight w:val="53"/>
        </w:trPr>
        <w:tc>
          <w:tcPr>
            <w:tcW w:w="1800" w:type="dxa"/>
            <w:tcBorders>
              <w:top w:val="single" w:sz="6" w:space="0" w:color="auto"/>
              <w:left w:val="single" w:sz="6" w:space="0" w:color="auto"/>
              <w:bottom w:val="single" w:sz="6" w:space="0" w:color="auto"/>
              <w:right w:val="single" w:sz="6" w:space="0" w:color="auto"/>
            </w:tcBorders>
          </w:tcPr>
          <w:p w14:paraId="046E37D8" w14:textId="77777777" w:rsidR="008C4F26" w:rsidRPr="003B6A69" w:rsidRDefault="008C4F26" w:rsidP="00661293">
            <w:pPr>
              <w:autoSpaceDE w:val="0"/>
              <w:autoSpaceDN w:val="0"/>
              <w:adjustRightInd w:val="0"/>
              <w:spacing w:after="0"/>
              <w:jc w:val="right"/>
              <w:rPr>
                <w:rFonts w:asciiTheme="minorHAnsi" w:eastAsiaTheme="minorHAnsi" w:hAnsiTheme="minorHAnsi" w:cstheme="minorBidi"/>
                <w:color w:val="000000"/>
                <w:szCs w:val="20"/>
              </w:rPr>
            </w:pPr>
            <w:r w:rsidRPr="003B6A69">
              <w:rPr>
                <w:rFonts w:asciiTheme="minorHAnsi" w:eastAsiaTheme="minorHAnsi" w:hAnsiTheme="minorHAnsi" w:cstheme="minorBidi"/>
                <w:color w:val="000000"/>
                <w:szCs w:val="20"/>
              </w:rPr>
              <w:t>31959</w:t>
            </w:r>
          </w:p>
        </w:tc>
        <w:tc>
          <w:tcPr>
            <w:tcW w:w="1890" w:type="dxa"/>
            <w:tcBorders>
              <w:top w:val="single" w:sz="6" w:space="0" w:color="auto"/>
              <w:left w:val="single" w:sz="6" w:space="0" w:color="auto"/>
              <w:bottom w:val="single" w:sz="6" w:space="0" w:color="auto"/>
              <w:right w:val="single" w:sz="6" w:space="0" w:color="auto"/>
            </w:tcBorders>
          </w:tcPr>
          <w:p w14:paraId="1361035B" w14:textId="77777777" w:rsidR="008C4F26" w:rsidRPr="003B6A69" w:rsidRDefault="008C4F26" w:rsidP="00661293">
            <w:pPr>
              <w:autoSpaceDE w:val="0"/>
              <w:autoSpaceDN w:val="0"/>
              <w:adjustRightInd w:val="0"/>
              <w:spacing w:after="0"/>
              <w:jc w:val="left"/>
              <w:rPr>
                <w:rFonts w:asciiTheme="minorHAnsi" w:eastAsiaTheme="minorHAnsi" w:hAnsiTheme="minorHAnsi" w:cstheme="minorBidi"/>
                <w:szCs w:val="20"/>
              </w:rPr>
            </w:pPr>
            <w:proofErr w:type="spellStart"/>
            <w:r w:rsidRPr="003B6A69">
              <w:rPr>
                <w:rFonts w:asciiTheme="minorHAnsi" w:eastAsiaTheme="minorHAnsi" w:hAnsiTheme="minorHAnsi" w:cstheme="minorBidi"/>
                <w:szCs w:val="20"/>
              </w:rPr>
              <w:t>Cemovsko</w:t>
            </w:r>
            <w:proofErr w:type="spellEnd"/>
            <w:r w:rsidRPr="003B6A69">
              <w:rPr>
                <w:rFonts w:asciiTheme="minorHAnsi" w:eastAsiaTheme="minorHAnsi" w:hAnsiTheme="minorHAnsi" w:cstheme="minorBidi"/>
                <w:szCs w:val="20"/>
              </w:rPr>
              <w:t xml:space="preserve"> Field</w:t>
            </w:r>
          </w:p>
        </w:tc>
        <w:tc>
          <w:tcPr>
            <w:tcW w:w="990" w:type="dxa"/>
            <w:tcBorders>
              <w:top w:val="single" w:sz="6" w:space="0" w:color="auto"/>
              <w:left w:val="single" w:sz="6" w:space="0" w:color="auto"/>
              <w:bottom w:val="single" w:sz="6" w:space="0" w:color="auto"/>
              <w:right w:val="single" w:sz="6" w:space="0" w:color="auto"/>
            </w:tcBorders>
          </w:tcPr>
          <w:p w14:paraId="0BCA8225" w14:textId="77777777" w:rsidR="008C4F26" w:rsidRPr="003B6A69" w:rsidRDefault="008C4F26" w:rsidP="00661293">
            <w:pPr>
              <w:autoSpaceDE w:val="0"/>
              <w:autoSpaceDN w:val="0"/>
              <w:adjustRightInd w:val="0"/>
              <w:spacing w:after="0"/>
              <w:jc w:val="right"/>
              <w:rPr>
                <w:rFonts w:asciiTheme="minorHAnsi" w:eastAsiaTheme="minorHAnsi" w:hAnsiTheme="minorHAnsi" w:cstheme="minorBidi"/>
                <w:color w:val="000000"/>
                <w:szCs w:val="20"/>
              </w:rPr>
            </w:pPr>
            <w:r w:rsidRPr="003B6A69">
              <w:rPr>
                <w:rFonts w:asciiTheme="minorHAnsi" w:eastAsiaTheme="minorHAnsi" w:hAnsiTheme="minorHAnsi" w:cstheme="minorBidi"/>
                <w:color w:val="000000"/>
                <w:szCs w:val="20"/>
              </w:rPr>
              <w:t>2,600</w:t>
            </w:r>
          </w:p>
        </w:tc>
        <w:tc>
          <w:tcPr>
            <w:tcW w:w="1800" w:type="dxa"/>
            <w:tcBorders>
              <w:top w:val="single" w:sz="6" w:space="0" w:color="auto"/>
              <w:left w:val="single" w:sz="6" w:space="0" w:color="auto"/>
              <w:bottom w:val="single" w:sz="6" w:space="0" w:color="auto"/>
              <w:right w:val="single" w:sz="6" w:space="0" w:color="auto"/>
            </w:tcBorders>
          </w:tcPr>
          <w:p w14:paraId="72EF6EE0" w14:textId="77777777" w:rsidR="008C4F26" w:rsidRPr="003B6A69" w:rsidRDefault="008C4F26" w:rsidP="00661293">
            <w:pPr>
              <w:autoSpaceDE w:val="0"/>
              <w:autoSpaceDN w:val="0"/>
              <w:adjustRightInd w:val="0"/>
              <w:spacing w:after="0"/>
              <w:jc w:val="left"/>
              <w:rPr>
                <w:rFonts w:asciiTheme="minorHAnsi" w:eastAsiaTheme="minorHAnsi" w:hAnsiTheme="minorHAnsi" w:cstheme="minorBidi"/>
                <w:szCs w:val="20"/>
              </w:rPr>
            </w:pPr>
            <w:r w:rsidRPr="003B6A69">
              <w:rPr>
                <w:rFonts w:asciiTheme="minorHAnsi" w:eastAsiaTheme="minorHAnsi" w:hAnsiTheme="minorHAnsi" w:cstheme="minorBidi"/>
                <w:szCs w:val="20"/>
              </w:rPr>
              <w:t>No</w:t>
            </w:r>
          </w:p>
        </w:tc>
        <w:tc>
          <w:tcPr>
            <w:tcW w:w="3240" w:type="dxa"/>
            <w:tcBorders>
              <w:top w:val="single" w:sz="6" w:space="0" w:color="auto"/>
              <w:left w:val="single" w:sz="6" w:space="0" w:color="auto"/>
              <w:bottom w:val="single" w:sz="6" w:space="0" w:color="auto"/>
              <w:right w:val="single" w:sz="6" w:space="0" w:color="auto"/>
            </w:tcBorders>
          </w:tcPr>
          <w:p w14:paraId="667D725F" w14:textId="77777777" w:rsidR="008C4F26" w:rsidRPr="003B6A69" w:rsidRDefault="008C4F26" w:rsidP="00661293">
            <w:pPr>
              <w:autoSpaceDE w:val="0"/>
              <w:autoSpaceDN w:val="0"/>
              <w:adjustRightInd w:val="0"/>
              <w:spacing w:after="0"/>
              <w:jc w:val="left"/>
              <w:rPr>
                <w:rFonts w:asciiTheme="minorHAnsi" w:eastAsiaTheme="minorHAnsi" w:hAnsiTheme="minorHAnsi" w:cstheme="minorBidi"/>
                <w:szCs w:val="20"/>
              </w:rPr>
            </w:pPr>
            <w:r w:rsidRPr="003B6A69">
              <w:rPr>
                <w:rFonts w:asciiTheme="minorHAnsi" w:eastAsiaTheme="minorHAnsi" w:hAnsiTheme="minorHAnsi" w:cstheme="minorBidi"/>
                <w:szCs w:val="20"/>
              </w:rPr>
              <w:t>EMERALD, IBA</w:t>
            </w:r>
          </w:p>
        </w:tc>
      </w:tr>
      <w:tr w:rsidR="008C4F26" w:rsidRPr="003B6A69" w14:paraId="6C8D51FA" w14:textId="77777777" w:rsidTr="00661293">
        <w:trPr>
          <w:trHeight w:val="53"/>
        </w:trPr>
        <w:tc>
          <w:tcPr>
            <w:tcW w:w="1800" w:type="dxa"/>
            <w:tcBorders>
              <w:top w:val="single" w:sz="6" w:space="0" w:color="auto"/>
              <w:left w:val="single" w:sz="6" w:space="0" w:color="auto"/>
              <w:bottom w:val="single" w:sz="6" w:space="0" w:color="auto"/>
              <w:right w:val="single" w:sz="6" w:space="0" w:color="auto"/>
            </w:tcBorders>
          </w:tcPr>
          <w:p w14:paraId="1F113506" w14:textId="77777777" w:rsidR="008C4F26" w:rsidRPr="003B6A69" w:rsidRDefault="008C4F26" w:rsidP="00661293">
            <w:pPr>
              <w:autoSpaceDE w:val="0"/>
              <w:autoSpaceDN w:val="0"/>
              <w:adjustRightInd w:val="0"/>
              <w:spacing w:after="0"/>
              <w:jc w:val="right"/>
              <w:rPr>
                <w:rFonts w:asciiTheme="minorHAnsi" w:eastAsiaTheme="minorHAnsi" w:hAnsiTheme="minorHAnsi" w:cstheme="minorBidi"/>
                <w:color w:val="000000"/>
                <w:szCs w:val="20"/>
              </w:rPr>
            </w:pPr>
            <w:r w:rsidRPr="003B6A69">
              <w:rPr>
                <w:rFonts w:asciiTheme="minorHAnsi" w:eastAsiaTheme="minorHAnsi" w:hAnsiTheme="minorHAnsi" w:cstheme="minorBidi"/>
                <w:color w:val="000000"/>
                <w:szCs w:val="20"/>
              </w:rPr>
              <w:lastRenderedPageBreak/>
              <w:t>32033</w:t>
            </w:r>
          </w:p>
        </w:tc>
        <w:tc>
          <w:tcPr>
            <w:tcW w:w="1890" w:type="dxa"/>
            <w:tcBorders>
              <w:top w:val="single" w:sz="6" w:space="0" w:color="auto"/>
              <w:left w:val="single" w:sz="6" w:space="0" w:color="auto"/>
              <w:bottom w:val="single" w:sz="6" w:space="0" w:color="auto"/>
              <w:right w:val="single" w:sz="6" w:space="0" w:color="auto"/>
            </w:tcBorders>
          </w:tcPr>
          <w:p w14:paraId="722BD841" w14:textId="77777777" w:rsidR="008C4F26" w:rsidRPr="003B6A69" w:rsidRDefault="008C4F26" w:rsidP="00661293">
            <w:pPr>
              <w:autoSpaceDE w:val="0"/>
              <w:autoSpaceDN w:val="0"/>
              <w:adjustRightInd w:val="0"/>
              <w:spacing w:after="0"/>
              <w:jc w:val="left"/>
              <w:rPr>
                <w:rFonts w:asciiTheme="minorHAnsi" w:eastAsiaTheme="minorHAnsi" w:hAnsiTheme="minorHAnsi" w:cstheme="minorBidi"/>
                <w:szCs w:val="20"/>
              </w:rPr>
            </w:pPr>
            <w:proofErr w:type="spellStart"/>
            <w:r w:rsidRPr="003B6A69">
              <w:rPr>
                <w:rFonts w:asciiTheme="minorHAnsi" w:eastAsiaTheme="minorHAnsi" w:hAnsiTheme="minorHAnsi" w:cstheme="minorBidi"/>
                <w:szCs w:val="20"/>
              </w:rPr>
              <w:t>Katici</w:t>
            </w:r>
            <w:proofErr w:type="spellEnd"/>
            <w:r w:rsidRPr="003B6A69">
              <w:rPr>
                <w:rFonts w:asciiTheme="minorHAnsi" w:eastAsiaTheme="minorHAnsi" w:hAnsiTheme="minorHAnsi" w:cstheme="minorBidi"/>
                <w:szCs w:val="20"/>
              </w:rPr>
              <w:t xml:space="preserve">, </w:t>
            </w:r>
            <w:proofErr w:type="spellStart"/>
            <w:r w:rsidRPr="003B6A69">
              <w:rPr>
                <w:rFonts w:asciiTheme="minorHAnsi" w:eastAsiaTheme="minorHAnsi" w:hAnsiTheme="minorHAnsi" w:cstheme="minorBidi"/>
                <w:szCs w:val="20"/>
              </w:rPr>
              <w:t>Donkova</w:t>
            </w:r>
            <w:proofErr w:type="spellEnd"/>
            <w:r w:rsidRPr="003B6A69">
              <w:rPr>
                <w:rFonts w:asciiTheme="minorHAnsi" w:eastAsiaTheme="minorHAnsi" w:hAnsiTheme="minorHAnsi" w:cstheme="minorBidi"/>
                <w:szCs w:val="20"/>
              </w:rPr>
              <w:t xml:space="preserve"> and </w:t>
            </w:r>
            <w:proofErr w:type="spellStart"/>
            <w:r w:rsidRPr="003B6A69">
              <w:rPr>
                <w:rFonts w:asciiTheme="minorHAnsi" w:eastAsiaTheme="minorHAnsi" w:hAnsiTheme="minorHAnsi" w:cstheme="minorBidi"/>
                <w:szCs w:val="20"/>
              </w:rPr>
              <w:t>Velja</w:t>
            </w:r>
            <w:proofErr w:type="spellEnd"/>
            <w:r w:rsidRPr="003B6A69">
              <w:rPr>
                <w:rFonts w:asciiTheme="minorHAnsi" w:eastAsiaTheme="minorHAnsi" w:hAnsiTheme="minorHAnsi" w:cstheme="minorBidi"/>
                <w:szCs w:val="20"/>
              </w:rPr>
              <w:t xml:space="preserve"> Seka</w:t>
            </w:r>
          </w:p>
        </w:tc>
        <w:tc>
          <w:tcPr>
            <w:tcW w:w="990" w:type="dxa"/>
            <w:tcBorders>
              <w:top w:val="single" w:sz="6" w:space="0" w:color="auto"/>
              <w:left w:val="single" w:sz="6" w:space="0" w:color="auto"/>
              <w:bottom w:val="single" w:sz="6" w:space="0" w:color="auto"/>
              <w:right w:val="single" w:sz="6" w:space="0" w:color="auto"/>
            </w:tcBorders>
          </w:tcPr>
          <w:p w14:paraId="171434D8" w14:textId="77777777" w:rsidR="008C4F26" w:rsidRPr="003B6A69" w:rsidRDefault="008C4F26" w:rsidP="00661293">
            <w:pPr>
              <w:autoSpaceDE w:val="0"/>
              <w:autoSpaceDN w:val="0"/>
              <w:adjustRightInd w:val="0"/>
              <w:spacing w:after="0"/>
              <w:jc w:val="right"/>
              <w:rPr>
                <w:rFonts w:asciiTheme="minorHAnsi" w:eastAsiaTheme="minorHAnsi" w:hAnsiTheme="minorHAnsi" w:cstheme="minorBidi"/>
                <w:color w:val="000000"/>
                <w:szCs w:val="20"/>
              </w:rPr>
            </w:pPr>
            <w:r w:rsidRPr="003B6A69">
              <w:rPr>
                <w:rFonts w:asciiTheme="minorHAnsi" w:eastAsiaTheme="minorHAnsi" w:hAnsiTheme="minorHAnsi" w:cstheme="minorBidi"/>
                <w:color w:val="000000"/>
                <w:szCs w:val="20"/>
              </w:rPr>
              <w:t>440</w:t>
            </w:r>
          </w:p>
        </w:tc>
        <w:tc>
          <w:tcPr>
            <w:tcW w:w="1800" w:type="dxa"/>
            <w:tcBorders>
              <w:top w:val="single" w:sz="6" w:space="0" w:color="auto"/>
              <w:left w:val="single" w:sz="6" w:space="0" w:color="auto"/>
              <w:bottom w:val="single" w:sz="6" w:space="0" w:color="auto"/>
              <w:right w:val="single" w:sz="6" w:space="0" w:color="auto"/>
            </w:tcBorders>
          </w:tcPr>
          <w:p w14:paraId="7D3C066D" w14:textId="77777777" w:rsidR="008C4F26" w:rsidRPr="003B6A69" w:rsidRDefault="008C4F26" w:rsidP="00661293">
            <w:pPr>
              <w:autoSpaceDE w:val="0"/>
              <w:autoSpaceDN w:val="0"/>
              <w:adjustRightInd w:val="0"/>
              <w:spacing w:after="0"/>
              <w:jc w:val="left"/>
              <w:rPr>
                <w:rFonts w:asciiTheme="minorHAnsi" w:eastAsiaTheme="minorHAnsi" w:hAnsiTheme="minorHAnsi" w:cstheme="minorBidi"/>
                <w:szCs w:val="20"/>
              </w:rPr>
            </w:pPr>
            <w:r w:rsidRPr="003B6A69">
              <w:rPr>
                <w:rFonts w:asciiTheme="minorHAnsi" w:eastAsiaTheme="minorHAnsi" w:hAnsiTheme="minorHAnsi" w:cstheme="minorBidi"/>
                <w:szCs w:val="20"/>
              </w:rPr>
              <w:t>No</w:t>
            </w:r>
          </w:p>
        </w:tc>
        <w:tc>
          <w:tcPr>
            <w:tcW w:w="3240" w:type="dxa"/>
            <w:tcBorders>
              <w:top w:val="single" w:sz="6" w:space="0" w:color="auto"/>
              <w:left w:val="single" w:sz="6" w:space="0" w:color="auto"/>
              <w:bottom w:val="single" w:sz="6" w:space="0" w:color="auto"/>
              <w:right w:val="single" w:sz="6" w:space="0" w:color="auto"/>
            </w:tcBorders>
          </w:tcPr>
          <w:p w14:paraId="02CF7A23" w14:textId="77777777" w:rsidR="008C4F26" w:rsidRPr="003B6A69" w:rsidRDefault="008C4F26" w:rsidP="00661293">
            <w:pPr>
              <w:autoSpaceDE w:val="0"/>
              <w:autoSpaceDN w:val="0"/>
              <w:adjustRightInd w:val="0"/>
              <w:spacing w:after="0"/>
              <w:jc w:val="left"/>
              <w:rPr>
                <w:rFonts w:asciiTheme="minorHAnsi" w:eastAsiaTheme="minorHAnsi" w:hAnsiTheme="minorHAnsi" w:cstheme="minorBidi"/>
                <w:szCs w:val="20"/>
              </w:rPr>
            </w:pPr>
            <w:r w:rsidRPr="003B6A69">
              <w:rPr>
                <w:rFonts w:asciiTheme="minorHAnsi" w:eastAsiaTheme="minorHAnsi" w:hAnsiTheme="minorHAnsi" w:cstheme="minorBidi"/>
                <w:szCs w:val="20"/>
              </w:rPr>
              <w:t>EMERALD, IPA</w:t>
            </w:r>
          </w:p>
        </w:tc>
      </w:tr>
      <w:tr w:rsidR="008C4F26" w:rsidRPr="003B6A69" w14:paraId="76E8BB19" w14:textId="77777777" w:rsidTr="00661293">
        <w:trPr>
          <w:trHeight w:val="53"/>
        </w:trPr>
        <w:tc>
          <w:tcPr>
            <w:tcW w:w="1800" w:type="dxa"/>
            <w:tcBorders>
              <w:top w:val="single" w:sz="6" w:space="0" w:color="auto"/>
              <w:left w:val="single" w:sz="6" w:space="0" w:color="auto"/>
              <w:bottom w:val="single" w:sz="6" w:space="0" w:color="auto"/>
              <w:right w:val="single" w:sz="6" w:space="0" w:color="auto"/>
            </w:tcBorders>
          </w:tcPr>
          <w:p w14:paraId="048EC5AF" w14:textId="77777777" w:rsidR="008C4F26" w:rsidRPr="003B6A69" w:rsidRDefault="008C4F26" w:rsidP="00661293">
            <w:pPr>
              <w:autoSpaceDE w:val="0"/>
              <w:autoSpaceDN w:val="0"/>
              <w:adjustRightInd w:val="0"/>
              <w:spacing w:after="0"/>
              <w:jc w:val="right"/>
              <w:rPr>
                <w:rFonts w:asciiTheme="minorHAnsi" w:eastAsiaTheme="minorHAnsi" w:hAnsiTheme="minorHAnsi" w:cstheme="minorBidi"/>
                <w:color w:val="000000"/>
                <w:szCs w:val="20"/>
              </w:rPr>
            </w:pPr>
            <w:r w:rsidRPr="003B6A69">
              <w:rPr>
                <w:rFonts w:asciiTheme="minorHAnsi" w:eastAsiaTheme="minorHAnsi" w:hAnsiTheme="minorHAnsi" w:cstheme="minorBidi"/>
                <w:color w:val="000000"/>
                <w:szCs w:val="20"/>
              </w:rPr>
              <w:t>32034</w:t>
            </w:r>
          </w:p>
        </w:tc>
        <w:tc>
          <w:tcPr>
            <w:tcW w:w="1890" w:type="dxa"/>
            <w:tcBorders>
              <w:top w:val="single" w:sz="6" w:space="0" w:color="auto"/>
              <w:left w:val="single" w:sz="6" w:space="0" w:color="auto"/>
              <w:bottom w:val="single" w:sz="6" w:space="0" w:color="auto"/>
              <w:right w:val="single" w:sz="6" w:space="0" w:color="auto"/>
            </w:tcBorders>
          </w:tcPr>
          <w:p w14:paraId="7442774E" w14:textId="77777777" w:rsidR="008C4F26" w:rsidRPr="003B6A69" w:rsidRDefault="008C4F26" w:rsidP="00661293">
            <w:pPr>
              <w:autoSpaceDE w:val="0"/>
              <w:autoSpaceDN w:val="0"/>
              <w:adjustRightInd w:val="0"/>
              <w:spacing w:after="0"/>
              <w:jc w:val="left"/>
              <w:rPr>
                <w:rFonts w:asciiTheme="minorHAnsi" w:eastAsiaTheme="minorHAnsi" w:hAnsiTheme="minorHAnsi" w:cstheme="minorBidi"/>
                <w:szCs w:val="20"/>
              </w:rPr>
            </w:pPr>
            <w:r w:rsidRPr="003B6A69">
              <w:rPr>
                <w:rFonts w:asciiTheme="minorHAnsi" w:eastAsiaTheme="minorHAnsi" w:hAnsiTheme="minorHAnsi" w:cstheme="minorBidi"/>
                <w:szCs w:val="20"/>
              </w:rPr>
              <w:t xml:space="preserve">Kotor </w:t>
            </w:r>
            <w:proofErr w:type="spellStart"/>
            <w:r w:rsidRPr="003B6A69">
              <w:rPr>
                <w:rFonts w:asciiTheme="minorHAnsi" w:eastAsiaTheme="minorHAnsi" w:hAnsiTheme="minorHAnsi" w:cstheme="minorBidi"/>
                <w:szCs w:val="20"/>
              </w:rPr>
              <w:t>Risan</w:t>
            </w:r>
            <w:proofErr w:type="spellEnd"/>
            <w:r w:rsidRPr="003B6A69">
              <w:rPr>
                <w:rFonts w:asciiTheme="minorHAnsi" w:eastAsiaTheme="minorHAnsi" w:hAnsiTheme="minorHAnsi" w:cstheme="minorBidi"/>
                <w:szCs w:val="20"/>
              </w:rPr>
              <w:t xml:space="preserve"> bay</w:t>
            </w:r>
          </w:p>
        </w:tc>
        <w:tc>
          <w:tcPr>
            <w:tcW w:w="990" w:type="dxa"/>
            <w:tcBorders>
              <w:top w:val="single" w:sz="6" w:space="0" w:color="auto"/>
              <w:left w:val="single" w:sz="6" w:space="0" w:color="auto"/>
              <w:bottom w:val="single" w:sz="6" w:space="0" w:color="auto"/>
              <w:right w:val="single" w:sz="6" w:space="0" w:color="auto"/>
            </w:tcBorders>
          </w:tcPr>
          <w:p w14:paraId="34E7D609" w14:textId="77777777" w:rsidR="008C4F26" w:rsidRPr="003B6A69" w:rsidRDefault="008C4F26" w:rsidP="00661293">
            <w:pPr>
              <w:autoSpaceDE w:val="0"/>
              <w:autoSpaceDN w:val="0"/>
              <w:adjustRightInd w:val="0"/>
              <w:spacing w:after="0"/>
              <w:jc w:val="right"/>
              <w:rPr>
                <w:rFonts w:asciiTheme="minorHAnsi" w:eastAsiaTheme="minorHAnsi" w:hAnsiTheme="minorHAnsi" w:cstheme="minorBidi"/>
                <w:color w:val="000000"/>
                <w:szCs w:val="20"/>
              </w:rPr>
            </w:pPr>
            <w:r w:rsidRPr="003B6A69">
              <w:rPr>
                <w:rFonts w:asciiTheme="minorHAnsi" w:eastAsiaTheme="minorHAnsi" w:hAnsiTheme="minorHAnsi" w:cstheme="minorBidi"/>
                <w:color w:val="000000"/>
                <w:szCs w:val="20"/>
              </w:rPr>
              <w:t>2,779</w:t>
            </w:r>
          </w:p>
        </w:tc>
        <w:tc>
          <w:tcPr>
            <w:tcW w:w="1800" w:type="dxa"/>
            <w:tcBorders>
              <w:top w:val="single" w:sz="6" w:space="0" w:color="auto"/>
              <w:left w:val="single" w:sz="6" w:space="0" w:color="auto"/>
              <w:bottom w:val="single" w:sz="6" w:space="0" w:color="auto"/>
              <w:right w:val="single" w:sz="6" w:space="0" w:color="auto"/>
            </w:tcBorders>
          </w:tcPr>
          <w:p w14:paraId="3D0AE3EC" w14:textId="77777777" w:rsidR="008C4F26" w:rsidRPr="003B6A69" w:rsidRDefault="008C4F26" w:rsidP="00661293">
            <w:pPr>
              <w:autoSpaceDE w:val="0"/>
              <w:autoSpaceDN w:val="0"/>
              <w:adjustRightInd w:val="0"/>
              <w:spacing w:after="0"/>
              <w:jc w:val="left"/>
              <w:rPr>
                <w:rFonts w:asciiTheme="minorHAnsi" w:eastAsiaTheme="minorHAnsi" w:hAnsiTheme="minorHAnsi" w:cstheme="minorBidi"/>
                <w:szCs w:val="20"/>
              </w:rPr>
            </w:pPr>
            <w:r w:rsidRPr="003B6A69">
              <w:rPr>
                <w:rFonts w:asciiTheme="minorHAnsi" w:eastAsiaTheme="minorHAnsi" w:hAnsiTheme="minorHAnsi" w:cstheme="minorBidi"/>
                <w:szCs w:val="20"/>
              </w:rPr>
              <w:t>No</w:t>
            </w:r>
          </w:p>
        </w:tc>
        <w:tc>
          <w:tcPr>
            <w:tcW w:w="3240" w:type="dxa"/>
            <w:tcBorders>
              <w:top w:val="single" w:sz="6" w:space="0" w:color="auto"/>
              <w:left w:val="single" w:sz="6" w:space="0" w:color="auto"/>
              <w:bottom w:val="single" w:sz="6" w:space="0" w:color="auto"/>
              <w:right w:val="single" w:sz="6" w:space="0" w:color="auto"/>
            </w:tcBorders>
          </w:tcPr>
          <w:p w14:paraId="65D6A79A" w14:textId="77777777" w:rsidR="008C4F26" w:rsidRPr="003B6A69" w:rsidRDefault="008C4F26" w:rsidP="00661293">
            <w:pPr>
              <w:autoSpaceDE w:val="0"/>
              <w:autoSpaceDN w:val="0"/>
              <w:adjustRightInd w:val="0"/>
              <w:spacing w:after="0"/>
              <w:jc w:val="left"/>
              <w:rPr>
                <w:rFonts w:asciiTheme="minorHAnsi" w:eastAsiaTheme="minorHAnsi" w:hAnsiTheme="minorHAnsi" w:cstheme="minorBidi"/>
                <w:szCs w:val="20"/>
              </w:rPr>
            </w:pPr>
            <w:r w:rsidRPr="003B6A69">
              <w:rPr>
                <w:rFonts w:asciiTheme="minorHAnsi" w:eastAsiaTheme="minorHAnsi" w:hAnsiTheme="minorHAnsi" w:cstheme="minorBidi"/>
                <w:szCs w:val="20"/>
              </w:rPr>
              <w:t>EMERALD, IPA</w:t>
            </w:r>
          </w:p>
        </w:tc>
      </w:tr>
      <w:tr w:rsidR="008C4F26" w:rsidRPr="003B6A69" w14:paraId="043A0A9F" w14:textId="77777777" w:rsidTr="00661293">
        <w:trPr>
          <w:trHeight w:val="291"/>
        </w:trPr>
        <w:tc>
          <w:tcPr>
            <w:tcW w:w="1800" w:type="dxa"/>
            <w:tcBorders>
              <w:top w:val="single" w:sz="6" w:space="0" w:color="auto"/>
              <w:left w:val="single" w:sz="6" w:space="0" w:color="auto"/>
              <w:bottom w:val="single" w:sz="6" w:space="0" w:color="auto"/>
              <w:right w:val="single" w:sz="6" w:space="0" w:color="auto"/>
            </w:tcBorders>
          </w:tcPr>
          <w:p w14:paraId="595EAD75" w14:textId="77777777" w:rsidR="008C4F26" w:rsidRPr="003B6A69" w:rsidRDefault="008C4F26" w:rsidP="00661293">
            <w:pPr>
              <w:autoSpaceDE w:val="0"/>
              <w:autoSpaceDN w:val="0"/>
              <w:adjustRightInd w:val="0"/>
              <w:spacing w:after="0"/>
              <w:jc w:val="right"/>
              <w:rPr>
                <w:rFonts w:asciiTheme="minorHAnsi" w:eastAsiaTheme="minorHAnsi" w:hAnsiTheme="minorHAnsi" w:cstheme="minorBidi"/>
                <w:color w:val="000000"/>
                <w:szCs w:val="20"/>
              </w:rPr>
            </w:pPr>
            <w:r w:rsidRPr="003B6A69">
              <w:rPr>
                <w:rFonts w:asciiTheme="minorHAnsi" w:eastAsiaTheme="minorHAnsi" w:hAnsiTheme="minorHAnsi" w:cstheme="minorBidi"/>
                <w:color w:val="000000"/>
                <w:szCs w:val="20"/>
              </w:rPr>
              <w:t>32035</w:t>
            </w:r>
          </w:p>
        </w:tc>
        <w:tc>
          <w:tcPr>
            <w:tcW w:w="1890" w:type="dxa"/>
            <w:tcBorders>
              <w:top w:val="single" w:sz="6" w:space="0" w:color="auto"/>
              <w:left w:val="single" w:sz="6" w:space="0" w:color="auto"/>
              <w:bottom w:val="single" w:sz="6" w:space="0" w:color="auto"/>
              <w:right w:val="single" w:sz="6" w:space="0" w:color="auto"/>
            </w:tcBorders>
          </w:tcPr>
          <w:p w14:paraId="2031599E" w14:textId="77777777" w:rsidR="008C4F26" w:rsidRPr="003B6A69" w:rsidRDefault="008C4F26" w:rsidP="00661293">
            <w:pPr>
              <w:autoSpaceDE w:val="0"/>
              <w:autoSpaceDN w:val="0"/>
              <w:adjustRightInd w:val="0"/>
              <w:spacing w:after="0"/>
              <w:jc w:val="left"/>
              <w:rPr>
                <w:rFonts w:asciiTheme="minorHAnsi" w:eastAsiaTheme="minorHAnsi" w:hAnsiTheme="minorHAnsi" w:cstheme="minorBidi"/>
                <w:szCs w:val="20"/>
              </w:rPr>
            </w:pPr>
            <w:proofErr w:type="spellStart"/>
            <w:r w:rsidRPr="003B6A69">
              <w:rPr>
                <w:rFonts w:asciiTheme="minorHAnsi" w:eastAsiaTheme="minorHAnsi" w:hAnsiTheme="minorHAnsi" w:cstheme="minorBidi"/>
                <w:szCs w:val="20"/>
              </w:rPr>
              <w:t>Platamuni</w:t>
            </w:r>
            <w:proofErr w:type="spellEnd"/>
          </w:p>
        </w:tc>
        <w:tc>
          <w:tcPr>
            <w:tcW w:w="990" w:type="dxa"/>
            <w:tcBorders>
              <w:top w:val="single" w:sz="6" w:space="0" w:color="auto"/>
              <w:left w:val="single" w:sz="6" w:space="0" w:color="auto"/>
              <w:bottom w:val="single" w:sz="6" w:space="0" w:color="auto"/>
              <w:right w:val="single" w:sz="6" w:space="0" w:color="auto"/>
            </w:tcBorders>
          </w:tcPr>
          <w:p w14:paraId="2047BC65" w14:textId="77777777" w:rsidR="008C4F26" w:rsidRPr="003B6A69" w:rsidRDefault="008C4F26" w:rsidP="00661293">
            <w:pPr>
              <w:autoSpaceDE w:val="0"/>
              <w:autoSpaceDN w:val="0"/>
              <w:adjustRightInd w:val="0"/>
              <w:spacing w:after="0"/>
              <w:jc w:val="right"/>
              <w:rPr>
                <w:rFonts w:asciiTheme="minorHAnsi" w:eastAsiaTheme="minorHAnsi" w:hAnsiTheme="minorHAnsi" w:cstheme="minorBidi"/>
                <w:color w:val="000000"/>
                <w:szCs w:val="20"/>
              </w:rPr>
            </w:pPr>
            <w:r w:rsidRPr="003B6A69">
              <w:rPr>
                <w:rFonts w:asciiTheme="minorHAnsi" w:eastAsiaTheme="minorHAnsi" w:hAnsiTheme="minorHAnsi" w:cstheme="minorBidi"/>
                <w:color w:val="000000"/>
                <w:szCs w:val="20"/>
              </w:rPr>
              <w:t>1,699</w:t>
            </w:r>
          </w:p>
        </w:tc>
        <w:tc>
          <w:tcPr>
            <w:tcW w:w="1800" w:type="dxa"/>
            <w:tcBorders>
              <w:top w:val="single" w:sz="6" w:space="0" w:color="auto"/>
              <w:left w:val="single" w:sz="6" w:space="0" w:color="auto"/>
              <w:bottom w:val="single" w:sz="6" w:space="0" w:color="auto"/>
              <w:right w:val="single" w:sz="6" w:space="0" w:color="auto"/>
            </w:tcBorders>
          </w:tcPr>
          <w:p w14:paraId="7B1338CB" w14:textId="77777777" w:rsidR="008C4F26" w:rsidRPr="003B6A69" w:rsidRDefault="008C4F26" w:rsidP="00661293">
            <w:pPr>
              <w:autoSpaceDE w:val="0"/>
              <w:autoSpaceDN w:val="0"/>
              <w:adjustRightInd w:val="0"/>
              <w:spacing w:after="0"/>
              <w:jc w:val="left"/>
              <w:rPr>
                <w:rFonts w:asciiTheme="minorHAnsi" w:eastAsiaTheme="minorHAnsi" w:hAnsiTheme="minorHAnsi" w:cstheme="minorBidi"/>
                <w:szCs w:val="20"/>
              </w:rPr>
            </w:pPr>
            <w:r w:rsidRPr="003B6A69">
              <w:rPr>
                <w:rFonts w:asciiTheme="minorHAnsi" w:eastAsiaTheme="minorHAnsi" w:hAnsiTheme="minorHAnsi" w:cstheme="minorBidi"/>
                <w:szCs w:val="20"/>
              </w:rPr>
              <w:t>No</w:t>
            </w:r>
          </w:p>
        </w:tc>
        <w:tc>
          <w:tcPr>
            <w:tcW w:w="3240" w:type="dxa"/>
            <w:tcBorders>
              <w:top w:val="single" w:sz="6" w:space="0" w:color="auto"/>
              <w:left w:val="single" w:sz="6" w:space="0" w:color="auto"/>
              <w:bottom w:val="single" w:sz="6" w:space="0" w:color="auto"/>
              <w:right w:val="single" w:sz="6" w:space="0" w:color="auto"/>
            </w:tcBorders>
          </w:tcPr>
          <w:p w14:paraId="2B76B63D" w14:textId="77777777" w:rsidR="008C4F26" w:rsidRPr="003B6A69" w:rsidRDefault="008C4F26" w:rsidP="00661293">
            <w:pPr>
              <w:autoSpaceDE w:val="0"/>
              <w:autoSpaceDN w:val="0"/>
              <w:adjustRightInd w:val="0"/>
              <w:spacing w:after="0"/>
              <w:jc w:val="left"/>
              <w:rPr>
                <w:rFonts w:asciiTheme="minorHAnsi" w:eastAsiaTheme="minorHAnsi" w:hAnsiTheme="minorHAnsi" w:cstheme="minorBidi"/>
                <w:szCs w:val="20"/>
              </w:rPr>
            </w:pPr>
            <w:r w:rsidRPr="003B6A69">
              <w:rPr>
                <w:rFonts w:asciiTheme="minorHAnsi" w:eastAsiaTheme="minorHAnsi" w:hAnsiTheme="minorHAnsi" w:cstheme="minorBidi"/>
                <w:szCs w:val="20"/>
              </w:rPr>
              <w:t>EMERALD, IPA</w:t>
            </w:r>
          </w:p>
        </w:tc>
      </w:tr>
      <w:tr w:rsidR="008C4F26" w:rsidRPr="003B6A69" w14:paraId="50E418C8" w14:textId="77777777" w:rsidTr="00661293">
        <w:trPr>
          <w:trHeight w:val="201"/>
        </w:trPr>
        <w:tc>
          <w:tcPr>
            <w:tcW w:w="1800" w:type="dxa"/>
            <w:tcBorders>
              <w:top w:val="single" w:sz="6" w:space="0" w:color="auto"/>
              <w:left w:val="single" w:sz="6" w:space="0" w:color="auto"/>
              <w:bottom w:val="single" w:sz="6" w:space="0" w:color="auto"/>
              <w:right w:val="single" w:sz="6" w:space="0" w:color="auto"/>
            </w:tcBorders>
          </w:tcPr>
          <w:p w14:paraId="41B61BAD" w14:textId="77777777" w:rsidR="008C4F26" w:rsidRPr="003B6A69" w:rsidRDefault="008C4F26" w:rsidP="00661293">
            <w:pPr>
              <w:autoSpaceDE w:val="0"/>
              <w:autoSpaceDN w:val="0"/>
              <w:adjustRightInd w:val="0"/>
              <w:spacing w:after="0"/>
              <w:jc w:val="right"/>
              <w:rPr>
                <w:rFonts w:asciiTheme="minorHAnsi" w:eastAsiaTheme="minorHAnsi" w:hAnsiTheme="minorHAnsi" w:cstheme="minorBidi"/>
                <w:color w:val="000000"/>
                <w:szCs w:val="20"/>
              </w:rPr>
            </w:pPr>
            <w:r w:rsidRPr="003B6A69">
              <w:rPr>
                <w:rFonts w:asciiTheme="minorHAnsi" w:eastAsiaTheme="minorHAnsi" w:hAnsiTheme="minorHAnsi" w:cstheme="minorBidi"/>
                <w:color w:val="000000"/>
                <w:szCs w:val="20"/>
              </w:rPr>
              <w:t>32036</w:t>
            </w:r>
          </w:p>
        </w:tc>
        <w:tc>
          <w:tcPr>
            <w:tcW w:w="1890" w:type="dxa"/>
            <w:tcBorders>
              <w:top w:val="single" w:sz="6" w:space="0" w:color="auto"/>
              <w:left w:val="single" w:sz="6" w:space="0" w:color="auto"/>
              <w:bottom w:val="single" w:sz="6" w:space="0" w:color="auto"/>
              <w:right w:val="single" w:sz="6" w:space="0" w:color="auto"/>
            </w:tcBorders>
          </w:tcPr>
          <w:p w14:paraId="0250923E" w14:textId="77777777" w:rsidR="008C4F26" w:rsidRPr="003B6A69" w:rsidRDefault="008C4F26" w:rsidP="00661293">
            <w:pPr>
              <w:autoSpaceDE w:val="0"/>
              <w:autoSpaceDN w:val="0"/>
              <w:adjustRightInd w:val="0"/>
              <w:spacing w:after="0"/>
              <w:jc w:val="left"/>
              <w:rPr>
                <w:rFonts w:asciiTheme="minorHAnsi" w:eastAsiaTheme="minorHAnsi" w:hAnsiTheme="minorHAnsi" w:cstheme="minorBidi"/>
                <w:szCs w:val="20"/>
              </w:rPr>
            </w:pPr>
            <w:proofErr w:type="spellStart"/>
            <w:r w:rsidRPr="003B6A69">
              <w:rPr>
                <w:rFonts w:asciiTheme="minorHAnsi" w:eastAsiaTheme="minorHAnsi" w:hAnsiTheme="minorHAnsi" w:cstheme="minorBidi"/>
                <w:szCs w:val="20"/>
              </w:rPr>
              <w:t>Tivat</w:t>
            </w:r>
            <w:proofErr w:type="spellEnd"/>
            <w:r w:rsidRPr="003B6A69">
              <w:rPr>
                <w:rFonts w:asciiTheme="minorHAnsi" w:eastAsiaTheme="minorHAnsi" w:hAnsiTheme="minorHAnsi" w:cstheme="minorBidi"/>
                <w:szCs w:val="20"/>
              </w:rPr>
              <w:t xml:space="preserve"> Salina</w:t>
            </w:r>
          </w:p>
        </w:tc>
        <w:tc>
          <w:tcPr>
            <w:tcW w:w="990" w:type="dxa"/>
            <w:tcBorders>
              <w:top w:val="single" w:sz="6" w:space="0" w:color="auto"/>
              <w:left w:val="single" w:sz="6" w:space="0" w:color="auto"/>
              <w:bottom w:val="single" w:sz="6" w:space="0" w:color="auto"/>
              <w:right w:val="single" w:sz="6" w:space="0" w:color="auto"/>
            </w:tcBorders>
          </w:tcPr>
          <w:p w14:paraId="6807188E" w14:textId="77777777" w:rsidR="008C4F26" w:rsidRPr="003B6A69" w:rsidRDefault="008C4F26" w:rsidP="00661293">
            <w:pPr>
              <w:autoSpaceDE w:val="0"/>
              <w:autoSpaceDN w:val="0"/>
              <w:adjustRightInd w:val="0"/>
              <w:spacing w:after="0"/>
              <w:jc w:val="right"/>
              <w:rPr>
                <w:rFonts w:asciiTheme="minorHAnsi" w:eastAsiaTheme="minorHAnsi" w:hAnsiTheme="minorHAnsi" w:cstheme="minorBidi"/>
                <w:color w:val="000000"/>
                <w:szCs w:val="20"/>
              </w:rPr>
            </w:pPr>
            <w:r w:rsidRPr="003B6A69">
              <w:rPr>
                <w:rFonts w:asciiTheme="minorHAnsi" w:eastAsiaTheme="minorHAnsi" w:hAnsiTheme="minorHAnsi" w:cstheme="minorBidi"/>
                <w:color w:val="000000"/>
                <w:szCs w:val="20"/>
              </w:rPr>
              <w:t>150</w:t>
            </w:r>
          </w:p>
        </w:tc>
        <w:tc>
          <w:tcPr>
            <w:tcW w:w="1800" w:type="dxa"/>
            <w:tcBorders>
              <w:top w:val="single" w:sz="6" w:space="0" w:color="auto"/>
              <w:left w:val="single" w:sz="6" w:space="0" w:color="auto"/>
              <w:bottom w:val="single" w:sz="6" w:space="0" w:color="auto"/>
              <w:right w:val="single" w:sz="6" w:space="0" w:color="auto"/>
            </w:tcBorders>
          </w:tcPr>
          <w:p w14:paraId="7345FD17" w14:textId="77777777" w:rsidR="008C4F26" w:rsidRPr="003B6A69" w:rsidRDefault="008C4F26" w:rsidP="00661293">
            <w:pPr>
              <w:autoSpaceDE w:val="0"/>
              <w:autoSpaceDN w:val="0"/>
              <w:adjustRightInd w:val="0"/>
              <w:spacing w:after="0"/>
              <w:jc w:val="left"/>
              <w:rPr>
                <w:rFonts w:asciiTheme="minorHAnsi" w:eastAsiaTheme="minorHAnsi" w:hAnsiTheme="minorHAnsi" w:cstheme="minorBidi"/>
                <w:szCs w:val="20"/>
              </w:rPr>
            </w:pPr>
            <w:r w:rsidRPr="003B6A69">
              <w:rPr>
                <w:rFonts w:asciiTheme="minorHAnsi" w:eastAsiaTheme="minorHAnsi" w:hAnsiTheme="minorHAnsi" w:cstheme="minorBidi"/>
                <w:szCs w:val="20"/>
              </w:rPr>
              <w:t>Special nature reserve</w:t>
            </w:r>
          </w:p>
        </w:tc>
        <w:tc>
          <w:tcPr>
            <w:tcW w:w="3240" w:type="dxa"/>
            <w:tcBorders>
              <w:top w:val="single" w:sz="6" w:space="0" w:color="auto"/>
              <w:left w:val="single" w:sz="6" w:space="0" w:color="auto"/>
              <w:bottom w:val="single" w:sz="6" w:space="0" w:color="auto"/>
              <w:right w:val="single" w:sz="6" w:space="0" w:color="auto"/>
            </w:tcBorders>
          </w:tcPr>
          <w:p w14:paraId="5F0B55B6" w14:textId="77777777" w:rsidR="008C4F26" w:rsidRPr="003B6A69" w:rsidRDefault="008C4F26" w:rsidP="00661293">
            <w:pPr>
              <w:autoSpaceDE w:val="0"/>
              <w:autoSpaceDN w:val="0"/>
              <w:adjustRightInd w:val="0"/>
              <w:spacing w:after="0"/>
              <w:jc w:val="left"/>
              <w:rPr>
                <w:rFonts w:asciiTheme="minorHAnsi" w:eastAsiaTheme="minorHAnsi" w:hAnsiTheme="minorHAnsi" w:cstheme="minorBidi"/>
                <w:szCs w:val="20"/>
              </w:rPr>
            </w:pPr>
            <w:r w:rsidRPr="003B6A69">
              <w:rPr>
                <w:rFonts w:asciiTheme="minorHAnsi" w:eastAsiaTheme="minorHAnsi" w:hAnsiTheme="minorHAnsi" w:cstheme="minorBidi"/>
                <w:szCs w:val="20"/>
              </w:rPr>
              <w:t>EMERALD</w:t>
            </w:r>
          </w:p>
        </w:tc>
      </w:tr>
      <w:tr w:rsidR="008C4F26" w:rsidRPr="003B6A69" w14:paraId="71EDE149" w14:textId="77777777" w:rsidTr="00661293">
        <w:trPr>
          <w:trHeight w:val="53"/>
        </w:trPr>
        <w:tc>
          <w:tcPr>
            <w:tcW w:w="1800" w:type="dxa"/>
            <w:tcBorders>
              <w:top w:val="single" w:sz="6" w:space="0" w:color="auto"/>
              <w:left w:val="single" w:sz="6" w:space="0" w:color="auto"/>
              <w:bottom w:val="single" w:sz="6" w:space="0" w:color="auto"/>
              <w:right w:val="single" w:sz="6" w:space="0" w:color="auto"/>
            </w:tcBorders>
          </w:tcPr>
          <w:p w14:paraId="59979F8D" w14:textId="77777777" w:rsidR="008C4F26" w:rsidRPr="003B6A69" w:rsidRDefault="008C4F26" w:rsidP="00661293">
            <w:pPr>
              <w:autoSpaceDE w:val="0"/>
              <w:autoSpaceDN w:val="0"/>
              <w:adjustRightInd w:val="0"/>
              <w:spacing w:after="0"/>
              <w:jc w:val="right"/>
              <w:rPr>
                <w:rFonts w:asciiTheme="minorHAnsi" w:eastAsiaTheme="minorHAnsi" w:hAnsiTheme="minorHAnsi" w:cstheme="minorBidi"/>
                <w:color w:val="000000"/>
                <w:szCs w:val="20"/>
              </w:rPr>
            </w:pPr>
            <w:r w:rsidRPr="003B6A69">
              <w:rPr>
                <w:rFonts w:asciiTheme="minorHAnsi" w:eastAsiaTheme="minorHAnsi" w:hAnsiTheme="minorHAnsi" w:cstheme="minorBidi"/>
                <w:color w:val="000000"/>
                <w:szCs w:val="20"/>
              </w:rPr>
              <w:t>46646</w:t>
            </w:r>
          </w:p>
        </w:tc>
        <w:tc>
          <w:tcPr>
            <w:tcW w:w="1890" w:type="dxa"/>
            <w:tcBorders>
              <w:top w:val="single" w:sz="6" w:space="0" w:color="auto"/>
              <w:left w:val="single" w:sz="6" w:space="0" w:color="auto"/>
              <w:bottom w:val="single" w:sz="6" w:space="0" w:color="auto"/>
              <w:right w:val="single" w:sz="6" w:space="0" w:color="auto"/>
            </w:tcBorders>
          </w:tcPr>
          <w:p w14:paraId="28D0B778" w14:textId="77777777" w:rsidR="008C4F26" w:rsidRPr="003B6A69" w:rsidRDefault="008C4F26" w:rsidP="00661293">
            <w:pPr>
              <w:autoSpaceDE w:val="0"/>
              <w:autoSpaceDN w:val="0"/>
              <w:adjustRightInd w:val="0"/>
              <w:spacing w:after="0"/>
              <w:jc w:val="left"/>
              <w:rPr>
                <w:rFonts w:asciiTheme="minorHAnsi" w:eastAsiaTheme="minorHAnsi" w:hAnsiTheme="minorHAnsi" w:cstheme="minorBidi"/>
                <w:color w:val="000000"/>
                <w:szCs w:val="20"/>
              </w:rPr>
            </w:pPr>
            <w:proofErr w:type="spellStart"/>
            <w:r w:rsidRPr="003B6A69">
              <w:rPr>
                <w:rFonts w:asciiTheme="minorHAnsi" w:eastAsiaTheme="minorHAnsi" w:hAnsiTheme="minorHAnsi" w:cstheme="minorBidi"/>
                <w:color w:val="000000"/>
                <w:szCs w:val="20"/>
              </w:rPr>
              <w:t>Moraca</w:t>
            </w:r>
            <w:proofErr w:type="spellEnd"/>
            <w:r w:rsidRPr="003B6A69">
              <w:rPr>
                <w:rFonts w:asciiTheme="minorHAnsi" w:eastAsiaTheme="minorHAnsi" w:hAnsiTheme="minorHAnsi" w:cstheme="minorBidi"/>
                <w:color w:val="000000"/>
                <w:szCs w:val="20"/>
              </w:rPr>
              <w:t xml:space="preserve"> River</w:t>
            </w:r>
          </w:p>
        </w:tc>
        <w:tc>
          <w:tcPr>
            <w:tcW w:w="990" w:type="dxa"/>
            <w:tcBorders>
              <w:top w:val="single" w:sz="6" w:space="0" w:color="auto"/>
              <w:left w:val="single" w:sz="6" w:space="0" w:color="auto"/>
              <w:bottom w:val="single" w:sz="6" w:space="0" w:color="auto"/>
              <w:right w:val="single" w:sz="6" w:space="0" w:color="auto"/>
            </w:tcBorders>
          </w:tcPr>
          <w:p w14:paraId="6A1B48DD" w14:textId="77777777" w:rsidR="008C4F26" w:rsidRPr="003B6A69" w:rsidRDefault="008C4F26" w:rsidP="00661293">
            <w:pPr>
              <w:autoSpaceDE w:val="0"/>
              <w:autoSpaceDN w:val="0"/>
              <w:adjustRightInd w:val="0"/>
              <w:spacing w:after="0"/>
              <w:jc w:val="right"/>
              <w:rPr>
                <w:rFonts w:asciiTheme="minorHAnsi" w:eastAsiaTheme="minorHAnsi" w:hAnsiTheme="minorHAnsi" w:cstheme="minorBidi"/>
                <w:color w:val="000000"/>
                <w:szCs w:val="20"/>
              </w:rPr>
            </w:pPr>
            <w:r w:rsidRPr="003B6A69">
              <w:rPr>
                <w:rFonts w:asciiTheme="minorHAnsi" w:eastAsiaTheme="minorHAnsi" w:hAnsiTheme="minorHAnsi" w:cstheme="minorBidi"/>
                <w:color w:val="000000"/>
                <w:szCs w:val="20"/>
              </w:rPr>
              <w:t>5,300</w:t>
            </w:r>
          </w:p>
        </w:tc>
        <w:tc>
          <w:tcPr>
            <w:tcW w:w="1800" w:type="dxa"/>
            <w:tcBorders>
              <w:top w:val="single" w:sz="6" w:space="0" w:color="auto"/>
              <w:left w:val="single" w:sz="6" w:space="0" w:color="auto"/>
              <w:bottom w:val="single" w:sz="6" w:space="0" w:color="auto"/>
              <w:right w:val="single" w:sz="6" w:space="0" w:color="auto"/>
            </w:tcBorders>
          </w:tcPr>
          <w:p w14:paraId="33C7310F" w14:textId="77777777" w:rsidR="008C4F26" w:rsidRPr="003B6A69" w:rsidRDefault="008C4F26" w:rsidP="00661293">
            <w:pPr>
              <w:autoSpaceDE w:val="0"/>
              <w:autoSpaceDN w:val="0"/>
              <w:adjustRightInd w:val="0"/>
              <w:spacing w:after="0"/>
              <w:jc w:val="left"/>
              <w:rPr>
                <w:rFonts w:asciiTheme="minorHAnsi" w:eastAsiaTheme="minorHAnsi" w:hAnsiTheme="minorHAnsi" w:cstheme="minorBidi"/>
                <w:szCs w:val="20"/>
              </w:rPr>
            </w:pPr>
            <w:r w:rsidRPr="003B6A69">
              <w:rPr>
                <w:rFonts w:asciiTheme="minorHAnsi" w:eastAsiaTheme="minorHAnsi" w:hAnsiTheme="minorHAnsi" w:cstheme="minorBidi"/>
                <w:szCs w:val="20"/>
              </w:rPr>
              <w:t>No</w:t>
            </w:r>
          </w:p>
        </w:tc>
        <w:tc>
          <w:tcPr>
            <w:tcW w:w="3240" w:type="dxa"/>
            <w:tcBorders>
              <w:top w:val="single" w:sz="6" w:space="0" w:color="auto"/>
              <w:left w:val="single" w:sz="6" w:space="0" w:color="auto"/>
              <w:bottom w:val="single" w:sz="6" w:space="0" w:color="auto"/>
              <w:right w:val="single" w:sz="6" w:space="0" w:color="auto"/>
            </w:tcBorders>
          </w:tcPr>
          <w:p w14:paraId="7BB1E011" w14:textId="77777777" w:rsidR="008C4F26" w:rsidRPr="003B6A69" w:rsidRDefault="008C4F26" w:rsidP="00661293">
            <w:pPr>
              <w:autoSpaceDE w:val="0"/>
              <w:autoSpaceDN w:val="0"/>
              <w:adjustRightInd w:val="0"/>
              <w:spacing w:after="0"/>
              <w:jc w:val="left"/>
              <w:rPr>
                <w:rFonts w:asciiTheme="minorHAnsi" w:eastAsiaTheme="minorHAnsi" w:hAnsiTheme="minorHAnsi" w:cstheme="minorBidi"/>
                <w:szCs w:val="20"/>
              </w:rPr>
            </w:pPr>
            <w:r w:rsidRPr="003B6A69">
              <w:rPr>
                <w:rFonts w:asciiTheme="minorHAnsi" w:eastAsiaTheme="minorHAnsi" w:hAnsiTheme="minorHAnsi" w:cstheme="minorBidi"/>
                <w:szCs w:val="20"/>
              </w:rPr>
              <w:t>EMERALD</w:t>
            </w:r>
          </w:p>
        </w:tc>
      </w:tr>
    </w:tbl>
    <w:p w14:paraId="314D18D1" w14:textId="77777777" w:rsidR="000A12EC" w:rsidRPr="003B6A69" w:rsidRDefault="000A12EC" w:rsidP="00661293">
      <w:pPr>
        <w:widowControl w:val="0"/>
        <w:autoSpaceDE w:val="0"/>
        <w:autoSpaceDN w:val="0"/>
        <w:adjustRightInd w:val="0"/>
        <w:spacing w:after="0"/>
        <w:ind w:right="90"/>
        <w:rPr>
          <w:rFonts w:asciiTheme="minorHAnsi" w:eastAsiaTheme="minorHAnsi" w:hAnsiTheme="minorHAnsi" w:cstheme="minorBidi"/>
          <w:b/>
          <w:szCs w:val="20"/>
        </w:rPr>
      </w:pPr>
    </w:p>
    <w:p w14:paraId="4EE38885" w14:textId="77777777" w:rsidR="008C4F26" w:rsidRPr="003B6A69" w:rsidRDefault="008C4F26" w:rsidP="00661293">
      <w:pPr>
        <w:widowControl w:val="0"/>
        <w:autoSpaceDE w:val="0"/>
        <w:autoSpaceDN w:val="0"/>
        <w:adjustRightInd w:val="0"/>
        <w:spacing w:after="120"/>
        <w:ind w:right="90"/>
        <w:rPr>
          <w:rFonts w:asciiTheme="minorHAnsi" w:eastAsiaTheme="minorHAnsi" w:hAnsiTheme="minorHAnsi" w:cstheme="minorBidi"/>
          <w:spacing w:val="-2"/>
          <w:szCs w:val="20"/>
          <w:lang w:val="sr-Latn-ME"/>
        </w:rPr>
      </w:pPr>
      <w:r w:rsidRPr="003B6A69">
        <w:rPr>
          <w:rFonts w:asciiTheme="minorHAnsi" w:eastAsiaTheme="minorHAnsi" w:hAnsiTheme="minorHAnsi" w:cstheme="minorBidi"/>
          <w:spacing w:val="-2"/>
          <w:szCs w:val="20"/>
          <w:lang w:val="sr-Latn-ME"/>
        </w:rPr>
        <w:t>Durmitor, Skadar Lake, Biogradska woods, and Lovcen KBAs are protected in the country as National Parks. Zeta Stream, Ulcinjska solana and Orjen are nature parks, while Cijevna Canyon and a small part of KBA Bojana Delta (part of Velika plaža) are nature monuments. Trebjesa is a protected landscape. A special nature reserve is Tivat Salina. There are nine registered KBAs in Montenegro that do not have a national protection status: Lake Šasko, Kakaricka Gora, Rumija, Bojana Delta, Ćemovsko polje, Katici, Donkova and Velja Seka, Kotor Risan bay, Platamuni, Morača river. Of these areas, four are IBA sites: Lake Šasko, Rumija, Bojana Delta, and Ćemovsko polje. Only the first mentioned of these areas does not belong to the EMERALD network. The following areas were selected for IPA: Kakaricka gora, Katići, Donkova and Velja Seka, Kotor Risan bay and Platamuni. All the KBAs, except the first one, are included in the EMERALD network. Morača river is the only KBA that does not have the status of a protected area in Montenegro, and does not have international nominations apart from the EMERALD recognition.</w:t>
      </w:r>
    </w:p>
    <w:p w14:paraId="3A17C4EB" w14:textId="77777777" w:rsidR="008C4F26" w:rsidRPr="003B6A69" w:rsidRDefault="008C4F26" w:rsidP="00661293">
      <w:pPr>
        <w:spacing w:after="120"/>
        <w:rPr>
          <w:rFonts w:asciiTheme="minorHAnsi" w:eastAsiaTheme="minorHAnsi" w:hAnsiTheme="minorHAnsi" w:cstheme="minorBidi"/>
          <w:szCs w:val="20"/>
          <w:lang w:val="en-GB"/>
        </w:rPr>
      </w:pPr>
      <w:r w:rsidRPr="003B6A69">
        <w:rPr>
          <w:rFonts w:asciiTheme="minorHAnsi" w:eastAsiaTheme="minorHAnsi" w:hAnsiTheme="minorHAnsi" w:cstheme="minorBidi"/>
          <w:b/>
          <w:szCs w:val="20"/>
          <w:u w:val="single"/>
          <w:lang w:val="en-GB"/>
        </w:rPr>
        <w:t>Key biodiversity values and threats for the pilot KBAs</w:t>
      </w:r>
      <w:r w:rsidRPr="003B6A69">
        <w:rPr>
          <w:rFonts w:asciiTheme="minorHAnsi" w:eastAsiaTheme="minorHAnsi" w:hAnsiTheme="minorHAnsi" w:cstheme="minorBidi"/>
          <w:szCs w:val="20"/>
          <w:lang w:val="en-GB"/>
        </w:rPr>
        <w:t xml:space="preserve"> </w:t>
      </w:r>
    </w:p>
    <w:p w14:paraId="3CEA2B36" w14:textId="77777777" w:rsidR="008C4F26" w:rsidRPr="003B6A69" w:rsidRDefault="008C4F26" w:rsidP="00661293">
      <w:pPr>
        <w:spacing w:after="120"/>
        <w:rPr>
          <w:rFonts w:asciiTheme="minorHAnsi" w:eastAsiaTheme="minorHAnsi" w:hAnsiTheme="minorHAnsi" w:cstheme="minorBidi"/>
          <w:szCs w:val="20"/>
          <w:lang w:val="en-GB"/>
        </w:rPr>
      </w:pPr>
      <w:proofErr w:type="spellStart"/>
      <w:r w:rsidRPr="003B6A69">
        <w:rPr>
          <w:rFonts w:asciiTheme="minorHAnsi" w:eastAsiaTheme="minorHAnsi" w:hAnsiTheme="minorHAnsi" w:cstheme="minorBidi"/>
          <w:b/>
          <w:i/>
          <w:szCs w:val="20"/>
          <w:lang w:val="en-GB"/>
        </w:rPr>
        <w:t>Durmitor</w:t>
      </w:r>
      <w:proofErr w:type="spellEnd"/>
      <w:r w:rsidRPr="003B6A69">
        <w:rPr>
          <w:rFonts w:asciiTheme="minorHAnsi" w:eastAsiaTheme="minorHAnsi" w:hAnsiTheme="minorHAnsi" w:cstheme="minorBidi"/>
          <w:szCs w:val="20"/>
          <w:lang w:val="en-GB"/>
        </w:rPr>
        <w:t xml:space="preserve">. Pressure on the landscape and ecosystems in </w:t>
      </w:r>
      <w:proofErr w:type="spellStart"/>
      <w:r w:rsidRPr="003B6A69">
        <w:rPr>
          <w:rFonts w:asciiTheme="minorHAnsi" w:eastAsiaTheme="minorHAnsi" w:hAnsiTheme="minorHAnsi" w:cstheme="minorBidi"/>
          <w:szCs w:val="20"/>
          <w:lang w:val="en-GB"/>
        </w:rPr>
        <w:t>Durmitor</w:t>
      </w:r>
      <w:proofErr w:type="spellEnd"/>
      <w:r w:rsidRPr="003B6A69">
        <w:rPr>
          <w:rFonts w:asciiTheme="minorHAnsi" w:eastAsiaTheme="minorHAnsi" w:hAnsiTheme="minorHAnsi" w:cstheme="minorBidi"/>
          <w:szCs w:val="20"/>
          <w:lang w:val="en-GB"/>
        </w:rPr>
        <w:t xml:space="preserve"> National Park and its surroundings is most pronounced from tourism and forestry sectors. </w:t>
      </w:r>
    </w:p>
    <w:p w14:paraId="7E888729" w14:textId="77777777" w:rsidR="008C4F26" w:rsidRPr="003B6A69" w:rsidRDefault="008C4F26" w:rsidP="00661293">
      <w:pPr>
        <w:spacing w:after="120"/>
        <w:rPr>
          <w:rFonts w:asciiTheme="minorHAnsi" w:eastAsiaTheme="minorHAnsi" w:hAnsiTheme="minorHAnsi" w:cstheme="minorBidi"/>
          <w:szCs w:val="20"/>
          <w:lang w:val="en-GB"/>
        </w:rPr>
      </w:pPr>
      <w:r w:rsidRPr="003B6A69">
        <w:rPr>
          <w:rFonts w:asciiTheme="minorHAnsi" w:eastAsiaTheme="minorHAnsi" w:hAnsiTheme="minorHAnsi" w:cstheme="minorBidi"/>
          <w:szCs w:val="20"/>
          <w:lang w:val="en-GB"/>
        </w:rPr>
        <w:t xml:space="preserve">Construction of tourism and recreational facilities – most frequently holiday homes, but also residences for rental, hotels, and the expansion of skiing infrastructure – is the major threat in this region. Construction has been conducted in an unplanned manner, causing conversion of natural habitats and pollution from improper solid waste and wastewater disposal. Of particular concern is the construction of the water extraction system on </w:t>
      </w:r>
      <w:proofErr w:type="spellStart"/>
      <w:r w:rsidRPr="003B6A69">
        <w:rPr>
          <w:rFonts w:asciiTheme="minorHAnsi" w:eastAsiaTheme="minorHAnsi" w:hAnsiTheme="minorHAnsi" w:cstheme="minorBidi"/>
          <w:szCs w:val="20"/>
          <w:lang w:val="en-GB"/>
        </w:rPr>
        <w:t>Modro</w:t>
      </w:r>
      <w:proofErr w:type="spellEnd"/>
      <w:r w:rsidRPr="003B6A69">
        <w:rPr>
          <w:rFonts w:asciiTheme="minorHAnsi" w:eastAsiaTheme="minorHAnsi" w:hAnsiTheme="minorHAnsi" w:cstheme="minorBidi"/>
          <w:szCs w:val="20"/>
          <w:lang w:val="en-GB"/>
        </w:rPr>
        <w:t xml:space="preserve"> Lake, which pulls waters from the Lake for the purpose of creating artificial snow on </w:t>
      </w:r>
      <w:proofErr w:type="spellStart"/>
      <w:r w:rsidRPr="003B6A69">
        <w:rPr>
          <w:rFonts w:asciiTheme="minorHAnsi" w:eastAsiaTheme="minorHAnsi" w:hAnsiTheme="minorHAnsi" w:cstheme="minorBidi"/>
          <w:szCs w:val="20"/>
          <w:lang w:val="en-GB"/>
        </w:rPr>
        <w:t>Savin</w:t>
      </w:r>
      <w:proofErr w:type="spellEnd"/>
      <w:r w:rsidRPr="003B6A69">
        <w:rPr>
          <w:rFonts w:asciiTheme="minorHAnsi" w:eastAsiaTheme="minorHAnsi" w:hAnsiTheme="minorHAnsi" w:cstheme="minorBidi"/>
          <w:szCs w:val="20"/>
          <w:lang w:val="en-GB"/>
        </w:rPr>
        <w:t xml:space="preserve"> Kuk ski slopes. The extraction system can disrupt the sensitive hydrology of this karstic lake, the pipeline disrupts the landscape, and the artificial snow production creates pollution. </w:t>
      </w:r>
    </w:p>
    <w:p w14:paraId="56B63A36" w14:textId="77777777" w:rsidR="008C4F26" w:rsidRPr="003B6A69" w:rsidRDefault="008C4F26" w:rsidP="00661293">
      <w:pPr>
        <w:spacing w:after="120"/>
        <w:rPr>
          <w:rFonts w:asciiTheme="minorHAnsi" w:eastAsiaTheme="minorHAnsi" w:hAnsiTheme="minorHAnsi" w:cstheme="minorBidi"/>
          <w:szCs w:val="20"/>
          <w:lang w:val="en-GB"/>
        </w:rPr>
      </w:pPr>
      <w:r w:rsidRPr="003B6A69">
        <w:rPr>
          <w:rFonts w:asciiTheme="minorHAnsi" w:eastAsiaTheme="minorHAnsi" w:hAnsiTheme="minorHAnsi" w:cstheme="minorBidi"/>
          <w:szCs w:val="20"/>
          <w:lang w:val="en-GB"/>
        </w:rPr>
        <w:t xml:space="preserve">The centre of such activities is the town of </w:t>
      </w:r>
      <w:proofErr w:type="spellStart"/>
      <w:r w:rsidRPr="003B6A69">
        <w:rPr>
          <w:rFonts w:asciiTheme="minorHAnsi" w:eastAsiaTheme="minorHAnsi" w:hAnsiTheme="minorHAnsi" w:cstheme="minorBidi"/>
          <w:szCs w:val="20"/>
          <w:lang w:val="en-GB"/>
        </w:rPr>
        <w:t>Zabljak</w:t>
      </w:r>
      <w:proofErr w:type="spellEnd"/>
      <w:r w:rsidRPr="003B6A69">
        <w:rPr>
          <w:rFonts w:asciiTheme="minorHAnsi" w:eastAsiaTheme="minorHAnsi" w:hAnsiTheme="minorHAnsi" w:cstheme="minorBidi"/>
          <w:szCs w:val="20"/>
          <w:lang w:val="en-GB"/>
        </w:rPr>
        <w:t xml:space="preserve"> and its vicinity (</w:t>
      </w:r>
      <w:proofErr w:type="spellStart"/>
      <w:r w:rsidRPr="003B6A69">
        <w:rPr>
          <w:rFonts w:asciiTheme="minorHAnsi" w:eastAsiaTheme="minorHAnsi" w:hAnsiTheme="minorHAnsi" w:cstheme="minorBidi"/>
          <w:szCs w:val="20"/>
          <w:lang w:val="en-GB"/>
        </w:rPr>
        <w:t>Savin</w:t>
      </w:r>
      <w:proofErr w:type="spellEnd"/>
      <w:r w:rsidRPr="003B6A69">
        <w:rPr>
          <w:rFonts w:asciiTheme="minorHAnsi" w:eastAsiaTheme="minorHAnsi" w:hAnsiTheme="minorHAnsi" w:cstheme="minorBidi"/>
          <w:szCs w:val="20"/>
          <w:lang w:val="en-GB"/>
        </w:rPr>
        <w:t xml:space="preserve"> Kuk, and along the road towards Tara Canyon), but tourist facilities have been popping up all over the area. This was the reason why </w:t>
      </w:r>
      <w:proofErr w:type="spellStart"/>
      <w:r w:rsidRPr="003B6A69">
        <w:rPr>
          <w:rFonts w:asciiTheme="minorHAnsi" w:eastAsiaTheme="minorHAnsi" w:hAnsiTheme="minorHAnsi" w:cstheme="minorBidi"/>
          <w:szCs w:val="20"/>
          <w:lang w:val="en-GB"/>
        </w:rPr>
        <w:t>Zabljak</w:t>
      </w:r>
      <w:proofErr w:type="spellEnd"/>
      <w:r w:rsidRPr="003B6A69">
        <w:rPr>
          <w:rFonts w:asciiTheme="minorHAnsi" w:eastAsiaTheme="minorHAnsi" w:hAnsiTheme="minorHAnsi" w:cstheme="minorBidi"/>
          <w:szCs w:val="20"/>
          <w:lang w:val="en-GB"/>
        </w:rPr>
        <w:t xml:space="preserve"> and its vicinity have been removed from the National Park's borders, which prompted a UNESCO mission's recommendations that this area should be offset by conservation elsewhere </w:t>
      </w:r>
      <w:proofErr w:type="gramStart"/>
      <w:r w:rsidRPr="003B6A69">
        <w:rPr>
          <w:rFonts w:asciiTheme="minorHAnsi" w:eastAsiaTheme="minorHAnsi" w:hAnsiTheme="minorHAnsi" w:cstheme="minorBidi"/>
          <w:szCs w:val="20"/>
          <w:lang w:val="en-GB"/>
        </w:rPr>
        <w:t>in order to</w:t>
      </w:r>
      <w:proofErr w:type="gramEnd"/>
      <w:r w:rsidRPr="003B6A69">
        <w:rPr>
          <w:rFonts w:asciiTheme="minorHAnsi" w:eastAsiaTheme="minorHAnsi" w:hAnsiTheme="minorHAnsi" w:cstheme="minorBidi"/>
          <w:szCs w:val="20"/>
          <w:lang w:val="en-GB"/>
        </w:rPr>
        <w:t xml:space="preserve"> ensure the preservation of the outstanding values of the region. </w:t>
      </w:r>
    </w:p>
    <w:p w14:paraId="27E40F72" w14:textId="4A513483" w:rsidR="008C4F26" w:rsidRPr="003B6A69" w:rsidRDefault="008C4F26" w:rsidP="00661293">
      <w:pPr>
        <w:spacing w:after="120"/>
        <w:rPr>
          <w:rFonts w:asciiTheme="minorHAnsi" w:eastAsiaTheme="minorHAnsi" w:hAnsiTheme="minorHAnsi" w:cstheme="minorBidi"/>
          <w:szCs w:val="20"/>
          <w:lang w:val="en-GB"/>
        </w:rPr>
      </w:pPr>
      <w:r w:rsidRPr="003B6A69">
        <w:rPr>
          <w:rFonts w:asciiTheme="minorHAnsi" w:eastAsiaTheme="minorHAnsi" w:hAnsiTheme="minorHAnsi" w:cstheme="minorBidi"/>
          <w:szCs w:val="20"/>
          <w:lang w:val="en-GB"/>
        </w:rPr>
        <w:t>Tourism activity, being a driving force for the uncontrolled construction, has also brought increased disturbance in the regio</w:t>
      </w:r>
      <w:r w:rsidR="000A12EC" w:rsidRPr="003B6A69">
        <w:rPr>
          <w:rFonts w:asciiTheme="minorHAnsi" w:eastAsiaTheme="minorHAnsi" w:hAnsiTheme="minorHAnsi" w:cstheme="minorBidi"/>
          <w:szCs w:val="20"/>
          <w:lang w:val="en-GB"/>
        </w:rPr>
        <w:t xml:space="preserve">n. Higher levels of visitation </w:t>
      </w:r>
      <w:proofErr w:type="gramStart"/>
      <w:r w:rsidRPr="003B6A69">
        <w:rPr>
          <w:rFonts w:asciiTheme="minorHAnsi" w:eastAsiaTheme="minorHAnsi" w:hAnsiTheme="minorHAnsi" w:cstheme="minorBidi"/>
          <w:szCs w:val="20"/>
          <w:lang w:val="en-GB"/>
        </w:rPr>
        <w:t>means</w:t>
      </w:r>
      <w:proofErr w:type="gramEnd"/>
      <w:r w:rsidRPr="003B6A69">
        <w:rPr>
          <w:rFonts w:asciiTheme="minorHAnsi" w:eastAsiaTheme="minorHAnsi" w:hAnsiTheme="minorHAnsi" w:cstheme="minorBidi"/>
          <w:szCs w:val="20"/>
          <w:lang w:val="en-GB"/>
        </w:rPr>
        <w:t xml:space="preserve"> more people enter remote and sensitive areas, bringing noise, waste and disturbance. The Tara River Canyon is under </w:t>
      </w:r>
      <w:proofErr w:type="gramStart"/>
      <w:r w:rsidRPr="003B6A69">
        <w:rPr>
          <w:rFonts w:asciiTheme="minorHAnsi" w:eastAsiaTheme="minorHAnsi" w:hAnsiTheme="minorHAnsi" w:cstheme="minorBidi"/>
          <w:szCs w:val="20"/>
          <w:lang w:val="en-GB"/>
        </w:rPr>
        <w:t>particular pressure</w:t>
      </w:r>
      <w:proofErr w:type="gramEnd"/>
      <w:r w:rsidRPr="003B6A69">
        <w:rPr>
          <w:rFonts w:asciiTheme="minorHAnsi" w:eastAsiaTheme="minorHAnsi" w:hAnsiTheme="minorHAnsi" w:cstheme="minorBidi"/>
          <w:szCs w:val="20"/>
          <w:lang w:val="en-GB"/>
        </w:rPr>
        <w:t xml:space="preserve"> due to the popularity of rafting. Water quality monitoring continually records local deterioration of water quality near </w:t>
      </w:r>
      <w:proofErr w:type="spellStart"/>
      <w:r w:rsidRPr="003B6A69">
        <w:rPr>
          <w:rFonts w:asciiTheme="minorHAnsi" w:eastAsiaTheme="minorHAnsi" w:hAnsiTheme="minorHAnsi" w:cstheme="minorBidi"/>
          <w:szCs w:val="20"/>
          <w:lang w:val="en-GB"/>
        </w:rPr>
        <w:t>Scepan</w:t>
      </w:r>
      <w:proofErr w:type="spellEnd"/>
      <w:r w:rsidRPr="003B6A69">
        <w:rPr>
          <w:rFonts w:asciiTheme="minorHAnsi" w:eastAsiaTheme="minorHAnsi" w:hAnsiTheme="minorHAnsi" w:cstheme="minorBidi"/>
          <w:szCs w:val="20"/>
          <w:lang w:val="en-GB"/>
        </w:rPr>
        <w:t xml:space="preserve"> Polje and </w:t>
      </w:r>
      <w:proofErr w:type="spellStart"/>
      <w:r w:rsidRPr="003B6A69">
        <w:rPr>
          <w:rFonts w:asciiTheme="minorHAnsi" w:eastAsiaTheme="minorHAnsi" w:hAnsiTheme="minorHAnsi" w:cstheme="minorBidi"/>
          <w:szCs w:val="20"/>
          <w:lang w:val="en-GB"/>
        </w:rPr>
        <w:t>Djurdjevica</w:t>
      </w:r>
      <w:proofErr w:type="spellEnd"/>
      <w:r w:rsidRPr="003B6A69">
        <w:rPr>
          <w:rFonts w:asciiTheme="minorHAnsi" w:eastAsiaTheme="minorHAnsi" w:hAnsiTheme="minorHAnsi" w:cstheme="minorBidi"/>
          <w:szCs w:val="20"/>
          <w:lang w:val="en-GB"/>
        </w:rPr>
        <w:t xml:space="preserve"> Tara during tourist seasons. </w:t>
      </w:r>
      <w:proofErr w:type="spellStart"/>
      <w:r w:rsidRPr="003B6A69">
        <w:rPr>
          <w:rFonts w:asciiTheme="minorHAnsi" w:eastAsiaTheme="minorHAnsi" w:hAnsiTheme="minorHAnsi" w:cstheme="minorBidi"/>
          <w:szCs w:val="20"/>
          <w:lang w:val="en-GB"/>
        </w:rPr>
        <w:t>Bailovica</w:t>
      </w:r>
      <w:proofErr w:type="spellEnd"/>
      <w:r w:rsidRPr="003B6A69">
        <w:rPr>
          <w:rFonts w:asciiTheme="minorHAnsi" w:eastAsiaTheme="minorHAnsi" w:hAnsiTheme="minorHAnsi" w:cstheme="minorBidi"/>
          <w:szCs w:val="20"/>
          <w:lang w:val="en-GB"/>
        </w:rPr>
        <w:t xml:space="preserve"> </w:t>
      </w:r>
      <w:proofErr w:type="spellStart"/>
      <w:r w:rsidRPr="003B6A69">
        <w:rPr>
          <w:rFonts w:asciiTheme="minorHAnsi" w:eastAsiaTheme="minorHAnsi" w:hAnsiTheme="minorHAnsi" w:cstheme="minorBidi"/>
          <w:szCs w:val="20"/>
          <w:lang w:val="en-GB"/>
        </w:rPr>
        <w:t>sige</w:t>
      </w:r>
      <w:proofErr w:type="spellEnd"/>
      <w:r w:rsidRPr="003B6A69">
        <w:rPr>
          <w:rFonts w:asciiTheme="minorHAnsi" w:eastAsiaTheme="minorHAnsi" w:hAnsiTheme="minorHAnsi" w:cstheme="minorBidi"/>
          <w:szCs w:val="20"/>
          <w:lang w:val="en-GB"/>
        </w:rPr>
        <w:t xml:space="preserve"> – waterfalls with an </w:t>
      </w:r>
      <w:proofErr w:type="gramStart"/>
      <w:r w:rsidRPr="003B6A69">
        <w:rPr>
          <w:rFonts w:asciiTheme="minorHAnsi" w:eastAsiaTheme="minorHAnsi" w:hAnsiTheme="minorHAnsi" w:cstheme="minorBidi"/>
          <w:szCs w:val="20"/>
          <w:lang w:val="en-GB"/>
        </w:rPr>
        <w:t>outstanding sensitive tufa formations</w:t>
      </w:r>
      <w:proofErr w:type="gramEnd"/>
      <w:r w:rsidRPr="003B6A69">
        <w:rPr>
          <w:rFonts w:asciiTheme="minorHAnsi" w:eastAsiaTheme="minorHAnsi" w:hAnsiTheme="minorHAnsi" w:cstheme="minorBidi"/>
          <w:szCs w:val="20"/>
          <w:lang w:val="en-GB"/>
        </w:rPr>
        <w:t xml:space="preserve"> – is visited in the tourist season by hundreds of people every day, with no control over their movement and activity. A significant proportion of solid waste from rafting camps ends up in the river, and the noise from rafters reverberates through the canyon disturbing birds and large mammals (chamois, bears).</w:t>
      </w:r>
    </w:p>
    <w:p w14:paraId="3488AF21" w14:textId="77777777" w:rsidR="008C4F26" w:rsidRPr="003B6A69" w:rsidRDefault="008C4F26" w:rsidP="00661293">
      <w:pPr>
        <w:spacing w:after="120"/>
        <w:rPr>
          <w:rFonts w:asciiTheme="minorHAnsi" w:eastAsiaTheme="minorHAnsi" w:hAnsiTheme="minorHAnsi" w:cstheme="minorBidi"/>
          <w:szCs w:val="20"/>
          <w:lang w:val="en-GB"/>
        </w:rPr>
      </w:pPr>
      <w:r w:rsidRPr="003B6A69">
        <w:rPr>
          <w:rFonts w:asciiTheme="minorHAnsi" w:eastAsiaTheme="minorHAnsi" w:hAnsiTheme="minorHAnsi" w:cstheme="minorBidi"/>
          <w:szCs w:val="20"/>
          <w:lang w:val="en-GB"/>
        </w:rPr>
        <w:t xml:space="preserve">For the forests, there are instances of illegal logging and unsustainable use by the local population. Forest fires are also a frequent occurrence - primarily caused by man, either deliberately or accidentally (due to deliberate burning of nearby grasslands as farmers believe this increases productivity of grazing land). This issue is of particular importance in the context of climate change, as the increase in drought and changes in precipitation patterns exacerbate the situation. </w:t>
      </w:r>
    </w:p>
    <w:p w14:paraId="7AB34F3D" w14:textId="77777777" w:rsidR="008C4F26" w:rsidRPr="003B6A69" w:rsidRDefault="008C4F26" w:rsidP="00661293">
      <w:pPr>
        <w:spacing w:after="120"/>
        <w:rPr>
          <w:rFonts w:asciiTheme="minorHAnsi" w:eastAsiaTheme="minorHAnsi" w:hAnsiTheme="minorHAnsi" w:cstheme="minorBidi"/>
          <w:szCs w:val="20"/>
          <w:lang w:val="en-GB"/>
        </w:rPr>
      </w:pPr>
      <w:r w:rsidRPr="003B6A69">
        <w:rPr>
          <w:rFonts w:asciiTheme="minorHAnsi" w:eastAsiaTheme="minorHAnsi" w:hAnsiTheme="minorHAnsi" w:cstheme="minorBidi"/>
          <w:szCs w:val="20"/>
          <w:lang w:val="en-GB"/>
        </w:rPr>
        <w:t xml:space="preserve">Tourism and forestry cause lots of conflict between the national and local authorities and </w:t>
      </w:r>
      <w:proofErr w:type="gramStart"/>
      <w:r w:rsidRPr="003B6A69">
        <w:rPr>
          <w:rFonts w:asciiTheme="minorHAnsi" w:eastAsiaTheme="minorHAnsi" w:hAnsiTheme="minorHAnsi" w:cstheme="minorBidi"/>
          <w:szCs w:val="20"/>
          <w:lang w:val="en-GB"/>
        </w:rPr>
        <w:t>local residents</w:t>
      </w:r>
      <w:proofErr w:type="gramEnd"/>
      <w:r w:rsidRPr="003B6A69">
        <w:rPr>
          <w:rFonts w:asciiTheme="minorHAnsi" w:eastAsiaTheme="minorHAnsi" w:hAnsiTheme="minorHAnsi" w:cstheme="minorBidi"/>
          <w:szCs w:val="20"/>
          <w:lang w:val="en-GB"/>
        </w:rPr>
        <w:t xml:space="preserve">. Combined with inadequate capacities for natural resource management and a reduction of the size of the national park protected area, they are creating a threatening scenario for the natural heritage of the </w:t>
      </w:r>
      <w:proofErr w:type="spellStart"/>
      <w:r w:rsidRPr="003B6A69">
        <w:rPr>
          <w:rFonts w:asciiTheme="minorHAnsi" w:eastAsiaTheme="minorHAnsi" w:hAnsiTheme="minorHAnsi" w:cstheme="minorBidi"/>
          <w:szCs w:val="20"/>
          <w:lang w:val="en-GB"/>
        </w:rPr>
        <w:t>Durmitor</w:t>
      </w:r>
      <w:proofErr w:type="spellEnd"/>
      <w:r w:rsidRPr="003B6A69">
        <w:rPr>
          <w:rFonts w:asciiTheme="minorHAnsi" w:eastAsiaTheme="minorHAnsi" w:hAnsiTheme="minorHAnsi" w:cstheme="minorBidi"/>
          <w:szCs w:val="20"/>
          <w:lang w:val="en-GB"/>
        </w:rPr>
        <w:t xml:space="preserve"> National Park and World Heritage site.</w:t>
      </w:r>
    </w:p>
    <w:p w14:paraId="4BF3D796" w14:textId="77777777" w:rsidR="008C4F26" w:rsidRPr="003B6A69" w:rsidRDefault="008C4F26" w:rsidP="00661293">
      <w:pPr>
        <w:spacing w:after="120"/>
        <w:rPr>
          <w:rFonts w:asciiTheme="minorHAnsi" w:eastAsiaTheme="minorHAnsi" w:hAnsiTheme="minorHAnsi" w:cstheme="minorBidi"/>
          <w:szCs w:val="20"/>
          <w:lang w:val="en-GB"/>
        </w:rPr>
      </w:pPr>
      <w:r w:rsidRPr="003B6A69">
        <w:rPr>
          <w:rFonts w:asciiTheme="minorHAnsi" w:eastAsiaTheme="minorHAnsi" w:hAnsiTheme="minorHAnsi" w:cstheme="minorBidi"/>
          <w:szCs w:val="20"/>
          <w:lang w:val="en-GB"/>
        </w:rPr>
        <w:t xml:space="preserve">If the trends of unplanned, ad-hoc development projects and activities continue, and </w:t>
      </w:r>
      <w:proofErr w:type="gramStart"/>
      <w:r w:rsidRPr="003B6A69">
        <w:rPr>
          <w:rFonts w:asciiTheme="minorHAnsi" w:eastAsiaTheme="minorHAnsi" w:hAnsiTheme="minorHAnsi" w:cstheme="minorBidi"/>
          <w:szCs w:val="20"/>
          <w:lang w:val="en-GB"/>
        </w:rPr>
        <w:t>local residents</w:t>
      </w:r>
      <w:proofErr w:type="gramEnd"/>
      <w:r w:rsidRPr="003B6A69">
        <w:rPr>
          <w:rFonts w:asciiTheme="minorHAnsi" w:eastAsiaTheme="minorHAnsi" w:hAnsiTheme="minorHAnsi" w:cstheme="minorBidi"/>
          <w:szCs w:val="20"/>
          <w:lang w:val="en-GB"/>
        </w:rPr>
        <w:t xml:space="preserve"> remain opposed to regulating such activities, the conflict in this region risks endangering the ecological balance, further deteriorating the landscape values, and causing fragmentation of the ecosystem under protection, and subsequently endangering the important connectivity and corridor functions in the area and further afield. </w:t>
      </w:r>
    </w:p>
    <w:p w14:paraId="64A27C38" w14:textId="77777777" w:rsidR="008C4F26" w:rsidRPr="003B6A69" w:rsidRDefault="008C4F26" w:rsidP="00661293">
      <w:pPr>
        <w:spacing w:after="120"/>
        <w:rPr>
          <w:rFonts w:asciiTheme="minorHAnsi" w:eastAsiaTheme="minorHAnsi" w:hAnsiTheme="minorHAnsi" w:cstheme="minorBidi"/>
          <w:szCs w:val="20"/>
          <w:lang w:val="en-GB"/>
        </w:rPr>
      </w:pPr>
      <w:r w:rsidRPr="003B6A69">
        <w:rPr>
          <w:rFonts w:asciiTheme="minorHAnsi" w:eastAsiaTheme="minorHAnsi" w:hAnsiTheme="minorHAnsi" w:cstheme="minorBidi"/>
          <w:szCs w:val="20"/>
          <w:lang w:val="en-GB"/>
        </w:rPr>
        <w:lastRenderedPageBreak/>
        <w:t xml:space="preserve">Climatic data from </w:t>
      </w:r>
      <w:proofErr w:type="spellStart"/>
      <w:r w:rsidRPr="003B6A69">
        <w:rPr>
          <w:rFonts w:asciiTheme="minorHAnsi" w:eastAsiaTheme="minorHAnsi" w:hAnsiTheme="minorHAnsi" w:cstheme="minorBidi"/>
          <w:szCs w:val="20"/>
          <w:lang w:val="en-GB"/>
        </w:rPr>
        <w:t>Zabljak</w:t>
      </w:r>
      <w:proofErr w:type="spellEnd"/>
      <w:r w:rsidRPr="003B6A69">
        <w:rPr>
          <w:rFonts w:asciiTheme="minorHAnsi" w:eastAsiaTheme="minorHAnsi" w:hAnsiTheme="minorHAnsi" w:cstheme="minorBidi"/>
          <w:szCs w:val="20"/>
          <w:lang w:val="en-GB"/>
        </w:rPr>
        <w:t xml:space="preserve"> since the 1950's show that, since 1990, there is a higher variability in climate in relation to the norm, as well a positive departure trend from it, indicating that climate change is taking place. Glacier </w:t>
      </w:r>
      <w:proofErr w:type="spellStart"/>
      <w:r w:rsidRPr="003B6A69">
        <w:rPr>
          <w:rFonts w:asciiTheme="minorHAnsi" w:eastAsiaTheme="minorHAnsi" w:hAnsiTheme="minorHAnsi" w:cstheme="minorBidi"/>
          <w:szCs w:val="20"/>
          <w:lang w:val="en-GB"/>
        </w:rPr>
        <w:t>Debeli</w:t>
      </w:r>
      <w:proofErr w:type="spellEnd"/>
      <w:r w:rsidRPr="003B6A69">
        <w:rPr>
          <w:rFonts w:asciiTheme="minorHAnsi" w:eastAsiaTheme="minorHAnsi" w:hAnsiTheme="minorHAnsi" w:cstheme="minorBidi"/>
          <w:szCs w:val="20"/>
          <w:lang w:val="en-GB"/>
        </w:rPr>
        <w:t xml:space="preserve"> </w:t>
      </w:r>
      <w:proofErr w:type="spellStart"/>
      <w:r w:rsidRPr="003B6A69">
        <w:rPr>
          <w:rFonts w:asciiTheme="minorHAnsi" w:eastAsiaTheme="minorHAnsi" w:hAnsiTheme="minorHAnsi" w:cstheme="minorBidi"/>
          <w:szCs w:val="20"/>
          <w:lang w:val="en-GB"/>
        </w:rPr>
        <w:t>Namet</w:t>
      </w:r>
      <w:proofErr w:type="spellEnd"/>
      <w:r w:rsidRPr="003B6A69">
        <w:rPr>
          <w:rFonts w:asciiTheme="minorHAnsi" w:eastAsiaTheme="minorHAnsi" w:hAnsiTheme="minorHAnsi" w:cstheme="minorBidi"/>
          <w:szCs w:val="20"/>
          <w:lang w:val="en-GB"/>
        </w:rPr>
        <w:t xml:space="preserve"> in the heart of </w:t>
      </w:r>
      <w:proofErr w:type="spellStart"/>
      <w:r w:rsidRPr="003B6A69">
        <w:rPr>
          <w:rFonts w:asciiTheme="minorHAnsi" w:eastAsiaTheme="minorHAnsi" w:hAnsiTheme="minorHAnsi" w:cstheme="minorBidi"/>
          <w:szCs w:val="20"/>
          <w:lang w:val="en-GB"/>
        </w:rPr>
        <w:t>Durmitor</w:t>
      </w:r>
      <w:proofErr w:type="spellEnd"/>
      <w:r w:rsidRPr="003B6A69">
        <w:rPr>
          <w:rFonts w:asciiTheme="minorHAnsi" w:eastAsiaTheme="minorHAnsi" w:hAnsiTheme="minorHAnsi" w:cstheme="minorBidi"/>
          <w:szCs w:val="20"/>
          <w:lang w:val="en-GB"/>
        </w:rPr>
        <w:t xml:space="preserve"> has been </w:t>
      </w:r>
      <w:proofErr w:type="gramStart"/>
      <w:r w:rsidRPr="003B6A69">
        <w:rPr>
          <w:rFonts w:asciiTheme="minorHAnsi" w:eastAsiaTheme="minorHAnsi" w:hAnsiTheme="minorHAnsi" w:cstheme="minorBidi"/>
          <w:szCs w:val="20"/>
          <w:lang w:val="en-GB"/>
        </w:rPr>
        <w:t>monitored, and</w:t>
      </w:r>
      <w:proofErr w:type="gramEnd"/>
      <w:r w:rsidRPr="003B6A69">
        <w:rPr>
          <w:rFonts w:asciiTheme="minorHAnsi" w:eastAsiaTheme="minorHAnsi" w:hAnsiTheme="minorHAnsi" w:cstheme="minorBidi"/>
          <w:szCs w:val="20"/>
          <w:lang w:val="en-GB"/>
        </w:rPr>
        <w:t xml:space="preserve"> is deemed a potentially threatened system. </w:t>
      </w:r>
    </w:p>
    <w:p w14:paraId="1649DCCF" w14:textId="77777777" w:rsidR="008C4F26" w:rsidRPr="003B6A69" w:rsidRDefault="008C4F26" w:rsidP="00661293">
      <w:pPr>
        <w:spacing w:after="120"/>
        <w:rPr>
          <w:rFonts w:asciiTheme="minorHAnsi" w:eastAsiaTheme="minorHAnsi" w:hAnsiTheme="minorHAnsi" w:cstheme="minorBidi"/>
          <w:szCs w:val="20"/>
          <w:lang w:val="en-GB"/>
        </w:rPr>
      </w:pPr>
      <w:proofErr w:type="spellStart"/>
      <w:r w:rsidRPr="003B6A69">
        <w:rPr>
          <w:rFonts w:asciiTheme="minorHAnsi" w:eastAsiaTheme="minorHAnsi" w:hAnsiTheme="minorHAnsi" w:cstheme="minorBidi"/>
          <w:b/>
          <w:i/>
          <w:szCs w:val="20"/>
          <w:lang w:val="en-GB"/>
        </w:rPr>
        <w:t>Biogradska</w:t>
      </w:r>
      <w:proofErr w:type="spellEnd"/>
      <w:r w:rsidRPr="003B6A69">
        <w:rPr>
          <w:rFonts w:asciiTheme="minorHAnsi" w:eastAsiaTheme="minorHAnsi" w:hAnsiTheme="minorHAnsi" w:cstheme="minorBidi"/>
          <w:b/>
          <w:i/>
          <w:szCs w:val="20"/>
          <w:lang w:val="en-GB"/>
        </w:rPr>
        <w:t xml:space="preserve"> woods</w:t>
      </w:r>
      <w:r w:rsidRPr="003B6A69">
        <w:rPr>
          <w:rFonts w:asciiTheme="minorHAnsi" w:eastAsiaTheme="minorHAnsi" w:hAnsiTheme="minorHAnsi" w:cstheme="minorBidi"/>
          <w:szCs w:val="20"/>
          <w:lang w:val="en-GB"/>
        </w:rPr>
        <w:t xml:space="preserve">. </w:t>
      </w:r>
      <w:proofErr w:type="spellStart"/>
      <w:r w:rsidRPr="003B6A69">
        <w:rPr>
          <w:rFonts w:asciiTheme="minorHAnsi" w:eastAsiaTheme="minorHAnsi" w:hAnsiTheme="minorHAnsi" w:cstheme="minorBidi"/>
          <w:szCs w:val="20"/>
          <w:lang w:val="en-GB"/>
        </w:rPr>
        <w:t>Biogradska</w:t>
      </w:r>
      <w:proofErr w:type="spellEnd"/>
      <w:r w:rsidRPr="003B6A69">
        <w:rPr>
          <w:rFonts w:asciiTheme="minorHAnsi" w:eastAsiaTheme="minorHAnsi" w:hAnsiTheme="minorHAnsi" w:cstheme="minorBidi"/>
          <w:szCs w:val="20"/>
          <w:lang w:val="en-GB"/>
        </w:rPr>
        <w:t xml:space="preserve"> Gora National Park suffers from tourism pressures and forest ecosystem disturbance, and the natural processes leading to the reduction of Lake </w:t>
      </w:r>
      <w:proofErr w:type="spellStart"/>
      <w:r w:rsidRPr="003B6A69">
        <w:rPr>
          <w:rFonts w:asciiTheme="minorHAnsi" w:eastAsiaTheme="minorHAnsi" w:hAnsiTheme="minorHAnsi" w:cstheme="minorBidi"/>
          <w:szCs w:val="20"/>
          <w:lang w:val="en-GB"/>
        </w:rPr>
        <w:t>Biogradsko</w:t>
      </w:r>
      <w:proofErr w:type="spellEnd"/>
      <w:r w:rsidRPr="003B6A69">
        <w:rPr>
          <w:rFonts w:asciiTheme="minorHAnsi" w:eastAsiaTheme="minorHAnsi" w:hAnsiTheme="minorHAnsi" w:cstheme="minorBidi"/>
          <w:szCs w:val="20"/>
          <w:lang w:val="en-GB"/>
        </w:rPr>
        <w:t xml:space="preserve">. Tourism pressure is primarily in the form of disturbance to the core ecosystem- the primeval beech forest around the </w:t>
      </w:r>
      <w:proofErr w:type="spellStart"/>
      <w:r w:rsidRPr="003B6A69">
        <w:rPr>
          <w:rFonts w:asciiTheme="minorHAnsi" w:eastAsiaTheme="minorHAnsi" w:hAnsiTheme="minorHAnsi" w:cstheme="minorBidi"/>
          <w:szCs w:val="20"/>
          <w:lang w:val="en-GB"/>
        </w:rPr>
        <w:t>Biogradsko</w:t>
      </w:r>
      <w:proofErr w:type="spellEnd"/>
      <w:r w:rsidRPr="003B6A69">
        <w:rPr>
          <w:rFonts w:asciiTheme="minorHAnsi" w:eastAsiaTheme="minorHAnsi" w:hAnsiTheme="minorHAnsi" w:cstheme="minorBidi"/>
          <w:szCs w:val="20"/>
          <w:lang w:val="en-GB"/>
        </w:rPr>
        <w:t xml:space="preserve"> Lake, as it is the main tourist attraction. The noise and vibrations and solid waste are introduced, changing animal movement patterns (</w:t>
      </w:r>
      <w:proofErr w:type="gramStart"/>
      <w:r w:rsidRPr="003B6A69">
        <w:rPr>
          <w:rFonts w:asciiTheme="minorHAnsi" w:eastAsiaTheme="minorHAnsi" w:hAnsiTheme="minorHAnsi" w:cstheme="minorBidi"/>
          <w:szCs w:val="20"/>
          <w:lang w:val="en-GB"/>
        </w:rPr>
        <w:t>e.g.</w:t>
      </w:r>
      <w:proofErr w:type="gramEnd"/>
      <w:r w:rsidRPr="003B6A69">
        <w:rPr>
          <w:rFonts w:asciiTheme="minorHAnsi" w:eastAsiaTheme="minorHAnsi" w:hAnsiTheme="minorHAnsi" w:cstheme="minorBidi"/>
          <w:szCs w:val="20"/>
          <w:lang w:val="en-GB"/>
        </w:rPr>
        <w:t xml:space="preserve"> there is a concentration of dormouse around the visitors' centre where they are being fed by visitors). Tourism infrastructure has also been popping around the area - mostly in the existing katuns. Although they are small scale and do not cause much habitat conversion, they do affect the landscape values and movement of visitors. There has also been an increase in all-terrain tours around mountain roads, which create noise and disturb cattle and life in katuns. Illegal logging takes place in the region as well, though not in the core zone of the primeval forest. </w:t>
      </w:r>
    </w:p>
    <w:p w14:paraId="2AA8B323" w14:textId="77777777" w:rsidR="008C4F26" w:rsidRPr="003B6A69" w:rsidRDefault="008C4F26" w:rsidP="00661293">
      <w:pPr>
        <w:spacing w:after="120"/>
        <w:rPr>
          <w:rFonts w:asciiTheme="minorHAnsi" w:eastAsiaTheme="minorHAnsi" w:hAnsiTheme="minorHAnsi" w:cstheme="minorBidi"/>
          <w:szCs w:val="20"/>
          <w:lang w:val="en-GB"/>
        </w:rPr>
      </w:pPr>
      <w:r w:rsidRPr="003B6A69">
        <w:rPr>
          <w:rFonts w:asciiTheme="minorHAnsi" w:eastAsiaTheme="minorHAnsi" w:hAnsiTheme="minorHAnsi" w:cstheme="minorBidi"/>
          <w:szCs w:val="20"/>
          <w:lang w:val="en-GB"/>
        </w:rPr>
        <w:t xml:space="preserve">Agriculture in and around the core zone is in the form of traditional upland pastoralism, which is considered beneficial for maintenance of upland grassland biodiversity. In the lowland areas, around the Tara River, there are areas with small scale mixed production of vegetables and fruits, which should be monitored for environmental impact considering the vulnerability of the Tara system. </w:t>
      </w:r>
    </w:p>
    <w:p w14:paraId="36FA669B" w14:textId="77777777" w:rsidR="008C4F26" w:rsidRPr="003B6A69" w:rsidRDefault="008C4F26" w:rsidP="00661293">
      <w:pPr>
        <w:spacing w:after="120"/>
        <w:rPr>
          <w:rFonts w:asciiTheme="minorHAnsi" w:eastAsiaTheme="minorHAnsi" w:hAnsiTheme="minorHAnsi" w:cstheme="minorBidi"/>
          <w:szCs w:val="20"/>
          <w:lang w:val="en-GB"/>
        </w:rPr>
      </w:pPr>
      <w:proofErr w:type="spellStart"/>
      <w:r w:rsidRPr="003B6A69">
        <w:rPr>
          <w:rFonts w:asciiTheme="minorHAnsi" w:eastAsiaTheme="minorHAnsi" w:hAnsiTheme="minorHAnsi" w:cstheme="minorBidi"/>
          <w:b/>
          <w:i/>
          <w:szCs w:val="20"/>
          <w:lang w:val="en-GB"/>
        </w:rPr>
        <w:t>Orjen</w:t>
      </w:r>
      <w:proofErr w:type="spellEnd"/>
      <w:r w:rsidRPr="003B6A69">
        <w:rPr>
          <w:rFonts w:asciiTheme="minorHAnsi" w:eastAsiaTheme="minorHAnsi" w:hAnsiTheme="minorHAnsi" w:cstheme="minorBidi"/>
          <w:szCs w:val="20"/>
          <w:lang w:val="en-GB"/>
        </w:rPr>
        <w:t xml:space="preserve">. This KBA is in the centre of the nature park and is also an Emerald network site. The typical limestone - karstic formations and beech and mountain pine </w:t>
      </w:r>
      <w:r w:rsidRPr="003B6A69">
        <w:rPr>
          <w:rFonts w:asciiTheme="minorHAnsi" w:eastAsiaTheme="minorHAnsi" w:hAnsiTheme="minorHAnsi" w:cstheme="minorBidi"/>
          <w:i/>
          <w:szCs w:val="20"/>
          <w:lang w:val="en-GB"/>
        </w:rPr>
        <w:t>(</w:t>
      </w:r>
      <w:r w:rsidRPr="003B6A69">
        <w:rPr>
          <w:rFonts w:asciiTheme="minorHAnsi" w:eastAsiaTheme="minorHAnsi" w:hAnsiTheme="minorHAnsi" w:cstheme="minorBidi"/>
          <w:bCs/>
          <w:i/>
          <w:szCs w:val="20"/>
          <w:lang w:val="en-GB"/>
        </w:rPr>
        <w:t xml:space="preserve">Pinus </w:t>
      </w:r>
      <w:proofErr w:type="spellStart"/>
      <w:r w:rsidRPr="003B6A69">
        <w:rPr>
          <w:rFonts w:asciiTheme="minorHAnsi" w:eastAsiaTheme="minorHAnsi" w:hAnsiTheme="minorHAnsi" w:cstheme="minorBidi"/>
          <w:bCs/>
          <w:i/>
          <w:szCs w:val="20"/>
          <w:lang w:val="en-GB"/>
        </w:rPr>
        <w:t>heldreichii</w:t>
      </w:r>
      <w:proofErr w:type="spellEnd"/>
      <w:r w:rsidRPr="003B6A69">
        <w:rPr>
          <w:rFonts w:asciiTheme="minorHAnsi" w:eastAsiaTheme="minorHAnsi" w:hAnsiTheme="minorHAnsi" w:cstheme="minorBidi"/>
          <w:i/>
          <w:szCs w:val="20"/>
          <w:lang w:val="en-GB"/>
        </w:rPr>
        <w:t>)</w:t>
      </w:r>
      <w:r w:rsidRPr="003B6A69">
        <w:rPr>
          <w:rFonts w:asciiTheme="minorHAnsi" w:eastAsiaTheme="minorHAnsi" w:hAnsiTheme="minorHAnsi" w:cstheme="minorBidi"/>
          <w:szCs w:val="20"/>
          <w:lang w:val="en-GB"/>
        </w:rPr>
        <w:t xml:space="preserve"> forests are characteristic of the area. Being part of the southern Mediterranean mountain range, together with Mt. </w:t>
      </w:r>
      <w:proofErr w:type="spellStart"/>
      <w:r w:rsidRPr="003B6A69">
        <w:rPr>
          <w:rFonts w:asciiTheme="minorHAnsi" w:eastAsiaTheme="minorHAnsi" w:hAnsiTheme="minorHAnsi" w:cstheme="minorBidi"/>
          <w:szCs w:val="20"/>
          <w:lang w:val="en-GB"/>
        </w:rPr>
        <w:t>Lovćen</w:t>
      </w:r>
      <w:proofErr w:type="spellEnd"/>
      <w:r w:rsidRPr="003B6A69">
        <w:rPr>
          <w:rFonts w:asciiTheme="minorHAnsi" w:eastAsiaTheme="minorHAnsi" w:hAnsiTheme="minorHAnsi" w:cstheme="minorBidi"/>
          <w:szCs w:val="20"/>
          <w:lang w:val="en-GB"/>
        </w:rPr>
        <w:t xml:space="preserve"> and Mt. </w:t>
      </w:r>
      <w:proofErr w:type="spellStart"/>
      <w:r w:rsidRPr="003B6A69">
        <w:rPr>
          <w:rFonts w:asciiTheme="minorHAnsi" w:eastAsiaTheme="minorHAnsi" w:hAnsiTheme="minorHAnsi" w:cstheme="minorBidi"/>
          <w:szCs w:val="20"/>
          <w:lang w:val="en-GB"/>
        </w:rPr>
        <w:t>Rumija</w:t>
      </w:r>
      <w:proofErr w:type="spellEnd"/>
      <w:r w:rsidRPr="003B6A69">
        <w:rPr>
          <w:rFonts w:asciiTheme="minorHAnsi" w:eastAsiaTheme="minorHAnsi" w:hAnsiTheme="minorHAnsi" w:cstheme="minorBidi"/>
          <w:szCs w:val="20"/>
          <w:lang w:val="en-GB"/>
        </w:rPr>
        <w:t xml:space="preserve">, Mt. </w:t>
      </w:r>
      <w:proofErr w:type="spellStart"/>
      <w:r w:rsidRPr="003B6A69">
        <w:rPr>
          <w:rFonts w:asciiTheme="minorHAnsi" w:eastAsiaTheme="minorHAnsi" w:hAnsiTheme="minorHAnsi" w:cstheme="minorBidi"/>
          <w:szCs w:val="20"/>
          <w:lang w:val="en-GB"/>
        </w:rPr>
        <w:t>Orjen</w:t>
      </w:r>
      <w:proofErr w:type="spellEnd"/>
      <w:r w:rsidRPr="003B6A69">
        <w:rPr>
          <w:rFonts w:asciiTheme="minorHAnsi" w:eastAsiaTheme="minorHAnsi" w:hAnsiTheme="minorHAnsi" w:cstheme="minorBidi"/>
          <w:szCs w:val="20"/>
          <w:lang w:val="en-GB"/>
        </w:rPr>
        <w:t xml:space="preserve"> is important for connectivity, karst protection, as well as a cross-border PA with Bosnia and Herzegovina. Threats to the forest habitats are mainly associated with forest fires.</w:t>
      </w:r>
    </w:p>
    <w:p w14:paraId="3F3F121D" w14:textId="77777777" w:rsidR="008C4F26" w:rsidRPr="003B6A69" w:rsidRDefault="008C4F26" w:rsidP="00661293">
      <w:pPr>
        <w:spacing w:after="120"/>
        <w:rPr>
          <w:rFonts w:asciiTheme="minorHAnsi" w:eastAsiaTheme="minorHAnsi" w:hAnsiTheme="minorHAnsi" w:cstheme="minorBidi"/>
          <w:szCs w:val="20"/>
          <w:lang w:val="en-GB"/>
        </w:rPr>
      </w:pPr>
      <w:r w:rsidRPr="003B6A69">
        <w:rPr>
          <w:rFonts w:asciiTheme="minorHAnsi" w:eastAsiaTheme="minorHAnsi" w:hAnsiTheme="minorHAnsi" w:cstheme="minorBidi"/>
          <w:szCs w:val="20"/>
          <w:lang w:val="en-GB"/>
        </w:rPr>
        <w:t xml:space="preserve">Main pressures in </w:t>
      </w:r>
      <w:proofErr w:type="spellStart"/>
      <w:r w:rsidRPr="003B6A69">
        <w:rPr>
          <w:rFonts w:asciiTheme="minorHAnsi" w:eastAsiaTheme="minorHAnsi" w:hAnsiTheme="minorHAnsi" w:cstheme="minorBidi"/>
          <w:szCs w:val="20"/>
          <w:lang w:val="en-GB"/>
        </w:rPr>
        <w:t>Orjen</w:t>
      </w:r>
      <w:proofErr w:type="spellEnd"/>
      <w:r w:rsidRPr="003B6A69">
        <w:rPr>
          <w:rFonts w:asciiTheme="minorHAnsi" w:eastAsiaTheme="minorHAnsi" w:hAnsiTheme="minorHAnsi" w:cstheme="minorBidi"/>
          <w:szCs w:val="20"/>
          <w:lang w:val="en-GB"/>
        </w:rPr>
        <w:t xml:space="preserve"> include the following: </w:t>
      </w:r>
    </w:p>
    <w:p w14:paraId="71A6B926" w14:textId="77777777" w:rsidR="008C4F26" w:rsidRPr="003B6A69" w:rsidRDefault="008C4F26" w:rsidP="00661293">
      <w:pPr>
        <w:spacing w:after="120"/>
        <w:rPr>
          <w:rFonts w:asciiTheme="minorHAnsi" w:eastAsiaTheme="minorHAnsi" w:hAnsiTheme="minorHAnsi" w:cstheme="minorBidi"/>
          <w:szCs w:val="20"/>
          <w:lang w:val="en-GB"/>
        </w:rPr>
      </w:pPr>
      <w:r w:rsidRPr="003B6A69">
        <w:rPr>
          <w:rFonts w:asciiTheme="minorHAnsi" w:eastAsiaTheme="minorHAnsi" w:hAnsiTheme="minorHAnsi" w:cstheme="minorBidi"/>
          <w:szCs w:val="20"/>
          <w:lang w:val="en-GB"/>
        </w:rPr>
        <w:t xml:space="preserve">- forest fires: being in the Mediterranean zone, this area is naturally prone to wildfires in the summer season. However, increases in population and visitation in the nearby areas and abandonment of traditional land use practices that maintained fire barriers are contributing to the increased frequently and severity of fires. Climate change scenarios also envisage an increase in drought periods in the region, which would further exacerbate forest fires. </w:t>
      </w:r>
    </w:p>
    <w:p w14:paraId="2419E61C" w14:textId="77777777" w:rsidR="008C4F26" w:rsidRPr="003B6A69" w:rsidRDefault="008C4F26" w:rsidP="00661293">
      <w:pPr>
        <w:spacing w:after="120"/>
        <w:rPr>
          <w:rFonts w:asciiTheme="minorHAnsi" w:eastAsiaTheme="minorHAnsi" w:hAnsiTheme="minorHAnsi" w:cstheme="minorBidi"/>
          <w:szCs w:val="20"/>
          <w:lang w:val="en-GB"/>
        </w:rPr>
      </w:pPr>
      <w:r w:rsidRPr="003B6A69">
        <w:rPr>
          <w:rFonts w:asciiTheme="minorHAnsi" w:eastAsiaTheme="minorHAnsi" w:hAnsiTheme="minorHAnsi" w:cstheme="minorBidi"/>
          <w:szCs w:val="20"/>
          <w:lang w:val="en-GB"/>
        </w:rPr>
        <w:t xml:space="preserve">- destruction and fragmentation of habitats:  construction of tourism facilities and holiday homes in lower regions of the area has caused the loss of habitats, while the remaining patches get further fragmented by the newly built road infrastructure. The latter is particularly affecting reptile species, as well as some invertebrates, whose dispersal routes have been disrupted and mortality increased due to roadkill. </w:t>
      </w:r>
    </w:p>
    <w:p w14:paraId="109D8B07" w14:textId="77777777" w:rsidR="008C4F26" w:rsidRPr="003B6A69" w:rsidRDefault="008C4F26" w:rsidP="00661293">
      <w:pPr>
        <w:spacing w:after="120"/>
        <w:rPr>
          <w:rFonts w:asciiTheme="minorHAnsi" w:eastAsiaTheme="minorHAnsi" w:hAnsiTheme="minorHAnsi" w:cstheme="minorBidi"/>
          <w:szCs w:val="20"/>
          <w:lang w:val="en-GB"/>
        </w:rPr>
      </w:pPr>
      <w:r w:rsidRPr="003B6A69">
        <w:rPr>
          <w:rFonts w:asciiTheme="minorHAnsi" w:eastAsiaTheme="minorHAnsi" w:hAnsiTheme="minorHAnsi" w:cstheme="minorBidi"/>
          <w:szCs w:val="20"/>
          <w:lang w:val="en-GB"/>
        </w:rPr>
        <w:t xml:space="preserve">- overexploitation:  particularly vulnerable are reptile species, which are being collected for scientific, research and collection purposes. Certain plant species are also being collected in an uncontrolled manner, causing population declines. </w:t>
      </w:r>
    </w:p>
    <w:p w14:paraId="0C80F61A" w14:textId="77777777" w:rsidR="008C4F26" w:rsidRPr="003B6A69" w:rsidRDefault="008C4F26" w:rsidP="00661293">
      <w:pPr>
        <w:spacing w:after="120"/>
        <w:rPr>
          <w:rFonts w:asciiTheme="minorHAnsi" w:eastAsiaTheme="minorHAnsi" w:hAnsiTheme="minorHAnsi" w:cstheme="minorBidi"/>
          <w:szCs w:val="20"/>
          <w:lang w:val="en-GB"/>
        </w:rPr>
      </w:pPr>
      <w:r w:rsidRPr="003B6A69">
        <w:rPr>
          <w:rFonts w:asciiTheme="minorHAnsi" w:eastAsiaTheme="minorHAnsi" w:hAnsiTheme="minorHAnsi" w:cstheme="minorBidi"/>
          <w:b/>
          <w:i/>
          <w:szCs w:val="20"/>
          <w:lang w:val="en-GB"/>
        </w:rPr>
        <w:t xml:space="preserve">Bojana Delta and </w:t>
      </w:r>
      <w:proofErr w:type="spellStart"/>
      <w:r w:rsidRPr="003B6A69">
        <w:rPr>
          <w:rFonts w:asciiTheme="minorHAnsi" w:eastAsiaTheme="minorHAnsi" w:hAnsiTheme="minorHAnsi" w:cstheme="minorBidi"/>
          <w:b/>
          <w:i/>
          <w:szCs w:val="20"/>
          <w:lang w:val="en-GB"/>
        </w:rPr>
        <w:t>Šasko</w:t>
      </w:r>
      <w:proofErr w:type="spellEnd"/>
      <w:r w:rsidRPr="003B6A69">
        <w:rPr>
          <w:rFonts w:asciiTheme="minorHAnsi" w:eastAsiaTheme="minorHAnsi" w:hAnsiTheme="minorHAnsi" w:cstheme="minorBidi"/>
          <w:b/>
          <w:i/>
          <w:szCs w:val="20"/>
          <w:lang w:val="en-GB"/>
        </w:rPr>
        <w:t xml:space="preserve"> Lake. </w:t>
      </w:r>
      <w:r w:rsidRPr="003B6A69">
        <w:rPr>
          <w:rFonts w:asciiTheme="minorHAnsi" w:eastAsiaTheme="minorHAnsi" w:hAnsiTheme="minorHAnsi" w:cstheme="minorBidi"/>
          <w:szCs w:val="20"/>
          <w:lang w:val="en-GB"/>
        </w:rPr>
        <w:t xml:space="preserve">The area of Ulcinj municipality has seen a surge in the construction of tourist facilities in recent years. The great attractiveness of the seashore, northeast of the town, causes uncontrolled residential and tourist construction and activity in that area, creating conflict with the priority requirements of the environment. The most affected area is the hinterland of the Ulcinj Velika Plaza (Long Beach) and the banks of the Bojana River at its confluence. Scenarios for the development in the area include construction of </w:t>
      </w:r>
      <w:proofErr w:type="gramStart"/>
      <w:r w:rsidRPr="003B6A69">
        <w:rPr>
          <w:rFonts w:asciiTheme="minorHAnsi" w:eastAsiaTheme="minorHAnsi" w:hAnsiTheme="minorHAnsi" w:cstheme="minorBidi"/>
          <w:szCs w:val="20"/>
          <w:lang w:val="en-GB"/>
        </w:rPr>
        <w:t>large scale</w:t>
      </w:r>
      <w:proofErr w:type="gramEnd"/>
      <w:r w:rsidRPr="003B6A69">
        <w:rPr>
          <w:rFonts w:asciiTheme="minorHAnsi" w:eastAsiaTheme="minorHAnsi" w:hAnsiTheme="minorHAnsi" w:cstheme="minorBidi"/>
          <w:szCs w:val="20"/>
          <w:lang w:val="en-GB"/>
        </w:rPr>
        <w:t xml:space="preserve"> tourist facilities, marina, airport, sea fishing with mariculture and salt production and intensification of agricultural production, especially in the vicinity of </w:t>
      </w:r>
      <w:proofErr w:type="spellStart"/>
      <w:r w:rsidRPr="003B6A69">
        <w:rPr>
          <w:rFonts w:asciiTheme="minorHAnsi" w:eastAsiaTheme="minorHAnsi" w:hAnsiTheme="minorHAnsi" w:cstheme="minorBidi"/>
          <w:szCs w:val="20"/>
          <w:lang w:val="en-GB"/>
        </w:rPr>
        <w:t>Šasko</w:t>
      </w:r>
      <w:proofErr w:type="spellEnd"/>
      <w:r w:rsidRPr="003B6A69">
        <w:rPr>
          <w:rFonts w:asciiTheme="minorHAnsi" w:eastAsiaTheme="minorHAnsi" w:hAnsiTheme="minorHAnsi" w:cstheme="minorBidi"/>
          <w:szCs w:val="20"/>
          <w:lang w:val="en-GB"/>
        </w:rPr>
        <w:t xml:space="preserve"> Lake. The most threatened habitats on the coast are the dunes on the Velika Plaza (unique halophyte vegetation) and the remaining fragments of the </w:t>
      </w:r>
      <w:proofErr w:type="spellStart"/>
      <w:r w:rsidRPr="003B6A69">
        <w:rPr>
          <w:rFonts w:asciiTheme="minorHAnsi" w:eastAsiaTheme="minorHAnsi" w:hAnsiTheme="minorHAnsi" w:cstheme="minorBidi"/>
          <w:szCs w:val="20"/>
          <w:lang w:val="en-GB"/>
        </w:rPr>
        <w:t>Skadar</w:t>
      </w:r>
      <w:proofErr w:type="spellEnd"/>
      <w:r w:rsidRPr="003B6A69">
        <w:rPr>
          <w:rFonts w:asciiTheme="minorHAnsi" w:eastAsiaTheme="minorHAnsi" w:hAnsiTheme="minorHAnsi" w:cstheme="minorBidi"/>
          <w:szCs w:val="20"/>
          <w:lang w:val="en-GB"/>
        </w:rPr>
        <w:t xml:space="preserve"> Oak (</w:t>
      </w:r>
      <w:r w:rsidRPr="003B6A69">
        <w:rPr>
          <w:rFonts w:asciiTheme="minorHAnsi" w:eastAsiaTheme="minorHAnsi" w:hAnsiTheme="minorHAnsi" w:cstheme="minorBidi"/>
          <w:i/>
          <w:szCs w:val="20"/>
          <w:lang w:val="en-GB"/>
        </w:rPr>
        <w:t xml:space="preserve">Quercus </w:t>
      </w:r>
      <w:proofErr w:type="spellStart"/>
      <w:r w:rsidRPr="003B6A69">
        <w:rPr>
          <w:rFonts w:asciiTheme="minorHAnsi" w:eastAsiaTheme="minorHAnsi" w:hAnsiTheme="minorHAnsi" w:cstheme="minorBidi"/>
          <w:i/>
          <w:szCs w:val="20"/>
          <w:lang w:val="en-GB"/>
        </w:rPr>
        <w:t>robur</w:t>
      </w:r>
      <w:proofErr w:type="spellEnd"/>
      <w:r w:rsidRPr="003B6A69">
        <w:rPr>
          <w:rFonts w:asciiTheme="minorHAnsi" w:eastAsiaTheme="minorHAnsi" w:hAnsiTheme="minorHAnsi" w:cstheme="minorBidi"/>
          <w:i/>
          <w:szCs w:val="20"/>
          <w:lang w:val="en-GB"/>
        </w:rPr>
        <w:t xml:space="preserve"> </w:t>
      </w:r>
      <w:proofErr w:type="spellStart"/>
      <w:r w:rsidRPr="003B6A69">
        <w:rPr>
          <w:rFonts w:asciiTheme="minorHAnsi" w:eastAsiaTheme="minorHAnsi" w:hAnsiTheme="minorHAnsi" w:cstheme="minorBidi"/>
          <w:i/>
          <w:szCs w:val="20"/>
          <w:lang w:val="en-GB"/>
        </w:rPr>
        <w:t>scutariensis</w:t>
      </w:r>
      <w:proofErr w:type="spellEnd"/>
      <w:r w:rsidRPr="003B6A69">
        <w:rPr>
          <w:rFonts w:asciiTheme="minorHAnsi" w:eastAsiaTheme="minorHAnsi" w:hAnsiTheme="minorHAnsi" w:cstheme="minorBidi"/>
          <w:szCs w:val="20"/>
          <w:lang w:val="en-GB"/>
        </w:rPr>
        <w:t xml:space="preserve">) forest at </w:t>
      </w:r>
      <w:proofErr w:type="spellStart"/>
      <w:r w:rsidRPr="003B6A69">
        <w:rPr>
          <w:rFonts w:asciiTheme="minorHAnsi" w:eastAsiaTheme="minorHAnsi" w:hAnsiTheme="minorHAnsi" w:cstheme="minorBidi"/>
          <w:szCs w:val="20"/>
          <w:lang w:val="en-GB"/>
        </w:rPr>
        <w:t>Štoj</w:t>
      </w:r>
      <w:proofErr w:type="spellEnd"/>
      <w:r w:rsidRPr="003B6A69">
        <w:rPr>
          <w:rFonts w:asciiTheme="minorHAnsi" w:eastAsiaTheme="minorHAnsi" w:hAnsiTheme="minorHAnsi" w:cstheme="minorBidi"/>
          <w:szCs w:val="20"/>
          <w:lang w:val="en-GB"/>
        </w:rPr>
        <w:t xml:space="preserve">, behind the Velika Plaza and Ulcinj. Bird fauna at these localities is endangered by hunting, too. </w:t>
      </w:r>
    </w:p>
    <w:p w14:paraId="4A6DED1B" w14:textId="77777777" w:rsidR="008C4F26" w:rsidRPr="003B6A69" w:rsidRDefault="008C4F26" w:rsidP="00661293">
      <w:pPr>
        <w:spacing w:after="120"/>
        <w:rPr>
          <w:rFonts w:asciiTheme="minorHAnsi" w:eastAsiaTheme="minorHAnsi" w:hAnsiTheme="minorHAnsi" w:cstheme="minorBidi"/>
          <w:szCs w:val="20"/>
          <w:lang w:val="en-GB"/>
        </w:rPr>
      </w:pPr>
      <w:r w:rsidRPr="003B6A69">
        <w:rPr>
          <w:rFonts w:asciiTheme="minorHAnsi" w:eastAsiaTheme="minorHAnsi" w:hAnsiTheme="minorHAnsi" w:cstheme="minorBidi"/>
          <w:szCs w:val="20"/>
          <w:lang w:val="en-GB"/>
        </w:rPr>
        <w:t xml:space="preserve">The importance of this area's is not only due to the presence of rare, endemic, endangered natural habitats and species, but also in the fact that they play a role in mitigation of floods, to which the area is prone due to the specific hydrologic regime, sea insurgence and extreme weather events whose frequency is expected to increase because of climate change. </w:t>
      </w:r>
    </w:p>
    <w:p w14:paraId="762DFE58" w14:textId="77777777" w:rsidR="008C4F26" w:rsidRPr="003B6A69" w:rsidRDefault="008C4F26" w:rsidP="00661293">
      <w:pPr>
        <w:spacing w:after="120"/>
        <w:rPr>
          <w:rFonts w:asciiTheme="minorHAnsi" w:eastAsiaTheme="minorHAnsi" w:hAnsiTheme="minorHAnsi" w:cstheme="minorBidi"/>
          <w:szCs w:val="20"/>
          <w:lang w:val="en-GB"/>
        </w:rPr>
      </w:pPr>
      <w:r w:rsidRPr="003B6A69">
        <w:rPr>
          <w:rFonts w:eastAsiaTheme="minorHAnsi" w:cstheme="minorBidi"/>
          <w:b/>
          <w:i/>
          <w:szCs w:val="20"/>
          <w:lang w:val="en-GB"/>
        </w:rPr>
        <w:t xml:space="preserve">Lake </w:t>
      </w:r>
      <w:proofErr w:type="spellStart"/>
      <w:r w:rsidRPr="003B6A69">
        <w:rPr>
          <w:rFonts w:asciiTheme="minorHAnsi" w:eastAsiaTheme="minorHAnsi" w:hAnsiTheme="minorHAnsi" w:cstheme="minorBidi"/>
          <w:b/>
          <w:i/>
          <w:szCs w:val="20"/>
          <w:lang w:val="en-GB"/>
        </w:rPr>
        <w:t>Skadar</w:t>
      </w:r>
      <w:proofErr w:type="spellEnd"/>
      <w:r w:rsidRPr="003B6A69">
        <w:rPr>
          <w:rFonts w:asciiTheme="minorHAnsi" w:eastAsiaTheme="minorHAnsi" w:hAnsiTheme="minorHAnsi" w:cstheme="minorBidi"/>
          <w:szCs w:val="20"/>
          <w:lang w:val="en-GB"/>
        </w:rPr>
        <w:t xml:space="preserve">. The main threats to </w:t>
      </w:r>
      <w:proofErr w:type="spellStart"/>
      <w:r w:rsidRPr="003B6A69">
        <w:rPr>
          <w:rFonts w:asciiTheme="minorHAnsi" w:eastAsiaTheme="minorHAnsi" w:hAnsiTheme="minorHAnsi" w:cstheme="minorBidi"/>
          <w:szCs w:val="20"/>
          <w:lang w:val="en-GB"/>
        </w:rPr>
        <w:t>Skadar</w:t>
      </w:r>
      <w:proofErr w:type="spellEnd"/>
      <w:r w:rsidRPr="003B6A69">
        <w:rPr>
          <w:rFonts w:asciiTheme="minorHAnsi" w:eastAsiaTheme="minorHAnsi" w:hAnsiTheme="minorHAnsi" w:cstheme="minorBidi"/>
          <w:szCs w:val="20"/>
          <w:lang w:val="en-GB"/>
        </w:rPr>
        <w:t xml:space="preserve"> Lake ecosystems include: </w:t>
      </w:r>
    </w:p>
    <w:p w14:paraId="5D83787E" w14:textId="77777777" w:rsidR="008C4F26" w:rsidRPr="003B6A69" w:rsidRDefault="008C4F26" w:rsidP="003C6B7B">
      <w:pPr>
        <w:numPr>
          <w:ilvl w:val="0"/>
          <w:numId w:val="23"/>
        </w:numPr>
        <w:spacing w:after="120"/>
        <w:ind w:left="0" w:firstLine="0"/>
        <w:jc w:val="left"/>
        <w:rPr>
          <w:rFonts w:asciiTheme="minorHAnsi" w:eastAsiaTheme="minorHAnsi" w:hAnsiTheme="minorHAnsi" w:cstheme="minorBidi"/>
          <w:szCs w:val="20"/>
          <w:lang w:val="en-GB"/>
        </w:rPr>
      </w:pPr>
      <w:r w:rsidRPr="003B6A69">
        <w:rPr>
          <w:rFonts w:asciiTheme="minorHAnsi" w:eastAsiaTheme="minorHAnsi" w:hAnsiTheme="minorHAnsi" w:cstheme="minorBidi"/>
          <w:szCs w:val="20"/>
          <w:lang w:val="en-GB"/>
        </w:rPr>
        <w:t xml:space="preserve">The nutrient inputs from the untreated wastewaters from the urban centres along the main tributaries of </w:t>
      </w:r>
      <w:proofErr w:type="spellStart"/>
      <w:r w:rsidRPr="003B6A69">
        <w:rPr>
          <w:rFonts w:asciiTheme="minorHAnsi" w:eastAsiaTheme="minorHAnsi" w:hAnsiTheme="minorHAnsi" w:cstheme="minorBidi"/>
          <w:szCs w:val="20"/>
          <w:lang w:val="en-GB"/>
        </w:rPr>
        <w:t>Skadar</w:t>
      </w:r>
      <w:proofErr w:type="spellEnd"/>
      <w:r w:rsidRPr="003B6A69">
        <w:rPr>
          <w:rFonts w:asciiTheme="minorHAnsi" w:eastAsiaTheme="minorHAnsi" w:hAnsiTheme="minorHAnsi" w:cstheme="minorBidi"/>
          <w:szCs w:val="20"/>
          <w:lang w:val="en-GB"/>
        </w:rPr>
        <w:t xml:space="preserve"> Lake (</w:t>
      </w:r>
      <w:proofErr w:type="spellStart"/>
      <w:r w:rsidRPr="003B6A69">
        <w:rPr>
          <w:rFonts w:asciiTheme="minorHAnsi" w:eastAsiaTheme="minorHAnsi" w:hAnsiTheme="minorHAnsi" w:cstheme="minorBidi"/>
          <w:szCs w:val="20"/>
          <w:lang w:val="en-GB"/>
        </w:rPr>
        <w:t>Moraca</w:t>
      </w:r>
      <w:proofErr w:type="spellEnd"/>
      <w:r w:rsidRPr="003B6A69">
        <w:rPr>
          <w:rFonts w:asciiTheme="minorHAnsi" w:eastAsiaTheme="minorHAnsi" w:hAnsiTheme="minorHAnsi" w:cstheme="minorBidi"/>
          <w:szCs w:val="20"/>
          <w:lang w:val="en-GB"/>
        </w:rPr>
        <w:t xml:space="preserve"> and Zeta rivers, bringing loads from Podgorica, </w:t>
      </w:r>
      <w:proofErr w:type="spellStart"/>
      <w:r w:rsidRPr="003B6A69">
        <w:rPr>
          <w:rFonts w:asciiTheme="minorHAnsi" w:eastAsiaTheme="minorHAnsi" w:hAnsiTheme="minorHAnsi" w:cstheme="minorBidi"/>
          <w:szCs w:val="20"/>
          <w:lang w:val="en-GB"/>
        </w:rPr>
        <w:t>Danilovgrad</w:t>
      </w:r>
      <w:proofErr w:type="spellEnd"/>
      <w:r w:rsidRPr="003B6A69">
        <w:rPr>
          <w:rFonts w:asciiTheme="minorHAnsi" w:eastAsiaTheme="minorHAnsi" w:hAnsiTheme="minorHAnsi" w:cstheme="minorBidi"/>
          <w:szCs w:val="20"/>
          <w:lang w:val="en-GB"/>
        </w:rPr>
        <w:t xml:space="preserve">).  Annually, around 69 million tons of wastewaters flow into the Lake, which represent about 3.45% of its total volume at a water level of 5.25 meters above sea level. </w:t>
      </w:r>
    </w:p>
    <w:p w14:paraId="17B263CD" w14:textId="77777777" w:rsidR="008C4F26" w:rsidRPr="003B6A69" w:rsidRDefault="008C4F26" w:rsidP="003C6B7B">
      <w:pPr>
        <w:numPr>
          <w:ilvl w:val="0"/>
          <w:numId w:val="23"/>
        </w:numPr>
        <w:spacing w:after="120"/>
        <w:ind w:left="0" w:firstLine="0"/>
        <w:jc w:val="left"/>
        <w:rPr>
          <w:rFonts w:asciiTheme="minorHAnsi" w:eastAsiaTheme="minorHAnsi" w:hAnsiTheme="minorHAnsi" w:cstheme="minorBidi"/>
          <w:szCs w:val="20"/>
          <w:lang w:val="en-GB"/>
        </w:rPr>
      </w:pPr>
      <w:r w:rsidRPr="003B6A69">
        <w:rPr>
          <w:rFonts w:asciiTheme="minorHAnsi" w:eastAsiaTheme="minorHAnsi" w:hAnsiTheme="minorHAnsi" w:cstheme="minorBidi"/>
          <w:szCs w:val="20"/>
          <w:lang w:val="en-GB"/>
        </w:rPr>
        <w:lastRenderedPageBreak/>
        <w:t xml:space="preserve">Pressures from agriculture: within the national park, agricultural activity is mostly present along the south shores of the Lake - in Krajina, </w:t>
      </w:r>
      <w:proofErr w:type="spellStart"/>
      <w:r w:rsidRPr="003B6A69">
        <w:rPr>
          <w:rFonts w:asciiTheme="minorHAnsi" w:eastAsiaTheme="minorHAnsi" w:hAnsiTheme="minorHAnsi" w:cstheme="minorBidi"/>
          <w:szCs w:val="20"/>
          <w:lang w:val="en-GB"/>
        </w:rPr>
        <w:t>Crmnica</w:t>
      </w:r>
      <w:proofErr w:type="spellEnd"/>
      <w:r w:rsidRPr="003B6A69">
        <w:rPr>
          <w:rFonts w:asciiTheme="minorHAnsi" w:eastAsiaTheme="minorHAnsi" w:hAnsiTheme="minorHAnsi" w:cstheme="minorBidi"/>
          <w:szCs w:val="20"/>
          <w:lang w:val="en-GB"/>
        </w:rPr>
        <w:t xml:space="preserve"> and </w:t>
      </w:r>
      <w:proofErr w:type="spellStart"/>
      <w:r w:rsidRPr="003B6A69">
        <w:rPr>
          <w:rFonts w:asciiTheme="minorHAnsi" w:eastAsiaTheme="minorHAnsi" w:hAnsiTheme="minorHAnsi" w:cstheme="minorBidi"/>
          <w:szCs w:val="20"/>
          <w:lang w:val="en-GB"/>
        </w:rPr>
        <w:t>Rijecka</w:t>
      </w:r>
      <w:proofErr w:type="spellEnd"/>
      <w:r w:rsidRPr="003B6A69">
        <w:rPr>
          <w:rFonts w:asciiTheme="minorHAnsi" w:eastAsiaTheme="minorHAnsi" w:hAnsiTheme="minorHAnsi" w:cstheme="minorBidi"/>
          <w:szCs w:val="20"/>
          <w:lang w:val="en-GB"/>
        </w:rPr>
        <w:t xml:space="preserve"> </w:t>
      </w:r>
      <w:proofErr w:type="spellStart"/>
      <w:r w:rsidRPr="003B6A69">
        <w:rPr>
          <w:rFonts w:asciiTheme="minorHAnsi" w:eastAsiaTheme="minorHAnsi" w:hAnsiTheme="minorHAnsi" w:cstheme="minorBidi"/>
          <w:szCs w:val="20"/>
          <w:lang w:val="en-GB"/>
        </w:rPr>
        <w:t>Nahija</w:t>
      </w:r>
      <w:proofErr w:type="spellEnd"/>
      <w:r w:rsidRPr="003B6A69">
        <w:rPr>
          <w:rFonts w:asciiTheme="minorHAnsi" w:eastAsiaTheme="minorHAnsi" w:hAnsiTheme="minorHAnsi" w:cstheme="minorBidi"/>
          <w:szCs w:val="20"/>
          <w:lang w:val="en-GB"/>
        </w:rPr>
        <w:t xml:space="preserve"> regions. Agricultural activity there is characterised by mixed production of fruits and vegetables on small, </w:t>
      </w:r>
      <w:proofErr w:type="gramStart"/>
      <w:r w:rsidRPr="003B6A69">
        <w:rPr>
          <w:rFonts w:asciiTheme="minorHAnsi" w:eastAsiaTheme="minorHAnsi" w:hAnsiTheme="minorHAnsi" w:cstheme="minorBidi"/>
          <w:szCs w:val="20"/>
          <w:lang w:val="en-GB"/>
        </w:rPr>
        <w:t>family owned</w:t>
      </w:r>
      <w:proofErr w:type="gramEnd"/>
      <w:r w:rsidRPr="003B6A69">
        <w:rPr>
          <w:rFonts w:asciiTheme="minorHAnsi" w:eastAsiaTheme="minorHAnsi" w:hAnsiTheme="minorHAnsi" w:cstheme="minorBidi"/>
          <w:szCs w:val="20"/>
          <w:lang w:val="en-GB"/>
        </w:rPr>
        <w:t xml:space="preserve"> plots on terraces. Most of it is for subsistence and for sale on local markets. For more than a half of the population this is not the main or only source of income. Food production from this region has an added value due to the traditional production modes and gastronomic </w:t>
      </w:r>
      <w:proofErr w:type="gramStart"/>
      <w:r w:rsidRPr="003B6A69">
        <w:rPr>
          <w:rFonts w:asciiTheme="minorHAnsi" w:eastAsiaTheme="minorHAnsi" w:hAnsiTheme="minorHAnsi" w:cstheme="minorBidi"/>
          <w:szCs w:val="20"/>
          <w:lang w:val="en-GB"/>
        </w:rPr>
        <w:t>preferences, and</w:t>
      </w:r>
      <w:proofErr w:type="gramEnd"/>
      <w:r w:rsidRPr="003B6A69">
        <w:rPr>
          <w:rFonts w:asciiTheme="minorHAnsi" w:eastAsiaTheme="minorHAnsi" w:hAnsiTheme="minorHAnsi" w:cstheme="minorBidi"/>
          <w:szCs w:val="20"/>
          <w:lang w:val="en-GB"/>
        </w:rPr>
        <w:t xml:space="preserve"> is also sold through tourism markets. The main impacts from this type of agriculture comes from the establishment of new </w:t>
      </w:r>
      <w:proofErr w:type="gramStart"/>
      <w:r w:rsidRPr="003B6A69">
        <w:rPr>
          <w:rFonts w:asciiTheme="minorHAnsi" w:eastAsiaTheme="minorHAnsi" w:hAnsiTheme="minorHAnsi" w:cstheme="minorBidi"/>
          <w:szCs w:val="20"/>
          <w:lang w:val="en-GB"/>
        </w:rPr>
        <w:t>parcels, when</w:t>
      </w:r>
      <w:proofErr w:type="gramEnd"/>
      <w:r w:rsidRPr="003B6A69">
        <w:rPr>
          <w:rFonts w:asciiTheme="minorHAnsi" w:eastAsiaTheme="minorHAnsi" w:hAnsiTheme="minorHAnsi" w:cstheme="minorBidi"/>
          <w:szCs w:val="20"/>
          <w:lang w:val="en-GB"/>
        </w:rPr>
        <w:t xml:space="preserve"> habitats get converted into agricultural land. In the recent years this has been primarily due to the expansion of vineyards as this subsector of agriculture has gained popularity. </w:t>
      </w:r>
    </w:p>
    <w:p w14:paraId="171F7488" w14:textId="77777777" w:rsidR="008C4F26" w:rsidRPr="003B6A69" w:rsidRDefault="008C4F26" w:rsidP="00661293">
      <w:pPr>
        <w:spacing w:after="120"/>
        <w:rPr>
          <w:rFonts w:asciiTheme="minorHAnsi" w:eastAsiaTheme="minorHAnsi" w:hAnsiTheme="minorHAnsi" w:cstheme="minorBidi"/>
          <w:szCs w:val="20"/>
          <w:lang w:val="en-GB"/>
        </w:rPr>
      </w:pPr>
      <w:r w:rsidRPr="003B6A69">
        <w:rPr>
          <w:rFonts w:asciiTheme="minorHAnsi" w:eastAsiaTheme="minorHAnsi" w:hAnsiTheme="minorHAnsi" w:cstheme="minorBidi"/>
          <w:szCs w:val="20"/>
          <w:lang w:val="en-GB"/>
        </w:rPr>
        <w:t xml:space="preserve">However, the main pressure from agriculture comes from outside the park borders - from Zeta and </w:t>
      </w:r>
      <w:proofErr w:type="spellStart"/>
      <w:r w:rsidRPr="003B6A69">
        <w:rPr>
          <w:rFonts w:asciiTheme="minorHAnsi" w:eastAsiaTheme="minorHAnsi" w:hAnsiTheme="minorHAnsi" w:cstheme="minorBidi"/>
          <w:szCs w:val="20"/>
          <w:lang w:val="en-GB"/>
        </w:rPr>
        <w:t>Bjelopavlici</w:t>
      </w:r>
      <w:proofErr w:type="spellEnd"/>
      <w:r w:rsidRPr="003B6A69">
        <w:rPr>
          <w:rFonts w:asciiTheme="minorHAnsi" w:eastAsiaTheme="minorHAnsi" w:hAnsiTheme="minorHAnsi" w:cstheme="minorBidi"/>
          <w:szCs w:val="20"/>
          <w:lang w:val="en-GB"/>
        </w:rPr>
        <w:t xml:space="preserve"> plains which constitute a large portion of the Lake's watershed. Zeta plain</w:t>
      </w:r>
      <w:proofErr w:type="gramStart"/>
      <w:r w:rsidRPr="003B6A69">
        <w:rPr>
          <w:rFonts w:asciiTheme="minorHAnsi" w:eastAsiaTheme="minorHAnsi" w:hAnsiTheme="minorHAnsi" w:cstheme="minorBidi"/>
          <w:szCs w:val="20"/>
          <w:lang w:val="en-GB"/>
        </w:rPr>
        <w:t>, in particular, is</w:t>
      </w:r>
      <w:proofErr w:type="gramEnd"/>
      <w:r w:rsidRPr="003B6A69">
        <w:rPr>
          <w:rFonts w:asciiTheme="minorHAnsi" w:eastAsiaTheme="minorHAnsi" w:hAnsiTheme="minorHAnsi" w:cstheme="minorBidi"/>
          <w:szCs w:val="20"/>
          <w:lang w:val="en-GB"/>
        </w:rPr>
        <w:t xml:space="preserve"> a region of intensive, commercial agriculture, and the main diffuse source of pollution. Around 9000ha are croplands, of which around 4000ha are vineyards and orchards of company AD </w:t>
      </w:r>
      <w:proofErr w:type="spellStart"/>
      <w:r w:rsidRPr="003B6A69">
        <w:rPr>
          <w:rFonts w:asciiTheme="minorHAnsi" w:eastAsiaTheme="minorHAnsi" w:hAnsiTheme="minorHAnsi" w:cstheme="minorBidi"/>
          <w:szCs w:val="20"/>
          <w:lang w:val="en-GB"/>
        </w:rPr>
        <w:t>Plantaze</w:t>
      </w:r>
      <w:proofErr w:type="spellEnd"/>
      <w:r w:rsidRPr="003B6A69">
        <w:rPr>
          <w:rFonts w:asciiTheme="minorHAnsi" w:eastAsiaTheme="minorHAnsi" w:hAnsiTheme="minorHAnsi" w:cstheme="minorBidi"/>
          <w:szCs w:val="20"/>
          <w:lang w:val="en-GB"/>
        </w:rPr>
        <w:t xml:space="preserve"> and the rest is on private land and under various cultures - predominantly fruits and vegetables (cabbage, tomato, melon, watermelon, strawberries). There are no data regarding fertiliser and pesticide use over the area. Some estimates indicate 2970t of fertiliser and 80t of pesticides per year, but the data on the actual loads and on the levels of runoff are lacking. Water quality monitoring data indicates eutrophication trends, especially on a seasonal level, but there is no clear discrimination between inputs from agriculture and those from untreated sewage, which is one of the major environmental problems of the Lake. </w:t>
      </w:r>
    </w:p>
    <w:p w14:paraId="463FE3F1" w14:textId="77777777" w:rsidR="008C4F26" w:rsidRPr="003B6A69" w:rsidRDefault="008C4F26" w:rsidP="00661293">
      <w:pPr>
        <w:spacing w:after="120"/>
        <w:rPr>
          <w:rFonts w:asciiTheme="minorHAnsi" w:eastAsiaTheme="minorHAnsi" w:hAnsiTheme="minorHAnsi" w:cstheme="minorBidi"/>
          <w:szCs w:val="20"/>
          <w:lang w:val="en-GB"/>
        </w:rPr>
      </w:pPr>
      <w:r w:rsidRPr="003B6A69">
        <w:rPr>
          <w:rFonts w:asciiTheme="minorHAnsi" w:eastAsiaTheme="minorHAnsi" w:hAnsiTheme="minorHAnsi" w:cstheme="minorBidi"/>
          <w:szCs w:val="20"/>
          <w:lang w:val="en-GB"/>
        </w:rPr>
        <w:t xml:space="preserve">- Overexploitation of bioresources: Commercial fishing on the Lake includes seine nets fisheries for </w:t>
      </w:r>
      <w:proofErr w:type="spellStart"/>
      <w:r w:rsidRPr="003B6A69">
        <w:rPr>
          <w:rFonts w:asciiTheme="minorHAnsi" w:eastAsiaTheme="minorHAnsi" w:hAnsiTheme="minorHAnsi" w:cstheme="minorBidi"/>
          <w:szCs w:val="20"/>
          <w:lang w:val="en-GB"/>
        </w:rPr>
        <w:t>Skadar</w:t>
      </w:r>
      <w:proofErr w:type="spellEnd"/>
      <w:r w:rsidRPr="003B6A69">
        <w:rPr>
          <w:rFonts w:asciiTheme="minorHAnsi" w:eastAsiaTheme="minorHAnsi" w:hAnsiTheme="minorHAnsi" w:cstheme="minorBidi"/>
          <w:szCs w:val="20"/>
          <w:lang w:val="en-GB"/>
        </w:rPr>
        <w:t xml:space="preserve"> Lake bleak usually carried out by a company that holds concession rights, and net fishing of </w:t>
      </w:r>
      <w:proofErr w:type="spellStart"/>
      <w:r w:rsidRPr="003B6A69">
        <w:rPr>
          <w:rFonts w:asciiTheme="minorHAnsi" w:eastAsiaTheme="minorHAnsi" w:hAnsiTheme="minorHAnsi" w:cstheme="minorBidi"/>
          <w:szCs w:val="20"/>
          <w:lang w:val="en-GB"/>
        </w:rPr>
        <w:t>Skadar</w:t>
      </w:r>
      <w:proofErr w:type="spellEnd"/>
      <w:r w:rsidRPr="003B6A69">
        <w:rPr>
          <w:rFonts w:asciiTheme="minorHAnsi" w:eastAsiaTheme="minorHAnsi" w:hAnsiTheme="minorHAnsi" w:cstheme="minorBidi"/>
          <w:szCs w:val="20"/>
          <w:lang w:val="en-GB"/>
        </w:rPr>
        <w:t xml:space="preserve"> carp by private fishermen who own a licence issued by the national park. However, the lack of fishery administration and adequate monitoring of the catch means the level and mode of exploitation of stocks is not based on the ecologic information about target species. Illegal fishing is a particular issue with numerous people engaging in some form of illegal fishing (mostly by using illegal equipment like electrofishing rods or not respecting the fishing ban during the spawning season). Different sources of evidence point out that these practices have significantly altered the composition of fish stocks and the level of commercial species' populations. </w:t>
      </w:r>
    </w:p>
    <w:p w14:paraId="1C1863AD" w14:textId="77777777" w:rsidR="008C4F26" w:rsidRPr="003B6A69" w:rsidRDefault="008C4F26" w:rsidP="00661293">
      <w:pPr>
        <w:spacing w:after="120"/>
        <w:rPr>
          <w:rFonts w:asciiTheme="minorHAnsi" w:eastAsiaTheme="minorHAnsi" w:hAnsiTheme="minorHAnsi" w:cstheme="minorBidi"/>
          <w:szCs w:val="20"/>
          <w:lang w:val="en-GB"/>
        </w:rPr>
      </w:pPr>
      <w:r w:rsidRPr="003B6A69">
        <w:rPr>
          <w:rFonts w:asciiTheme="minorHAnsi" w:eastAsiaTheme="minorHAnsi" w:hAnsiTheme="minorHAnsi" w:cstheme="minorBidi"/>
          <w:szCs w:val="20"/>
          <w:lang w:val="en-GB"/>
        </w:rPr>
        <w:t xml:space="preserve">- Poaching of wild birds:  although a total ban on bird hunting has been imposed for years, there are frequent occurrences of this activity. They are particularly targeted during waterfowl migrations, creating a lot of disturbance to the birds as well as other wildlife. This problem is also pronounced in the Ulcinj region - in Long Beach, Bojana Delta and Ulcinj Salina. </w:t>
      </w:r>
    </w:p>
    <w:p w14:paraId="6EB4B67E" w14:textId="77777777" w:rsidR="008C4F26" w:rsidRPr="003B6A69" w:rsidRDefault="008C4F26" w:rsidP="00661293">
      <w:pPr>
        <w:spacing w:after="120"/>
        <w:rPr>
          <w:rFonts w:asciiTheme="minorHAnsi" w:eastAsiaTheme="minorHAnsi" w:hAnsiTheme="minorHAnsi" w:cstheme="minorBidi"/>
          <w:szCs w:val="20"/>
          <w:lang w:val="en-GB"/>
        </w:rPr>
      </w:pPr>
      <w:r w:rsidRPr="003B6A69">
        <w:rPr>
          <w:rFonts w:asciiTheme="minorHAnsi" w:eastAsiaTheme="minorHAnsi" w:hAnsiTheme="minorHAnsi" w:cstheme="minorBidi"/>
          <w:szCs w:val="20"/>
          <w:lang w:val="en-GB"/>
        </w:rPr>
        <w:t xml:space="preserve">- Pressures from tourism: The region has seen an expansion in tourism in recent years. Consequently, numerous tourist facilities have been constructed in the region, often at the expense of natural habitats. Much of the construction is illegal, with no proper wastewater disposal, and are harming the </w:t>
      </w:r>
      <w:proofErr w:type="spellStart"/>
      <w:r w:rsidRPr="003B6A69">
        <w:rPr>
          <w:rFonts w:asciiTheme="minorHAnsi" w:eastAsiaTheme="minorHAnsi" w:hAnsiTheme="minorHAnsi" w:cstheme="minorBidi"/>
          <w:szCs w:val="20"/>
          <w:lang w:val="en-GB"/>
        </w:rPr>
        <w:t>ambiennce</w:t>
      </w:r>
      <w:proofErr w:type="spellEnd"/>
      <w:r w:rsidRPr="003B6A69">
        <w:rPr>
          <w:rFonts w:asciiTheme="minorHAnsi" w:eastAsiaTheme="minorHAnsi" w:hAnsiTheme="minorHAnsi" w:cstheme="minorBidi"/>
          <w:szCs w:val="20"/>
          <w:lang w:val="en-GB"/>
        </w:rPr>
        <w:t xml:space="preserve"> values of the region. There are plans for construction of a </w:t>
      </w:r>
      <w:proofErr w:type="gramStart"/>
      <w:r w:rsidRPr="003B6A69">
        <w:rPr>
          <w:rFonts w:asciiTheme="minorHAnsi" w:eastAsiaTheme="minorHAnsi" w:hAnsiTheme="minorHAnsi" w:cstheme="minorBidi"/>
          <w:szCs w:val="20"/>
          <w:lang w:val="en-GB"/>
        </w:rPr>
        <w:t>large scale</w:t>
      </w:r>
      <w:proofErr w:type="gramEnd"/>
      <w:r w:rsidRPr="003B6A69">
        <w:rPr>
          <w:rFonts w:asciiTheme="minorHAnsi" w:eastAsiaTheme="minorHAnsi" w:hAnsiTheme="minorHAnsi" w:cstheme="minorBidi"/>
          <w:szCs w:val="20"/>
          <w:lang w:val="en-GB"/>
        </w:rPr>
        <w:t xml:space="preserve"> tourist facility - Porto </w:t>
      </w:r>
      <w:proofErr w:type="spellStart"/>
      <w:r w:rsidRPr="003B6A69">
        <w:rPr>
          <w:rFonts w:asciiTheme="minorHAnsi" w:eastAsiaTheme="minorHAnsi" w:hAnsiTheme="minorHAnsi" w:cstheme="minorBidi"/>
          <w:szCs w:val="20"/>
          <w:lang w:val="en-GB"/>
        </w:rPr>
        <w:t>Skadar</w:t>
      </w:r>
      <w:proofErr w:type="spellEnd"/>
      <w:r w:rsidRPr="003B6A69">
        <w:rPr>
          <w:rFonts w:asciiTheme="minorHAnsi" w:eastAsiaTheme="minorHAnsi" w:hAnsiTheme="minorHAnsi" w:cstheme="minorBidi"/>
          <w:szCs w:val="20"/>
          <w:lang w:val="en-GB"/>
        </w:rPr>
        <w:t xml:space="preserve"> Lake on the </w:t>
      </w:r>
      <w:proofErr w:type="spellStart"/>
      <w:r w:rsidRPr="003B6A69">
        <w:rPr>
          <w:rFonts w:asciiTheme="minorHAnsi" w:eastAsiaTheme="minorHAnsi" w:hAnsiTheme="minorHAnsi" w:cstheme="minorBidi"/>
          <w:szCs w:val="20"/>
          <w:lang w:val="en-GB"/>
        </w:rPr>
        <w:t>Biski</w:t>
      </w:r>
      <w:proofErr w:type="spellEnd"/>
      <w:r w:rsidRPr="003B6A69">
        <w:rPr>
          <w:rFonts w:asciiTheme="minorHAnsi" w:eastAsiaTheme="minorHAnsi" w:hAnsiTheme="minorHAnsi" w:cstheme="minorBidi"/>
          <w:szCs w:val="20"/>
          <w:lang w:val="en-GB"/>
        </w:rPr>
        <w:t xml:space="preserve"> Rep Peninsula, which would include the marina for yachts, hotel and other infrastructure development that is expected have significant impacts on the terrestrial and aquatic habitats in the region.</w:t>
      </w:r>
    </w:p>
    <w:p w14:paraId="25C9E707" w14:textId="77777777" w:rsidR="008C4F26" w:rsidRPr="003B6A69" w:rsidRDefault="008C4F26" w:rsidP="00661293">
      <w:pPr>
        <w:spacing w:after="120"/>
        <w:rPr>
          <w:rFonts w:asciiTheme="minorHAnsi" w:eastAsiaTheme="minorHAnsi" w:hAnsiTheme="minorHAnsi" w:cstheme="minorBidi"/>
          <w:szCs w:val="20"/>
          <w:lang w:val="en-GB"/>
        </w:rPr>
      </w:pPr>
      <w:r w:rsidRPr="003B6A69">
        <w:rPr>
          <w:rFonts w:asciiTheme="minorHAnsi" w:eastAsiaTheme="minorHAnsi" w:hAnsiTheme="minorHAnsi" w:cstheme="minorBidi"/>
          <w:szCs w:val="20"/>
          <w:lang w:val="en-GB"/>
        </w:rPr>
        <w:t>- Increased visitation has also brought more disturbance to wild habitats. Promotion of hiking, biking, gastronomy, aquatic sports and boat tours has brought increased numbers of tourists into the remote and vulnerable habitats, where noise, vibrations, waste and pollution from boats can impact habitats and species (</w:t>
      </w:r>
      <w:proofErr w:type="gramStart"/>
      <w:r w:rsidRPr="003B6A69">
        <w:rPr>
          <w:rFonts w:asciiTheme="minorHAnsi" w:eastAsiaTheme="minorHAnsi" w:hAnsiTheme="minorHAnsi" w:cstheme="minorBidi"/>
          <w:szCs w:val="20"/>
          <w:lang w:val="en-GB"/>
        </w:rPr>
        <w:t>e.g.</w:t>
      </w:r>
      <w:proofErr w:type="gramEnd"/>
      <w:r w:rsidRPr="003B6A69">
        <w:rPr>
          <w:rFonts w:asciiTheme="minorHAnsi" w:eastAsiaTheme="minorHAnsi" w:hAnsiTheme="minorHAnsi" w:cstheme="minorBidi"/>
          <w:szCs w:val="20"/>
          <w:lang w:val="en-GB"/>
        </w:rPr>
        <w:t xml:space="preserve"> disturb mating, nesting, change movement patterns, etc.). </w:t>
      </w:r>
    </w:p>
    <w:p w14:paraId="0F5E1C51" w14:textId="77777777" w:rsidR="008C4F26" w:rsidRPr="003B6A69" w:rsidRDefault="008C4F26" w:rsidP="00661293">
      <w:pPr>
        <w:spacing w:after="120"/>
        <w:rPr>
          <w:rFonts w:asciiTheme="minorHAnsi" w:eastAsiaTheme="minorHAnsi" w:hAnsiTheme="minorHAnsi" w:cstheme="minorBidi"/>
          <w:szCs w:val="20"/>
          <w:lang w:val="en-GB"/>
        </w:rPr>
      </w:pPr>
      <w:proofErr w:type="spellStart"/>
      <w:r w:rsidRPr="003B6A69">
        <w:rPr>
          <w:rFonts w:asciiTheme="minorHAnsi" w:eastAsiaTheme="minorHAnsi" w:hAnsiTheme="minorHAnsi" w:cstheme="minorBidi"/>
          <w:b/>
          <w:i/>
          <w:szCs w:val="20"/>
          <w:lang w:val="en-GB"/>
        </w:rPr>
        <w:t>Ulcinjska</w:t>
      </w:r>
      <w:proofErr w:type="spellEnd"/>
      <w:r w:rsidRPr="003B6A69">
        <w:rPr>
          <w:rFonts w:asciiTheme="minorHAnsi" w:eastAsiaTheme="minorHAnsi" w:hAnsiTheme="minorHAnsi" w:cstheme="minorBidi"/>
          <w:b/>
          <w:i/>
          <w:szCs w:val="20"/>
          <w:lang w:val="en-GB"/>
        </w:rPr>
        <w:t xml:space="preserve"> Solana</w:t>
      </w:r>
      <w:r w:rsidRPr="003B6A69">
        <w:rPr>
          <w:rFonts w:asciiTheme="minorHAnsi" w:eastAsiaTheme="minorHAnsi" w:hAnsiTheme="minorHAnsi" w:cstheme="minorBidi"/>
          <w:szCs w:val="20"/>
          <w:lang w:val="en-GB"/>
        </w:rPr>
        <w:t xml:space="preserve">. </w:t>
      </w:r>
      <w:proofErr w:type="spellStart"/>
      <w:r w:rsidRPr="003B6A69">
        <w:rPr>
          <w:rFonts w:asciiTheme="minorHAnsi" w:eastAsiaTheme="minorHAnsi" w:hAnsiTheme="minorHAnsi" w:cstheme="minorBidi"/>
          <w:szCs w:val="20"/>
          <w:lang w:val="en-GB"/>
        </w:rPr>
        <w:t>Ulcinjska</w:t>
      </w:r>
      <w:proofErr w:type="spellEnd"/>
      <w:r w:rsidRPr="003B6A69">
        <w:rPr>
          <w:rFonts w:asciiTheme="minorHAnsi" w:eastAsiaTheme="minorHAnsi" w:hAnsiTheme="minorHAnsi" w:cstheme="minorBidi"/>
          <w:szCs w:val="20"/>
          <w:lang w:val="en-GB"/>
        </w:rPr>
        <w:t xml:space="preserve"> Salina is situated on the south-eastern coast of Adriatic Sea, which also represents the utmost southeast point of Montenegro. The salina is the largest of its kind in the Adriatic Sea and is located on the territory of Municipality of Ulcinj, near to the state border with Albania. It is, in wider sense, ecologically and geographically a part of the much larger (Bojana Delta and </w:t>
      </w:r>
      <w:proofErr w:type="spellStart"/>
      <w:r w:rsidRPr="003B6A69">
        <w:rPr>
          <w:rFonts w:asciiTheme="minorHAnsi" w:eastAsiaTheme="minorHAnsi" w:hAnsiTheme="minorHAnsi" w:cstheme="minorBidi"/>
          <w:szCs w:val="20"/>
          <w:lang w:val="en-GB"/>
        </w:rPr>
        <w:t>Skadar</w:t>
      </w:r>
      <w:proofErr w:type="spellEnd"/>
      <w:r w:rsidRPr="003B6A69">
        <w:rPr>
          <w:rFonts w:asciiTheme="minorHAnsi" w:eastAsiaTheme="minorHAnsi" w:hAnsiTheme="minorHAnsi" w:cstheme="minorBidi"/>
          <w:szCs w:val="20"/>
          <w:lang w:val="en-GB"/>
        </w:rPr>
        <w:t xml:space="preserve"> Lake wetland complex. Ulcinj Salina is situated at the site of a former lagoon and wetland placed in the delta of river Bojana, </w:t>
      </w:r>
      <w:proofErr w:type="spellStart"/>
      <w:r w:rsidRPr="003B6A69">
        <w:rPr>
          <w:rFonts w:asciiTheme="minorHAnsi" w:eastAsiaTheme="minorHAnsi" w:hAnsiTheme="minorHAnsi" w:cstheme="minorBidi"/>
          <w:szCs w:val="20"/>
          <w:lang w:val="en-GB"/>
        </w:rPr>
        <w:t>Zogajsko</w:t>
      </w:r>
      <w:proofErr w:type="spellEnd"/>
      <w:r w:rsidRPr="003B6A69">
        <w:rPr>
          <w:rFonts w:asciiTheme="minorHAnsi" w:eastAsiaTheme="minorHAnsi" w:hAnsiTheme="minorHAnsi" w:cstheme="minorBidi"/>
          <w:szCs w:val="20"/>
          <w:lang w:val="en-GB"/>
        </w:rPr>
        <w:t xml:space="preserve"> </w:t>
      </w:r>
      <w:proofErr w:type="spellStart"/>
      <w:r w:rsidRPr="003B6A69">
        <w:rPr>
          <w:rFonts w:asciiTheme="minorHAnsi" w:eastAsiaTheme="minorHAnsi" w:hAnsiTheme="minorHAnsi" w:cstheme="minorBidi"/>
          <w:szCs w:val="20"/>
          <w:lang w:val="en-GB"/>
        </w:rPr>
        <w:t>blato</w:t>
      </w:r>
      <w:proofErr w:type="spellEnd"/>
      <w:r w:rsidRPr="003B6A69">
        <w:rPr>
          <w:rFonts w:asciiTheme="minorHAnsi" w:eastAsiaTheme="minorHAnsi" w:hAnsiTheme="minorHAnsi" w:cstheme="minorBidi"/>
          <w:szCs w:val="20"/>
          <w:lang w:val="en-GB"/>
        </w:rPr>
        <w:t xml:space="preserve"> (</w:t>
      </w:r>
      <w:proofErr w:type="spellStart"/>
      <w:r w:rsidRPr="003B6A69">
        <w:rPr>
          <w:rFonts w:asciiTheme="minorHAnsi" w:eastAsiaTheme="minorHAnsi" w:hAnsiTheme="minorHAnsi" w:cstheme="minorBidi"/>
          <w:szCs w:val="20"/>
          <w:lang w:val="en-GB"/>
        </w:rPr>
        <w:t>Zogaj</w:t>
      </w:r>
      <w:proofErr w:type="spellEnd"/>
      <w:r w:rsidRPr="003B6A69">
        <w:rPr>
          <w:rFonts w:asciiTheme="minorHAnsi" w:eastAsiaTheme="minorHAnsi" w:hAnsiTheme="minorHAnsi" w:cstheme="minorBidi"/>
          <w:szCs w:val="20"/>
          <w:lang w:val="en-GB"/>
        </w:rPr>
        <w:t xml:space="preserve"> or Bird marsh). </w:t>
      </w:r>
    </w:p>
    <w:p w14:paraId="28710BBF" w14:textId="77777777" w:rsidR="008C4F26" w:rsidRPr="003B6A69" w:rsidRDefault="008C4F26" w:rsidP="00661293">
      <w:pPr>
        <w:spacing w:after="120"/>
        <w:rPr>
          <w:rFonts w:asciiTheme="minorHAnsi" w:eastAsiaTheme="minorHAnsi" w:hAnsiTheme="minorHAnsi" w:cstheme="minorBidi"/>
          <w:szCs w:val="20"/>
          <w:lang w:val="en-GB"/>
        </w:rPr>
      </w:pPr>
      <w:r w:rsidRPr="003B6A69">
        <w:rPr>
          <w:rFonts w:asciiTheme="minorHAnsi" w:eastAsiaTheme="minorHAnsi" w:hAnsiTheme="minorHAnsi" w:cstheme="minorBidi"/>
          <w:szCs w:val="20"/>
          <w:lang w:val="en-GB"/>
        </w:rPr>
        <w:t xml:space="preserve">20 bird species found here are on IUCN Global Red List. Ulcinj Salina is the most important wintering, </w:t>
      </w:r>
      <w:proofErr w:type="gramStart"/>
      <w:r w:rsidRPr="003B6A69">
        <w:rPr>
          <w:rFonts w:asciiTheme="minorHAnsi" w:eastAsiaTheme="minorHAnsi" w:hAnsiTheme="minorHAnsi" w:cstheme="minorBidi"/>
          <w:szCs w:val="20"/>
          <w:lang w:val="en-GB"/>
        </w:rPr>
        <w:t>nesting</w:t>
      </w:r>
      <w:proofErr w:type="gramEnd"/>
      <w:r w:rsidRPr="003B6A69">
        <w:rPr>
          <w:rFonts w:asciiTheme="minorHAnsi" w:eastAsiaTheme="minorHAnsi" w:hAnsiTheme="minorHAnsi" w:cstheme="minorBidi"/>
          <w:szCs w:val="20"/>
          <w:lang w:val="en-GB"/>
        </w:rPr>
        <w:t xml:space="preserve"> and feeding site for birds on the eastern coast of the Adriatic Sea and a key stopover site for bird migration on the Adriatic Flyway. Millions of birds fly over this area on their way from Europe to Africa and back. Between 5 and 32 thousand birds have been registered there in period from November until the end of March. During the breeding period, about 5000 birds are present on Salina. During some autumn and winter periods (from September - December) up to 1.6% of the global population of endangered Dalmatian Pelican (</w:t>
      </w:r>
      <w:proofErr w:type="spellStart"/>
      <w:r w:rsidRPr="003B6A69">
        <w:rPr>
          <w:rFonts w:asciiTheme="minorHAnsi" w:eastAsiaTheme="minorHAnsi" w:hAnsiTheme="minorHAnsi" w:cstheme="minorBidi"/>
          <w:i/>
          <w:szCs w:val="20"/>
          <w:lang w:val="en-GB"/>
        </w:rPr>
        <w:t>Pelecanus</w:t>
      </w:r>
      <w:proofErr w:type="spellEnd"/>
      <w:r w:rsidRPr="003B6A69">
        <w:rPr>
          <w:rFonts w:asciiTheme="minorHAnsi" w:eastAsiaTheme="minorHAnsi" w:hAnsiTheme="minorHAnsi" w:cstheme="minorBidi"/>
          <w:i/>
          <w:szCs w:val="20"/>
          <w:lang w:val="en-GB"/>
        </w:rPr>
        <w:t xml:space="preserve"> crispus</w:t>
      </w:r>
      <w:r w:rsidRPr="003B6A69">
        <w:rPr>
          <w:rFonts w:asciiTheme="minorHAnsi" w:eastAsiaTheme="minorHAnsi" w:hAnsiTheme="minorHAnsi" w:cstheme="minorBidi"/>
          <w:szCs w:val="20"/>
          <w:lang w:val="en-GB"/>
        </w:rPr>
        <w:t>) use the salina as feeding and resting site. For at least 7 bird species the populations exceed the threshold of 1% of regional or global population.</w:t>
      </w:r>
    </w:p>
    <w:p w14:paraId="13DC5A55" w14:textId="77777777" w:rsidR="008C4F26" w:rsidRPr="003B6A69" w:rsidRDefault="008C4F26" w:rsidP="00661293">
      <w:pPr>
        <w:spacing w:after="120"/>
        <w:rPr>
          <w:rFonts w:asciiTheme="minorHAnsi" w:eastAsiaTheme="minorHAnsi" w:hAnsiTheme="minorHAnsi" w:cstheme="minorBidi"/>
          <w:szCs w:val="20"/>
          <w:lang w:val="en-GB"/>
        </w:rPr>
      </w:pPr>
      <w:r w:rsidRPr="003B6A69">
        <w:rPr>
          <w:rFonts w:asciiTheme="minorHAnsi" w:eastAsiaTheme="minorHAnsi" w:hAnsiTheme="minorHAnsi" w:cstheme="minorBidi"/>
          <w:szCs w:val="20"/>
          <w:lang w:val="en-GB"/>
        </w:rPr>
        <w:lastRenderedPageBreak/>
        <w:t xml:space="preserve">The Salina was built into a system of </w:t>
      </w:r>
      <w:proofErr w:type="gramStart"/>
      <w:r w:rsidRPr="003B6A69">
        <w:rPr>
          <w:rFonts w:asciiTheme="minorHAnsi" w:eastAsiaTheme="minorHAnsi" w:hAnsiTheme="minorHAnsi" w:cstheme="minorBidi"/>
          <w:szCs w:val="20"/>
          <w:lang w:val="en-GB"/>
        </w:rPr>
        <w:t>salt-pans</w:t>
      </w:r>
      <w:proofErr w:type="gramEnd"/>
      <w:r w:rsidRPr="003B6A69">
        <w:rPr>
          <w:rFonts w:asciiTheme="minorHAnsi" w:eastAsiaTheme="minorHAnsi" w:hAnsiTheme="minorHAnsi" w:cstheme="minorBidi"/>
          <w:szCs w:val="20"/>
          <w:lang w:val="en-GB"/>
        </w:rPr>
        <w:t xml:space="preserve"> in the 1930s. The salt production in Ulcinj Salina went on for about 80 years, between 1934 and 2013, when the salt production company went </w:t>
      </w:r>
      <w:proofErr w:type="gramStart"/>
      <w:r w:rsidRPr="003B6A69">
        <w:rPr>
          <w:rFonts w:asciiTheme="minorHAnsi" w:eastAsiaTheme="minorHAnsi" w:hAnsiTheme="minorHAnsi" w:cstheme="minorBidi"/>
          <w:szCs w:val="20"/>
          <w:lang w:val="en-GB"/>
        </w:rPr>
        <w:t>bankrupt</w:t>
      </w:r>
      <w:proofErr w:type="gramEnd"/>
      <w:r w:rsidRPr="003B6A69">
        <w:rPr>
          <w:rFonts w:asciiTheme="minorHAnsi" w:eastAsiaTheme="minorHAnsi" w:hAnsiTheme="minorHAnsi" w:cstheme="minorBidi"/>
          <w:szCs w:val="20"/>
          <w:lang w:val="en-GB"/>
        </w:rPr>
        <w:t xml:space="preserve"> and the salt production stopped.</w:t>
      </w:r>
    </w:p>
    <w:p w14:paraId="07822E59" w14:textId="77777777" w:rsidR="008C4F26" w:rsidRPr="003B6A69" w:rsidRDefault="008C4F26" w:rsidP="00661293">
      <w:pPr>
        <w:spacing w:after="120"/>
        <w:rPr>
          <w:rFonts w:asciiTheme="minorHAnsi" w:eastAsiaTheme="minorHAnsi" w:hAnsiTheme="minorHAnsi" w:cstheme="minorBidi"/>
          <w:szCs w:val="20"/>
        </w:rPr>
      </w:pPr>
      <w:r w:rsidRPr="003B6A69">
        <w:rPr>
          <w:rFonts w:asciiTheme="minorHAnsi" w:eastAsiaTheme="minorHAnsi" w:hAnsiTheme="minorHAnsi" w:cstheme="minorBidi"/>
          <w:szCs w:val="20"/>
        </w:rPr>
        <w:t>The Study for the Protection of the Ulcinj Solana (2015) recorded the following negative impacts on biodiversity: Illegal hunting - A</w:t>
      </w:r>
      <w:r w:rsidRPr="003B6A69">
        <w:rPr>
          <w:rFonts w:asciiTheme="minorHAnsi" w:eastAsiaTheme="minorHAnsi" w:hAnsiTheme="minorHAnsi" w:cstheme="minorBidi"/>
          <w:szCs w:val="20"/>
          <w:vertAlign w:val="superscript"/>
        </w:rPr>
        <w:footnoteReference w:id="21"/>
      </w:r>
      <w:r w:rsidRPr="003B6A69">
        <w:rPr>
          <w:rFonts w:asciiTheme="minorHAnsi" w:eastAsiaTheme="minorHAnsi" w:hAnsiTheme="minorHAnsi" w:cstheme="minorBidi"/>
          <w:szCs w:val="20"/>
        </w:rPr>
        <w:t xml:space="preserve">, Illegal fishing - C, Wastewaters - C, Rinsing of pesticides, </w:t>
      </w:r>
      <w:proofErr w:type="gramStart"/>
      <w:r w:rsidRPr="003B6A69">
        <w:rPr>
          <w:rFonts w:asciiTheme="minorHAnsi" w:eastAsiaTheme="minorHAnsi" w:hAnsiTheme="minorHAnsi" w:cstheme="minorBidi"/>
          <w:szCs w:val="20"/>
        </w:rPr>
        <w:t>herbicides</w:t>
      </w:r>
      <w:proofErr w:type="gramEnd"/>
      <w:r w:rsidRPr="003B6A69">
        <w:rPr>
          <w:rFonts w:asciiTheme="minorHAnsi" w:eastAsiaTheme="minorHAnsi" w:hAnsiTheme="minorHAnsi" w:cstheme="minorBidi"/>
          <w:szCs w:val="20"/>
        </w:rPr>
        <w:t xml:space="preserve"> and other chemicals - C, Solid waste - B, Tourism - B, Fires - C, Abandonment of salt production activities - A. Since 2015, the Ulcinj Solana has been managed by National Parks and adequate protection of this area has been ensured, illegal hunting has a much lower intensity compared to the previous period. Nevertheless, anthropogenic factors are still present. Grazing has a negative impact on the habitats of </w:t>
      </w:r>
      <w:proofErr w:type="spellStart"/>
      <w:r w:rsidRPr="003B6A69">
        <w:rPr>
          <w:rFonts w:asciiTheme="minorHAnsi" w:eastAsiaTheme="minorHAnsi" w:hAnsiTheme="minorHAnsi" w:cstheme="minorBidi"/>
          <w:szCs w:val="20"/>
        </w:rPr>
        <w:t>Ulcinjska</w:t>
      </w:r>
      <w:proofErr w:type="spellEnd"/>
      <w:r w:rsidRPr="003B6A69">
        <w:rPr>
          <w:rFonts w:asciiTheme="minorHAnsi" w:eastAsiaTheme="minorHAnsi" w:hAnsiTheme="minorHAnsi" w:cstheme="minorBidi"/>
          <w:szCs w:val="20"/>
        </w:rPr>
        <w:t xml:space="preserve"> Solana and on the floristic composition of halophyte communities. The negative impact is reflected in trampling, nitrification, increasing numbers of plant species that prefer nitrified habitats and the number of invasive species. In addition, cows and sheep disturb birds and can destroy their nests. Although the salt production activity has been abandoned, salt water is regularly pumped into the salt pans, </w:t>
      </w:r>
      <w:proofErr w:type="gramStart"/>
      <w:r w:rsidRPr="003B6A69">
        <w:rPr>
          <w:rFonts w:asciiTheme="minorHAnsi" w:eastAsiaTheme="minorHAnsi" w:hAnsiTheme="minorHAnsi" w:cstheme="minorBidi"/>
          <w:szCs w:val="20"/>
        </w:rPr>
        <w:t>in order to</w:t>
      </w:r>
      <w:proofErr w:type="gramEnd"/>
      <w:r w:rsidRPr="003B6A69">
        <w:rPr>
          <w:rFonts w:asciiTheme="minorHAnsi" w:eastAsiaTheme="minorHAnsi" w:hAnsiTheme="minorHAnsi" w:cstheme="minorBidi"/>
          <w:szCs w:val="20"/>
        </w:rPr>
        <w:t xml:space="preserve"> maintain the necessary conditions for the survival of the rich </w:t>
      </w:r>
      <w:proofErr w:type="spellStart"/>
      <w:r w:rsidRPr="003B6A69">
        <w:rPr>
          <w:rFonts w:asciiTheme="minorHAnsi" w:eastAsiaTheme="minorHAnsi" w:hAnsiTheme="minorHAnsi" w:cstheme="minorBidi"/>
          <w:szCs w:val="20"/>
        </w:rPr>
        <w:t>ornithofauna</w:t>
      </w:r>
      <w:proofErr w:type="spellEnd"/>
      <w:r w:rsidRPr="003B6A69">
        <w:rPr>
          <w:rFonts w:asciiTheme="minorHAnsi" w:eastAsiaTheme="minorHAnsi" w:hAnsiTheme="minorHAnsi" w:cstheme="minorBidi"/>
          <w:szCs w:val="20"/>
        </w:rPr>
        <w:t xml:space="preserve"> and specific halophytic vegetation. In one period when the pumps were out of order, a negative impact on biodiversity was observed (halophytic vegetation withdrawal and spread of reeds).</w:t>
      </w:r>
    </w:p>
    <w:p w14:paraId="2838BA0A" w14:textId="77777777" w:rsidR="008C4F26" w:rsidRPr="003B6A69" w:rsidRDefault="008C4F26" w:rsidP="00661293">
      <w:pPr>
        <w:spacing w:after="120"/>
        <w:rPr>
          <w:rFonts w:asciiTheme="minorHAnsi" w:eastAsiaTheme="minorHAnsi" w:hAnsiTheme="minorHAnsi" w:cstheme="minorBidi"/>
          <w:i/>
          <w:szCs w:val="20"/>
          <w:lang w:val="en-GB"/>
        </w:rPr>
      </w:pPr>
    </w:p>
    <w:p w14:paraId="2345E3D5" w14:textId="77777777" w:rsidR="008C4F26" w:rsidRPr="003B6A69" w:rsidRDefault="008C4F26" w:rsidP="00661293">
      <w:pPr>
        <w:shd w:val="clear" w:color="auto" w:fill="FFFFFF"/>
        <w:spacing w:after="120"/>
        <w:rPr>
          <w:rFonts w:asciiTheme="minorHAnsi" w:eastAsia="Times New Roman" w:hAnsiTheme="minorHAnsi"/>
          <w:b/>
          <w:szCs w:val="20"/>
          <w:u w:val="single"/>
          <w:lang w:val="en-GB"/>
        </w:rPr>
      </w:pPr>
      <w:r w:rsidRPr="003B6A69">
        <w:rPr>
          <w:rFonts w:asciiTheme="minorHAnsi" w:eastAsia="Times New Roman" w:hAnsiTheme="minorHAnsi"/>
          <w:b/>
          <w:szCs w:val="20"/>
          <w:u w:val="single"/>
          <w:lang w:val="en-GB"/>
        </w:rPr>
        <w:t>PA management constraints as the key barriers for successful protection of KBA values within the national PA system</w:t>
      </w:r>
    </w:p>
    <w:p w14:paraId="4B421FD2" w14:textId="77777777" w:rsidR="008C4F26" w:rsidRPr="003B6A69" w:rsidRDefault="008C4F26" w:rsidP="00661293">
      <w:pPr>
        <w:shd w:val="clear" w:color="auto" w:fill="FFFFFF"/>
        <w:spacing w:after="120"/>
        <w:rPr>
          <w:rFonts w:asciiTheme="minorHAnsi" w:eastAsia="Times New Roman" w:hAnsiTheme="minorHAnsi"/>
          <w:szCs w:val="20"/>
          <w:lang w:val="en-GB"/>
        </w:rPr>
      </w:pPr>
      <w:r w:rsidRPr="003B6A69">
        <w:rPr>
          <w:rFonts w:asciiTheme="minorHAnsi" w:eastAsia="Times New Roman" w:hAnsiTheme="minorHAnsi"/>
          <w:szCs w:val="20"/>
          <w:lang w:val="en-GB"/>
        </w:rPr>
        <w:t xml:space="preserve">The provisions for the establishment and management of the protected areas in Montenegro have a solid legal basis. The main laws are the Law on Nature Protection and Law on National Parks, with a suite of bylaws. Apart from that, there are laws regulating various forms of land use and activities (hunting, fishing, agriculture, construction, etc.). The national legislation has in recent years been harmonised with the EU acquis, so it has provisions that are suitable for control and protection. Apart from the nature protection legislation, each park endorses the rulebook on internal conduct, which additionally prohibits certain activities and specifies the conditions of use of the park's resources.  </w:t>
      </w:r>
    </w:p>
    <w:p w14:paraId="42CB9308" w14:textId="77777777" w:rsidR="008C4F26" w:rsidRPr="003B6A69" w:rsidRDefault="008C4F26" w:rsidP="00661293">
      <w:pPr>
        <w:spacing w:after="120"/>
        <w:rPr>
          <w:rFonts w:asciiTheme="minorHAnsi" w:eastAsiaTheme="minorHAnsi" w:hAnsiTheme="minorHAnsi" w:cstheme="minorBidi"/>
          <w:szCs w:val="20"/>
          <w:lang w:val="en-GB"/>
        </w:rPr>
      </w:pPr>
      <w:r w:rsidRPr="003B6A69">
        <w:rPr>
          <w:rFonts w:asciiTheme="minorHAnsi" w:eastAsiaTheme="minorHAnsi" w:hAnsiTheme="minorHAnsi" w:cstheme="minorBidi"/>
          <w:szCs w:val="20"/>
          <w:lang w:val="en-GB"/>
        </w:rPr>
        <w:t xml:space="preserve">National Parks are established at the request of the Government, and other categories at the request of the local self-governments (municipalities). The first step in the process is the preparation of the Study of protection of the protected area. The contents of this study are proposed by the Law on Nature Protection, but in practice, these studies are not extensive and often lack important information upon which a park's management should be based. This is particularly the case </w:t>
      </w:r>
      <w:proofErr w:type="gramStart"/>
      <w:r w:rsidRPr="003B6A69">
        <w:rPr>
          <w:rFonts w:asciiTheme="minorHAnsi" w:eastAsiaTheme="minorHAnsi" w:hAnsiTheme="minorHAnsi" w:cstheme="minorBidi"/>
          <w:szCs w:val="20"/>
          <w:lang w:val="en-GB"/>
        </w:rPr>
        <w:t>with regard to</w:t>
      </w:r>
      <w:proofErr w:type="gramEnd"/>
      <w:r w:rsidRPr="003B6A69">
        <w:rPr>
          <w:rFonts w:asciiTheme="minorHAnsi" w:eastAsiaTheme="minorHAnsi" w:hAnsiTheme="minorHAnsi" w:cstheme="minorBidi"/>
          <w:szCs w:val="20"/>
          <w:lang w:val="en-GB"/>
        </w:rPr>
        <w:t xml:space="preserve"> information on the socio-economic context, financing of the protected area, clearly stated conservation objectives, assessment of ecosystem services and climate risks. According to the Law, this study is prepared by the government agency (currently the Nature and Environment Protection Agency), in other words it is not obtained through a competitive process that could provide quality assurance and a full range of necessary data and information. The Agency also lacks experts and competences for providing the whole suite of information stated above, though in some cases they have been outsourcing the relevant expertise. </w:t>
      </w:r>
    </w:p>
    <w:p w14:paraId="16D46849" w14:textId="77777777" w:rsidR="008C4F26" w:rsidRPr="003B6A69" w:rsidRDefault="008C4F26" w:rsidP="00661293">
      <w:pPr>
        <w:spacing w:after="120"/>
        <w:rPr>
          <w:rFonts w:asciiTheme="minorHAnsi" w:eastAsiaTheme="minorHAnsi" w:hAnsiTheme="minorHAnsi" w:cstheme="minorBidi"/>
          <w:szCs w:val="20"/>
          <w:lang w:val="en-GB"/>
        </w:rPr>
      </w:pPr>
      <w:r w:rsidRPr="003B6A69">
        <w:rPr>
          <w:rFonts w:asciiTheme="minorHAnsi" w:eastAsiaTheme="minorHAnsi" w:hAnsiTheme="minorHAnsi" w:cstheme="minorBidi"/>
          <w:szCs w:val="20"/>
          <w:lang w:val="en-GB"/>
        </w:rPr>
        <w:t xml:space="preserve">In Montenegro, a significant proportion of protected areas are "paper parks". Most have a designated management body, but no plan or any activity being carried out. Only 5 national parks and Nature Park </w:t>
      </w:r>
      <w:proofErr w:type="spellStart"/>
      <w:r w:rsidRPr="003B6A69">
        <w:rPr>
          <w:rFonts w:asciiTheme="minorHAnsi" w:eastAsiaTheme="minorHAnsi" w:hAnsiTheme="minorHAnsi" w:cstheme="minorBidi"/>
          <w:szCs w:val="20"/>
          <w:lang w:val="en-GB"/>
        </w:rPr>
        <w:t>Piva</w:t>
      </w:r>
      <w:proofErr w:type="spellEnd"/>
      <w:r w:rsidRPr="003B6A69">
        <w:rPr>
          <w:rFonts w:asciiTheme="minorHAnsi" w:eastAsiaTheme="minorHAnsi" w:hAnsiTheme="minorHAnsi" w:cstheme="minorBidi"/>
          <w:szCs w:val="20"/>
          <w:lang w:val="en-GB"/>
        </w:rPr>
        <w:t xml:space="preserve"> can be viewed as fully operational and having clear-cut operational arrangements. National Parks are managed by one umbrella organisation (see below), all coastal PAs are the responsibility of the Public Enterprise </w:t>
      </w:r>
      <w:proofErr w:type="spellStart"/>
      <w:r w:rsidRPr="003B6A69">
        <w:rPr>
          <w:rFonts w:asciiTheme="minorHAnsi" w:eastAsiaTheme="minorHAnsi" w:hAnsiTheme="minorHAnsi" w:cstheme="minorBidi"/>
          <w:szCs w:val="20"/>
          <w:lang w:val="en-GB"/>
        </w:rPr>
        <w:t>Morsko</w:t>
      </w:r>
      <w:proofErr w:type="spellEnd"/>
      <w:r w:rsidRPr="003B6A69">
        <w:rPr>
          <w:rFonts w:asciiTheme="minorHAnsi" w:eastAsiaTheme="minorHAnsi" w:hAnsiTheme="minorHAnsi" w:cstheme="minorBidi"/>
          <w:szCs w:val="20"/>
          <w:lang w:val="en-GB"/>
        </w:rPr>
        <w:t xml:space="preserve"> Dobro, while other PAs are under the management of local municipalities. </w:t>
      </w:r>
    </w:p>
    <w:p w14:paraId="6DB16BD8" w14:textId="77777777" w:rsidR="008C4F26" w:rsidRPr="003B6A69" w:rsidRDefault="008C4F26" w:rsidP="00661293">
      <w:pPr>
        <w:shd w:val="clear" w:color="auto" w:fill="FFFFFF"/>
        <w:spacing w:after="120"/>
        <w:rPr>
          <w:rFonts w:asciiTheme="minorHAnsi" w:eastAsia="Times New Roman" w:hAnsiTheme="minorHAnsi"/>
          <w:szCs w:val="20"/>
          <w:lang w:val="en-GB"/>
        </w:rPr>
      </w:pPr>
      <w:r w:rsidRPr="003B6A69">
        <w:rPr>
          <w:rFonts w:asciiTheme="minorHAnsi" w:eastAsia="Times New Roman" w:hAnsiTheme="minorHAnsi"/>
          <w:szCs w:val="20"/>
          <w:lang w:val="en-GB"/>
        </w:rPr>
        <w:t xml:space="preserve">One of the main weaknesses in protected area functioning lie in the law enforcement chain - lack of human and technical capacities at the level of rangers, police and juridical system is a state-wide issue in the nature protection context. Protected areas often lack the funds to employ </w:t>
      </w:r>
      <w:proofErr w:type="gramStart"/>
      <w:r w:rsidRPr="003B6A69">
        <w:rPr>
          <w:rFonts w:asciiTheme="minorHAnsi" w:eastAsia="Times New Roman" w:hAnsiTheme="minorHAnsi"/>
          <w:szCs w:val="20"/>
          <w:lang w:val="en-GB"/>
        </w:rPr>
        <w:t>sufficient numbers of</w:t>
      </w:r>
      <w:proofErr w:type="gramEnd"/>
      <w:r w:rsidRPr="003B6A69">
        <w:rPr>
          <w:rFonts w:asciiTheme="minorHAnsi" w:eastAsia="Times New Roman" w:hAnsiTheme="minorHAnsi"/>
          <w:szCs w:val="20"/>
          <w:lang w:val="en-GB"/>
        </w:rPr>
        <w:t xml:space="preserve"> rangers or provide them with suitable equipment for their duties. Rangers often lack relevant knowledge on biodiversity values or legislation that they are supposed to enforce, which hampers the successful initiation of legal charges (</w:t>
      </w:r>
      <w:proofErr w:type="gramStart"/>
      <w:r w:rsidRPr="003B6A69">
        <w:rPr>
          <w:rFonts w:asciiTheme="minorHAnsi" w:eastAsia="Times New Roman" w:hAnsiTheme="minorHAnsi"/>
          <w:szCs w:val="20"/>
          <w:lang w:val="en-GB"/>
        </w:rPr>
        <w:t>e.g.</w:t>
      </w:r>
      <w:proofErr w:type="gramEnd"/>
      <w:r w:rsidRPr="003B6A69">
        <w:rPr>
          <w:rFonts w:asciiTheme="minorHAnsi" w:eastAsia="Times New Roman" w:hAnsiTheme="minorHAnsi"/>
          <w:szCs w:val="20"/>
          <w:lang w:val="en-GB"/>
        </w:rPr>
        <w:t xml:space="preserve"> their reports lack legally acceptable information and as such are dismissed by prosecutors). Even larger gap lies in the juridical system. Public prosecutors and judges have a low knowledge and awareness of environmental issues and there is </w:t>
      </w:r>
      <w:proofErr w:type="gramStart"/>
      <w:r w:rsidRPr="003B6A69">
        <w:rPr>
          <w:rFonts w:asciiTheme="minorHAnsi" w:eastAsia="Times New Roman" w:hAnsiTheme="minorHAnsi"/>
          <w:szCs w:val="20"/>
          <w:lang w:val="en-GB"/>
        </w:rPr>
        <w:t>not a single one</w:t>
      </w:r>
      <w:proofErr w:type="gramEnd"/>
      <w:r w:rsidRPr="003B6A69">
        <w:rPr>
          <w:rFonts w:asciiTheme="minorHAnsi" w:eastAsia="Times New Roman" w:hAnsiTheme="minorHAnsi"/>
          <w:szCs w:val="20"/>
          <w:lang w:val="en-GB"/>
        </w:rPr>
        <w:t xml:space="preserve"> who is a specialist in environmental law. Charges pressed by the protected areas are often dismissed </w:t>
      </w:r>
      <w:proofErr w:type="gramStart"/>
      <w:r w:rsidRPr="003B6A69">
        <w:rPr>
          <w:rFonts w:asciiTheme="minorHAnsi" w:eastAsia="Times New Roman" w:hAnsiTheme="minorHAnsi"/>
          <w:szCs w:val="20"/>
          <w:lang w:val="en-GB"/>
        </w:rPr>
        <w:t>on the basis of</w:t>
      </w:r>
      <w:proofErr w:type="gramEnd"/>
      <w:r w:rsidRPr="003B6A69">
        <w:rPr>
          <w:rFonts w:asciiTheme="minorHAnsi" w:eastAsia="Times New Roman" w:hAnsiTheme="minorHAnsi"/>
          <w:szCs w:val="20"/>
          <w:lang w:val="en-GB"/>
        </w:rPr>
        <w:t xml:space="preserve"> insufficient evidence, lack of understanding, or perpetrators are issued minimal punitive measures, all of which creates an enabling environment for these kinds of activities. A possible exception are cases related to forestry, where the highest number of court cases are concluded, but the situation in relation to destruction of biodiversity in general remains rather dire. </w:t>
      </w:r>
    </w:p>
    <w:p w14:paraId="4A832791" w14:textId="77777777" w:rsidR="008C4F26" w:rsidRPr="003B6A69" w:rsidRDefault="008C4F26" w:rsidP="00661293">
      <w:pPr>
        <w:shd w:val="clear" w:color="auto" w:fill="FFFFFF"/>
        <w:spacing w:after="120"/>
        <w:rPr>
          <w:rFonts w:asciiTheme="minorHAnsi" w:eastAsia="Times New Roman" w:hAnsiTheme="minorHAnsi"/>
          <w:szCs w:val="20"/>
          <w:lang w:val="en-GB"/>
        </w:rPr>
      </w:pPr>
      <w:r w:rsidRPr="003B6A69">
        <w:rPr>
          <w:rFonts w:asciiTheme="minorHAnsi" w:eastAsia="Times New Roman" w:hAnsiTheme="minorHAnsi"/>
          <w:szCs w:val="20"/>
          <w:lang w:val="en-GB"/>
        </w:rPr>
        <w:lastRenderedPageBreak/>
        <w:t xml:space="preserve">Parks operate </w:t>
      </w:r>
      <w:proofErr w:type="gramStart"/>
      <w:r w:rsidRPr="003B6A69">
        <w:rPr>
          <w:rFonts w:asciiTheme="minorHAnsi" w:eastAsia="Times New Roman" w:hAnsiTheme="minorHAnsi"/>
          <w:szCs w:val="20"/>
          <w:lang w:val="en-GB"/>
        </w:rPr>
        <w:t>on the basis of</w:t>
      </w:r>
      <w:proofErr w:type="gramEnd"/>
      <w:r w:rsidRPr="003B6A69">
        <w:rPr>
          <w:rFonts w:asciiTheme="minorHAnsi" w:eastAsia="Times New Roman" w:hAnsiTheme="minorHAnsi"/>
          <w:szCs w:val="20"/>
          <w:lang w:val="en-GB"/>
        </w:rPr>
        <w:t xml:space="preserve"> 5-year management plans that are operationalised through annual action plans. The information base for the preparation of management plans and making informed decisions is very deficient. Although the key habitats and species are well known, the information on their distribution areas, population sizes, trends, pressures, etc. is usually lacking. Biodiversity monitoring and research focuses on some key species, but the obtained data is rarely used to feed the decision-making processes or formulate concrete conservation interventions and active </w:t>
      </w:r>
      <w:r w:rsidRPr="003B6A69">
        <w:rPr>
          <w:rFonts w:asciiTheme="minorHAnsi" w:eastAsia="Times New Roman" w:hAnsiTheme="minorHAnsi"/>
          <w:i/>
          <w:szCs w:val="20"/>
          <w:lang w:val="en-GB"/>
        </w:rPr>
        <w:t>in situ</w:t>
      </w:r>
      <w:r w:rsidRPr="003B6A69">
        <w:rPr>
          <w:rFonts w:asciiTheme="minorHAnsi" w:eastAsia="Times New Roman" w:hAnsiTheme="minorHAnsi"/>
          <w:szCs w:val="20"/>
          <w:lang w:val="en-GB"/>
        </w:rPr>
        <w:t xml:space="preserve"> management. Furthermore, monitoring and research are often conducted as part of donor granted projects through which costs are secured. Because of that, they often lack continuity or can depart from the objectives stated in the management plans (</w:t>
      </w:r>
      <w:proofErr w:type="gramStart"/>
      <w:r w:rsidRPr="003B6A69">
        <w:rPr>
          <w:rFonts w:asciiTheme="minorHAnsi" w:eastAsia="Times New Roman" w:hAnsiTheme="minorHAnsi"/>
          <w:szCs w:val="20"/>
          <w:lang w:val="en-GB"/>
        </w:rPr>
        <w:t>e.g.</w:t>
      </w:r>
      <w:proofErr w:type="gramEnd"/>
      <w:r w:rsidRPr="003B6A69">
        <w:rPr>
          <w:rFonts w:asciiTheme="minorHAnsi" w:eastAsia="Times New Roman" w:hAnsiTheme="minorHAnsi"/>
          <w:szCs w:val="20"/>
          <w:lang w:val="en-GB"/>
        </w:rPr>
        <w:t xml:space="preserve"> when there are grant opportunities to fund research on a particular species or habitat that has not been originally planned). Finally, the methodology and the quality and level of data processing, analysis and reporting does not always satisfy scientific and research criteria. </w:t>
      </w:r>
    </w:p>
    <w:p w14:paraId="2491C74F" w14:textId="77777777" w:rsidR="008C4F26" w:rsidRPr="003B6A69" w:rsidRDefault="008C4F26" w:rsidP="00661293">
      <w:pPr>
        <w:shd w:val="clear" w:color="auto" w:fill="FFFFFF"/>
        <w:spacing w:after="120"/>
        <w:rPr>
          <w:rFonts w:asciiTheme="minorHAnsi" w:eastAsia="Times New Roman" w:hAnsiTheme="minorHAnsi"/>
          <w:szCs w:val="20"/>
          <w:lang w:val="en-GB"/>
        </w:rPr>
      </w:pPr>
      <w:r w:rsidRPr="003B6A69">
        <w:rPr>
          <w:rFonts w:asciiTheme="minorHAnsi" w:eastAsia="Times New Roman" w:hAnsiTheme="minorHAnsi"/>
          <w:szCs w:val="20"/>
          <w:lang w:val="en-GB"/>
        </w:rPr>
        <w:t xml:space="preserve">There are other major issues in the design and implementation of management plans. One of the main weaknesses is in relation to the objectives, as most of them are formulated too vaguely and conservation targets are never specified. Monitoring of the plans is also not quantitative nor based on specific indicators, as they are not formulated. Annual reports state what has been done, but not what </w:t>
      </w:r>
      <w:proofErr w:type="gramStart"/>
      <w:r w:rsidRPr="003B6A69">
        <w:rPr>
          <w:rFonts w:asciiTheme="minorHAnsi" w:eastAsia="Times New Roman" w:hAnsiTheme="minorHAnsi"/>
          <w:szCs w:val="20"/>
          <w:lang w:val="en-GB"/>
        </w:rPr>
        <w:t>hasn't</w:t>
      </w:r>
      <w:proofErr w:type="gramEnd"/>
      <w:r w:rsidRPr="003B6A69">
        <w:rPr>
          <w:rFonts w:asciiTheme="minorHAnsi" w:eastAsia="Times New Roman" w:hAnsiTheme="minorHAnsi"/>
          <w:szCs w:val="20"/>
          <w:lang w:val="en-GB"/>
        </w:rPr>
        <w:t xml:space="preserve"> and they lack reference to the stated objectives and indicators. All this means that the management efforts cannot be properly </w:t>
      </w:r>
      <w:proofErr w:type="gramStart"/>
      <w:r w:rsidRPr="003B6A69">
        <w:rPr>
          <w:rFonts w:asciiTheme="minorHAnsi" w:eastAsia="Times New Roman" w:hAnsiTheme="minorHAnsi"/>
          <w:szCs w:val="20"/>
          <w:lang w:val="en-GB"/>
        </w:rPr>
        <w:t>evaluated</w:t>
      </w:r>
      <w:proofErr w:type="gramEnd"/>
      <w:r w:rsidRPr="003B6A69">
        <w:rPr>
          <w:rFonts w:asciiTheme="minorHAnsi" w:eastAsia="Times New Roman" w:hAnsiTheme="minorHAnsi"/>
          <w:szCs w:val="20"/>
          <w:lang w:val="en-GB"/>
        </w:rPr>
        <w:t xml:space="preserve"> nor can management decisions, measures and activities be properly revised in order to achieve set conservation goals. </w:t>
      </w:r>
    </w:p>
    <w:p w14:paraId="0797EF2E" w14:textId="77777777" w:rsidR="008C4F26" w:rsidRPr="003B6A69" w:rsidRDefault="008C4F26" w:rsidP="00661293">
      <w:pPr>
        <w:shd w:val="clear" w:color="auto" w:fill="FFFFFF"/>
        <w:spacing w:after="120"/>
        <w:rPr>
          <w:rFonts w:asciiTheme="minorHAnsi" w:eastAsia="Times New Roman" w:hAnsiTheme="minorHAnsi"/>
          <w:szCs w:val="20"/>
          <w:lang w:val="en-GB"/>
        </w:rPr>
      </w:pPr>
      <w:r w:rsidRPr="003B6A69">
        <w:rPr>
          <w:rFonts w:asciiTheme="minorHAnsi" w:eastAsia="Times New Roman" w:hAnsiTheme="minorHAnsi"/>
          <w:szCs w:val="20"/>
          <w:lang w:val="en-GB"/>
        </w:rPr>
        <w:t xml:space="preserve">In terms of management - all three pilot national parks - </w:t>
      </w:r>
      <w:proofErr w:type="spellStart"/>
      <w:r w:rsidRPr="003B6A69">
        <w:rPr>
          <w:rFonts w:asciiTheme="minorHAnsi" w:eastAsia="Times New Roman" w:hAnsiTheme="minorHAnsi"/>
          <w:szCs w:val="20"/>
          <w:lang w:val="en-GB"/>
        </w:rPr>
        <w:t>Durmitor</w:t>
      </w:r>
      <w:proofErr w:type="spellEnd"/>
      <w:r w:rsidRPr="003B6A69">
        <w:rPr>
          <w:rFonts w:asciiTheme="minorHAnsi" w:eastAsia="Times New Roman" w:hAnsiTheme="minorHAnsi"/>
          <w:szCs w:val="20"/>
          <w:lang w:val="en-GB"/>
        </w:rPr>
        <w:t xml:space="preserve">, </w:t>
      </w:r>
      <w:proofErr w:type="spellStart"/>
      <w:r w:rsidRPr="003B6A69">
        <w:rPr>
          <w:rFonts w:asciiTheme="minorHAnsi" w:eastAsia="Times New Roman" w:hAnsiTheme="minorHAnsi"/>
          <w:szCs w:val="20"/>
          <w:lang w:val="en-GB"/>
        </w:rPr>
        <w:t>Biogradska</w:t>
      </w:r>
      <w:proofErr w:type="spellEnd"/>
      <w:r w:rsidRPr="003B6A69">
        <w:rPr>
          <w:rFonts w:asciiTheme="minorHAnsi" w:eastAsia="Times New Roman" w:hAnsiTheme="minorHAnsi"/>
          <w:szCs w:val="20"/>
          <w:lang w:val="en-GB"/>
        </w:rPr>
        <w:t xml:space="preserve"> Gora and </w:t>
      </w:r>
      <w:proofErr w:type="spellStart"/>
      <w:r w:rsidRPr="003B6A69">
        <w:rPr>
          <w:rFonts w:asciiTheme="minorHAnsi" w:eastAsia="Times New Roman" w:hAnsiTheme="minorHAnsi"/>
          <w:szCs w:val="20"/>
          <w:lang w:val="en-GB"/>
        </w:rPr>
        <w:t>Skadar</w:t>
      </w:r>
      <w:proofErr w:type="spellEnd"/>
      <w:r w:rsidRPr="003B6A69">
        <w:rPr>
          <w:rFonts w:asciiTheme="minorHAnsi" w:eastAsia="Times New Roman" w:hAnsiTheme="minorHAnsi"/>
          <w:szCs w:val="20"/>
          <w:lang w:val="en-GB"/>
        </w:rPr>
        <w:t xml:space="preserve"> Lake are managed by the Public Enterprise for National Parks of Montenegro (PENP). This is an umbrella institution that has a general director, Scientific Advisory </w:t>
      </w:r>
      <w:proofErr w:type="gramStart"/>
      <w:r w:rsidRPr="003B6A69">
        <w:rPr>
          <w:rFonts w:asciiTheme="minorHAnsi" w:eastAsia="Times New Roman" w:hAnsiTheme="minorHAnsi"/>
          <w:szCs w:val="20"/>
          <w:lang w:val="en-GB"/>
        </w:rPr>
        <w:t>board</w:t>
      </w:r>
      <w:proofErr w:type="gramEnd"/>
      <w:r w:rsidRPr="003B6A69">
        <w:rPr>
          <w:rFonts w:asciiTheme="minorHAnsi" w:eastAsia="Times New Roman" w:hAnsiTheme="minorHAnsi"/>
          <w:szCs w:val="20"/>
          <w:lang w:val="en-GB"/>
        </w:rPr>
        <w:t xml:space="preserve"> and Management Board, as well as several joint departments (for the protection of natural and cultural heritage; promotion, education and tourism; legal; financial; administrative and technical support). Individual parks function as operational units within PENP, with their own directors and departments (ranger department, maintenance service, administrative affairs), and as such have a level of autonomy. </w:t>
      </w:r>
    </w:p>
    <w:p w14:paraId="6ABF6424" w14:textId="77777777" w:rsidR="008C4F26" w:rsidRPr="003B6A69" w:rsidRDefault="008C4F26" w:rsidP="00661293">
      <w:pPr>
        <w:spacing w:after="120"/>
        <w:rPr>
          <w:rFonts w:asciiTheme="minorHAnsi" w:eastAsiaTheme="minorHAnsi" w:hAnsiTheme="minorHAnsi" w:cstheme="minorBidi"/>
          <w:szCs w:val="20"/>
          <w:lang w:val="en-GB"/>
        </w:rPr>
      </w:pPr>
      <w:r w:rsidRPr="003B6A69">
        <w:rPr>
          <w:rFonts w:asciiTheme="minorHAnsi" w:eastAsiaTheme="minorHAnsi" w:hAnsiTheme="minorHAnsi" w:cstheme="minorBidi"/>
          <w:szCs w:val="20"/>
          <w:lang w:val="en-GB"/>
        </w:rPr>
        <w:t xml:space="preserve">Staffing arrangements are sufficient for </w:t>
      </w:r>
      <w:proofErr w:type="gramStart"/>
      <w:r w:rsidRPr="003B6A69">
        <w:rPr>
          <w:rFonts w:asciiTheme="minorHAnsi" w:eastAsiaTheme="minorHAnsi" w:hAnsiTheme="minorHAnsi" w:cstheme="minorBidi"/>
          <w:szCs w:val="20"/>
          <w:lang w:val="en-GB"/>
        </w:rPr>
        <w:t>functioning, but</w:t>
      </w:r>
      <w:proofErr w:type="gramEnd"/>
      <w:r w:rsidRPr="003B6A69">
        <w:rPr>
          <w:rFonts w:asciiTheme="minorHAnsi" w:eastAsiaTheme="minorHAnsi" w:hAnsiTheme="minorHAnsi" w:cstheme="minorBidi"/>
          <w:szCs w:val="20"/>
          <w:lang w:val="en-GB"/>
        </w:rPr>
        <w:t xml:space="preserve"> lacking for full enforcement of rules and regulations as well as for designing and implementing monitoring, research and conservation projects. Although each park has rangers, their numbers are not sufficient for the territory they are supervising, and their duties are also split between enforcement and working with visitors, selling tickets and other duties, especially during the tourist season. Staff of the Protection of natural and cultural heritage department include experts for flora, fauna, landscapes, cultural heritage, but one or two persons per expertise are expected to produce inputs for management plans and conduct monitoring, research, </w:t>
      </w:r>
      <w:proofErr w:type="gramStart"/>
      <w:r w:rsidRPr="003B6A69">
        <w:rPr>
          <w:rFonts w:asciiTheme="minorHAnsi" w:eastAsiaTheme="minorHAnsi" w:hAnsiTheme="minorHAnsi" w:cstheme="minorBidi"/>
          <w:szCs w:val="20"/>
          <w:lang w:val="en-GB"/>
        </w:rPr>
        <w:t>fieldwork</w:t>
      </w:r>
      <w:proofErr w:type="gramEnd"/>
      <w:r w:rsidRPr="003B6A69">
        <w:rPr>
          <w:rFonts w:asciiTheme="minorHAnsi" w:eastAsiaTheme="minorHAnsi" w:hAnsiTheme="minorHAnsi" w:cstheme="minorBidi"/>
          <w:szCs w:val="20"/>
          <w:lang w:val="en-GB"/>
        </w:rPr>
        <w:t xml:space="preserve"> and other activities in all five parks. </w:t>
      </w:r>
    </w:p>
    <w:p w14:paraId="4B71AE44" w14:textId="77777777" w:rsidR="008C4F26" w:rsidRPr="003B6A69" w:rsidRDefault="008C4F26" w:rsidP="00661293">
      <w:pPr>
        <w:shd w:val="clear" w:color="auto" w:fill="FFFFFF"/>
        <w:spacing w:after="120"/>
        <w:rPr>
          <w:rFonts w:asciiTheme="minorHAnsi" w:eastAsia="Times New Roman" w:hAnsiTheme="minorHAnsi"/>
          <w:szCs w:val="20"/>
          <w:lang w:val="en-GB"/>
        </w:rPr>
      </w:pPr>
      <w:r w:rsidRPr="003B6A69">
        <w:rPr>
          <w:rFonts w:asciiTheme="minorHAnsi" w:eastAsia="Times New Roman" w:hAnsiTheme="minorHAnsi"/>
          <w:szCs w:val="20"/>
          <w:lang w:val="en-GB"/>
        </w:rPr>
        <w:t xml:space="preserve">According to the Law on National Parks, PENP was supposed to change its legal status into a company, but this transformation has still not taken place.  PENP is currently financed from the government budget, collection of various fees and taxes (defined within the Law on National Parks), donations, </w:t>
      </w:r>
      <w:proofErr w:type="gramStart"/>
      <w:r w:rsidRPr="003B6A69">
        <w:rPr>
          <w:rFonts w:asciiTheme="minorHAnsi" w:eastAsia="Times New Roman" w:hAnsiTheme="minorHAnsi"/>
          <w:szCs w:val="20"/>
          <w:lang w:val="en-GB"/>
        </w:rPr>
        <w:t>credits</w:t>
      </w:r>
      <w:proofErr w:type="gramEnd"/>
      <w:r w:rsidRPr="003B6A69">
        <w:rPr>
          <w:rFonts w:asciiTheme="minorHAnsi" w:eastAsia="Times New Roman" w:hAnsiTheme="minorHAnsi"/>
          <w:szCs w:val="20"/>
          <w:lang w:val="en-GB"/>
        </w:rPr>
        <w:t xml:space="preserve"> and other sources. The annual budget for the year 2019. was 3.745.936,84. Of this, 47% was from ticket sales, 24,5% from the state subventions, 20,8% from various forms of resource use (fishing, rafting permits, etc.), 6,4% from various other sources, 0,5% from souvenir sales, and 0,3% from donations. Although the parks receive annual subventions from the state budget, this amount varies as there is no clear earmarking for nature protection in the state budgets. In the past few years this amounted to around 900.000 EUR, which was a significant reduction in relation to some years ago (when it was around 1,5 million). </w:t>
      </w:r>
      <w:proofErr w:type="gramStart"/>
      <w:r w:rsidRPr="003B6A69">
        <w:rPr>
          <w:rFonts w:asciiTheme="minorHAnsi" w:eastAsia="Times New Roman" w:hAnsiTheme="minorHAnsi"/>
          <w:szCs w:val="20"/>
          <w:lang w:val="en-GB"/>
        </w:rPr>
        <w:t>Parks</w:t>
      </w:r>
      <w:proofErr w:type="gramEnd"/>
      <w:r w:rsidRPr="003B6A69">
        <w:rPr>
          <w:rFonts w:asciiTheme="minorHAnsi" w:eastAsia="Times New Roman" w:hAnsiTheme="minorHAnsi"/>
          <w:szCs w:val="20"/>
          <w:lang w:val="en-GB"/>
        </w:rPr>
        <w:t xml:space="preserve"> financing relies heavily on tickets and fees primarily related to tourism, which cannot be considered a stable source of revenue. Additionally, this puts pressure on park management to increase visitation, which is a clear trade-off in relation to the preservation of the biodiversity values and ecological integrity within parks.</w:t>
      </w:r>
    </w:p>
    <w:p w14:paraId="633743D6" w14:textId="77777777" w:rsidR="008C4F26" w:rsidRPr="003B6A69" w:rsidRDefault="008C4F26" w:rsidP="00661293">
      <w:pPr>
        <w:spacing w:after="120"/>
        <w:rPr>
          <w:rFonts w:asciiTheme="minorHAnsi" w:eastAsiaTheme="minorHAnsi" w:hAnsiTheme="minorHAnsi" w:cstheme="minorBidi"/>
          <w:szCs w:val="20"/>
          <w:lang w:val="en-GB"/>
        </w:rPr>
      </w:pPr>
      <w:r w:rsidRPr="003B6A69">
        <w:rPr>
          <w:rFonts w:asciiTheme="minorHAnsi" w:eastAsiaTheme="minorHAnsi" w:hAnsiTheme="minorHAnsi" w:cstheme="minorBidi"/>
          <w:szCs w:val="20"/>
          <w:lang w:val="en-GB"/>
        </w:rPr>
        <w:t xml:space="preserve">In the same year, the PENP regular annual spending was 3.242.482,20. Of this, 71,5% was spent on personnel costs (salaries, insurances, and other personal costs), 9,2% on maintenance, 5,6% on amortisation, 5,5% on </w:t>
      </w:r>
      <w:proofErr w:type="gramStart"/>
      <w:r w:rsidRPr="003B6A69">
        <w:rPr>
          <w:rFonts w:asciiTheme="minorHAnsi" w:eastAsiaTheme="minorHAnsi" w:hAnsiTheme="minorHAnsi" w:cstheme="minorBidi"/>
          <w:szCs w:val="20"/>
          <w:lang w:val="en-GB"/>
        </w:rPr>
        <w:t>utilities</w:t>
      </w:r>
      <w:proofErr w:type="gramEnd"/>
      <w:r w:rsidRPr="003B6A69">
        <w:rPr>
          <w:rFonts w:asciiTheme="minorHAnsi" w:eastAsiaTheme="minorHAnsi" w:hAnsiTheme="minorHAnsi" w:cstheme="minorBidi"/>
          <w:szCs w:val="20"/>
          <w:lang w:val="en-GB"/>
        </w:rPr>
        <w:t xml:space="preserve"> and fuel, and 8,2% on miscellaneous costs (participation at fairs and promotion, legal procedures costs etc). </w:t>
      </w:r>
    </w:p>
    <w:p w14:paraId="5A32607A" w14:textId="77777777" w:rsidR="008C4F26" w:rsidRPr="003B6A69" w:rsidRDefault="008C4F26" w:rsidP="00661293">
      <w:pPr>
        <w:shd w:val="clear" w:color="auto" w:fill="FFFFFF"/>
        <w:spacing w:after="120"/>
        <w:rPr>
          <w:rFonts w:asciiTheme="minorHAnsi" w:eastAsia="Times New Roman" w:hAnsiTheme="minorHAnsi"/>
          <w:szCs w:val="20"/>
          <w:lang w:val="en-GB"/>
        </w:rPr>
      </w:pPr>
      <w:r w:rsidRPr="003B6A69">
        <w:rPr>
          <w:rFonts w:asciiTheme="minorHAnsi" w:eastAsia="Times New Roman" w:hAnsiTheme="minorHAnsi"/>
          <w:szCs w:val="20"/>
          <w:lang w:val="en-GB"/>
        </w:rPr>
        <w:t xml:space="preserve">PENP reports to the Ministry of Sustainable Development and Tourism. The contents of the plan are defined by the Law on Nature Protection. The current 5-year management plans were endorsed for the period 2016-2020, and are about to expire, so the process of drafting new ones is underway. </w:t>
      </w:r>
    </w:p>
    <w:p w14:paraId="59AC0C33" w14:textId="77777777" w:rsidR="008C4F26" w:rsidRPr="003B6A69" w:rsidRDefault="008C4F26" w:rsidP="00661293">
      <w:pPr>
        <w:spacing w:after="120"/>
        <w:rPr>
          <w:rFonts w:asciiTheme="minorHAnsi" w:eastAsiaTheme="minorHAnsi" w:hAnsiTheme="minorHAnsi" w:cstheme="minorBidi"/>
          <w:szCs w:val="20"/>
          <w:lang w:val="en-GB"/>
        </w:rPr>
      </w:pPr>
      <w:proofErr w:type="gramStart"/>
      <w:r w:rsidRPr="003B6A69">
        <w:rPr>
          <w:rFonts w:asciiTheme="minorHAnsi" w:eastAsiaTheme="minorHAnsi" w:hAnsiTheme="minorHAnsi" w:cstheme="minorBidi"/>
          <w:szCs w:val="20"/>
          <w:lang w:val="en-GB"/>
        </w:rPr>
        <w:t>In order to</w:t>
      </w:r>
      <w:proofErr w:type="gramEnd"/>
      <w:r w:rsidRPr="003B6A69">
        <w:rPr>
          <w:rFonts w:asciiTheme="minorHAnsi" w:eastAsiaTheme="minorHAnsi" w:hAnsiTheme="minorHAnsi" w:cstheme="minorBidi"/>
          <w:szCs w:val="20"/>
          <w:lang w:val="en-GB"/>
        </w:rPr>
        <w:t xml:space="preserve"> foster cooperation with local communities and other stakeholders, PENP has introduced socio-economic forums in each park. These are non-formal bodies consisting of representatives of various stakeholders, which meet occasionally to discuss current issues, joint activities and monitoring and enforcement within the parks. Stakeholders are still not formally nor obligatorily involved in park management and full collaboration and shared management are yet to be reached, but these forums are a considerable improvement in comparison with the previous situation regarding stakeholder </w:t>
      </w:r>
      <w:r w:rsidRPr="003B6A69">
        <w:rPr>
          <w:rFonts w:asciiTheme="minorHAnsi" w:eastAsiaTheme="minorHAnsi" w:hAnsiTheme="minorHAnsi" w:cstheme="minorBidi"/>
          <w:szCs w:val="20"/>
          <w:lang w:val="en-GB"/>
        </w:rPr>
        <w:lastRenderedPageBreak/>
        <w:t xml:space="preserve">participation. Parks also have a department dedicated to education and awareness raising, through which they design and implement various types of outreach programmes with schools, institutions, local </w:t>
      </w:r>
      <w:proofErr w:type="gramStart"/>
      <w:r w:rsidRPr="003B6A69">
        <w:rPr>
          <w:rFonts w:asciiTheme="minorHAnsi" w:eastAsiaTheme="minorHAnsi" w:hAnsiTheme="minorHAnsi" w:cstheme="minorBidi"/>
          <w:szCs w:val="20"/>
          <w:lang w:val="en-GB"/>
        </w:rPr>
        <w:t>communities</w:t>
      </w:r>
      <w:proofErr w:type="gramEnd"/>
      <w:r w:rsidRPr="003B6A69">
        <w:rPr>
          <w:rFonts w:asciiTheme="minorHAnsi" w:eastAsiaTheme="minorHAnsi" w:hAnsiTheme="minorHAnsi" w:cstheme="minorBidi"/>
          <w:szCs w:val="20"/>
          <w:lang w:val="en-GB"/>
        </w:rPr>
        <w:t xml:space="preserve"> and other stakeholders. However, these are not planned strategically nor are they necessarily linked with the management objectives. </w:t>
      </w:r>
    </w:p>
    <w:p w14:paraId="5DECF16A" w14:textId="77777777" w:rsidR="008C4F26" w:rsidRPr="003B6A69" w:rsidRDefault="008C4F26" w:rsidP="00661293">
      <w:pPr>
        <w:shd w:val="clear" w:color="auto" w:fill="FFFFFF"/>
        <w:spacing w:after="120"/>
        <w:rPr>
          <w:rFonts w:asciiTheme="minorHAnsi" w:eastAsia="Times New Roman" w:hAnsiTheme="minorHAnsi"/>
          <w:b/>
          <w:szCs w:val="20"/>
          <w:u w:val="single"/>
          <w:lang w:val="en-GB"/>
        </w:rPr>
      </w:pPr>
      <w:r w:rsidRPr="003B6A69">
        <w:rPr>
          <w:rFonts w:asciiTheme="minorHAnsi" w:eastAsia="Times New Roman" w:hAnsiTheme="minorHAnsi"/>
          <w:b/>
          <w:szCs w:val="20"/>
          <w:u w:val="single"/>
          <w:lang w:val="en-GB"/>
        </w:rPr>
        <w:t>Proposed project interventions for the pilot PAs</w:t>
      </w:r>
    </w:p>
    <w:p w14:paraId="3B032600" w14:textId="29484394" w:rsidR="00CC77A8" w:rsidRPr="003B6A69" w:rsidRDefault="00CC77A8" w:rsidP="00661293">
      <w:pPr>
        <w:widowControl w:val="0"/>
        <w:autoSpaceDE w:val="0"/>
        <w:autoSpaceDN w:val="0"/>
        <w:adjustRightInd w:val="0"/>
        <w:spacing w:after="120"/>
        <w:ind w:right="90"/>
        <w:rPr>
          <w:rFonts w:asciiTheme="minorHAnsi" w:eastAsiaTheme="minorHAnsi" w:hAnsiTheme="minorHAnsi" w:cstheme="minorBidi"/>
          <w:spacing w:val="-2"/>
          <w:szCs w:val="20"/>
          <w:lang w:val="en-GB"/>
        </w:rPr>
      </w:pPr>
      <w:r w:rsidRPr="003B6A69">
        <w:rPr>
          <w:rFonts w:eastAsiaTheme="minorHAnsi" w:cstheme="minorBidi"/>
          <w:szCs w:val="20"/>
          <w:lang w:val="en-GB"/>
        </w:rPr>
        <w:t xml:space="preserve">The rationale and justification for the selection </w:t>
      </w:r>
      <w:r w:rsidRPr="003B6A69">
        <w:rPr>
          <w:rFonts w:eastAsiaTheme="minorHAnsi" w:cstheme="minorBidi"/>
          <w:spacing w:val="-2"/>
          <w:szCs w:val="20"/>
          <w:lang w:val="en-GB"/>
        </w:rPr>
        <w:t>of the project pilot PAs</w:t>
      </w:r>
      <w:r w:rsidRPr="003B6A69">
        <w:rPr>
          <w:rFonts w:eastAsiaTheme="minorHAnsi" w:cstheme="minorBidi"/>
          <w:szCs w:val="20"/>
          <w:lang w:val="en-GB"/>
        </w:rPr>
        <w:t xml:space="preserve"> at the project preparatory phase (PPG) was as follows. The pilot PAs correspond to the KBAs that are the geographical focus of the GEF 7 intervention. To claim direct impact, the GEF is supposed to provide a meaningful incremental support to the corresponding effort at the national and local levels. The desired impact should be attainable within 5 years of project implementation, and there should be no un-manageable risks hampering the project's progress for a particular area. The existing conflicts should be well assessed and the GEF intervention planned so that it does not aggravate the existing issues and </w:t>
      </w:r>
      <w:proofErr w:type="gramStart"/>
      <w:r w:rsidRPr="003B6A69">
        <w:rPr>
          <w:rFonts w:eastAsiaTheme="minorHAnsi" w:cstheme="minorBidi"/>
          <w:szCs w:val="20"/>
          <w:lang w:val="en-GB"/>
        </w:rPr>
        <w:t>problems, but</w:t>
      </w:r>
      <w:proofErr w:type="gramEnd"/>
      <w:r w:rsidRPr="003B6A69">
        <w:rPr>
          <w:rFonts w:eastAsiaTheme="minorHAnsi" w:cstheme="minorBidi"/>
          <w:szCs w:val="20"/>
          <w:lang w:val="en-GB"/>
        </w:rPr>
        <w:t xml:space="preserve"> provides functional solutions. The project will have to be able to demonstrate threat reduction for pilot PAs/KBAs, better</w:t>
      </w:r>
      <w:r w:rsidRPr="003B6A69">
        <w:rPr>
          <w:rFonts w:asciiTheme="minorHAnsi" w:eastAsiaTheme="minorHAnsi" w:hAnsiTheme="minorHAnsi" w:cstheme="minorBidi"/>
          <w:szCs w:val="20"/>
          <w:lang w:val="en-GB"/>
        </w:rPr>
        <w:t xml:space="preserve"> protection/management and corresponding stability/increase in key biodiversity indicators for the areas. </w:t>
      </w:r>
      <w:r w:rsidRPr="003B6A69">
        <w:rPr>
          <w:rFonts w:asciiTheme="minorHAnsi" w:eastAsiaTheme="minorHAnsi" w:hAnsiTheme="minorHAnsi" w:cstheme="minorBidi"/>
          <w:spacing w:val="-2"/>
          <w:szCs w:val="20"/>
          <w:lang w:val="en-GB"/>
        </w:rPr>
        <w:t xml:space="preserve">   </w:t>
      </w:r>
    </w:p>
    <w:p w14:paraId="65F64992" w14:textId="77777777" w:rsidR="008C4F26" w:rsidRPr="003B6A69" w:rsidRDefault="008C4F26" w:rsidP="00661293">
      <w:pPr>
        <w:spacing w:after="120"/>
        <w:jc w:val="left"/>
        <w:rPr>
          <w:rFonts w:asciiTheme="minorHAnsi" w:eastAsiaTheme="minorHAnsi" w:hAnsiTheme="minorHAnsi" w:cstheme="minorBidi"/>
          <w:b/>
          <w:i/>
          <w:szCs w:val="20"/>
          <w:lang w:val="en-GB"/>
        </w:rPr>
      </w:pPr>
      <w:r w:rsidRPr="003B6A69">
        <w:rPr>
          <w:rFonts w:cs="Calibri"/>
          <w:bCs/>
          <w:szCs w:val="20"/>
          <w:lang w:val="en-GB"/>
        </w:rPr>
        <w:t xml:space="preserve">The PPG phase feasibility analysis and extensive consultations with the Government have confirmed the pilot protected areas/international nominations for the future focus of the UNDP-GEF project. The common features of these areas are a combination of their national PA status and international recognition as global biodiversity hot-spots, and a need of urgent actions preventing biodiversity loss and securing the BD values within the parameters of eligibility for international protection status. The project interventions will focus on National Park </w:t>
      </w:r>
      <w:proofErr w:type="spellStart"/>
      <w:r w:rsidRPr="003B6A69">
        <w:rPr>
          <w:rFonts w:cs="Calibri"/>
          <w:bCs/>
          <w:szCs w:val="20"/>
          <w:lang w:val="en-GB"/>
        </w:rPr>
        <w:t>Durmitor</w:t>
      </w:r>
      <w:proofErr w:type="spellEnd"/>
      <w:r w:rsidRPr="003B6A69">
        <w:rPr>
          <w:rFonts w:cs="Calibri"/>
          <w:bCs/>
          <w:szCs w:val="20"/>
          <w:lang w:val="en-GB"/>
        </w:rPr>
        <w:t xml:space="preserve"> and Nature Park </w:t>
      </w:r>
      <w:proofErr w:type="spellStart"/>
      <w:r w:rsidRPr="003B6A69">
        <w:rPr>
          <w:rFonts w:cs="Calibri"/>
          <w:bCs/>
          <w:szCs w:val="20"/>
          <w:lang w:val="en-GB"/>
        </w:rPr>
        <w:t>Dragisnica</w:t>
      </w:r>
      <w:proofErr w:type="spellEnd"/>
      <w:r w:rsidRPr="003B6A69">
        <w:rPr>
          <w:rFonts w:cs="Calibri"/>
          <w:bCs/>
          <w:szCs w:val="20"/>
          <w:lang w:val="en-GB"/>
        </w:rPr>
        <w:t xml:space="preserve"> and </w:t>
      </w:r>
      <w:proofErr w:type="spellStart"/>
      <w:r w:rsidRPr="003B6A69">
        <w:rPr>
          <w:rFonts w:cs="Calibri"/>
          <w:bCs/>
          <w:szCs w:val="20"/>
          <w:lang w:val="en-GB"/>
        </w:rPr>
        <w:t>Komarnica</w:t>
      </w:r>
      <w:proofErr w:type="spellEnd"/>
      <w:r w:rsidRPr="003B6A69">
        <w:rPr>
          <w:rFonts w:cs="Calibri"/>
          <w:bCs/>
          <w:szCs w:val="20"/>
          <w:lang w:val="en-GB"/>
        </w:rPr>
        <w:t xml:space="preserve"> in relation to UNESCO World Heritage status; National Park </w:t>
      </w:r>
      <w:proofErr w:type="spellStart"/>
      <w:r w:rsidRPr="003B6A69">
        <w:rPr>
          <w:rFonts w:cs="Calibri"/>
          <w:bCs/>
          <w:szCs w:val="20"/>
          <w:lang w:val="en-GB"/>
        </w:rPr>
        <w:t>Biogradska</w:t>
      </w:r>
      <w:proofErr w:type="spellEnd"/>
      <w:r w:rsidRPr="003B6A69">
        <w:rPr>
          <w:rFonts w:cs="Calibri"/>
          <w:bCs/>
          <w:szCs w:val="20"/>
          <w:lang w:val="en-GB"/>
        </w:rPr>
        <w:t xml:space="preserve"> Gora, Nature parks </w:t>
      </w:r>
      <w:proofErr w:type="spellStart"/>
      <w:r w:rsidRPr="003B6A69">
        <w:rPr>
          <w:rFonts w:cs="Calibri"/>
          <w:bCs/>
          <w:szCs w:val="20"/>
          <w:lang w:val="en-GB"/>
        </w:rPr>
        <w:t>Piva</w:t>
      </w:r>
      <w:proofErr w:type="spellEnd"/>
      <w:r w:rsidRPr="003B6A69">
        <w:rPr>
          <w:rFonts w:cs="Calibri"/>
          <w:bCs/>
          <w:szCs w:val="20"/>
          <w:lang w:val="en-GB"/>
        </w:rPr>
        <w:t xml:space="preserve"> and </w:t>
      </w:r>
      <w:proofErr w:type="spellStart"/>
      <w:r w:rsidRPr="003B6A69">
        <w:rPr>
          <w:rFonts w:cs="Calibri"/>
          <w:bCs/>
          <w:szCs w:val="20"/>
          <w:lang w:val="en-GB"/>
        </w:rPr>
        <w:t>Komovi</w:t>
      </w:r>
      <w:proofErr w:type="spellEnd"/>
      <w:r w:rsidRPr="003B6A69">
        <w:rPr>
          <w:rFonts w:cs="Calibri"/>
          <w:bCs/>
          <w:szCs w:val="20"/>
          <w:lang w:val="en-GB"/>
        </w:rPr>
        <w:t xml:space="preserve"> in relation to Tara River Watershed UNESCO Man and Biosphere Reserve; National Park </w:t>
      </w:r>
      <w:proofErr w:type="spellStart"/>
      <w:r w:rsidRPr="003B6A69">
        <w:rPr>
          <w:rFonts w:cs="Calibri"/>
          <w:bCs/>
          <w:szCs w:val="20"/>
          <w:lang w:val="en-GB"/>
        </w:rPr>
        <w:t>Skadar</w:t>
      </w:r>
      <w:proofErr w:type="spellEnd"/>
      <w:r w:rsidRPr="003B6A69">
        <w:rPr>
          <w:rFonts w:cs="Calibri"/>
          <w:bCs/>
          <w:szCs w:val="20"/>
          <w:lang w:val="en-GB"/>
        </w:rPr>
        <w:t xml:space="preserve"> Lake and </w:t>
      </w:r>
      <w:proofErr w:type="spellStart"/>
      <w:r w:rsidRPr="003B6A69">
        <w:rPr>
          <w:rFonts w:cs="Calibri"/>
          <w:bCs/>
          <w:szCs w:val="20"/>
          <w:lang w:val="en-GB"/>
        </w:rPr>
        <w:t>Ulcinjska</w:t>
      </w:r>
      <w:proofErr w:type="spellEnd"/>
      <w:r w:rsidRPr="003B6A69">
        <w:rPr>
          <w:rFonts w:cs="Calibri"/>
          <w:bCs/>
          <w:szCs w:val="20"/>
          <w:lang w:val="en-GB"/>
        </w:rPr>
        <w:t xml:space="preserve"> Solana Nature Park in relation to Ramsar.</w:t>
      </w:r>
    </w:p>
    <w:p w14:paraId="34714C9E" w14:textId="77777777" w:rsidR="008C4F26" w:rsidRPr="003B6A69" w:rsidRDefault="008C4F26" w:rsidP="00661293">
      <w:pPr>
        <w:spacing w:after="120"/>
        <w:jc w:val="left"/>
        <w:rPr>
          <w:rFonts w:asciiTheme="minorHAnsi" w:eastAsiaTheme="minorHAnsi" w:hAnsiTheme="minorHAnsi" w:cstheme="minorBidi"/>
          <w:szCs w:val="20"/>
          <w:lang w:val="en-GB"/>
        </w:rPr>
      </w:pPr>
      <w:proofErr w:type="spellStart"/>
      <w:r w:rsidRPr="003B6A69">
        <w:rPr>
          <w:rFonts w:asciiTheme="minorHAnsi" w:eastAsiaTheme="minorHAnsi" w:hAnsiTheme="minorHAnsi" w:cstheme="minorBidi"/>
          <w:b/>
          <w:i/>
          <w:szCs w:val="20"/>
          <w:lang w:val="en-GB"/>
        </w:rPr>
        <w:t>Durmitor</w:t>
      </w:r>
      <w:proofErr w:type="spellEnd"/>
      <w:r w:rsidRPr="003B6A69">
        <w:rPr>
          <w:rFonts w:asciiTheme="minorHAnsi" w:eastAsiaTheme="minorHAnsi" w:hAnsiTheme="minorHAnsi" w:cstheme="minorBidi"/>
          <w:b/>
          <w:i/>
          <w:szCs w:val="20"/>
          <w:lang w:val="en-GB"/>
        </w:rPr>
        <w:t xml:space="preserve"> National Park </w:t>
      </w:r>
    </w:p>
    <w:p w14:paraId="7995166C" w14:textId="77777777" w:rsidR="008C4F26" w:rsidRPr="003B6A69" w:rsidRDefault="008C4F26" w:rsidP="00661293">
      <w:pPr>
        <w:spacing w:after="120"/>
        <w:rPr>
          <w:rFonts w:asciiTheme="minorHAnsi" w:eastAsiaTheme="minorHAnsi" w:hAnsiTheme="minorHAnsi" w:cstheme="minorBidi"/>
          <w:szCs w:val="20"/>
          <w:lang w:val="en-GB"/>
        </w:rPr>
      </w:pPr>
      <w:r w:rsidRPr="003B6A69">
        <w:rPr>
          <w:rFonts w:asciiTheme="minorHAnsi" w:eastAsiaTheme="minorHAnsi" w:hAnsiTheme="minorHAnsi" w:cstheme="minorBidi"/>
          <w:szCs w:val="20"/>
          <w:lang w:val="en-GB"/>
        </w:rPr>
        <w:t xml:space="preserve">Located in the northwest of Montenegro, the park encompasses the main </w:t>
      </w:r>
      <w:proofErr w:type="spellStart"/>
      <w:r w:rsidRPr="003B6A69">
        <w:rPr>
          <w:rFonts w:asciiTheme="minorHAnsi" w:eastAsiaTheme="minorHAnsi" w:hAnsiTheme="minorHAnsi" w:cstheme="minorBidi"/>
          <w:szCs w:val="20"/>
          <w:lang w:val="en-GB"/>
        </w:rPr>
        <w:t>Durmitor</w:t>
      </w:r>
      <w:proofErr w:type="spellEnd"/>
      <w:r w:rsidRPr="003B6A69">
        <w:rPr>
          <w:rFonts w:asciiTheme="minorHAnsi" w:eastAsiaTheme="minorHAnsi" w:hAnsiTheme="minorHAnsi" w:cstheme="minorBidi"/>
          <w:szCs w:val="20"/>
          <w:lang w:val="en-GB"/>
        </w:rPr>
        <w:t xml:space="preserve"> massif with the canyons of Tara, </w:t>
      </w:r>
      <w:proofErr w:type="spellStart"/>
      <w:r w:rsidRPr="003B6A69">
        <w:rPr>
          <w:rFonts w:asciiTheme="minorHAnsi" w:eastAsiaTheme="minorHAnsi" w:hAnsiTheme="minorHAnsi" w:cstheme="minorBidi"/>
          <w:szCs w:val="20"/>
          <w:lang w:val="en-GB"/>
        </w:rPr>
        <w:t>Draga</w:t>
      </w:r>
      <w:proofErr w:type="spellEnd"/>
      <w:r w:rsidRPr="003B6A69">
        <w:rPr>
          <w:rFonts w:asciiTheme="minorHAnsi" w:eastAsiaTheme="minorHAnsi" w:hAnsiTheme="minorHAnsi" w:cstheme="minorBidi"/>
          <w:szCs w:val="20"/>
          <w:lang w:val="en-GB"/>
        </w:rPr>
        <w:t xml:space="preserve"> and </w:t>
      </w:r>
      <w:proofErr w:type="spellStart"/>
      <w:r w:rsidRPr="003B6A69">
        <w:rPr>
          <w:rFonts w:asciiTheme="minorHAnsi" w:eastAsiaTheme="minorHAnsi" w:hAnsiTheme="minorHAnsi" w:cstheme="minorBidi"/>
          <w:szCs w:val="20"/>
          <w:lang w:val="en-GB"/>
        </w:rPr>
        <w:t>Susica</w:t>
      </w:r>
      <w:proofErr w:type="spellEnd"/>
      <w:r w:rsidRPr="003B6A69">
        <w:rPr>
          <w:rFonts w:asciiTheme="minorHAnsi" w:eastAsiaTheme="minorHAnsi" w:hAnsiTheme="minorHAnsi" w:cstheme="minorBidi"/>
          <w:szCs w:val="20"/>
          <w:lang w:val="en-GB"/>
        </w:rPr>
        <w:t xml:space="preserve"> and the upper part of the </w:t>
      </w:r>
      <w:proofErr w:type="spellStart"/>
      <w:r w:rsidRPr="003B6A69">
        <w:rPr>
          <w:rFonts w:asciiTheme="minorHAnsi" w:eastAsiaTheme="minorHAnsi" w:hAnsiTheme="minorHAnsi" w:cstheme="minorBidi"/>
          <w:szCs w:val="20"/>
          <w:lang w:val="en-GB"/>
        </w:rPr>
        <w:t>Komarnica</w:t>
      </w:r>
      <w:proofErr w:type="spellEnd"/>
      <w:r w:rsidRPr="003B6A69">
        <w:rPr>
          <w:rFonts w:asciiTheme="minorHAnsi" w:eastAsiaTheme="minorHAnsi" w:hAnsiTheme="minorHAnsi" w:cstheme="minorBidi"/>
          <w:szCs w:val="20"/>
          <w:lang w:val="en-GB"/>
        </w:rPr>
        <w:t xml:space="preserve"> valley. </w:t>
      </w:r>
      <w:proofErr w:type="spellStart"/>
      <w:r w:rsidRPr="003B6A69">
        <w:rPr>
          <w:rFonts w:asciiTheme="minorHAnsi" w:eastAsiaTheme="minorHAnsi" w:hAnsiTheme="minorHAnsi" w:cstheme="minorBidi"/>
          <w:szCs w:val="20"/>
          <w:lang w:val="en-GB"/>
        </w:rPr>
        <w:t>Durmitor</w:t>
      </w:r>
      <w:proofErr w:type="spellEnd"/>
      <w:r w:rsidRPr="003B6A69">
        <w:rPr>
          <w:rFonts w:asciiTheme="minorHAnsi" w:eastAsiaTheme="minorHAnsi" w:hAnsiTheme="minorHAnsi" w:cstheme="minorBidi"/>
          <w:szCs w:val="20"/>
          <w:lang w:val="en-GB"/>
        </w:rPr>
        <w:t xml:space="preserve"> area is a vast plateau at 1500 m above sea level, cut by deep canyons valleys and from which mountain peaks rise, of which 48 with over 2,000 m above sea level. The highest is </w:t>
      </w:r>
      <w:proofErr w:type="spellStart"/>
      <w:r w:rsidRPr="003B6A69">
        <w:rPr>
          <w:rFonts w:asciiTheme="minorHAnsi" w:eastAsiaTheme="minorHAnsi" w:hAnsiTheme="minorHAnsi" w:cstheme="minorBidi"/>
          <w:szCs w:val="20"/>
          <w:lang w:val="en-GB"/>
        </w:rPr>
        <w:t>Bobotov</w:t>
      </w:r>
      <w:proofErr w:type="spellEnd"/>
      <w:r w:rsidRPr="003B6A69">
        <w:rPr>
          <w:rFonts w:asciiTheme="minorHAnsi" w:eastAsiaTheme="minorHAnsi" w:hAnsiTheme="minorHAnsi" w:cstheme="minorBidi"/>
          <w:szCs w:val="20"/>
          <w:lang w:val="en-GB"/>
        </w:rPr>
        <w:t xml:space="preserve"> </w:t>
      </w:r>
      <w:proofErr w:type="spellStart"/>
      <w:proofErr w:type="gramStart"/>
      <w:r w:rsidRPr="003B6A69">
        <w:rPr>
          <w:rFonts w:asciiTheme="minorHAnsi" w:eastAsiaTheme="minorHAnsi" w:hAnsiTheme="minorHAnsi" w:cstheme="minorBidi"/>
          <w:szCs w:val="20"/>
          <w:lang w:val="en-GB"/>
        </w:rPr>
        <w:t>kuk</w:t>
      </w:r>
      <w:proofErr w:type="spellEnd"/>
      <w:r w:rsidRPr="003B6A69">
        <w:rPr>
          <w:rFonts w:asciiTheme="minorHAnsi" w:eastAsiaTheme="minorHAnsi" w:hAnsiTheme="minorHAnsi" w:cstheme="minorBidi"/>
          <w:szCs w:val="20"/>
          <w:lang w:val="en-GB"/>
        </w:rPr>
        <w:t xml:space="preserve">  with</w:t>
      </w:r>
      <w:proofErr w:type="gramEnd"/>
      <w:r w:rsidRPr="003B6A69">
        <w:rPr>
          <w:rFonts w:asciiTheme="minorHAnsi" w:eastAsiaTheme="minorHAnsi" w:hAnsiTheme="minorHAnsi" w:cstheme="minorBidi"/>
          <w:szCs w:val="20"/>
          <w:lang w:val="en-GB"/>
        </w:rPr>
        <w:t xml:space="preserve"> 2523 meters above sea level. The total area of </w:t>
      </w:r>
      <w:proofErr w:type="spellStart"/>
      <w:r w:rsidRPr="003B6A69">
        <w:rPr>
          <w:rFonts w:asciiTheme="minorHAnsi" w:eastAsiaTheme="minorHAnsi" w:hAnsiTheme="minorHAnsi" w:cstheme="minorBidi"/>
          <w:szCs w:val="20"/>
          <w:lang w:val="en-GB"/>
        </w:rPr>
        <w:t>Durmitor</w:t>
      </w:r>
      <w:proofErr w:type="spellEnd"/>
      <w:r w:rsidRPr="003B6A69">
        <w:rPr>
          <w:rFonts w:asciiTheme="minorHAnsi" w:eastAsiaTheme="minorHAnsi" w:hAnsiTheme="minorHAnsi" w:cstheme="minorBidi"/>
          <w:szCs w:val="20"/>
          <w:lang w:val="en-GB"/>
        </w:rPr>
        <w:t xml:space="preserve"> National Park is 32.519 ha and covers parts of the municipalities of </w:t>
      </w:r>
      <w:proofErr w:type="spellStart"/>
      <w:r w:rsidRPr="003B6A69">
        <w:rPr>
          <w:rFonts w:asciiTheme="minorHAnsi" w:eastAsiaTheme="minorHAnsi" w:hAnsiTheme="minorHAnsi" w:cstheme="minorBidi"/>
          <w:szCs w:val="20"/>
          <w:lang w:val="en-GB"/>
        </w:rPr>
        <w:t>Zabljak</w:t>
      </w:r>
      <w:proofErr w:type="spellEnd"/>
      <w:r w:rsidRPr="003B6A69">
        <w:rPr>
          <w:rFonts w:asciiTheme="minorHAnsi" w:eastAsiaTheme="minorHAnsi" w:hAnsiTheme="minorHAnsi" w:cstheme="minorBidi"/>
          <w:szCs w:val="20"/>
          <w:lang w:val="en-GB"/>
        </w:rPr>
        <w:t xml:space="preserve">, </w:t>
      </w:r>
      <w:proofErr w:type="spellStart"/>
      <w:r w:rsidRPr="003B6A69">
        <w:rPr>
          <w:rFonts w:asciiTheme="minorHAnsi" w:eastAsiaTheme="minorHAnsi" w:hAnsiTheme="minorHAnsi" w:cstheme="minorBidi"/>
          <w:szCs w:val="20"/>
          <w:lang w:val="en-GB"/>
        </w:rPr>
        <w:t>Mojkovac</w:t>
      </w:r>
      <w:proofErr w:type="spellEnd"/>
      <w:r w:rsidRPr="003B6A69">
        <w:rPr>
          <w:rFonts w:asciiTheme="minorHAnsi" w:eastAsiaTheme="minorHAnsi" w:hAnsiTheme="minorHAnsi" w:cstheme="minorBidi"/>
          <w:szCs w:val="20"/>
          <w:lang w:val="en-GB"/>
        </w:rPr>
        <w:t xml:space="preserve">, </w:t>
      </w:r>
      <w:proofErr w:type="spellStart"/>
      <w:r w:rsidRPr="003B6A69">
        <w:rPr>
          <w:rFonts w:asciiTheme="minorHAnsi" w:eastAsiaTheme="minorHAnsi" w:hAnsiTheme="minorHAnsi" w:cstheme="minorBidi"/>
          <w:szCs w:val="20"/>
          <w:lang w:val="en-GB"/>
        </w:rPr>
        <w:t>Savnik</w:t>
      </w:r>
      <w:proofErr w:type="spellEnd"/>
      <w:r w:rsidRPr="003B6A69">
        <w:rPr>
          <w:rFonts w:asciiTheme="minorHAnsi" w:eastAsiaTheme="minorHAnsi" w:hAnsiTheme="minorHAnsi" w:cstheme="minorBidi"/>
          <w:szCs w:val="20"/>
          <w:lang w:val="en-GB"/>
        </w:rPr>
        <w:t xml:space="preserve">, </w:t>
      </w:r>
      <w:proofErr w:type="spellStart"/>
      <w:r w:rsidRPr="003B6A69">
        <w:rPr>
          <w:rFonts w:asciiTheme="minorHAnsi" w:eastAsiaTheme="minorHAnsi" w:hAnsiTheme="minorHAnsi" w:cstheme="minorBidi"/>
          <w:szCs w:val="20"/>
          <w:lang w:val="en-GB"/>
        </w:rPr>
        <w:t>Pluzine</w:t>
      </w:r>
      <w:proofErr w:type="spellEnd"/>
      <w:r w:rsidRPr="003B6A69">
        <w:rPr>
          <w:rFonts w:asciiTheme="minorHAnsi" w:eastAsiaTheme="minorHAnsi" w:hAnsiTheme="minorHAnsi" w:cstheme="minorBidi"/>
          <w:szCs w:val="20"/>
          <w:lang w:val="en-GB"/>
        </w:rPr>
        <w:t xml:space="preserve"> and </w:t>
      </w:r>
      <w:proofErr w:type="spellStart"/>
      <w:r w:rsidRPr="003B6A69">
        <w:rPr>
          <w:rFonts w:asciiTheme="minorHAnsi" w:eastAsiaTheme="minorHAnsi" w:hAnsiTheme="minorHAnsi" w:cstheme="minorBidi"/>
          <w:szCs w:val="20"/>
          <w:lang w:val="en-GB"/>
        </w:rPr>
        <w:t>Pljevlja</w:t>
      </w:r>
      <w:proofErr w:type="spellEnd"/>
      <w:r w:rsidRPr="003B6A69">
        <w:rPr>
          <w:rFonts w:asciiTheme="minorHAnsi" w:eastAsiaTheme="minorHAnsi" w:hAnsiTheme="minorHAnsi" w:cstheme="minorBidi"/>
          <w:szCs w:val="20"/>
          <w:lang w:val="en-GB"/>
        </w:rPr>
        <w:t xml:space="preserve">. The National Park was proclaimed in 1952. Since 1980 it is listed on the UNESCO World Heritage List as a natural asset of exceptional universal values. In addition to being on the UNESCO list of protected areas, </w:t>
      </w:r>
      <w:proofErr w:type="spellStart"/>
      <w:r w:rsidRPr="003B6A69">
        <w:rPr>
          <w:rFonts w:asciiTheme="minorHAnsi" w:eastAsiaTheme="minorHAnsi" w:hAnsiTheme="minorHAnsi" w:cstheme="minorBidi"/>
          <w:szCs w:val="20"/>
          <w:lang w:val="en-GB"/>
        </w:rPr>
        <w:t>Durmitor</w:t>
      </w:r>
      <w:proofErr w:type="spellEnd"/>
      <w:r w:rsidRPr="003B6A69">
        <w:rPr>
          <w:rFonts w:asciiTheme="minorHAnsi" w:eastAsiaTheme="minorHAnsi" w:hAnsiTheme="minorHAnsi" w:cstheme="minorBidi"/>
          <w:szCs w:val="20"/>
          <w:lang w:val="en-GB"/>
        </w:rPr>
        <w:t xml:space="preserve"> and Tara Canyon have also been identified as Important Plant Area (IPA) - significant for the conservation of rare, </w:t>
      </w:r>
      <w:proofErr w:type="gramStart"/>
      <w:r w:rsidRPr="003B6A69">
        <w:rPr>
          <w:rFonts w:asciiTheme="minorHAnsi" w:eastAsiaTheme="minorHAnsi" w:hAnsiTheme="minorHAnsi" w:cstheme="minorBidi"/>
          <w:szCs w:val="20"/>
          <w:lang w:val="en-GB"/>
        </w:rPr>
        <w:t>endemic</w:t>
      </w:r>
      <w:proofErr w:type="gramEnd"/>
      <w:r w:rsidRPr="003B6A69">
        <w:rPr>
          <w:rFonts w:asciiTheme="minorHAnsi" w:eastAsiaTheme="minorHAnsi" w:hAnsiTheme="minorHAnsi" w:cstheme="minorBidi"/>
          <w:szCs w:val="20"/>
          <w:lang w:val="en-GB"/>
        </w:rPr>
        <w:t xml:space="preserve"> and endangered plant species, both as Emerald and Natura areas, by application Berne Conventions and EU Habitat Directives. In addition, as mentioned in the previous paragraphs, the Tara River Basin is under UNESCO protection under the Man and Biosphere Program (MAB) since 1977 and entire territory of </w:t>
      </w:r>
      <w:proofErr w:type="spellStart"/>
      <w:r w:rsidRPr="003B6A69">
        <w:rPr>
          <w:rFonts w:asciiTheme="minorHAnsi" w:eastAsiaTheme="minorHAnsi" w:hAnsiTheme="minorHAnsi" w:cstheme="minorBidi"/>
          <w:szCs w:val="20"/>
          <w:lang w:val="en-GB"/>
        </w:rPr>
        <w:t>Durmitor</w:t>
      </w:r>
      <w:proofErr w:type="spellEnd"/>
      <w:r w:rsidRPr="003B6A69">
        <w:rPr>
          <w:rFonts w:asciiTheme="minorHAnsi" w:eastAsiaTheme="minorHAnsi" w:hAnsiTheme="minorHAnsi" w:cstheme="minorBidi"/>
          <w:szCs w:val="20"/>
          <w:lang w:val="en-GB"/>
        </w:rPr>
        <w:t xml:space="preserve"> National park is part of the MAB. The seat of the NP </w:t>
      </w:r>
      <w:proofErr w:type="spellStart"/>
      <w:r w:rsidRPr="003B6A69">
        <w:rPr>
          <w:rFonts w:asciiTheme="minorHAnsi" w:eastAsiaTheme="minorHAnsi" w:hAnsiTheme="minorHAnsi" w:cstheme="minorBidi"/>
          <w:szCs w:val="20"/>
          <w:lang w:val="en-GB"/>
        </w:rPr>
        <w:t>Durmitor</w:t>
      </w:r>
      <w:proofErr w:type="spellEnd"/>
      <w:r w:rsidRPr="003B6A69">
        <w:rPr>
          <w:rFonts w:asciiTheme="minorHAnsi" w:eastAsiaTheme="minorHAnsi" w:hAnsiTheme="minorHAnsi" w:cstheme="minorBidi"/>
          <w:szCs w:val="20"/>
          <w:lang w:val="en-GB"/>
        </w:rPr>
        <w:t xml:space="preserve"> is in </w:t>
      </w:r>
      <w:proofErr w:type="spellStart"/>
      <w:r w:rsidRPr="003B6A69">
        <w:rPr>
          <w:rFonts w:asciiTheme="minorHAnsi" w:eastAsiaTheme="minorHAnsi" w:hAnsiTheme="minorHAnsi" w:cstheme="minorBidi"/>
          <w:szCs w:val="20"/>
          <w:lang w:val="en-GB"/>
        </w:rPr>
        <w:t>Zabljak</w:t>
      </w:r>
      <w:proofErr w:type="spellEnd"/>
      <w:r w:rsidRPr="003B6A69">
        <w:rPr>
          <w:rFonts w:asciiTheme="minorHAnsi" w:eastAsiaTheme="minorHAnsi" w:hAnsiTheme="minorHAnsi" w:cstheme="minorBidi"/>
          <w:szCs w:val="20"/>
          <w:lang w:val="en-GB"/>
        </w:rPr>
        <w:t xml:space="preserve">. </w:t>
      </w:r>
    </w:p>
    <w:p w14:paraId="678A22F2" w14:textId="77777777" w:rsidR="008C4F26" w:rsidRPr="003B6A69" w:rsidRDefault="008C4F26" w:rsidP="00661293">
      <w:pPr>
        <w:spacing w:after="120"/>
        <w:rPr>
          <w:rFonts w:asciiTheme="minorHAnsi" w:eastAsiaTheme="minorHAnsi" w:hAnsiTheme="minorHAnsi" w:cstheme="minorBidi"/>
          <w:szCs w:val="20"/>
          <w:lang w:val="en-GB"/>
        </w:rPr>
      </w:pPr>
      <w:r w:rsidRPr="003B6A69">
        <w:rPr>
          <w:rFonts w:asciiTheme="minorHAnsi" w:eastAsiaTheme="minorHAnsi" w:hAnsiTheme="minorHAnsi" w:cstheme="minorBidi"/>
          <w:szCs w:val="20"/>
          <w:lang w:val="en-GB"/>
        </w:rPr>
        <w:t xml:space="preserve">The park’s surface and design include all main habitats and landscape features. The park is in contact with the nature parks </w:t>
      </w:r>
      <w:proofErr w:type="spellStart"/>
      <w:r w:rsidRPr="003B6A69">
        <w:rPr>
          <w:rFonts w:asciiTheme="minorHAnsi" w:eastAsiaTheme="minorHAnsi" w:hAnsiTheme="minorHAnsi" w:cstheme="minorBidi"/>
          <w:szCs w:val="20"/>
          <w:lang w:val="en-GB"/>
        </w:rPr>
        <w:t>Piva</w:t>
      </w:r>
      <w:proofErr w:type="spellEnd"/>
      <w:r w:rsidRPr="003B6A69">
        <w:rPr>
          <w:rFonts w:asciiTheme="minorHAnsi" w:eastAsiaTheme="minorHAnsi" w:hAnsiTheme="minorHAnsi" w:cstheme="minorBidi"/>
          <w:szCs w:val="20"/>
          <w:lang w:val="en-GB"/>
        </w:rPr>
        <w:t xml:space="preserve"> and </w:t>
      </w:r>
      <w:proofErr w:type="spellStart"/>
      <w:r w:rsidRPr="003B6A69">
        <w:rPr>
          <w:rFonts w:asciiTheme="minorHAnsi" w:eastAsiaTheme="minorHAnsi" w:hAnsiTheme="minorHAnsi" w:cstheme="minorBidi"/>
          <w:szCs w:val="20"/>
          <w:lang w:val="en-GB"/>
        </w:rPr>
        <w:t>Dragisnica</w:t>
      </w:r>
      <w:proofErr w:type="spellEnd"/>
      <w:r w:rsidRPr="003B6A69">
        <w:rPr>
          <w:rFonts w:asciiTheme="minorHAnsi" w:eastAsiaTheme="minorHAnsi" w:hAnsiTheme="minorHAnsi" w:cstheme="minorBidi"/>
          <w:szCs w:val="20"/>
          <w:lang w:val="en-GB"/>
        </w:rPr>
        <w:t xml:space="preserve"> and </w:t>
      </w:r>
      <w:proofErr w:type="spellStart"/>
      <w:r w:rsidRPr="003B6A69">
        <w:rPr>
          <w:rFonts w:asciiTheme="minorHAnsi" w:eastAsiaTheme="minorHAnsi" w:hAnsiTheme="minorHAnsi" w:cstheme="minorBidi"/>
          <w:szCs w:val="20"/>
          <w:lang w:val="en-GB"/>
        </w:rPr>
        <w:t>Komarnica</w:t>
      </w:r>
      <w:proofErr w:type="spellEnd"/>
      <w:r w:rsidRPr="003B6A69">
        <w:rPr>
          <w:rFonts w:asciiTheme="minorHAnsi" w:eastAsiaTheme="minorHAnsi" w:hAnsiTheme="minorHAnsi" w:cstheme="minorBidi"/>
          <w:szCs w:val="20"/>
          <w:lang w:val="en-GB"/>
        </w:rPr>
        <w:t xml:space="preserve">, and together with them presents a continuous natural corridor. </w:t>
      </w:r>
    </w:p>
    <w:p w14:paraId="396B858A" w14:textId="77777777" w:rsidR="008C4F26" w:rsidRPr="003B6A69" w:rsidRDefault="008C4F26" w:rsidP="00661293">
      <w:pPr>
        <w:spacing w:after="120"/>
        <w:rPr>
          <w:rFonts w:asciiTheme="minorHAnsi" w:eastAsiaTheme="minorHAnsi" w:hAnsiTheme="minorHAnsi" w:cstheme="minorBidi"/>
          <w:szCs w:val="20"/>
          <w:lang w:val="en-GB"/>
        </w:rPr>
      </w:pPr>
      <w:r w:rsidRPr="003B6A69">
        <w:rPr>
          <w:rFonts w:asciiTheme="minorHAnsi" w:eastAsiaTheme="minorHAnsi" w:hAnsiTheme="minorHAnsi" w:cstheme="minorBidi"/>
          <w:szCs w:val="20"/>
          <w:lang w:val="en-GB"/>
        </w:rPr>
        <w:t xml:space="preserve">As described above, the main pressures to the region include tourism and forestry. In 2019, the legal department pressed 12 charges </w:t>
      </w:r>
      <w:proofErr w:type="gramStart"/>
      <w:r w:rsidRPr="003B6A69">
        <w:rPr>
          <w:rFonts w:asciiTheme="minorHAnsi" w:eastAsiaTheme="minorHAnsi" w:hAnsiTheme="minorHAnsi" w:cstheme="minorBidi"/>
          <w:szCs w:val="20"/>
          <w:lang w:val="en-GB"/>
        </w:rPr>
        <w:t>on the basis of</w:t>
      </w:r>
      <w:proofErr w:type="gramEnd"/>
      <w:r w:rsidRPr="003B6A69">
        <w:rPr>
          <w:rFonts w:asciiTheme="minorHAnsi" w:eastAsiaTheme="minorHAnsi" w:hAnsiTheme="minorHAnsi" w:cstheme="minorBidi"/>
          <w:szCs w:val="20"/>
          <w:lang w:val="en-GB"/>
        </w:rPr>
        <w:t xml:space="preserve"> rangers' reports, of which one was for illegal hunting, two for overfishing, one for damages from a domestic animal, and the rest (8) are related to providing tourist and guiding services without paying entry fees. This reflects the types of pressures on the park, but probably not their true level. The park employed 16 rangers, which amounts to one ranger per 2032ha. </w:t>
      </w:r>
      <w:proofErr w:type="gramStart"/>
      <w:r w:rsidRPr="003B6A69">
        <w:rPr>
          <w:rFonts w:asciiTheme="minorHAnsi" w:eastAsiaTheme="minorHAnsi" w:hAnsiTheme="minorHAnsi" w:cstheme="minorBidi"/>
          <w:szCs w:val="20"/>
          <w:lang w:val="en-GB"/>
        </w:rPr>
        <w:t>Considering the fact that</w:t>
      </w:r>
      <w:proofErr w:type="gramEnd"/>
      <w:r w:rsidRPr="003B6A69">
        <w:rPr>
          <w:rFonts w:asciiTheme="minorHAnsi" w:eastAsiaTheme="minorHAnsi" w:hAnsiTheme="minorHAnsi" w:cstheme="minorBidi"/>
          <w:szCs w:val="20"/>
          <w:lang w:val="en-GB"/>
        </w:rPr>
        <w:t xml:space="preserve"> much of the terrain is hardly accessible and that in the tourist season rangers are often charged with duties other than patrolling (work with visitors, collecting entrance fees), there is a need for an increase in numbers in this service and for optimisation of their duty schedules. </w:t>
      </w:r>
    </w:p>
    <w:p w14:paraId="6CEEE0FD" w14:textId="77777777" w:rsidR="008C4F26" w:rsidRPr="003B6A69" w:rsidRDefault="008C4F26" w:rsidP="00661293">
      <w:pPr>
        <w:shd w:val="clear" w:color="auto" w:fill="FFFFFF"/>
        <w:spacing w:after="120"/>
        <w:rPr>
          <w:rFonts w:asciiTheme="minorHAnsi" w:eastAsia="Times New Roman" w:hAnsiTheme="minorHAnsi"/>
          <w:szCs w:val="20"/>
          <w:lang w:val="en-GB"/>
        </w:rPr>
      </w:pPr>
      <w:r w:rsidRPr="003B6A69">
        <w:rPr>
          <w:rFonts w:asciiTheme="minorHAnsi" w:eastAsia="Times New Roman" w:hAnsiTheme="minorHAnsi"/>
          <w:szCs w:val="20"/>
          <w:lang w:val="en-GB"/>
        </w:rPr>
        <w:t xml:space="preserve">The 2019 UNESCO/IUCN mission highlighted the “challenge to harmonise the development aspirations of the region with the conservation of the World Heritage property value and conservation requirements”, and raised several concerns regarding the management arrangements, boundary modification and increasing threats to the World Heritage property.  In response to the mission’s finding, the UND-GEF project will support the BD/WH value status assessment for the area excluded from the National Park/WH property in </w:t>
      </w:r>
      <w:proofErr w:type="gramStart"/>
      <w:r w:rsidRPr="003B6A69">
        <w:rPr>
          <w:rFonts w:asciiTheme="minorHAnsi" w:eastAsia="Times New Roman" w:hAnsiTheme="minorHAnsi"/>
          <w:szCs w:val="20"/>
          <w:lang w:val="en-GB"/>
        </w:rPr>
        <w:t>2013, and</w:t>
      </w:r>
      <w:proofErr w:type="gramEnd"/>
      <w:r w:rsidRPr="003B6A69">
        <w:rPr>
          <w:rFonts w:asciiTheme="minorHAnsi" w:eastAsia="Times New Roman" w:hAnsiTheme="minorHAnsi"/>
          <w:szCs w:val="20"/>
          <w:lang w:val="en-GB"/>
        </w:rPr>
        <w:t xml:space="preserve"> prepare a comprehensive threat/value assessment for the National Park </w:t>
      </w:r>
      <w:proofErr w:type="spellStart"/>
      <w:r w:rsidRPr="003B6A69">
        <w:rPr>
          <w:rFonts w:asciiTheme="minorHAnsi" w:eastAsia="Times New Roman" w:hAnsiTheme="minorHAnsi"/>
          <w:szCs w:val="20"/>
          <w:lang w:val="en-GB"/>
        </w:rPr>
        <w:t>Durmitor</w:t>
      </w:r>
      <w:proofErr w:type="spellEnd"/>
      <w:r w:rsidRPr="003B6A69">
        <w:rPr>
          <w:rFonts w:asciiTheme="minorHAnsi" w:eastAsia="Times New Roman" w:hAnsiTheme="minorHAnsi"/>
          <w:szCs w:val="20"/>
          <w:lang w:val="en-GB"/>
        </w:rPr>
        <w:t>.</w:t>
      </w:r>
    </w:p>
    <w:p w14:paraId="233A2C4B" w14:textId="77777777" w:rsidR="008C4F26" w:rsidRPr="003B6A69" w:rsidRDefault="008C4F26" w:rsidP="00661293">
      <w:pPr>
        <w:shd w:val="clear" w:color="auto" w:fill="FFFFFF"/>
        <w:spacing w:after="120"/>
        <w:rPr>
          <w:rFonts w:asciiTheme="minorHAnsi" w:eastAsia="Times New Roman" w:hAnsiTheme="minorHAnsi"/>
          <w:szCs w:val="20"/>
          <w:lang w:val="en-GB"/>
        </w:rPr>
      </w:pPr>
      <w:r w:rsidRPr="003B6A69">
        <w:rPr>
          <w:rFonts w:asciiTheme="minorHAnsi" w:eastAsia="Times New Roman" w:hAnsiTheme="minorHAnsi"/>
          <w:szCs w:val="20"/>
          <w:lang w:val="en-GB"/>
        </w:rPr>
        <w:t xml:space="preserve">In view of the mission, the ongoing tourism developments in </w:t>
      </w:r>
      <w:proofErr w:type="spellStart"/>
      <w:r w:rsidRPr="003B6A69">
        <w:rPr>
          <w:rFonts w:asciiTheme="minorHAnsi" w:eastAsia="Times New Roman" w:hAnsiTheme="minorHAnsi"/>
          <w:szCs w:val="20"/>
          <w:lang w:val="en-GB"/>
        </w:rPr>
        <w:t>Durmitor</w:t>
      </w:r>
      <w:proofErr w:type="spellEnd"/>
      <w:r w:rsidRPr="003B6A69">
        <w:rPr>
          <w:rFonts w:asciiTheme="minorHAnsi" w:eastAsia="Times New Roman" w:hAnsiTheme="minorHAnsi"/>
          <w:szCs w:val="20"/>
          <w:lang w:val="en-GB"/>
        </w:rPr>
        <w:t xml:space="preserve"> should focus on low scale tourism development rather than large scale tourism (extension of the rapidly developing ski facilities) inside the property.</w:t>
      </w:r>
    </w:p>
    <w:p w14:paraId="09C1FFC2" w14:textId="77777777" w:rsidR="008C4F26" w:rsidRPr="003B6A69" w:rsidRDefault="008C4F26" w:rsidP="00661293">
      <w:pPr>
        <w:shd w:val="clear" w:color="auto" w:fill="FFFFFF"/>
        <w:spacing w:after="120"/>
        <w:rPr>
          <w:rFonts w:asciiTheme="minorHAnsi" w:eastAsia="Times New Roman" w:hAnsiTheme="minorHAnsi"/>
          <w:szCs w:val="20"/>
          <w:lang w:val="en-GB"/>
        </w:rPr>
      </w:pPr>
      <w:r w:rsidRPr="003B6A69">
        <w:rPr>
          <w:rFonts w:asciiTheme="minorHAnsi" w:eastAsia="Times New Roman" w:hAnsiTheme="minorHAnsi"/>
          <w:szCs w:val="20"/>
          <w:lang w:val="en-GB"/>
        </w:rPr>
        <w:lastRenderedPageBreak/>
        <w:t xml:space="preserve">The project will support the work of an expert team to develop scenarios to ensure a compensation for the areas excluded from WH property in 2005 and 2013 with a protection regime that is adequate in terms of the current threats and BD/WH value status. Specifically, based on the BD/threat assessments above, the viability of the UNESCO/IUCN mission recommendation to reinstate the boundaries of the NP to their configuration prior to 2013 exclusion will be assessed for further consideration by the Government. Another scenario, which is a higher protection status for the </w:t>
      </w:r>
      <w:proofErr w:type="spellStart"/>
      <w:r w:rsidRPr="003B6A69">
        <w:rPr>
          <w:rFonts w:asciiTheme="minorHAnsi" w:eastAsia="Times New Roman" w:hAnsiTheme="minorHAnsi"/>
          <w:szCs w:val="20"/>
          <w:lang w:val="en-GB"/>
        </w:rPr>
        <w:t>Dragisnica-Komarnica</w:t>
      </w:r>
      <w:proofErr w:type="spellEnd"/>
      <w:r w:rsidRPr="003B6A69">
        <w:rPr>
          <w:rFonts w:asciiTheme="minorHAnsi" w:eastAsia="Times New Roman" w:hAnsiTheme="minorHAnsi"/>
          <w:szCs w:val="20"/>
          <w:lang w:val="en-GB"/>
        </w:rPr>
        <w:t xml:space="preserve"> Nature Park as a compensation mechanism, will be developed based on existing Protection Study for the Nature Park, any other assessments that are currently missing to support a higher protection status for the area, and broader stakeholder consultations with the </w:t>
      </w:r>
      <w:proofErr w:type="spellStart"/>
      <w:r w:rsidRPr="003B6A69">
        <w:rPr>
          <w:rFonts w:asciiTheme="minorHAnsi" w:eastAsia="Times New Roman" w:hAnsiTheme="minorHAnsi"/>
          <w:szCs w:val="20"/>
          <w:lang w:val="en-GB"/>
        </w:rPr>
        <w:t>Šavnik</w:t>
      </w:r>
      <w:proofErr w:type="spellEnd"/>
      <w:r w:rsidRPr="003B6A69">
        <w:rPr>
          <w:rFonts w:asciiTheme="minorHAnsi" w:eastAsia="Times New Roman" w:hAnsiTheme="minorHAnsi"/>
          <w:szCs w:val="20"/>
          <w:lang w:val="en-GB"/>
        </w:rPr>
        <w:t xml:space="preserve"> municipality and the local communities to be affected by this scenario. Yet another option to ensure compliance with UNESCO requirements would be to make sure that the management guidelines for </w:t>
      </w:r>
      <w:proofErr w:type="spellStart"/>
      <w:r w:rsidRPr="003B6A69">
        <w:rPr>
          <w:rFonts w:asciiTheme="minorHAnsi" w:eastAsia="Times New Roman" w:hAnsiTheme="minorHAnsi"/>
          <w:szCs w:val="20"/>
          <w:lang w:val="en-GB"/>
        </w:rPr>
        <w:t>Dragisnica-Komarnica</w:t>
      </w:r>
      <w:proofErr w:type="spellEnd"/>
      <w:r w:rsidRPr="003B6A69">
        <w:rPr>
          <w:rFonts w:asciiTheme="minorHAnsi" w:eastAsia="Times New Roman" w:hAnsiTheme="minorHAnsi"/>
          <w:szCs w:val="20"/>
          <w:lang w:val="en-GB"/>
        </w:rPr>
        <w:t xml:space="preserve"> include specific solutions for WH values and threats such as uncontrolled logging and hunting, without changing the official status of the area. </w:t>
      </w:r>
    </w:p>
    <w:p w14:paraId="727D6607" w14:textId="44CA224C" w:rsidR="008C4F26" w:rsidRPr="003B6A69" w:rsidRDefault="008C4F26" w:rsidP="00661293">
      <w:pPr>
        <w:shd w:val="clear" w:color="auto" w:fill="FFFFFF"/>
        <w:spacing w:after="120"/>
        <w:rPr>
          <w:rFonts w:asciiTheme="minorHAnsi" w:eastAsia="Times New Roman" w:hAnsiTheme="minorHAnsi"/>
          <w:szCs w:val="20"/>
        </w:rPr>
      </w:pPr>
      <w:r w:rsidRPr="003B6A69">
        <w:rPr>
          <w:rFonts w:asciiTheme="minorHAnsi" w:eastAsiaTheme="minorHAnsi" w:hAnsiTheme="minorHAnsi" w:cstheme="minorBidi"/>
          <w:szCs w:val="20"/>
          <w:lang w:val="en-GB"/>
        </w:rPr>
        <w:t xml:space="preserve">The project will support promotion of the World Heritage status and the value of undisturbed nature as its key </w:t>
      </w:r>
      <w:proofErr w:type="gramStart"/>
      <w:r w:rsidRPr="003B6A69">
        <w:rPr>
          <w:rFonts w:asciiTheme="minorHAnsi" w:eastAsiaTheme="minorHAnsi" w:hAnsiTheme="minorHAnsi" w:cstheme="minorBidi"/>
          <w:szCs w:val="20"/>
          <w:lang w:val="en-GB"/>
        </w:rPr>
        <w:t>element, and</w:t>
      </w:r>
      <w:proofErr w:type="gramEnd"/>
      <w:r w:rsidRPr="003B6A69">
        <w:rPr>
          <w:rFonts w:asciiTheme="minorHAnsi" w:eastAsiaTheme="minorHAnsi" w:hAnsiTheme="minorHAnsi" w:cstheme="minorBidi"/>
          <w:szCs w:val="20"/>
          <w:lang w:val="en-GB"/>
        </w:rPr>
        <w:t xml:space="preserve"> contribute to the establishment of the visitors’ monitoring and management schemes and capacity building for implementing the above.</w:t>
      </w:r>
      <w:r w:rsidR="000832F0" w:rsidRPr="003B6A69">
        <w:rPr>
          <w:rFonts w:asciiTheme="minorHAnsi" w:eastAsiaTheme="minorHAnsi" w:hAnsiTheme="minorHAnsi" w:cstheme="minorBidi"/>
          <w:szCs w:val="20"/>
          <w:lang w:val="en-GB"/>
        </w:rPr>
        <w:t xml:space="preserve"> </w:t>
      </w:r>
      <w:r w:rsidRPr="003B6A69">
        <w:rPr>
          <w:rFonts w:asciiTheme="minorHAnsi" w:eastAsiaTheme="minorHAnsi" w:hAnsiTheme="minorHAnsi" w:cstheme="minorBidi"/>
          <w:szCs w:val="20"/>
          <w:lang w:val="en-GB"/>
        </w:rPr>
        <w:t xml:space="preserve">The UNDP-GEF project interventions will </w:t>
      </w:r>
      <w:proofErr w:type="gramStart"/>
      <w:r w:rsidRPr="003B6A69">
        <w:rPr>
          <w:rFonts w:asciiTheme="minorHAnsi" w:eastAsiaTheme="minorHAnsi" w:hAnsiTheme="minorHAnsi" w:cstheme="minorBidi"/>
          <w:szCs w:val="20"/>
          <w:lang w:val="en-GB"/>
        </w:rPr>
        <w:t>offer assistance</w:t>
      </w:r>
      <w:proofErr w:type="gramEnd"/>
      <w:r w:rsidRPr="003B6A69">
        <w:rPr>
          <w:rFonts w:asciiTheme="minorHAnsi" w:eastAsiaTheme="minorHAnsi" w:hAnsiTheme="minorHAnsi" w:cstheme="minorBidi"/>
          <w:szCs w:val="20"/>
          <w:lang w:val="en-GB"/>
        </w:rPr>
        <w:t xml:space="preserve"> with the modifications of boundaries, reassessment of the zonation system and management arrangements in National Park </w:t>
      </w:r>
      <w:proofErr w:type="spellStart"/>
      <w:r w:rsidRPr="003B6A69">
        <w:rPr>
          <w:rFonts w:asciiTheme="minorHAnsi" w:eastAsiaTheme="minorHAnsi" w:hAnsiTheme="minorHAnsi" w:cstheme="minorBidi"/>
          <w:szCs w:val="20"/>
          <w:lang w:val="en-GB"/>
        </w:rPr>
        <w:t>Durmitor</w:t>
      </w:r>
      <w:proofErr w:type="spellEnd"/>
      <w:r w:rsidRPr="003B6A69">
        <w:rPr>
          <w:rFonts w:asciiTheme="minorHAnsi" w:eastAsiaTheme="minorHAnsi" w:hAnsiTheme="minorHAnsi" w:cstheme="minorBidi"/>
          <w:szCs w:val="20"/>
          <w:lang w:val="en-GB"/>
        </w:rPr>
        <w:t xml:space="preserve"> and the adjacent Nature Park </w:t>
      </w:r>
      <w:proofErr w:type="spellStart"/>
      <w:r w:rsidRPr="003B6A69">
        <w:rPr>
          <w:rFonts w:asciiTheme="minorHAnsi" w:eastAsiaTheme="minorHAnsi" w:hAnsiTheme="minorHAnsi" w:cstheme="minorBidi"/>
          <w:szCs w:val="20"/>
          <w:lang w:val="en-GB"/>
        </w:rPr>
        <w:t>Dragisnica-Komarnica</w:t>
      </w:r>
      <w:proofErr w:type="spellEnd"/>
      <w:r w:rsidRPr="003B6A69">
        <w:rPr>
          <w:rFonts w:asciiTheme="minorHAnsi" w:eastAsiaTheme="minorHAnsi" w:hAnsiTheme="minorHAnsi" w:cstheme="minorBidi"/>
          <w:szCs w:val="20"/>
          <w:lang w:val="en-GB"/>
        </w:rPr>
        <w:t xml:space="preserve"> in terms of continuity of the protection measures, as well as with the </w:t>
      </w:r>
      <w:r w:rsidRPr="003B6A69">
        <w:rPr>
          <w:rFonts w:asciiTheme="minorHAnsi" w:eastAsiaTheme="minorHAnsi" w:hAnsiTheme="minorHAnsi" w:cstheme="minorBidi"/>
          <w:szCs w:val="20"/>
        </w:rPr>
        <w:t xml:space="preserve">efforts towards designation of the buffer zone for the UNESCO property. The project will also help with the acquisition of relevant information regarding the status of species and habitats through assessments and establishment of detailed monitoring </w:t>
      </w:r>
      <w:proofErr w:type="gramStart"/>
      <w:r w:rsidRPr="003B6A69">
        <w:rPr>
          <w:rFonts w:asciiTheme="minorHAnsi" w:eastAsiaTheme="minorHAnsi" w:hAnsiTheme="minorHAnsi" w:cstheme="minorBidi"/>
          <w:szCs w:val="20"/>
        </w:rPr>
        <w:t>programs.</w:t>
      </w:r>
      <w:r w:rsidRPr="003B6A69">
        <w:rPr>
          <w:rFonts w:asciiTheme="minorHAnsi" w:eastAsiaTheme="minorHAnsi" w:hAnsiTheme="minorHAnsi" w:cstheme="minorBidi"/>
          <w:szCs w:val="20"/>
          <w:lang w:val="en-GB"/>
        </w:rPr>
        <w:t>The</w:t>
      </w:r>
      <w:proofErr w:type="gramEnd"/>
      <w:r w:rsidRPr="003B6A69">
        <w:rPr>
          <w:rFonts w:asciiTheme="minorHAnsi" w:eastAsiaTheme="minorHAnsi" w:hAnsiTheme="minorHAnsi" w:cstheme="minorBidi"/>
          <w:szCs w:val="20"/>
          <w:lang w:val="en-GB"/>
        </w:rPr>
        <w:t xml:space="preserve"> project will support proclamation of the development and conservation priorities for the area in the spatial planning framework for the country, namely the Spatial Plan and the Special Regulations Plan.</w:t>
      </w:r>
    </w:p>
    <w:p w14:paraId="4FC00F5B" w14:textId="77777777" w:rsidR="008C4F26" w:rsidRPr="003B6A69" w:rsidRDefault="008C4F26" w:rsidP="00661293">
      <w:pPr>
        <w:tabs>
          <w:tab w:val="left" w:pos="426"/>
        </w:tabs>
        <w:spacing w:after="120"/>
        <w:rPr>
          <w:rFonts w:asciiTheme="minorHAnsi" w:eastAsiaTheme="minorHAnsi" w:hAnsiTheme="minorHAnsi" w:cstheme="minorBidi"/>
          <w:szCs w:val="20"/>
          <w:lang w:val="en-GB"/>
        </w:rPr>
      </w:pPr>
      <w:r w:rsidRPr="003B6A69">
        <w:rPr>
          <w:rFonts w:asciiTheme="minorHAnsi" w:eastAsiaTheme="minorHAnsi" w:hAnsiTheme="minorHAnsi" w:cstheme="minorBidi"/>
          <w:szCs w:val="20"/>
          <w:lang w:val="en-GB"/>
        </w:rPr>
        <w:t xml:space="preserve">In response to the key findings of the UNESCO/IUCN assessments, the UNDP/GEF project can support the </w:t>
      </w:r>
      <w:proofErr w:type="spellStart"/>
      <w:r w:rsidRPr="003B6A69">
        <w:rPr>
          <w:rFonts w:asciiTheme="minorHAnsi" w:eastAsiaTheme="minorHAnsi" w:hAnsiTheme="minorHAnsi" w:cstheme="minorBidi"/>
          <w:szCs w:val="20"/>
          <w:lang w:val="en-GB"/>
        </w:rPr>
        <w:t>Durmitor</w:t>
      </w:r>
      <w:proofErr w:type="spellEnd"/>
      <w:r w:rsidRPr="003B6A69">
        <w:rPr>
          <w:rFonts w:asciiTheme="minorHAnsi" w:eastAsiaTheme="minorHAnsi" w:hAnsiTheme="minorHAnsi" w:cstheme="minorBidi"/>
          <w:szCs w:val="20"/>
          <w:lang w:val="en-GB"/>
        </w:rPr>
        <w:t xml:space="preserve"> national park management with the efforts towards low-impact tourism product development. The project will support a comprehensive assessment of acceptable ecological change and carrying capacity.  The UNDP/GEF project, together with the national and international experts and PA management authorities will prepare a sustainable tourism development strategy/guide for the </w:t>
      </w:r>
      <w:proofErr w:type="gramStart"/>
      <w:r w:rsidRPr="003B6A69">
        <w:rPr>
          <w:rFonts w:asciiTheme="minorHAnsi" w:eastAsiaTheme="minorHAnsi" w:hAnsiTheme="minorHAnsi" w:cstheme="minorBidi"/>
          <w:szCs w:val="20"/>
          <w:lang w:val="en-GB"/>
        </w:rPr>
        <w:t>Park, and</w:t>
      </w:r>
      <w:proofErr w:type="gramEnd"/>
      <w:r w:rsidRPr="003B6A69">
        <w:rPr>
          <w:rFonts w:asciiTheme="minorHAnsi" w:eastAsiaTheme="minorHAnsi" w:hAnsiTheme="minorHAnsi" w:cstheme="minorBidi"/>
          <w:szCs w:val="20"/>
          <w:lang w:val="en-GB"/>
        </w:rPr>
        <w:t xml:space="preserve"> provide for its practical application and on-the-job training. The project will bring in the best available management tools (such UNESCO World Heritage Sustainable Tourism Toolkit), examples and best practice approaches to sustainable tourism development, and adapt those for NP </w:t>
      </w:r>
      <w:proofErr w:type="spellStart"/>
      <w:r w:rsidRPr="003B6A69">
        <w:rPr>
          <w:rFonts w:asciiTheme="minorHAnsi" w:eastAsiaTheme="minorHAnsi" w:hAnsiTheme="minorHAnsi" w:cstheme="minorBidi"/>
          <w:szCs w:val="20"/>
          <w:lang w:val="en-GB"/>
        </w:rPr>
        <w:t>Durmitor</w:t>
      </w:r>
      <w:proofErr w:type="spellEnd"/>
      <w:r w:rsidRPr="003B6A69">
        <w:rPr>
          <w:rFonts w:asciiTheme="minorHAnsi" w:eastAsiaTheme="minorHAnsi" w:hAnsiTheme="minorHAnsi" w:cstheme="minorBidi"/>
          <w:szCs w:val="20"/>
          <w:lang w:val="en-GB"/>
        </w:rPr>
        <w:t xml:space="preserve">.  </w:t>
      </w:r>
    </w:p>
    <w:p w14:paraId="1619F6CB" w14:textId="77777777" w:rsidR="008C4F26" w:rsidRPr="003B6A69" w:rsidRDefault="008C4F26" w:rsidP="00661293">
      <w:pPr>
        <w:shd w:val="clear" w:color="auto" w:fill="FFFFFF"/>
        <w:spacing w:after="120"/>
        <w:rPr>
          <w:rFonts w:asciiTheme="minorHAnsi" w:eastAsia="Times New Roman" w:hAnsiTheme="minorHAnsi"/>
          <w:szCs w:val="20"/>
        </w:rPr>
      </w:pPr>
      <w:r w:rsidRPr="003B6A69">
        <w:rPr>
          <w:rFonts w:asciiTheme="minorHAnsi" w:eastAsia="Times New Roman" w:hAnsiTheme="minorHAnsi"/>
          <w:szCs w:val="20"/>
        </w:rPr>
        <w:t xml:space="preserve">The project will also work on concrete practical aspects towards functional cooperation with </w:t>
      </w:r>
      <w:proofErr w:type="spellStart"/>
      <w:r w:rsidRPr="003B6A69">
        <w:rPr>
          <w:rFonts w:asciiTheme="minorHAnsi" w:eastAsia="Times New Roman" w:hAnsiTheme="minorHAnsi"/>
          <w:szCs w:val="20"/>
        </w:rPr>
        <w:t>Piva</w:t>
      </w:r>
      <w:proofErr w:type="spellEnd"/>
      <w:r w:rsidRPr="003B6A69">
        <w:rPr>
          <w:rFonts w:asciiTheme="minorHAnsi" w:eastAsia="Times New Roman" w:hAnsiTheme="minorHAnsi"/>
          <w:szCs w:val="20"/>
        </w:rPr>
        <w:t xml:space="preserve"> Nature Park as well as with </w:t>
      </w:r>
      <w:proofErr w:type="spellStart"/>
      <w:r w:rsidRPr="003B6A69">
        <w:rPr>
          <w:rFonts w:asciiTheme="minorHAnsi" w:eastAsia="Times New Roman" w:hAnsiTheme="minorHAnsi"/>
          <w:szCs w:val="20"/>
        </w:rPr>
        <w:t>Sutjeska</w:t>
      </w:r>
      <w:proofErr w:type="spellEnd"/>
      <w:r w:rsidRPr="003B6A69">
        <w:rPr>
          <w:rFonts w:asciiTheme="minorHAnsi" w:eastAsia="Times New Roman" w:hAnsiTheme="minorHAnsi"/>
          <w:szCs w:val="20"/>
        </w:rPr>
        <w:t xml:space="preserve"> National Bark in </w:t>
      </w:r>
      <w:proofErr w:type="spellStart"/>
      <w:r w:rsidRPr="003B6A69">
        <w:rPr>
          <w:rFonts w:asciiTheme="minorHAnsi" w:eastAsia="Times New Roman" w:hAnsiTheme="minorHAnsi"/>
          <w:szCs w:val="20"/>
        </w:rPr>
        <w:t>BiH</w:t>
      </w:r>
      <w:proofErr w:type="spellEnd"/>
      <w:r w:rsidRPr="003B6A69">
        <w:rPr>
          <w:rFonts w:asciiTheme="minorHAnsi" w:eastAsia="Times New Roman" w:hAnsiTheme="minorHAnsi"/>
          <w:szCs w:val="20"/>
        </w:rPr>
        <w:t xml:space="preserve">, achieving transboundary conservation effects. </w:t>
      </w:r>
    </w:p>
    <w:p w14:paraId="7D1D9053" w14:textId="77777777" w:rsidR="008C4F26" w:rsidRPr="003B6A69" w:rsidRDefault="008C4F26" w:rsidP="00661293">
      <w:pPr>
        <w:spacing w:after="120"/>
        <w:rPr>
          <w:rFonts w:asciiTheme="minorHAnsi" w:eastAsiaTheme="minorHAnsi" w:hAnsiTheme="minorHAnsi" w:cstheme="minorBidi"/>
          <w:szCs w:val="20"/>
          <w:lang w:val="en-GB"/>
        </w:rPr>
      </w:pPr>
      <w:r w:rsidRPr="003B6A69">
        <w:rPr>
          <w:rFonts w:asciiTheme="minorHAnsi" w:eastAsiaTheme="minorHAnsi" w:hAnsiTheme="minorHAnsi" w:cstheme="minorBidi"/>
          <w:szCs w:val="20"/>
          <w:lang w:val="en-GB"/>
        </w:rPr>
        <w:t xml:space="preserve">A feasibility study on establishing a transboundary protected area </w:t>
      </w:r>
      <w:proofErr w:type="spellStart"/>
      <w:r w:rsidRPr="003B6A69">
        <w:rPr>
          <w:rFonts w:asciiTheme="minorHAnsi" w:eastAsiaTheme="minorHAnsi" w:hAnsiTheme="minorHAnsi" w:cstheme="minorBidi"/>
          <w:szCs w:val="20"/>
          <w:lang w:val="en-GB"/>
        </w:rPr>
        <w:t>Durmitor</w:t>
      </w:r>
      <w:proofErr w:type="spellEnd"/>
      <w:r w:rsidRPr="003B6A69">
        <w:rPr>
          <w:rFonts w:asciiTheme="minorHAnsi" w:eastAsiaTheme="minorHAnsi" w:hAnsiTheme="minorHAnsi" w:cstheme="minorBidi"/>
          <w:szCs w:val="20"/>
          <w:lang w:val="en-GB"/>
        </w:rPr>
        <w:t xml:space="preserve"> - Tara Canyon - </w:t>
      </w:r>
      <w:proofErr w:type="spellStart"/>
      <w:r w:rsidRPr="003B6A69">
        <w:rPr>
          <w:rFonts w:asciiTheme="minorHAnsi" w:eastAsiaTheme="minorHAnsi" w:hAnsiTheme="minorHAnsi" w:cstheme="minorBidi"/>
          <w:szCs w:val="20"/>
          <w:lang w:val="en-GB"/>
        </w:rPr>
        <w:t>Sutjeska</w:t>
      </w:r>
      <w:proofErr w:type="spellEnd"/>
      <w:r w:rsidRPr="003B6A69">
        <w:rPr>
          <w:rFonts w:asciiTheme="minorHAnsi" w:eastAsiaTheme="minorHAnsi" w:hAnsiTheme="minorHAnsi" w:cstheme="minorBidi"/>
          <w:szCs w:val="20"/>
          <w:lang w:val="en-GB"/>
        </w:rPr>
        <w:t xml:space="preserve"> was prepared by UNEP in 2010. Although the study predates the establishment of Nature Park </w:t>
      </w:r>
      <w:proofErr w:type="spellStart"/>
      <w:r w:rsidRPr="003B6A69">
        <w:rPr>
          <w:rFonts w:asciiTheme="minorHAnsi" w:eastAsiaTheme="minorHAnsi" w:hAnsiTheme="minorHAnsi" w:cstheme="minorBidi"/>
          <w:szCs w:val="20"/>
          <w:lang w:val="en-GB"/>
        </w:rPr>
        <w:t>Piva</w:t>
      </w:r>
      <w:proofErr w:type="spellEnd"/>
      <w:r w:rsidRPr="003B6A69">
        <w:rPr>
          <w:rFonts w:asciiTheme="minorHAnsi" w:eastAsiaTheme="minorHAnsi" w:hAnsiTheme="minorHAnsi" w:cstheme="minorBidi"/>
          <w:szCs w:val="20"/>
          <w:lang w:val="en-GB"/>
        </w:rPr>
        <w:t xml:space="preserve">, it has been referenced therein. The study provides justification of transboundary harmonisation of management between the protected areas in Montenegro and Bosnia and Herzegovina, </w:t>
      </w:r>
      <w:proofErr w:type="gramStart"/>
      <w:r w:rsidRPr="003B6A69">
        <w:rPr>
          <w:rFonts w:asciiTheme="minorHAnsi" w:eastAsiaTheme="minorHAnsi" w:hAnsiTheme="minorHAnsi" w:cstheme="minorBidi"/>
          <w:szCs w:val="20"/>
          <w:lang w:val="en-GB"/>
        </w:rPr>
        <w:t>in order to</w:t>
      </w:r>
      <w:proofErr w:type="gramEnd"/>
      <w:r w:rsidRPr="003B6A69">
        <w:rPr>
          <w:rFonts w:asciiTheme="minorHAnsi" w:eastAsiaTheme="minorHAnsi" w:hAnsiTheme="minorHAnsi" w:cstheme="minorBidi"/>
          <w:szCs w:val="20"/>
          <w:lang w:val="en-GB"/>
        </w:rPr>
        <w:t xml:space="preserve"> protect joint biodiversity values. Joint identification and assessment of biodiversity, threats, and joint priority activities have been proposed, but so </w:t>
      </w:r>
      <w:proofErr w:type="gramStart"/>
      <w:r w:rsidRPr="003B6A69">
        <w:rPr>
          <w:rFonts w:asciiTheme="minorHAnsi" w:eastAsiaTheme="minorHAnsi" w:hAnsiTheme="minorHAnsi" w:cstheme="minorBidi"/>
          <w:szCs w:val="20"/>
          <w:lang w:val="en-GB"/>
        </w:rPr>
        <w:t>far</w:t>
      </w:r>
      <w:proofErr w:type="gramEnd"/>
      <w:r w:rsidRPr="003B6A69">
        <w:rPr>
          <w:rFonts w:asciiTheme="minorHAnsi" w:eastAsiaTheme="minorHAnsi" w:hAnsiTheme="minorHAnsi" w:cstheme="minorBidi"/>
          <w:szCs w:val="20"/>
          <w:lang w:val="en-GB"/>
        </w:rPr>
        <w:t xml:space="preserve"> the efforts in this direction have been modest. Nature Park </w:t>
      </w:r>
      <w:proofErr w:type="spellStart"/>
      <w:r w:rsidRPr="003B6A69">
        <w:rPr>
          <w:rFonts w:asciiTheme="minorHAnsi" w:eastAsiaTheme="minorHAnsi" w:hAnsiTheme="minorHAnsi" w:cstheme="minorBidi"/>
          <w:szCs w:val="20"/>
          <w:lang w:val="en-GB"/>
        </w:rPr>
        <w:t>Piva</w:t>
      </w:r>
      <w:proofErr w:type="spellEnd"/>
      <w:r w:rsidRPr="003B6A69">
        <w:rPr>
          <w:rFonts w:asciiTheme="minorHAnsi" w:eastAsiaTheme="minorHAnsi" w:hAnsiTheme="minorHAnsi" w:cstheme="minorBidi"/>
          <w:szCs w:val="20"/>
          <w:lang w:val="en-GB"/>
        </w:rPr>
        <w:t xml:space="preserve"> was established in 2014, providing a bridge between the two national parks, but the management of three protected areas has not been coordinated. One area of cooperation has been in relation to tourism, so that the three areas can be promoted as a single tourist destination with shared tourism management. </w:t>
      </w:r>
    </w:p>
    <w:p w14:paraId="3A196DD3" w14:textId="77777777" w:rsidR="008C4F26" w:rsidRPr="003B6A69" w:rsidRDefault="008C4F26" w:rsidP="00661293">
      <w:pPr>
        <w:shd w:val="clear" w:color="auto" w:fill="FFFFFF"/>
        <w:spacing w:after="120"/>
        <w:rPr>
          <w:rFonts w:asciiTheme="minorHAnsi" w:eastAsia="Times New Roman" w:hAnsiTheme="minorHAnsi"/>
          <w:b/>
          <w:i/>
          <w:szCs w:val="20"/>
          <w:lang w:val="en-GB"/>
        </w:rPr>
      </w:pPr>
      <w:r w:rsidRPr="003B6A69">
        <w:rPr>
          <w:rFonts w:asciiTheme="minorHAnsi" w:eastAsia="Times New Roman" w:hAnsiTheme="minorHAnsi"/>
          <w:b/>
          <w:i/>
          <w:szCs w:val="20"/>
          <w:lang w:val="en-GB"/>
        </w:rPr>
        <w:t>Tara Watershed UNESCO Man and Biosphere Reserve</w:t>
      </w:r>
    </w:p>
    <w:p w14:paraId="7C96F95C" w14:textId="77777777" w:rsidR="008C4F26" w:rsidRPr="003B6A69" w:rsidRDefault="008C4F26" w:rsidP="00661293">
      <w:pPr>
        <w:shd w:val="clear" w:color="auto" w:fill="FFFFFF"/>
        <w:tabs>
          <w:tab w:val="left" w:pos="1530"/>
        </w:tabs>
        <w:spacing w:after="120"/>
        <w:rPr>
          <w:rFonts w:asciiTheme="minorHAnsi" w:eastAsia="Times New Roman" w:hAnsiTheme="minorHAnsi"/>
          <w:szCs w:val="20"/>
          <w:lang w:val="en-GB"/>
        </w:rPr>
      </w:pPr>
      <w:r w:rsidRPr="003B6A69">
        <w:rPr>
          <w:rFonts w:asciiTheme="minorHAnsi" w:eastAsia="Times New Roman" w:hAnsiTheme="minorHAnsi"/>
          <w:szCs w:val="20"/>
          <w:lang w:val="en-GB"/>
        </w:rPr>
        <w:t xml:space="preserve">The Tara River Basin is situated in the south-eastern part of the Dinaric Alps and covers approximately 1820 km² of the high mountainous area of </w:t>
      </w:r>
      <w:proofErr w:type="spellStart"/>
      <w:r w:rsidRPr="003B6A69">
        <w:rPr>
          <w:rFonts w:asciiTheme="minorHAnsi" w:eastAsia="Times New Roman" w:hAnsiTheme="minorHAnsi"/>
          <w:szCs w:val="20"/>
          <w:lang w:val="en-GB"/>
        </w:rPr>
        <w:t>Pivska</w:t>
      </w:r>
      <w:proofErr w:type="spellEnd"/>
      <w:r w:rsidRPr="003B6A69">
        <w:rPr>
          <w:rFonts w:asciiTheme="minorHAnsi" w:eastAsia="Times New Roman" w:hAnsiTheme="minorHAnsi"/>
          <w:szCs w:val="20"/>
          <w:lang w:val="en-GB"/>
        </w:rPr>
        <w:t xml:space="preserve"> Mountain, </w:t>
      </w:r>
      <w:proofErr w:type="spellStart"/>
      <w:r w:rsidRPr="003B6A69">
        <w:rPr>
          <w:rFonts w:asciiTheme="minorHAnsi" w:eastAsia="Times New Roman" w:hAnsiTheme="minorHAnsi"/>
          <w:szCs w:val="20"/>
          <w:lang w:val="en-GB"/>
        </w:rPr>
        <w:t>Durmitor</w:t>
      </w:r>
      <w:proofErr w:type="spellEnd"/>
      <w:r w:rsidRPr="003B6A69">
        <w:rPr>
          <w:rFonts w:asciiTheme="minorHAnsi" w:eastAsia="Times New Roman" w:hAnsiTheme="minorHAnsi"/>
          <w:szCs w:val="20"/>
          <w:lang w:val="en-GB"/>
        </w:rPr>
        <w:t xml:space="preserve">, </w:t>
      </w:r>
      <w:proofErr w:type="spellStart"/>
      <w:r w:rsidRPr="003B6A69">
        <w:rPr>
          <w:rFonts w:asciiTheme="minorHAnsi" w:eastAsia="Times New Roman" w:hAnsiTheme="minorHAnsi"/>
          <w:szCs w:val="20"/>
          <w:lang w:val="en-GB"/>
        </w:rPr>
        <w:t>Ljubisnja</w:t>
      </w:r>
      <w:proofErr w:type="spellEnd"/>
      <w:r w:rsidRPr="003B6A69">
        <w:rPr>
          <w:rFonts w:asciiTheme="minorHAnsi" w:eastAsia="Times New Roman" w:hAnsiTheme="minorHAnsi"/>
          <w:szCs w:val="20"/>
          <w:lang w:val="en-GB"/>
        </w:rPr>
        <w:t xml:space="preserve">, </w:t>
      </w:r>
      <w:proofErr w:type="spellStart"/>
      <w:r w:rsidRPr="003B6A69">
        <w:rPr>
          <w:rFonts w:asciiTheme="minorHAnsi" w:eastAsia="Times New Roman" w:hAnsiTheme="minorHAnsi"/>
          <w:szCs w:val="20"/>
          <w:lang w:val="en-GB"/>
        </w:rPr>
        <w:t>Sinjajevina</w:t>
      </w:r>
      <w:proofErr w:type="spellEnd"/>
      <w:r w:rsidRPr="003B6A69">
        <w:rPr>
          <w:rFonts w:asciiTheme="minorHAnsi" w:eastAsia="Times New Roman" w:hAnsiTheme="minorHAnsi"/>
          <w:szCs w:val="20"/>
          <w:lang w:val="en-GB"/>
        </w:rPr>
        <w:t xml:space="preserve">, </w:t>
      </w:r>
      <w:proofErr w:type="spellStart"/>
      <w:r w:rsidRPr="003B6A69">
        <w:rPr>
          <w:rFonts w:asciiTheme="minorHAnsi" w:eastAsia="Times New Roman" w:hAnsiTheme="minorHAnsi"/>
          <w:szCs w:val="20"/>
          <w:lang w:val="en-GB"/>
        </w:rPr>
        <w:t>Bjelasica</w:t>
      </w:r>
      <w:proofErr w:type="spellEnd"/>
      <w:r w:rsidRPr="003B6A69">
        <w:rPr>
          <w:rFonts w:asciiTheme="minorHAnsi" w:eastAsia="Times New Roman" w:hAnsiTheme="minorHAnsi"/>
          <w:szCs w:val="20"/>
          <w:lang w:val="en-GB"/>
        </w:rPr>
        <w:t xml:space="preserve">, </w:t>
      </w:r>
      <w:proofErr w:type="spellStart"/>
      <w:r w:rsidRPr="003B6A69">
        <w:rPr>
          <w:rFonts w:asciiTheme="minorHAnsi" w:eastAsia="Times New Roman" w:hAnsiTheme="minorHAnsi"/>
          <w:szCs w:val="20"/>
          <w:lang w:val="en-GB"/>
        </w:rPr>
        <w:t>Maglic</w:t>
      </w:r>
      <w:proofErr w:type="spellEnd"/>
      <w:r w:rsidRPr="003B6A69">
        <w:rPr>
          <w:rFonts w:asciiTheme="minorHAnsi" w:eastAsia="Times New Roman" w:hAnsiTheme="minorHAnsi"/>
          <w:szCs w:val="20"/>
          <w:lang w:val="en-GB"/>
        </w:rPr>
        <w:t xml:space="preserve">, </w:t>
      </w:r>
      <w:proofErr w:type="spellStart"/>
      <w:r w:rsidRPr="003B6A69">
        <w:rPr>
          <w:rFonts w:asciiTheme="minorHAnsi" w:eastAsia="Times New Roman" w:hAnsiTheme="minorHAnsi"/>
          <w:szCs w:val="20"/>
          <w:lang w:val="en-GB"/>
        </w:rPr>
        <w:t>Komovi</w:t>
      </w:r>
      <w:proofErr w:type="spellEnd"/>
      <w:r w:rsidRPr="003B6A69">
        <w:rPr>
          <w:rFonts w:asciiTheme="minorHAnsi" w:eastAsia="Times New Roman" w:hAnsiTheme="minorHAnsi"/>
          <w:szCs w:val="20"/>
          <w:lang w:val="en-GB"/>
        </w:rPr>
        <w:t xml:space="preserve">, </w:t>
      </w:r>
      <w:proofErr w:type="spellStart"/>
      <w:r w:rsidRPr="003B6A69">
        <w:rPr>
          <w:rFonts w:asciiTheme="minorHAnsi" w:eastAsia="Times New Roman" w:hAnsiTheme="minorHAnsi"/>
          <w:szCs w:val="20"/>
          <w:lang w:val="en-GB"/>
        </w:rPr>
        <w:t>Zijevo</w:t>
      </w:r>
      <w:proofErr w:type="spellEnd"/>
      <w:r w:rsidRPr="003B6A69">
        <w:rPr>
          <w:rFonts w:asciiTheme="minorHAnsi" w:eastAsia="Times New Roman" w:hAnsiTheme="minorHAnsi"/>
          <w:szCs w:val="20"/>
          <w:lang w:val="en-GB"/>
        </w:rPr>
        <w:t xml:space="preserve">, </w:t>
      </w:r>
      <w:proofErr w:type="spellStart"/>
      <w:r w:rsidRPr="003B6A69">
        <w:rPr>
          <w:rFonts w:asciiTheme="minorHAnsi" w:eastAsia="Times New Roman" w:hAnsiTheme="minorHAnsi"/>
          <w:szCs w:val="20"/>
          <w:lang w:val="en-GB"/>
        </w:rPr>
        <w:t>Lisac</w:t>
      </w:r>
      <w:proofErr w:type="spellEnd"/>
      <w:r w:rsidRPr="003B6A69">
        <w:rPr>
          <w:rFonts w:asciiTheme="minorHAnsi" w:eastAsia="Times New Roman" w:hAnsiTheme="minorHAnsi"/>
          <w:szCs w:val="20"/>
          <w:lang w:val="en-GB"/>
        </w:rPr>
        <w:t xml:space="preserve">. In the Biosphere Reserve, the altitude ranges from 433 to highest 2,522 meters above the sea level. Rich habitats include alpine forests, alpine rivers and lakes, alpine and subalpine heath, transition mires, </w:t>
      </w:r>
      <w:proofErr w:type="gramStart"/>
      <w:r w:rsidRPr="003B6A69">
        <w:rPr>
          <w:rFonts w:asciiTheme="minorHAnsi" w:eastAsia="Times New Roman" w:hAnsiTheme="minorHAnsi"/>
          <w:szCs w:val="20"/>
          <w:lang w:val="en-GB"/>
        </w:rPr>
        <w:t>bogs</w:t>
      </w:r>
      <w:proofErr w:type="gramEnd"/>
      <w:r w:rsidRPr="003B6A69">
        <w:rPr>
          <w:rFonts w:asciiTheme="minorHAnsi" w:eastAsia="Times New Roman" w:hAnsiTheme="minorHAnsi"/>
          <w:szCs w:val="20"/>
          <w:lang w:val="en-GB"/>
        </w:rPr>
        <w:t xml:space="preserve"> and screes. The Biosphere Reserve includes </w:t>
      </w:r>
      <w:proofErr w:type="spellStart"/>
      <w:r w:rsidRPr="003B6A69">
        <w:rPr>
          <w:rFonts w:asciiTheme="minorHAnsi" w:eastAsia="Times New Roman" w:hAnsiTheme="minorHAnsi"/>
          <w:szCs w:val="20"/>
          <w:lang w:val="en-GB"/>
        </w:rPr>
        <w:t>Durmitor</w:t>
      </w:r>
      <w:proofErr w:type="spellEnd"/>
      <w:r w:rsidRPr="003B6A69">
        <w:rPr>
          <w:rFonts w:asciiTheme="minorHAnsi" w:eastAsia="Times New Roman" w:hAnsiTheme="minorHAnsi"/>
          <w:szCs w:val="20"/>
          <w:lang w:val="en-GB"/>
        </w:rPr>
        <w:t xml:space="preserve"> National Park designated as World Heritage site in 1980; </w:t>
      </w:r>
      <w:proofErr w:type="spellStart"/>
      <w:r w:rsidRPr="003B6A69">
        <w:rPr>
          <w:rFonts w:asciiTheme="minorHAnsi" w:eastAsia="Times New Roman" w:hAnsiTheme="minorHAnsi"/>
          <w:szCs w:val="20"/>
          <w:lang w:val="en-GB"/>
        </w:rPr>
        <w:t>Biogradska</w:t>
      </w:r>
      <w:proofErr w:type="spellEnd"/>
      <w:r w:rsidRPr="003B6A69">
        <w:rPr>
          <w:rFonts w:asciiTheme="minorHAnsi" w:eastAsia="Times New Roman" w:hAnsiTheme="minorHAnsi"/>
          <w:szCs w:val="20"/>
          <w:lang w:val="en-GB"/>
        </w:rPr>
        <w:t xml:space="preserve"> </w:t>
      </w:r>
      <w:proofErr w:type="spellStart"/>
      <w:r w:rsidRPr="003B6A69">
        <w:rPr>
          <w:rFonts w:asciiTheme="minorHAnsi" w:eastAsia="Times New Roman" w:hAnsiTheme="minorHAnsi"/>
          <w:szCs w:val="20"/>
          <w:lang w:val="en-GB"/>
        </w:rPr>
        <w:t>gora</w:t>
      </w:r>
      <w:proofErr w:type="spellEnd"/>
      <w:r w:rsidRPr="003B6A69">
        <w:rPr>
          <w:rFonts w:asciiTheme="minorHAnsi" w:eastAsia="Times New Roman" w:hAnsiTheme="minorHAnsi"/>
          <w:szCs w:val="20"/>
          <w:lang w:val="en-GB"/>
        </w:rPr>
        <w:t xml:space="preserve"> National Park, </w:t>
      </w:r>
      <w:proofErr w:type="spellStart"/>
      <w:r w:rsidRPr="003B6A69">
        <w:rPr>
          <w:rFonts w:asciiTheme="minorHAnsi" w:eastAsia="Times New Roman" w:hAnsiTheme="minorHAnsi"/>
          <w:szCs w:val="20"/>
          <w:lang w:val="en-GB"/>
        </w:rPr>
        <w:t>Piva</w:t>
      </w:r>
      <w:proofErr w:type="spellEnd"/>
      <w:r w:rsidRPr="003B6A69">
        <w:rPr>
          <w:rFonts w:asciiTheme="minorHAnsi" w:eastAsia="Times New Roman" w:hAnsiTheme="minorHAnsi"/>
          <w:szCs w:val="20"/>
          <w:lang w:val="en-GB"/>
        </w:rPr>
        <w:t xml:space="preserve"> Nature Park, </w:t>
      </w:r>
      <w:proofErr w:type="spellStart"/>
      <w:r w:rsidRPr="003B6A69">
        <w:rPr>
          <w:rFonts w:asciiTheme="minorHAnsi" w:eastAsia="Times New Roman" w:hAnsiTheme="minorHAnsi"/>
          <w:szCs w:val="20"/>
          <w:lang w:val="en-GB"/>
        </w:rPr>
        <w:t>Dragisnica</w:t>
      </w:r>
      <w:proofErr w:type="spellEnd"/>
      <w:r w:rsidRPr="003B6A69">
        <w:rPr>
          <w:rFonts w:asciiTheme="minorHAnsi" w:eastAsia="Times New Roman" w:hAnsiTheme="minorHAnsi"/>
          <w:szCs w:val="20"/>
          <w:lang w:val="en-GB"/>
        </w:rPr>
        <w:t xml:space="preserve"> - </w:t>
      </w:r>
      <w:proofErr w:type="spellStart"/>
      <w:r w:rsidRPr="003B6A69">
        <w:rPr>
          <w:rFonts w:asciiTheme="minorHAnsi" w:eastAsia="Times New Roman" w:hAnsiTheme="minorHAnsi"/>
          <w:szCs w:val="20"/>
          <w:lang w:val="en-GB"/>
        </w:rPr>
        <w:t>Komarnica</w:t>
      </w:r>
      <w:proofErr w:type="spellEnd"/>
      <w:r w:rsidRPr="003B6A69">
        <w:rPr>
          <w:rFonts w:asciiTheme="minorHAnsi" w:eastAsia="Times New Roman" w:hAnsiTheme="minorHAnsi"/>
          <w:szCs w:val="20"/>
          <w:lang w:val="en-GB"/>
        </w:rPr>
        <w:t xml:space="preserve"> Nature Park and </w:t>
      </w:r>
      <w:proofErr w:type="spellStart"/>
      <w:r w:rsidRPr="003B6A69">
        <w:rPr>
          <w:rFonts w:asciiTheme="minorHAnsi" w:eastAsia="Times New Roman" w:hAnsiTheme="minorHAnsi"/>
          <w:szCs w:val="20"/>
          <w:lang w:val="en-GB"/>
        </w:rPr>
        <w:t>Komovi</w:t>
      </w:r>
      <w:proofErr w:type="spellEnd"/>
      <w:r w:rsidRPr="003B6A69">
        <w:rPr>
          <w:rFonts w:asciiTheme="minorHAnsi" w:eastAsia="Times New Roman" w:hAnsiTheme="minorHAnsi"/>
          <w:szCs w:val="20"/>
          <w:lang w:val="en-GB"/>
        </w:rPr>
        <w:t xml:space="preserve"> Nature </w:t>
      </w:r>
      <w:r w:rsidRPr="003B6A69">
        <w:rPr>
          <w:rFonts w:asciiTheme="minorHAnsi" w:eastAsia="Times New Roman" w:hAnsiTheme="minorHAnsi"/>
          <w:szCs w:val="20"/>
        </w:rPr>
        <w:t>Park.</w:t>
      </w:r>
    </w:p>
    <w:p w14:paraId="46E94A17" w14:textId="77777777" w:rsidR="008C4F26" w:rsidRPr="003B6A69" w:rsidRDefault="008C4F26" w:rsidP="00661293">
      <w:pPr>
        <w:shd w:val="clear" w:color="auto" w:fill="FFFFFF"/>
        <w:spacing w:after="120"/>
        <w:rPr>
          <w:rFonts w:asciiTheme="minorHAnsi" w:eastAsia="Times New Roman" w:hAnsiTheme="minorHAnsi"/>
          <w:szCs w:val="20"/>
          <w:lang w:val="en-GB"/>
        </w:rPr>
      </w:pPr>
      <w:r w:rsidRPr="003B6A69">
        <w:rPr>
          <w:rFonts w:asciiTheme="minorHAnsi" w:eastAsia="Times New Roman" w:hAnsiTheme="minorHAnsi"/>
          <w:szCs w:val="20"/>
          <w:lang w:val="en-GB"/>
        </w:rPr>
        <w:t xml:space="preserve">The Biosphere Reserve was proclaimed in 1977 with the principal aim of developing sustainable and innovative solutions and projects supporting natural heritage and rural communities. </w:t>
      </w:r>
    </w:p>
    <w:p w14:paraId="7ECC1E02" w14:textId="77777777" w:rsidR="008C4F26" w:rsidRPr="003B6A69" w:rsidRDefault="008C4F26" w:rsidP="00661293">
      <w:pPr>
        <w:shd w:val="clear" w:color="auto" w:fill="FFFFFF"/>
        <w:spacing w:after="120"/>
        <w:rPr>
          <w:rFonts w:asciiTheme="minorHAnsi" w:eastAsia="Times New Roman" w:hAnsiTheme="minorHAnsi"/>
          <w:szCs w:val="20"/>
          <w:lang w:val="en-GB"/>
        </w:rPr>
      </w:pPr>
      <w:r w:rsidRPr="003B6A69">
        <w:rPr>
          <w:rFonts w:asciiTheme="minorHAnsi" w:eastAsia="Times New Roman" w:hAnsiTheme="minorHAnsi"/>
          <w:szCs w:val="20"/>
          <w:lang w:val="en-GB"/>
        </w:rPr>
        <w:t xml:space="preserve">In 2017 the reserve got on the so-called exit list, meaning that due to inactivity to secure management in line with MAB guidelines, the location is at risk of losing the UNESCO status. To effect immediate management changes, the Government established a Coordination Body representing 7 municipalities, two ministries, local </w:t>
      </w:r>
      <w:proofErr w:type="gramStart"/>
      <w:r w:rsidRPr="003B6A69">
        <w:rPr>
          <w:rFonts w:asciiTheme="minorHAnsi" w:eastAsia="Times New Roman" w:hAnsiTheme="minorHAnsi"/>
          <w:szCs w:val="20"/>
          <w:lang w:val="en-GB"/>
        </w:rPr>
        <w:t>NGO</w:t>
      </w:r>
      <w:proofErr w:type="gramEnd"/>
      <w:r w:rsidRPr="003B6A69">
        <w:rPr>
          <w:rFonts w:asciiTheme="minorHAnsi" w:eastAsia="Times New Roman" w:hAnsiTheme="minorHAnsi"/>
          <w:szCs w:val="20"/>
          <w:lang w:val="en-GB"/>
        </w:rPr>
        <w:t xml:space="preserve"> and UNDP;</w:t>
      </w:r>
      <w:r w:rsidRPr="003B6A69">
        <w:rPr>
          <w:rFonts w:asciiTheme="minorHAnsi" w:eastAsia="Times New Roman" w:hAnsiTheme="minorHAnsi"/>
          <w:b/>
          <w:szCs w:val="20"/>
          <w:lang w:val="en-GB"/>
        </w:rPr>
        <w:t xml:space="preserve"> </w:t>
      </w:r>
      <w:r w:rsidRPr="003B6A69">
        <w:rPr>
          <w:rFonts w:asciiTheme="minorHAnsi" w:eastAsia="Times New Roman" w:hAnsiTheme="minorHAnsi"/>
          <w:szCs w:val="20"/>
          <w:lang w:val="en-GB"/>
        </w:rPr>
        <w:t>justified the</w:t>
      </w:r>
      <w:r w:rsidRPr="003B6A69">
        <w:rPr>
          <w:rFonts w:asciiTheme="minorHAnsi" w:eastAsia="Times New Roman" w:hAnsiTheme="minorHAnsi"/>
          <w:b/>
          <w:szCs w:val="20"/>
          <w:lang w:val="en-GB"/>
        </w:rPr>
        <w:t xml:space="preserve"> </w:t>
      </w:r>
      <w:r w:rsidRPr="003B6A69">
        <w:rPr>
          <w:rFonts w:asciiTheme="minorHAnsi" w:eastAsia="Times New Roman" w:hAnsiTheme="minorHAnsi"/>
          <w:szCs w:val="20"/>
          <w:lang w:val="en-GB"/>
        </w:rPr>
        <w:t xml:space="preserve">absence </w:t>
      </w:r>
      <w:r w:rsidRPr="003B6A69">
        <w:rPr>
          <w:rFonts w:asciiTheme="minorHAnsi" w:eastAsia="Times New Roman" w:hAnsiTheme="minorHAnsi"/>
          <w:szCs w:val="20"/>
          <w:lang w:val="en-GB"/>
        </w:rPr>
        <w:lastRenderedPageBreak/>
        <w:t xml:space="preserve">of a buffer zone in the north and south, submitted a new zonation map (reflecting reduced </w:t>
      </w:r>
      <w:proofErr w:type="spellStart"/>
      <w:r w:rsidRPr="003B6A69">
        <w:rPr>
          <w:rFonts w:asciiTheme="minorHAnsi" w:eastAsia="Times New Roman" w:hAnsiTheme="minorHAnsi"/>
          <w:szCs w:val="20"/>
          <w:lang w:val="en-GB"/>
        </w:rPr>
        <w:t>Durmitor</w:t>
      </w:r>
      <w:proofErr w:type="spellEnd"/>
      <w:r w:rsidRPr="003B6A69">
        <w:rPr>
          <w:rFonts w:asciiTheme="minorHAnsi" w:eastAsia="Times New Roman" w:hAnsiTheme="minorHAnsi"/>
          <w:szCs w:val="20"/>
          <w:lang w:val="en-GB"/>
        </w:rPr>
        <w:t xml:space="preserve"> NP and more recently established PAs of other categories), and the action plan for the biosphere reserve. </w:t>
      </w:r>
    </w:p>
    <w:p w14:paraId="77A821C4" w14:textId="77777777" w:rsidR="008C4F26" w:rsidRPr="003B6A69" w:rsidRDefault="008C4F26" w:rsidP="00661293">
      <w:pPr>
        <w:spacing w:after="120"/>
        <w:rPr>
          <w:rFonts w:asciiTheme="minorHAnsi" w:eastAsiaTheme="minorHAnsi" w:hAnsiTheme="minorHAnsi" w:cstheme="minorBidi"/>
          <w:szCs w:val="20"/>
          <w:lang w:val="en-GB"/>
        </w:rPr>
      </w:pPr>
      <w:r w:rsidRPr="003B6A69">
        <w:rPr>
          <w:rFonts w:asciiTheme="minorHAnsi" w:eastAsiaTheme="minorHAnsi" w:hAnsiTheme="minorHAnsi" w:cstheme="minorBidi"/>
          <w:szCs w:val="20"/>
          <w:lang w:val="en-GB"/>
        </w:rPr>
        <w:t xml:space="preserve">The Action Plan that has been adopted reflects four key areas of work from the "Man and the Biosphere" Programme, namely: biodiversity and ecosystem services protection and restoration and the sustainable use of natural resources; contribution to sustainable and healthy societies, economies and </w:t>
      </w:r>
      <w:proofErr w:type="gramStart"/>
      <w:r w:rsidRPr="003B6A69">
        <w:rPr>
          <w:rFonts w:asciiTheme="minorHAnsi" w:eastAsiaTheme="minorHAnsi" w:hAnsiTheme="minorHAnsi" w:cstheme="minorBidi"/>
          <w:szCs w:val="20"/>
          <w:lang w:val="en-GB"/>
        </w:rPr>
        <w:t>settlements,  fostering</w:t>
      </w:r>
      <w:proofErr w:type="gramEnd"/>
      <w:r w:rsidRPr="003B6A69">
        <w:rPr>
          <w:rFonts w:asciiTheme="minorHAnsi" w:eastAsiaTheme="minorHAnsi" w:hAnsiTheme="minorHAnsi" w:cstheme="minorBidi"/>
          <w:szCs w:val="20"/>
          <w:lang w:val="en-GB"/>
        </w:rPr>
        <w:t xml:space="preserve"> science, research and education; addressing the climate change. The Plan is envisaged to provide a framework for activities in the region </w:t>
      </w:r>
      <w:proofErr w:type="gramStart"/>
      <w:r w:rsidRPr="003B6A69">
        <w:rPr>
          <w:rFonts w:asciiTheme="minorHAnsi" w:eastAsiaTheme="minorHAnsi" w:hAnsiTheme="minorHAnsi" w:cstheme="minorBidi"/>
          <w:szCs w:val="20"/>
          <w:lang w:val="en-GB"/>
        </w:rPr>
        <w:t>in order to</w:t>
      </w:r>
      <w:proofErr w:type="gramEnd"/>
      <w:r w:rsidRPr="003B6A69">
        <w:rPr>
          <w:rFonts w:asciiTheme="minorHAnsi" w:eastAsiaTheme="minorHAnsi" w:hAnsiTheme="minorHAnsi" w:cstheme="minorBidi"/>
          <w:szCs w:val="20"/>
          <w:lang w:val="en-GB"/>
        </w:rPr>
        <w:t xml:space="preserve"> optimise the allocation of resources and prioritise actions. The MAB area is yet to become fully operational. </w:t>
      </w:r>
    </w:p>
    <w:p w14:paraId="082463E7" w14:textId="77777777" w:rsidR="008C4F26" w:rsidRPr="003B6A69" w:rsidRDefault="008C4F26" w:rsidP="00661293">
      <w:pPr>
        <w:shd w:val="clear" w:color="auto" w:fill="FFFFFF"/>
        <w:spacing w:after="120"/>
        <w:rPr>
          <w:rFonts w:asciiTheme="minorHAnsi" w:eastAsia="Times New Roman" w:hAnsiTheme="minorHAnsi"/>
          <w:szCs w:val="20"/>
        </w:rPr>
      </w:pPr>
      <w:r w:rsidRPr="003B6A69">
        <w:rPr>
          <w:rFonts w:asciiTheme="minorHAnsi" w:eastAsia="Times New Roman" w:hAnsiTheme="minorHAnsi"/>
          <w:szCs w:val="20"/>
        </w:rPr>
        <w:t xml:space="preserve">As a continuation to this initial set of activities, the project, together with the national and international experts and PA management authorities, local governments and national institutions will secure necessary appropriate amendments of planning documentation and secure these will reflect MAB principles and guidelines. Training of the management staff in MAB international management standards will be provided to make sure that the Coordination body ensures community engagement, coordination, research, learning, </w:t>
      </w:r>
      <w:proofErr w:type="gramStart"/>
      <w:r w:rsidRPr="003B6A69">
        <w:rPr>
          <w:rFonts w:asciiTheme="minorHAnsi" w:eastAsia="Times New Roman" w:hAnsiTheme="minorHAnsi"/>
          <w:szCs w:val="20"/>
        </w:rPr>
        <w:t>information</w:t>
      </w:r>
      <w:proofErr w:type="gramEnd"/>
      <w:r w:rsidRPr="003B6A69">
        <w:rPr>
          <w:rFonts w:asciiTheme="minorHAnsi" w:eastAsia="Times New Roman" w:hAnsiTheme="minorHAnsi"/>
          <w:szCs w:val="20"/>
        </w:rPr>
        <w:t xml:space="preserve"> and experience exchange.  </w:t>
      </w:r>
    </w:p>
    <w:p w14:paraId="77194698" w14:textId="77777777" w:rsidR="008C4F26" w:rsidRPr="003B6A69" w:rsidRDefault="008C4F26" w:rsidP="00661293">
      <w:pPr>
        <w:shd w:val="clear" w:color="auto" w:fill="FFFFFF"/>
        <w:spacing w:after="120"/>
        <w:rPr>
          <w:rFonts w:asciiTheme="minorHAnsi" w:eastAsia="Times New Roman" w:hAnsiTheme="minorHAnsi"/>
          <w:b/>
          <w:i/>
          <w:szCs w:val="20"/>
          <w:lang w:val="en-GB"/>
        </w:rPr>
      </w:pPr>
      <w:proofErr w:type="spellStart"/>
      <w:r w:rsidRPr="003B6A69">
        <w:rPr>
          <w:rFonts w:asciiTheme="minorHAnsi" w:eastAsia="Times New Roman" w:hAnsiTheme="minorHAnsi"/>
          <w:b/>
          <w:i/>
          <w:szCs w:val="20"/>
          <w:lang w:val="en-GB"/>
        </w:rPr>
        <w:t>Biogradska</w:t>
      </w:r>
      <w:proofErr w:type="spellEnd"/>
      <w:r w:rsidRPr="003B6A69">
        <w:rPr>
          <w:rFonts w:asciiTheme="minorHAnsi" w:eastAsia="Times New Roman" w:hAnsiTheme="minorHAnsi"/>
          <w:b/>
          <w:i/>
          <w:szCs w:val="20"/>
          <w:lang w:val="en-GB"/>
        </w:rPr>
        <w:t xml:space="preserve"> Gora National Park </w:t>
      </w:r>
    </w:p>
    <w:p w14:paraId="1FB61F78" w14:textId="77777777" w:rsidR="008C4F26" w:rsidRPr="003B6A69" w:rsidRDefault="008C4F26" w:rsidP="00661293">
      <w:pPr>
        <w:shd w:val="clear" w:color="auto" w:fill="FFFFFF"/>
        <w:spacing w:after="120"/>
        <w:rPr>
          <w:rFonts w:asciiTheme="minorHAnsi" w:eastAsia="Times New Roman" w:hAnsiTheme="minorHAnsi"/>
          <w:szCs w:val="20"/>
          <w:lang w:val="en-GB"/>
        </w:rPr>
      </w:pPr>
      <w:proofErr w:type="spellStart"/>
      <w:r w:rsidRPr="003B6A69">
        <w:rPr>
          <w:rFonts w:asciiTheme="minorHAnsi" w:eastAsia="Times New Roman" w:hAnsiTheme="minorHAnsi"/>
          <w:szCs w:val="20"/>
          <w:lang w:val="en-GB"/>
        </w:rPr>
        <w:t>Biogradska</w:t>
      </w:r>
      <w:proofErr w:type="spellEnd"/>
      <w:r w:rsidRPr="003B6A69">
        <w:rPr>
          <w:rFonts w:asciiTheme="minorHAnsi" w:eastAsia="Times New Roman" w:hAnsiTheme="minorHAnsi"/>
          <w:szCs w:val="20"/>
          <w:lang w:val="en-GB"/>
        </w:rPr>
        <w:t xml:space="preserve"> Gora National Park is the smallest of the five national parks in Montenegro. The core of the park is the primeval beech forest in the catchment area of the </w:t>
      </w:r>
      <w:proofErr w:type="spellStart"/>
      <w:r w:rsidRPr="003B6A69">
        <w:rPr>
          <w:rFonts w:asciiTheme="minorHAnsi" w:eastAsia="Times New Roman" w:hAnsiTheme="minorHAnsi"/>
          <w:szCs w:val="20"/>
          <w:lang w:val="en-GB"/>
        </w:rPr>
        <w:t>Biogradska</w:t>
      </w:r>
      <w:proofErr w:type="spellEnd"/>
      <w:r w:rsidRPr="003B6A69">
        <w:rPr>
          <w:rFonts w:asciiTheme="minorHAnsi" w:eastAsia="Times New Roman" w:hAnsiTheme="minorHAnsi"/>
          <w:szCs w:val="20"/>
          <w:lang w:val="en-GB"/>
        </w:rPr>
        <w:t xml:space="preserve"> River in the central part of the mountain massif of </w:t>
      </w:r>
      <w:proofErr w:type="spellStart"/>
      <w:r w:rsidRPr="003B6A69">
        <w:rPr>
          <w:rFonts w:asciiTheme="minorHAnsi" w:eastAsia="Times New Roman" w:hAnsiTheme="minorHAnsi"/>
          <w:szCs w:val="20"/>
          <w:lang w:val="en-GB"/>
        </w:rPr>
        <w:t>Bjelasica</w:t>
      </w:r>
      <w:proofErr w:type="spellEnd"/>
      <w:r w:rsidRPr="003B6A69">
        <w:rPr>
          <w:rFonts w:asciiTheme="minorHAnsi" w:eastAsia="Times New Roman" w:hAnsiTheme="minorHAnsi"/>
          <w:szCs w:val="20"/>
          <w:lang w:val="en-GB"/>
        </w:rPr>
        <w:t xml:space="preserve"> between the rivers Tara and Lim. It was proclaimed a National Park in 1952, covers an area of 5,650 ha, which includes the whole of the primeval forest. The park also has a defined buffer zone, with </w:t>
      </w:r>
      <w:proofErr w:type="gramStart"/>
      <w:r w:rsidRPr="003B6A69">
        <w:rPr>
          <w:rFonts w:asciiTheme="minorHAnsi" w:eastAsia="Times New Roman" w:hAnsiTheme="minorHAnsi"/>
          <w:szCs w:val="20"/>
          <w:lang w:val="en-GB"/>
        </w:rPr>
        <w:t>which  covers</w:t>
      </w:r>
      <w:proofErr w:type="gramEnd"/>
      <w:r w:rsidRPr="003B6A69">
        <w:rPr>
          <w:rFonts w:asciiTheme="minorHAnsi" w:eastAsia="Times New Roman" w:hAnsiTheme="minorHAnsi"/>
          <w:szCs w:val="20"/>
          <w:lang w:val="en-GB"/>
        </w:rPr>
        <w:t xml:space="preserve">19,470 ha. Basic elements of the Park are: virgin beech forests - one of the last three large virgin forests remaining in Europe., large mountain slopes with upland grasslands and peaks over 2,000 meters high, several glacial </w:t>
      </w:r>
      <w:proofErr w:type="gramStart"/>
      <w:r w:rsidRPr="003B6A69">
        <w:rPr>
          <w:rFonts w:asciiTheme="minorHAnsi" w:eastAsia="Times New Roman" w:hAnsiTheme="minorHAnsi"/>
          <w:szCs w:val="20"/>
          <w:lang w:val="en-GB"/>
        </w:rPr>
        <w:t>lakes,.</w:t>
      </w:r>
      <w:proofErr w:type="gramEnd"/>
      <w:r w:rsidRPr="003B6A69">
        <w:rPr>
          <w:rFonts w:asciiTheme="minorHAnsi" w:eastAsia="Times New Roman" w:hAnsiTheme="minorHAnsi"/>
          <w:szCs w:val="20"/>
          <w:lang w:val="en-GB"/>
        </w:rPr>
        <w:t xml:space="preserve"> The Park is renowned as a unique geomorphologic region and, as such, it is attractive for scientific research. The national park is also rich in cultural and historic heritage Traditional architecture is found throughout the pastures and villages next to the virgin forest reserve on the </w:t>
      </w:r>
      <w:proofErr w:type="spellStart"/>
      <w:r w:rsidRPr="003B6A69">
        <w:rPr>
          <w:rFonts w:asciiTheme="minorHAnsi" w:eastAsia="Times New Roman" w:hAnsiTheme="minorHAnsi"/>
          <w:szCs w:val="20"/>
          <w:lang w:val="en-GB"/>
        </w:rPr>
        <w:t>Bjelasica</w:t>
      </w:r>
      <w:proofErr w:type="spellEnd"/>
      <w:r w:rsidRPr="003B6A69">
        <w:rPr>
          <w:rFonts w:asciiTheme="minorHAnsi" w:eastAsia="Times New Roman" w:hAnsiTheme="minorHAnsi"/>
          <w:szCs w:val="20"/>
          <w:lang w:val="en-GB"/>
        </w:rPr>
        <w:t xml:space="preserve"> mountain range, where traditional forms of land use, such as animal husbandry, pastoralism, seasonal haying etc, are still practiced. Due to the presence of numerous endemic species and habitats, the area of the National Park was recognized an Important Plant Area. </w:t>
      </w:r>
      <w:proofErr w:type="spellStart"/>
      <w:r w:rsidRPr="003B6A69">
        <w:rPr>
          <w:rFonts w:asciiTheme="minorHAnsi" w:eastAsia="Times New Roman" w:hAnsiTheme="minorHAnsi"/>
          <w:szCs w:val="20"/>
          <w:lang w:val="en-GB"/>
        </w:rPr>
        <w:t>Bjelasica</w:t>
      </w:r>
      <w:proofErr w:type="spellEnd"/>
      <w:r w:rsidRPr="003B6A69">
        <w:rPr>
          <w:rFonts w:asciiTheme="minorHAnsi" w:eastAsia="Times New Roman" w:hAnsiTheme="minorHAnsi"/>
          <w:szCs w:val="20"/>
          <w:lang w:val="en-GB"/>
        </w:rPr>
        <w:t xml:space="preserve"> was granted an Important Bird Area status as well. </w:t>
      </w:r>
    </w:p>
    <w:p w14:paraId="28E207F3" w14:textId="77777777" w:rsidR="008C4F26" w:rsidRPr="003B6A69" w:rsidRDefault="008C4F26" w:rsidP="00661293">
      <w:pPr>
        <w:shd w:val="clear" w:color="auto" w:fill="FFFFFF"/>
        <w:spacing w:after="120"/>
        <w:rPr>
          <w:rFonts w:asciiTheme="minorHAnsi" w:eastAsia="Times New Roman" w:hAnsiTheme="minorHAnsi"/>
          <w:szCs w:val="20"/>
          <w:lang w:val="en-GB"/>
        </w:rPr>
      </w:pPr>
      <w:r w:rsidRPr="003B6A69">
        <w:rPr>
          <w:rFonts w:asciiTheme="minorHAnsi" w:eastAsia="Times New Roman" w:hAnsiTheme="minorHAnsi"/>
          <w:szCs w:val="20"/>
          <w:lang w:val="en-GB"/>
        </w:rPr>
        <w:t xml:space="preserve">The seat of the park is in </w:t>
      </w:r>
      <w:proofErr w:type="spellStart"/>
      <w:r w:rsidRPr="003B6A69">
        <w:rPr>
          <w:rFonts w:asciiTheme="minorHAnsi" w:eastAsia="Times New Roman" w:hAnsiTheme="minorHAnsi"/>
          <w:szCs w:val="20"/>
          <w:lang w:val="en-GB"/>
        </w:rPr>
        <w:t>Kolasin</w:t>
      </w:r>
      <w:proofErr w:type="spellEnd"/>
      <w:r w:rsidRPr="003B6A69">
        <w:rPr>
          <w:rFonts w:asciiTheme="minorHAnsi" w:eastAsia="Times New Roman" w:hAnsiTheme="minorHAnsi"/>
          <w:szCs w:val="20"/>
          <w:lang w:val="en-GB"/>
        </w:rPr>
        <w:t xml:space="preserve">, while the rangers service resides within the park, on </w:t>
      </w:r>
      <w:proofErr w:type="spellStart"/>
      <w:r w:rsidRPr="003B6A69">
        <w:rPr>
          <w:rFonts w:asciiTheme="minorHAnsi" w:eastAsia="Times New Roman" w:hAnsiTheme="minorHAnsi"/>
          <w:szCs w:val="20"/>
          <w:lang w:val="en-GB"/>
        </w:rPr>
        <w:t>Biogradsko</w:t>
      </w:r>
      <w:proofErr w:type="spellEnd"/>
      <w:r w:rsidRPr="003B6A69">
        <w:rPr>
          <w:rFonts w:asciiTheme="minorHAnsi" w:eastAsia="Times New Roman" w:hAnsiTheme="minorHAnsi"/>
          <w:szCs w:val="20"/>
          <w:lang w:val="en-GB"/>
        </w:rPr>
        <w:t xml:space="preserve"> Lake. In 2019 the park employed 10 rangers (565ha per ranger), who pressed five criminal charges - one for illegal logging, three for illegal construction and one for altering of the park borders by a private person. </w:t>
      </w:r>
    </w:p>
    <w:p w14:paraId="0257C874" w14:textId="77777777" w:rsidR="008C4F26" w:rsidRPr="003B6A69" w:rsidRDefault="008C4F26" w:rsidP="00661293">
      <w:pPr>
        <w:shd w:val="clear" w:color="auto" w:fill="FFFFFF"/>
        <w:spacing w:after="120"/>
        <w:rPr>
          <w:rFonts w:asciiTheme="minorHAnsi" w:eastAsia="Times New Roman" w:hAnsiTheme="minorHAnsi"/>
          <w:szCs w:val="20"/>
          <w:lang w:val="en-GB"/>
        </w:rPr>
      </w:pPr>
      <w:proofErr w:type="spellStart"/>
      <w:r w:rsidRPr="003B6A69">
        <w:rPr>
          <w:rFonts w:asciiTheme="minorHAnsi" w:eastAsia="Times New Roman" w:hAnsiTheme="minorHAnsi"/>
          <w:szCs w:val="20"/>
          <w:lang w:val="en-GB"/>
        </w:rPr>
        <w:t>Biogradska</w:t>
      </w:r>
      <w:proofErr w:type="spellEnd"/>
      <w:r w:rsidRPr="003B6A69">
        <w:rPr>
          <w:rFonts w:asciiTheme="minorHAnsi" w:eastAsia="Times New Roman" w:hAnsiTheme="minorHAnsi"/>
          <w:szCs w:val="20"/>
          <w:lang w:val="en-GB"/>
        </w:rPr>
        <w:t xml:space="preserve"> Gora is on UNESCO tentative list submission for transboundary future nominations associated with an extension of the existing World Heritage Property “Ancient and Primeval Beech Forests of the Carpathians and Other Regions of Europe”. The UNDP/GEF project, together with the national and international experts and PA management authorities will secure necessary planning documentation and training for management of the area in line with appropriate management guidance and help finalise the nomination process for the area. </w:t>
      </w:r>
    </w:p>
    <w:p w14:paraId="47968129" w14:textId="77777777" w:rsidR="008C4F26" w:rsidRPr="003B6A69" w:rsidRDefault="008C4F26" w:rsidP="00661293">
      <w:pPr>
        <w:shd w:val="clear" w:color="auto" w:fill="FFFFFF"/>
        <w:spacing w:after="120"/>
        <w:rPr>
          <w:rFonts w:asciiTheme="minorHAnsi" w:eastAsia="Times New Roman" w:hAnsiTheme="minorHAnsi"/>
          <w:b/>
          <w:i/>
          <w:szCs w:val="20"/>
          <w:lang w:val="en-GB"/>
        </w:rPr>
      </w:pPr>
      <w:proofErr w:type="spellStart"/>
      <w:r w:rsidRPr="003B6A69">
        <w:rPr>
          <w:rFonts w:asciiTheme="minorHAnsi" w:eastAsia="Times New Roman" w:hAnsiTheme="minorHAnsi"/>
          <w:b/>
          <w:i/>
          <w:szCs w:val="20"/>
          <w:lang w:val="en-GB"/>
        </w:rPr>
        <w:t>Skadar</w:t>
      </w:r>
      <w:proofErr w:type="spellEnd"/>
      <w:r w:rsidRPr="003B6A69">
        <w:rPr>
          <w:rFonts w:asciiTheme="minorHAnsi" w:eastAsia="Times New Roman" w:hAnsiTheme="minorHAnsi"/>
          <w:b/>
          <w:i/>
          <w:szCs w:val="20"/>
          <w:lang w:val="en-GB"/>
        </w:rPr>
        <w:t xml:space="preserve"> Lake National Park </w:t>
      </w:r>
    </w:p>
    <w:p w14:paraId="73E5EC37" w14:textId="77777777" w:rsidR="008C4F26" w:rsidRPr="003B6A69" w:rsidRDefault="008C4F26" w:rsidP="00661293">
      <w:pPr>
        <w:shd w:val="clear" w:color="auto" w:fill="FFFFFF"/>
        <w:spacing w:after="120"/>
        <w:rPr>
          <w:rFonts w:asciiTheme="minorHAnsi" w:eastAsia="Times New Roman" w:hAnsiTheme="minorHAnsi"/>
          <w:i/>
          <w:color w:val="2E74B5"/>
          <w:szCs w:val="20"/>
          <w:lang w:val="en-GB"/>
        </w:rPr>
      </w:pPr>
      <w:proofErr w:type="spellStart"/>
      <w:r w:rsidRPr="003B6A69">
        <w:rPr>
          <w:rFonts w:asciiTheme="minorHAnsi" w:eastAsia="Times New Roman" w:hAnsiTheme="minorHAnsi"/>
          <w:szCs w:val="20"/>
          <w:lang w:val="en-GB"/>
        </w:rPr>
        <w:t>Skadar</w:t>
      </w:r>
      <w:proofErr w:type="spellEnd"/>
      <w:r w:rsidRPr="003B6A69">
        <w:rPr>
          <w:rFonts w:asciiTheme="minorHAnsi" w:eastAsia="Times New Roman" w:hAnsiTheme="minorHAnsi"/>
          <w:szCs w:val="20"/>
          <w:lang w:val="en-GB"/>
        </w:rPr>
        <w:t xml:space="preserve"> Lake was designated as a national park area in 1983 and, since 1995, it has featured on the Ramsar list of wetlands of international </w:t>
      </w:r>
      <w:proofErr w:type="gramStart"/>
      <w:r w:rsidRPr="003B6A69">
        <w:rPr>
          <w:rFonts w:asciiTheme="minorHAnsi" w:eastAsia="Times New Roman" w:hAnsiTheme="minorHAnsi"/>
          <w:szCs w:val="20"/>
          <w:lang w:val="en-GB"/>
        </w:rPr>
        <w:t>significance, and</w:t>
      </w:r>
      <w:proofErr w:type="gramEnd"/>
      <w:r w:rsidRPr="003B6A69">
        <w:rPr>
          <w:rFonts w:asciiTheme="minorHAnsi" w:eastAsia="Times New Roman" w:hAnsiTheme="minorHAnsi"/>
          <w:szCs w:val="20"/>
          <w:lang w:val="en-GB"/>
        </w:rPr>
        <w:t xml:space="preserve"> has also a status of Important birds’ area (IBA).</w:t>
      </w:r>
    </w:p>
    <w:p w14:paraId="56A3F084" w14:textId="77777777" w:rsidR="008C4F26" w:rsidRPr="003B6A69" w:rsidRDefault="008C4F26" w:rsidP="00661293">
      <w:pPr>
        <w:shd w:val="clear" w:color="auto" w:fill="FFFFFF"/>
        <w:spacing w:after="120"/>
        <w:rPr>
          <w:rFonts w:asciiTheme="minorHAnsi" w:eastAsia="Times New Roman" w:hAnsiTheme="minorHAnsi"/>
          <w:szCs w:val="20"/>
          <w:lang w:val="en-GB"/>
        </w:rPr>
      </w:pPr>
      <w:proofErr w:type="spellStart"/>
      <w:r w:rsidRPr="003B6A69">
        <w:rPr>
          <w:rFonts w:asciiTheme="minorHAnsi" w:eastAsia="Times New Roman" w:hAnsiTheme="minorHAnsi"/>
          <w:szCs w:val="20"/>
          <w:lang w:val="en-GB"/>
        </w:rPr>
        <w:t>Skadarsko</w:t>
      </w:r>
      <w:proofErr w:type="spellEnd"/>
      <w:r w:rsidRPr="003B6A69">
        <w:rPr>
          <w:rFonts w:asciiTheme="minorHAnsi" w:eastAsia="Times New Roman" w:hAnsiTheme="minorHAnsi"/>
          <w:szCs w:val="20"/>
          <w:lang w:val="en-GB"/>
        </w:rPr>
        <w:t xml:space="preserve"> </w:t>
      </w:r>
      <w:proofErr w:type="spellStart"/>
      <w:r w:rsidRPr="003B6A69">
        <w:rPr>
          <w:rFonts w:asciiTheme="minorHAnsi" w:eastAsia="Times New Roman" w:hAnsiTheme="minorHAnsi"/>
          <w:szCs w:val="20"/>
          <w:lang w:val="en-GB"/>
        </w:rPr>
        <w:t>Jezero</w:t>
      </w:r>
      <w:proofErr w:type="spellEnd"/>
      <w:r w:rsidRPr="003B6A69">
        <w:rPr>
          <w:rFonts w:asciiTheme="minorHAnsi" w:eastAsia="Times New Roman" w:hAnsiTheme="minorHAnsi"/>
          <w:szCs w:val="20"/>
          <w:lang w:val="en-GB"/>
        </w:rPr>
        <w:t xml:space="preserve"> (lake </w:t>
      </w:r>
      <w:proofErr w:type="spellStart"/>
      <w:r w:rsidRPr="003B6A69">
        <w:rPr>
          <w:rFonts w:asciiTheme="minorHAnsi" w:eastAsia="Times New Roman" w:hAnsiTheme="minorHAnsi"/>
          <w:szCs w:val="20"/>
          <w:lang w:val="en-GB"/>
        </w:rPr>
        <w:t>Skadar</w:t>
      </w:r>
      <w:proofErr w:type="spellEnd"/>
      <w:r w:rsidRPr="003B6A69">
        <w:rPr>
          <w:rFonts w:asciiTheme="minorHAnsi" w:eastAsia="Times New Roman" w:hAnsiTheme="minorHAnsi"/>
          <w:szCs w:val="20"/>
          <w:lang w:val="en-GB"/>
        </w:rPr>
        <w:t xml:space="preserve"> or Shkodra, named after the Albanian town near its shores) is the largest freshwater lake in the Balkans with a surface varying between 370 and 530 km2 depending on water level fluctuations (regularly up to 4m and more). Two thirds of the lake are situated in Montenegro, the rest in Albania. The karst lake is of tectonic origin with an average depth of 6m. Lake </w:t>
      </w:r>
      <w:proofErr w:type="spellStart"/>
      <w:r w:rsidRPr="003B6A69">
        <w:rPr>
          <w:rFonts w:asciiTheme="minorHAnsi" w:eastAsia="Times New Roman" w:hAnsiTheme="minorHAnsi"/>
          <w:szCs w:val="20"/>
          <w:lang w:val="en-GB"/>
        </w:rPr>
        <w:t>Skadar</w:t>
      </w:r>
      <w:proofErr w:type="spellEnd"/>
      <w:r w:rsidRPr="003B6A69">
        <w:rPr>
          <w:rFonts w:asciiTheme="minorHAnsi" w:eastAsia="Times New Roman" w:hAnsiTheme="minorHAnsi"/>
          <w:szCs w:val="20"/>
          <w:lang w:val="en-GB"/>
        </w:rPr>
        <w:t xml:space="preserve"> supports a lush wetland vegetation of floating water plants, various reed, and sedge and willow species. The flora is very rich with more than 25 rare and endemic species, including the endemic water chestnut (</w:t>
      </w:r>
      <w:r w:rsidRPr="003B6A69">
        <w:rPr>
          <w:rFonts w:asciiTheme="minorHAnsi" w:eastAsia="Times New Roman" w:hAnsiTheme="minorHAnsi"/>
          <w:i/>
          <w:szCs w:val="20"/>
          <w:lang w:val="en-GB"/>
        </w:rPr>
        <w:t xml:space="preserve">Trapa </w:t>
      </w:r>
      <w:proofErr w:type="spellStart"/>
      <w:r w:rsidRPr="003B6A69">
        <w:rPr>
          <w:rFonts w:asciiTheme="minorHAnsi" w:eastAsia="Times New Roman" w:hAnsiTheme="minorHAnsi"/>
          <w:i/>
          <w:szCs w:val="20"/>
          <w:lang w:val="en-GB"/>
        </w:rPr>
        <w:t>natans</w:t>
      </w:r>
      <w:proofErr w:type="spellEnd"/>
      <w:r w:rsidRPr="003B6A69">
        <w:rPr>
          <w:rFonts w:asciiTheme="minorHAnsi" w:eastAsia="Times New Roman" w:hAnsiTheme="minorHAnsi"/>
          <w:i/>
          <w:szCs w:val="20"/>
          <w:lang w:val="en-GB"/>
        </w:rPr>
        <w:t xml:space="preserve"> </w:t>
      </w:r>
      <w:proofErr w:type="spellStart"/>
      <w:r w:rsidRPr="003B6A69">
        <w:rPr>
          <w:rFonts w:asciiTheme="minorHAnsi" w:eastAsia="Times New Roman" w:hAnsiTheme="minorHAnsi"/>
          <w:i/>
          <w:szCs w:val="20"/>
          <w:lang w:val="en-GB"/>
        </w:rPr>
        <w:t>scutariensis</w:t>
      </w:r>
      <w:proofErr w:type="spellEnd"/>
      <w:r w:rsidRPr="003B6A69">
        <w:rPr>
          <w:rFonts w:asciiTheme="minorHAnsi" w:eastAsia="Times New Roman" w:hAnsiTheme="minorHAnsi"/>
          <w:szCs w:val="20"/>
          <w:lang w:val="en-GB"/>
        </w:rPr>
        <w:t xml:space="preserve">) in the lake and </w:t>
      </w:r>
      <w:proofErr w:type="spellStart"/>
      <w:r w:rsidRPr="003B6A69">
        <w:rPr>
          <w:rFonts w:asciiTheme="minorHAnsi" w:eastAsia="Times New Roman" w:hAnsiTheme="minorHAnsi"/>
          <w:szCs w:val="20"/>
          <w:lang w:val="en-GB"/>
        </w:rPr>
        <w:t>Skadar</w:t>
      </w:r>
      <w:proofErr w:type="spellEnd"/>
      <w:r w:rsidRPr="003B6A69">
        <w:rPr>
          <w:rFonts w:asciiTheme="minorHAnsi" w:eastAsia="Times New Roman" w:hAnsiTheme="minorHAnsi"/>
          <w:szCs w:val="20"/>
          <w:lang w:val="en-GB"/>
        </w:rPr>
        <w:t xml:space="preserve"> oak (</w:t>
      </w:r>
      <w:r w:rsidRPr="003B6A69">
        <w:rPr>
          <w:rFonts w:asciiTheme="minorHAnsi" w:eastAsia="Times New Roman" w:hAnsiTheme="minorHAnsi"/>
          <w:i/>
          <w:szCs w:val="20"/>
          <w:lang w:val="en-GB"/>
        </w:rPr>
        <w:t xml:space="preserve">Quercus </w:t>
      </w:r>
      <w:proofErr w:type="spellStart"/>
      <w:r w:rsidRPr="003B6A69">
        <w:rPr>
          <w:rFonts w:asciiTheme="minorHAnsi" w:eastAsia="Times New Roman" w:hAnsiTheme="minorHAnsi"/>
          <w:i/>
          <w:szCs w:val="20"/>
          <w:lang w:val="en-GB"/>
        </w:rPr>
        <w:t>robur</w:t>
      </w:r>
      <w:proofErr w:type="spellEnd"/>
      <w:r w:rsidRPr="003B6A69">
        <w:rPr>
          <w:rFonts w:asciiTheme="minorHAnsi" w:eastAsia="Times New Roman" w:hAnsiTheme="minorHAnsi"/>
          <w:i/>
          <w:szCs w:val="20"/>
          <w:lang w:val="en-GB"/>
        </w:rPr>
        <w:t xml:space="preserve"> </w:t>
      </w:r>
      <w:proofErr w:type="spellStart"/>
      <w:r w:rsidRPr="003B6A69">
        <w:rPr>
          <w:rFonts w:asciiTheme="minorHAnsi" w:eastAsia="Times New Roman" w:hAnsiTheme="minorHAnsi"/>
          <w:i/>
          <w:szCs w:val="20"/>
          <w:lang w:val="en-GB"/>
        </w:rPr>
        <w:t>scutariensis</w:t>
      </w:r>
      <w:proofErr w:type="spellEnd"/>
      <w:r w:rsidRPr="003B6A69">
        <w:rPr>
          <w:rFonts w:asciiTheme="minorHAnsi" w:eastAsia="Times New Roman" w:hAnsiTheme="minorHAnsi"/>
          <w:szCs w:val="20"/>
          <w:lang w:val="en-GB"/>
        </w:rPr>
        <w:t>) in its surroundings. On the hillsides around the lake remain woodlands (including an old-growth chestnut Castanea forests) and Mediterranean shrub communities. The diverse fauna includes endemic invertebrates, 48 fish species in the lake water catchment (39 inside the National Park), 281 bird species, and many other vertebrates. The lake provides important habitats for many species of nesting, staging and wintering waterbirds, some of which are globally threatened (</w:t>
      </w:r>
      <w:proofErr w:type="gramStart"/>
      <w:r w:rsidRPr="003B6A69">
        <w:rPr>
          <w:rFonts w:asciiTheme="minorHAnsi" w:eastAsia="Times New Roman" w:hAnsiTheme="minorHAnsi"/>
          <w:szCs w:val="20"/>
          <w:lang w:val="en-GB"/>
        </w:rPr>
        <w:t>e.g.</w:t>
      </w:r>
      <w:proofErr w:type="gramEnd"/>
      <w:r w:rsidRPr="003B6A69">
        <w:rPr>
          <w:rFonts w:asciiTheme="minorHAnsi" w:eastAsia="Times New Roman" w:hAnsiTheme="minorHAnsi"/>
          <w:szCs w:val="20"/>
          <w:lang w:val="en-GB"/>
        </w:rPr>
        <w:t xml:space="preserve"> Dalmatian pelican </w:t>
      </w:r>
      <w:proofErr w:type="spellStart"/>
      <w:r w:rsidRPr="003B6A69">
        <w:rPr>
          <w:rFonts w:asciiTheme="minorHAnsi" w:eastAsia="Times New Roman" w:hAnsiTheme="minorHAnsi"/>
          <w:szCs w:val="20"/>
          <w:lang w:val="en-GB"/>
        </w:rPr>
        <w:t>Pelecanus</w:t>
      </w:r>
      <w:proofErr w:type="spellEnd"/>
      <w:r w:rsidRPr="003B6A69">
        <w:rPr>
          <w:rFonts w:asciiTheme="minorHAnsi" w:eastAsia="Times New Roman" w:hAnsiTheme="minorHAnsi"/>
          <w:szCs w:val="20"/>
          <w:lang w:val="en-GB"/>
        </w:rPr>
        <w:t xml:space="preserve"> crispus and pygmy cormorant Phalacrocorax </w:t>
      </w:r>
      <w:proofErr w:type="spellStart"/>
      <w:r w:rsidRPr="003B6A69">
        <w:rPr>
          <w:rFonts w:asciiTheme="minorHAnsi" w:eastAsia="Times New Roman" w:hAnsiTheme="minorHAnsi"/>
          <w:szCs w:val="20"/>
          <w:lang w:val="en-GB"/>
        </w:rPr>
        <w:t>pygmeus</w:t>
      </w:r>
      <w:proofErr w:type="spellEnd"/>
      <w:r w:rsidRPr="003B6A69">
        <w:rPr>
          <w:rFonts w:asciiTheme="minorHAnsi" w:eastAsia="Times New Roman" w:hAnsiTheme="minorHAnsi"/>
          <w:szCs w:val="20"/>
          <w:lang w:val="en-GB"/>
        </w:rPr>
        <w:t>). Large numbers of waterbirds occur during spring migration. The lake harbours 279 bird species, some 90% of which are migratory species of international importance. There are more than 50 species of fish, 15 of which are endemic.</w:t>
      </w:r>
    </w:p>
    <w:p w14:paraId="6A4EDF94" w14:textId="77777777" w:rsidR="008C4F26" w:rsidRPr="003B6A69" w:rsidRDefault="008C4F26" w:rsidP="00661293">
      <w:pPr>
        <w:shd w:val="clear" w:color="auto" w:fill="FFFFFF"/>
        <w:spacing w:after="120"/>
        <w:rPr>
          <w:rFonts w:asciiTheme="minorHAnsi" w:eastAsia="Times New Roman" w:hAnsiTheme="minorHAnsi"/>
          <w:szCs w:val="20"/>
          <w:lang w:val="en-GB"/>
        </w:rPr>
      </w:pPr>
      <w:r w:rsidRPr="003B6A69">
        <w:rPr>
          <w:rFonts w:asciiTheme="minorHAnsi" w:eastAsia="Times New Roman" w:hAnsiTheme="minorHAnsi"/>
          <w:szCs w:val="20"/>
          <w:lang w:val="en-GB"/>
        </w:rPr>
        <w:lastRenderedPageBreak/>
        <w:t xml:space="preserve">Unlike all other PAs with international nominations in Montenegro, the </w:t>
      </w:r>
      <w:proofErr w:type="spellStart"/>
      <w:r w:rsidRPr="003B6A69">
        <w:rPr>
          <w:rFonts w:asciiTheme="minorHAnsi" w:eastAsia="Times New Roman" w:hAnsiTheme="minorHAnsi"/>
          <w:szCs w:val="20"/>
          <w:lang w:val="en-GB"/>
        </w:rPr>
        <w:t>Skadar</w:t>
      </w:r>
      <w:proofErr w:type="spellEnd"/>
      <w:r w:rsidRPr="003B6A69">
        <w:rPr>
          <w:rFonts w:asciiTheme="minorHAnsi" w:eastAsia="Times New Roman" w:hAnsiTheme="minorHAnsi"/>
          <w:szCs w:val="20"/>
          <w:lang w:val="en-GB"/>
        </w:rPr>
        <w:t xml:space="preserve"> Lake National Park has, to a certain extent, incorporated international guidelines in the management practices.</w:t>
      </w:r>
    </w:p>
    <w:p w14:paraId="6EE4129F" w14:textId="77777777" w:rsidR="008C4F26" w:rsidRPr="003B6A69" w:rsidRDefault="008C4F26" w:rsidP="00661293">
      <w:pPr>
        <w:shd w:val="clear" w:color="auto" w:fill="FFFFFF"/>
        <w:spacing w:after="120"/>
        <w:rPr>
          <w:rFonts w:asciiTheme="minorHAnsi" w:eastAsia="Times New Roman" w:hAnsiTheme="minorHAnsi"/>
          <w:szCs w:val="20"/>
          <w:lang w:val="en-GB"/>
        </w:rPr>
      </w:pPr>
      <w:r w:rsidRPr="003B6A69">
        <w:rPr>
          <w:rFonts w:asciiTheme="minorHAnsi" w:eastAsia="Times New Roman" w:hAnsiTheme="minorHAnsi"/>
          <w:szCs w:val="20"/>
          <w:lang w:val="en-GB"/>
        </w:rPr>
        <w:t xml:space="preserve">The 2018 on-the-spot appraisal and Ramsar advisory mission raised several concerns regarding the growing threats to the Ramsar property associated with the growing construction plots and tourism infrastructure around the </w:t>
      </w:r>
      <w:proofErr w:type="gramStart"/>
      <w:r w:rsidRPr="003B6A69">
        <w:rPr>
          <w:rFonts w:asciiTheme="minorHAnsi" w:eastAsia="Times New Roman" w:hAnsiTheme="minorHAnsi"/>
          <w:szCs w:val="20"/>
          <w:lang w:val="en-GB"/>
        </w:rPr>
        <w:t>lake, and</w:t>
      </w:r>
      <w:proofErr w:type="gramEnd"/>
      <w:r w:rsidRPr="003B6A69">
        <w:rPr>
          <w:rFonts w:asciiTheme="minorHAnsi" w:eastAsia="Times New Roman" w:hAnsiTheme="minorHAnsi"/>
          <w:szCs w:val="20"/>
          <w:lang w:val="en-GB"/>
        </w:rPr>
        <w:t xml:space="preserve"> requested that no installations or constructions shall be allowed in the </w:t>
      </w:r>
      <w:proofErr w:type="spellStart"/>
      <w:r w:rsidRPr="003B6A69">
        <w:rPr>
          <w:rFonts w:asciiTheme="minorHAnsi" w:eastAsia="Times New Roman" w:hAnsiTheme="minorHAnsi"/>
          <w:szCs w:val="20"/>
          <w:lang w:val="en-GB"/>
        </w:rPr>
        <w:t>shorezone</w:t>
      </w:r>
      <w:proofErr w:type="spellEnd"/>
      <w:r w:rsidRPr="003B6A69">
        <w:rPr>
          <w:rFonts w:asciiTheme="minorHAnsi" w:eastAsia="Times New Roman" w:hAnsiTheme="minorHAnsi"/>
          <w:szCs w:val="20"/>
          <w:lang w:val="en-GB"/>
        </w:rPr>
        <w:t xml:space="preserve"> classified with the highest habitat and biodiversity value category. Further on the mission reiterated importance of elaboration </w:t>
      </w:r>
      <w:proofErr w:type="gramStart"/>
      <w:r w:rsidRPr="003B6A69">
        <w:rPr>
          <w:rFonts w:asciiTheme="minorHAnsi" w:eastAsia="Times New Roman" w:hAnsiTheme="minorHAnsi"/>
          <w:szCs w:val="20"/>
          <w:lang w:val="en-GB"/>
        </w:rPr>
        <w:t>of  reference</w:t>
      </w:r>
      <w:proofErr w:type="gramEnd"/>
      <w:r w:rsidRPr="003B6A69">
        <w:rPr>
          <w:rFonts w:asciiTheme="minorHAnsi" w:eastAsia="Times New Roman" w:hAnsiTheme="minorHAnsi"/>
          <w:szCs w:val="20"/>
          <w:lang w:val="en-GB"/>
        </w:rPr>
        <w:t xml:space="preserve"> list of all present EUNIS and NATURA 2000 habitats with a focus on wetlands habitats, define their favourable conservation status and the necessary conservation measures to maintain or restore the favourable conservation status and include those measures in any planning document related to the conservation of </w:t>
      </w:r>
      <w:proofErr w:type="spellStart"/>
      <w:r w:rsidRPr="003B6A69">
        <w:rPr>
          <w:rFonts w:asciiTheme="minorHAnsi" w:eastAsia="Times New Roman" w:hAnsiTheme="minorHAnsi"/>
          <w:szCs w:val="20"/>
          <w:lang w:val="en-GB"/>
        </w:rPr>
        <w:t>Skadar</w:t>
      </w:r>
      <w:proofErr w:type="spellEnd"/>
      <w:r w:rsidRPr="003B6A69">
        <w:rPr>
          <w:rFonts w:asciiTheme="minorHAnsi" w:eastAsia="Times New Roman" w:hAnsiTheme="minorHAnsi"/>
          <w:szCs w:val="20"/>
          <w:lang w:val="en-GB"/>
        </w:rPr>
        <w:t xml:space="preserve"> Lake National Park, </w:t>
      </w:r>
      <w:proofErr w:type="spellStart"/>
      <w:r w:rsidRPr="003B6A69">
        <w:rPr>
          <w:rFonts w:asciiTheme="minorHAnsi" w:eastAsia="Times New Roman" w:hAnsiTheme="minorHAnsi"/>
          <w:szCs w:val="20"/>
          <w:lang w:val="en-GB"/>
        </w:rPr>
        <w:t>Skadarsko</w:t>
      </w:r>
      <w:proofErr w:type="spellEnd"/>
      <w:r w:rsidRPr="003B6A69">
        <w:rPr>
          <w:rFonts w:asciiTheme="minorHAnsi" w:eastAsia="Times New Roman" w:hAnsiTheme="minorHAnsi"/>
          <w:szCs w:val="20"/>
          <w:lang w:val="en-GB"/>
        </w:rPr>
        <w:t xml:space="preserve"> </w:t>
      </w:r>
      <w:proofErr w:type="spellStart"/>
      <w:r w:rsidRPr="003B6A69">
        <w:rPr>
          <w:rFonts w:asciiTheme="minorHAnsi" w:eastAsia="Times New Roman" w:hAnsiTheme="minorHAnsi"/>
          <w:szCs w:val="20"/>
          <w:lang w:val="en-GB"/>
        </w:rPr>
        <w:t>jezero</w:t>
      </w:r>
      <w:proofErr w:type="spellEnd"/>
      <w:r w:rsidRPr="003B6A69">
        <w:rPr>
          <w:rFonts w:asciiTheme="minorHAnsi" w:eastAsia="Times New Roman" w:hAnsiTheme="minorHAnsi"/>
          <w:szCs w:val="20"/>
          <w:lang w:val="en-GB"/>
        </w:rPr>
        <w:t xml:space="preserve"> Ramsar Site and Candidate Emerald Sites </w:t>
      </w:r>
      <w:proofErr w:type="spellStart"/>
      <w:r w:rsidRPr="003B6A69">
        <w:rPr>
          <w:rFonts w:asciiTheme="minorHAnsi" w:eastAsia="Times New Roman" w:hAnsiTheme="minorHAnsi"/>
          <w:szCs w:val="20"/>
          <w:lang w:val="en-GB"/>
        </w:rPr>
        <w:t>Skadar</w:t>
      </w:r>
      <w:proofErr w:type="spellEnd"/>
      <w:r w:rsidRPr="003B6A69">
        <w:rPr>
          <w:rFonts w:asciiTheme="minorHAnsi" w:eastAsia="Times New Roman" w:hAnsiTheme="minorHAnsi"/>
          <w:szCs w:val="20"/>
          <w:lang w:val="en-GB"/>
        </w:rPr>
        <w:t xml:space="preserve"> Lake. </w:t>
      </w:r>
    </w:p>
    <w:p w14:paraId="3EAB4025" w14:textId="77777777" w:rsidR="008C4F26" w:rsidRPr="003B6A69" w:rsidRDefault="008C4F26" w:rsidP="00661293">
      <w:pPr>
        <w:shd w:val="clear" w:color="auto" w:fill="FFFFFF"/>
        <w:spacing w:after="120"/>
        <w:rPr>
          <w:rFonts w:asciiTheme="minorHAnsi" w:eastAsia="Times New Roman" w:hAnsiTheme="minorHAnsi"/>
          <w:szCs w:val="20"/>
          <w:lang w:val="en-GB"/>
        </w:rPr>
      </w:pPr>
      <w:r w:rsidRPr="003B6A69">
        <w:rPr>
          <w:rFonts w:asciiTheme="minorHAnsi" w:eastAsia="Times New Roman" w:hAnsiTheme="minorHAnsi"/>
          <w:szCs w:val="20"/>
          <w:lang w:val="en-GB"/>
        </w:rPr>
        <w:t>In response to the Ramsar mission recommendations, the UNDP/GEF project can assist the National Park management authorities with an incremental effort to mainstream international requirements and best practices for Ramsar wetlands into the management plan of the National Park. That might include a targeted re-assessment of habitats and BD values, and development of recommendations for spatial planning and zonation. The project will support the Government with their efforts towards designation of the buffer zone for the Ramsar property, and will help developing specific regulations on boating (</w:t>
      </w:r>
      <w:proofErr w:type="gramStart"/>
      <w:r w:rsidRPr="003B6A69">
        <w:rPr>
          <w:rFonts w:asciiTheme="minorHAnsi" w:eastAsia="Times New Roman" w:hAnsiTheme="minorHAnsi"/>
          <w:szCs w:val="20"/>
          <w:lang w:val="en-GB"/>
        </w:rPr>
        <w:t>e.g.</w:t>
      </w:r>
      <w:proofErr w:type="gramEnd"/>
      <w:r w:rsidRPr="003B6A69">
        <w:rPr>
          <w:rFonts w:asciiTheme="minorHAnsi" w:eastAsia="Times New Roman" w:hAnsiTheme="minorHAnsi"/>
          <w:szCs w:val="20"/>
          <w:lang w:val="en-GB"/>
        </w:rPr>
        <w:t xml:space="preserve"> speed limit).</w:t>
      </w:r>
    </w:p>
    <w:p w14:paraId="0B93EE33" w14:textId="77777777" w:rsidR="008C4F26" w:rsidRPr="003B6A69" w:rsidRDefault="008C4F26" w:rsidP="00661293">
      <w:pPr>
        <w:shd w:val="clear" w:color="auto" w:fill="FFFFFF"/>
        <w:spacing w:after="120"/>
        <w:rPr>
          <w:rFonts w:asciiTheme="minorHAnsi" w:eastAsia="Times New Roman" w:hAnsiTheme="minorHAnsi"/>
          <w:b/>
          <w:i/>
          <w:szCs w:val="20"/>
          <w:lang w:val="en-GB"/>
        </w:rPr>
      </w:pPr>
      <w:proofErr w:type="spellStart"/>
      <w:r w:rsidRPr="003B6A69">
        <w:rPr>
          <w:rFonts w:asciiTheme="minorHAnsi" w:eastAsia="Times New Roman" w:hAnsiTheme="minorHAnsi"/>
          <w:b/>
          <w:i/>
          <w:szCs w:val="20"/>
          <w:lang w:val="en-GB"/>
        </w:rPr>
        <w:t>Ulcinjska</w:t>
      </w:r>
      <w:proofErr w:type="spellEnd"/>
      <w:r w:rsidRPr="003B6A69">
        <w:rPr>
          <w:rFonts w:asciiTheme="minorHAnsi" w:eastAsia="Times New Roman" w:hAnsiTheme="minorHAnsi"/>
          <w:b/>
          <w:i/>
          <w:szCs w:val="20"/>
          <w:lang w:val="en-GB"/>
        </w:rPr>
        <w:t xml:space="preserve"> Solana Nature Park </w:t>
      </w:r>
    </w:p>
    <w:p w14:paraId="4525C29D" w14:textId="77777777" w:rsidR="008C4F26" w:rsidRPr="003B6A69" w:rsidRDefault="008C4F26" w:rsidP="00661293">
      <w:pPr>
        <w:shd w:val="clear" w:color="auto" w:fill="FFFFFF"/>
        <w:spacing w:after="120"/>
        <w:rPr>
          <w:rFonts w:asciiTheme="minorHAnsi" w:eastAsia="Times New Roman" w:hAnsiTheme="minorHAnsi"/>
          <w:szCs w:val="20"/>
          <w:lang w:val="en-GB"/>
        </w:rPr>
      </w:pPr>
      <w:r w:rsidRPr="003B6A69">
        <w:rPr>
          <w:rFonts w:asciiTheme="minorHAnsi" w:eastAsia="Times New Roman" w:hAnsiTheme="minorHAnsi"/>
          <w:szCs w:val="20"/>
          <w:lang w:val="en-GB"/>
        </w:rPr>
        <w:t xml:space="preserve">Ulcinj salina is situated in the outermost southern part of Montenegro and covers slightly less than 14.5 km2 of salty basins (total surface area is 1.477 ha), 1 km from the city of Ulcinj and from the Albanian border. Ulcinj salina is located on the site of the former lagoon and wetland situated in the delta of the River Bojana. Representing one of the largest </w:t>
      </w:r>
      <w:proofErr w:type="spellStart"/>
      <w:r w:rsidRPr="003B6A69">
        <w:rPr>
          <w:rFonts w:asciiTheme="minorHAnsi" w:eastAsia="Times New Roman" w:hAnsiTheme="minorHAnsi"/>
          <w:szCs w:val="20"/>
          <w:lang w:val="en-GB"/>
        </w:rPr>
        <w:t>salinas</w:t>
      </w:r>
      <w:proofErr w:type="spellEnd"/>
      <w:r w:rsidRPr="003B6A69">
        <w:rPr>
          <w:rFonts w:asciiTheme="minorHAnsi" w:eastAsia="Times New Roman" w:hAnsiTheme="minorHAnsi"/>
          <w:szCs w:val="20"/>
          <w:lang w:val="en-GB"/>
        </w:rPr>
        <w:t xml:space="preserve"> in the Mediterranean, the lagoon which was re-shaped to harvest salt is also the most important resting, </w:t>
      </w:r>
      <w:proofErr w:type="gramStart"/>
      <w:r w:rsidRPr="003B6A69">
        <w:rPr>
          <w:rFonts w:asciiTheme="minorHAnsi" w:eastAsia="Times New Roman" w:hAnsiTheme="minorHAnsi"/>
          <w:szCs w:val="20"/>
          <w:lang w:val="en-GB"/>
        </w:rPr>
        <w:t>breeding</w:t>
      </w:r>
      <w:proofErr w:type="gramEnd"/>
      <w:r w:rsidRPr="003B6A69">
        <w:rPr>
          <w:rFonts w:asciiTheme="minorHAnsi" w:eastAsia="Times New Roman" w:hAnsiTheme="minorHAnsi"/>
          <w:szCs w:val="20"/>
          <w:lang w:val="en-GB"/>
        </w:rPr>
        <w:t xml:space="preserve"> and wintering area for migratory birds on the east Adriatic coast. </w:t>
      </w:r>
      <w:proofErr w:type="gramStart"/>
      <w:r w:rsidRPr="003B6A69">
        <w:rPr>
          <w:rFonts w:asciiTheme="minorHAnsi" w:eastAsia="Times New Roman" w:hAnsiTheme="minorHAnsi"/>
          <w:szCs w:val="20"/>
          <w:lang w:val="en-GB"/>
        </w:rPr>
        <w:t>In particular the</w:t>
      </w:r>
      <w:proofErr w:type="gramEnd"/>
      <w:r w:rsidRPr="003B6A69">
        <w:rPr>
          <w:rFonts w:asciiTheme="minorHAnsi" w:eastAsia="Times New Roman" w:hAnsiTheme="minorHAnsi"/>
          <w:szCs w:val="20"/>
          <w:lang w:val="en-GB"/>
        </w:rPr>
        <w:t xml:space="preserve"> yearly flooding and the subsequent gradual drying of the evaporation ponds create valuable wetland habitats for numerous waders and waterbirds. While from the aspects of flora and vegetation Saline is important, currently 114 plant species have been described as well in the context of amphibians and reptiles (12 species of amphibians and 28 species of reptiles survive in hot summer conditions of the Ulcinj Salina) true value of the area becomes clear as exclusive habitat for birds. Currently 241 bird species have been registered which is 50% of the total bird species registered in Europe. In the wider region, there are habitats where the number of registered birds is even higher, but what makes the Ulcinj Salina special is the quality of species and their number. The number of birds using the Ulcinj Salina basins for breeding, </w:t>
      </w:r>
      <w:proofErr w:type="gramStart"/>
      <w:r w:rsidRPr="003B6A69">
        <w:rPr>
          <w:rFonts w:asciiTheme="minorHAnsi" w:eastAsia="Times New Roman" w:hAnsiTheme="minorHAnsi"/>
          <w:szCs w:val="20"/>
          <w:lang w:val="en-GB"/>
        </w:rPr>
        <w:t>wintering</w:t>
      </w:r>
      <w:proofErr w:type="gramEnd"/>
      <w:r w:rsidRPr="003B6A69">
        <w:rPr>
          <w:rFonts w:asciiTheme="minorHAnsi" w:eastAsia="Times New Roman" w:hAnsiTheme="minorHAnsi"/>
          <w:szCs w:val="20"/>
          <w:lang w:val="en-GB"/>
        </w:rPr>
        <w:t xml:space="preserve"> or resting during spring or autumn migration exceeds the threshold of 1% of the total global bird population. For reference, an area of less than 15 km2 hosts 3% of the total global population of the Dalmatian Pelican (</w:t>
      </w:r>
      <w:proofErr w:type="spellStart"/>
      <w:r w:rsidRPr="003B6A69">
        <w:rPr>
          <w:rFonts w:asciiTheme="minorHAnsi" w:eastAsia="Times New Roman" w:hAnsiTheme="minorHAnsi"/>
          <w:i/>
          <w:szCs w:val="20"/>
          <w:lang w:val="en-GB"/>
        </w:rPr>
        <w:t>Pelecanus</w:t>
      </w:r>
      <w:proofErr w:type="spellEnd"/>
      <w:r w:rsidRPr="003B6A69">
        <w:rPr>
          <w:rFonts w:asciiTheme="minorHAnsi" w:eastAsia="Times New Roman" w:hAnsiTheme="minorHAnsi"/>
          <w:i/>
          <w:szCs w:val="20"/>
          <w:lang w:val="en-GB"/>
        </w:rPr>
        <w:t xml:space="preserve"> crispus</w:t>
      </w:r>
      <w:r w:rsidRPr="003B6A69">
        <w:rPr>
          <w:rFonts w:asciiTheme="minorHAnsi" w:eastAsia="Times New Roman" w:hAnsiTheme="minorHAnsi"/>
          <w:szCs w:val="20"/>
          <w:lang w:val="en-GB"/>
        </w:rPr>
        <w:t>), 3% of the global population of the Black Tailed Godwit (</w:t>
      </w:r>
      <w:proofErr w:type="spellStart"/>
      <w:r w:rsidRPr="003B6A69">
        <w:rPr>
          <w:rFonts w:asciiTheme="minorHAnsi" w:eastAsia="Times New Roman" w:hAnsiTheme="minorHAnsi"/>
          <w:i/>
          <w:szCs w:val="20"/>
          <w:lang w:val="en-GB"/>
        </w:rPr>
        <w:t>Limosa</w:t>
      </w:r>
      <w:proofErr w:type="spellEnd"/>
      <w:r w:rsidRPr="003B6A69">
        <w:rPr>
          <w:rFonts w:asciiTheme="minorHAnsi" w:eastAsia="Times New Roman" w:hAnsiTheme="minorHAnsi"/>
          <w:i/>
          <w:szCs w:val="20"/>
          <w:lang w:val="en-GB"/>
        </w:rPr>
        <w:t xml:space="preserve"> </w:t>
      </w:r>
      <w:proofErr w:type="spellStart"/>
      <w:r w:rsidRPr="003B6A69">
        <w:rPr>
          <w:rFonts w:asciiTheme="minorHAnsi" w:eastAsia="Times New Roman" w:hAnsiTheme="minorHAnsi"/>
          <w:i/>
          <w:szCs w:val="20"/>
          <w:lang w:val="en-GB"/>
        </w:rPr>
        <w:t>limosa</w:t>
      </w:r>
      <w:proofErr w:type="spellEnd"/>
      <w:r w:rsidRPr="003B6A69">
        <w:rPr>
          <w:rFonts w:asciiTheme="minorHAnsi" w:eastAsia="Times New Roman" w:hAnsiTheme="minorHAnsi"/>
          <w:szCs w:val="20"/>
          <w:lang w:val="en-GB"/>
        </w:rPr>
        <w:t>) and the same percentage of the Spotted Redshank (</w:t>
      </w:r>
      <w:proofErr w:type="spellStart"/>
      <w:r w:rsidRPr="003B6A69">
        <w:rPr>
          <w:rFonts w:asciiTheme="minorHAnsi" w:eastAsia="Times New Roman" w:hAnsiTheme="minorHAnsi"/>
          <w:i/>
          <w:szCs w:val="20"/>
          <w:lang w:val="en-GB"/>
        </w:rPr>
        <w:t>Tringa</w:t>
      </w:r>
      <w:proofErr w:type="spellEnd"/>
      <w:r w:rsidRPr="003B6A69">
        <w:rPr>
          <w:rFonts w:asciiTheme="minorHAnsi" w:eastAsia="Times New Roman" w:hAnsiTheme="minorHAnsi"/>
          <w:i/>
          <w:szCs w:val="20"/>
          <w:lang w:val="en-GB"/>
        </w:rPr>
        <w:t xml:space="preserve"> </w:t>
      </w:r>
      <w:proofErr w:type="spellStart"/>
      <w:r w:rsidRPr="003B6A69">
        <w:rPr>
          <w:rFonts w:asciiTheme="minorHAnsi" w:eastAsia="Times New Roman" w:hAnsiTheme="minorHAnsi"/>
          <w:i/>
          <w:szCs w:val="20"/>
          <w:lang w:val="en-GB"/>
        </w:rPr>
        <w:t>erythropus</w:t>
      </w:r>
      <w:proofErr w:type="spellEnd"/>
      <w:r w:rsidRPr="003B6A69">
        <w:rPr>
          <w:rFonts w:asciiTheme="minorHAnsi" w:eastAsia="Times New Roman" w:hAnsiTheme="minorHAnsi"/>
          <w:szCs w:val="20"/>
          <w:lang w:val="en-GB"/>
        </w:rPr>
        <w:t>). 55 bird species breed in the Ulcinj Salina. Almost half of the registered breeding pairs of aquatic birds in the whole region breed here. 70 of the registered bird species in this area are of special protection interest on the level of the European Union and are included in Annex I of the Birds Directive. Results of the IWC winter bird census, which has been performed since 1999 in the Ulcinj Salina, showed the presence of 20,000 birds every year, regardless of whether the basins are empty or full of water.</w:t>
      </w:r>
    </w:p>
    <w:p w14:paraId="54A7E1B1" w14:textId="77777777" w:rsidR="008C4F26" w:rsidRPr="003B6A69" w:rsidRDefault="008C4F26" w:rsidP="00661293">
      <w:pPr>
        <w:shd w:val="clear" w:color="auto" w:fill="FFFFFF"/>
        <w:spacing w:after="120"/>
        <w:rPr>
          <w:rFonts w:asciiTheme="minorHAnsi" w:eastAsia="Times New Roman" w:hAnsiTheme="minorHAnsi"/>
          <w:szCs w:val="20"/>
          <w:lang w:val="en-GB"/>
        </w:rPr>
      </w:pPr>
      <w:r w:rsidRPr="003B6A69">
        <w:rPr>
          <w:rFonts w:asciiTheme="minorHAnsi" w:eastAsia="Times New Roman" w:hAnsiTheme="minorHAnsi"/>
          <w:szCs w:val="20"/>
          <w:lang w:val="en-GB"/>
        </w:rPr>
        <w:t xml:space="preserve">The Nature park </w:t>
      </w:r>
      <w:proofErr w:type="spellStart"/>
      <w:r w:rsidRPr="003B6A69">
        <w:rPr>
          <w:rFonts w:asciiTheme="minorHAnsi" w:eastAsia="Times New Roman" w:hAnsiTheme="minorHAnsi"/>
          <w:szCs w:val="20"/>
          <w:lang w:val="en-GB"/>
        </w:rPr>
        <w:t>Ulcinjska</w:t>
      </w:r>
      <w:proofErr w:type="spellEnd"/>
      <w:r w:rsidRPr="003B6A69">
        <w:rPr>
          <w:rFonts w:asciiTheme="minorHAnsi" w:eastAsia="Times New Roman" w:hAnsiTheme="minorHAnsi"/>
          <w:szCs w:val="20"/>
          <w:lang w:val="en-GB"/>
        </w:rPr>
        <w:t xml:space="preserve"> Solana was proclaimed in June 2019.   For at least one year it will be managed by the national park management authority, and then a specific management authority for the protected area will be established. </w:t>
      </w:r>
    </w:p>
    <w:p w14:paraId="478A2947" w14:textId="77777777" w:rsidR="008C4F26" w:rsidRPr="003B6A69" w:rsidRDefault="008C4F26" w:rsidP="00661293">
      <w:pPr>
        <w:shd w:val="clear" w:color="auto" w:fill="FFFFFF"/>
        <w:spacing w:after="120"/>
        <w:rPr>
          <w:rFonts w:asciiTheme="minorHAnsi" w:eastAsia="Times New Roman" w:hAnsiTheme="minorHAnsi"/>
          <w:szCs w:val="20"/>
          <w:lang w:val="en-GB"/>
        </w:rPr>
      </w:pPr>
      <w:r w:rsidRPr="003B6A69">
        <w:rPr>
          <w:rFonts w:asciiTheme="minorHAnsi" w:eastAsia="Times New Roman" w:hAnsiTheme="minorHAnsi"/>
          <w:szCs w:val="20"/>
          <w:lang w:val="en-GB"/>
        </w:rPr>
        <w:t xml:space="preserve">More than a 1 </w:t>
      </w:r>
      <w:proofErr w:type="spellStart"/>
      <w:r w:rsidRPr="003B6A69">
        <w:rPr>
          <w:rFonts w:asciiTheme="minorHAnsi" w:eastAsia="Times New Roman" w:hAnsiTheme="minorHAnsi"/>
          <w:szCs w:val="20"/>
          <w:lang w:val="en-GB"/>
        </w:rPr>
        <w:t>mln</w:t>
      </w:r>
      <w:proofErr w:type="spellEnd"/>
      <w:r w:rsidRPr="003B6A69">
        <w:rPr>
          <w:rFonts w:asciiTheme="minorHAnsi" w:eastAsia="Times New Roman" w:hAnsiTheme="minorHAnsi"/>
          <w:szCs w:val="20"/>
          <w:lang w:val="en-GB"/>
        </w:rPr>
        <w:t xml:space="preserve"> euro investment has already been made to repair infrastructure for maintenance of the water regime favourable for avifauna; </w:t>
      </w:r>
      <w:proofErr w:type="spellStart"/>
      <w:r w:rsidRPr="003B6A69">
        <w:rPr>
          <w:rFonts w:asciiTheme="minorHAnsi" w:eastAsia="Times New Roman" w:hAnsiTheme="minorHAnsi"/>
          <w:szCs w:val="20"/>
          <w:lang w:val="en-GB"/>
        </w:rPr>
        <w:t>Ulcinjska</w:t>
      </w:r>
      <w:proofErr w:type="spellEnd"/>
      <w:r w:rsidRPr="003B6A69">
        <w:rPr>
          <w:rFonts w:asciiTheme="minorHAnsi" w:eastAsia="Times New Roman" w:hAnsiTheme="minorHAnsi"/>
          <w:szCs w:val="20"/>
          <w:lang w:val="en-GB"/>
        </w:rPr>
        <w:t xml:space="preserve"> Solana is not financially self-sustaining and requires investments ranging from €4-€10.5 million, and regular financing of operating costs annually (ranging from €0.5-€1.4 million), which requires a longer time for a viable business. It seems that in the long run, the most appropriate option is the protection of the whole area with limited salt production. It is expected that in the foreseeable future this model could generate revenue from the sale of salt products and visits to the protected area and accompanying programs. </w:t>
      </w:r>
    </w:p>
    <w:p w14:paraId="1A5E6ACD" w14:textId="77777777" w:rsidR="008C4F26" w:rsidRPr="003B6A69" w:rsidRDefault="008C4F26" w:rsidP="00661293">
      <w:pPr>
        <w:shd w:val="clear" w:color="auto" w:fill="FFFFFF"/>
        <w:spacing w:after="120"/>
        <w:rPr>
          <w:rFonts w:asciiTheme="minorHAnsi" w:eastAsia="Times New Roman" w:hAnsiTheme="minorHAnsi"/>
          <w:szCs w:val="20"/>
          <w:lang w:val="en-GB"/>
        </w:rPr>
      </w:pPr>
      <w:r w:rsidRPr="003B6A69">
        <w:rPr>
          <w:rFonts w:asciiTheme="minorHAnsi" w:eastAsia="Times New Roman" w:hAnsiTheme="minorHAnsi"/>
          <w:szCs w:val="20"/>
          <w:lang w:val="en-GB"/>
        </w:rPr>
        <w:t xml:space="preserve">The UNDP/GEF project will support the park management authority with the development of a business plan for small-scale salt production and maintenance of the facilities and the area so that it retains its unique nature value and biodiversity. A sustainable tourism development model will make an essential element of the sustainable business model for the area. The best applicable practice in maintenance and management of similar areas around the world will be captured and serve the basis for defining the requirements for, and expectations from, the tourism product, services and benefits that can be offered to visitors. The project will also help identifying the investment opportunities to fuel implementation of the business </w:t>
      </w:r>
      <w:r w:rsidRPr="003B6A69">
        <w:rPr>
          <w:rFonts w:asciiTheme="minorHAnsi" w:eastAsia="Times New Roman" w:hAnsiTheme="minorHAnsi"/>
          <w:szCs w:val="20"/>
          <w:lang w:val="en-GB"/>
        </w:rPr>
        <w:lastRenderedPageBreak/>
        <w:t xml:space="preserve">plan, and help defining the level of entry fees and tourist service costs so that they respond to the market and at the same time make a significant income that partially covers the maintenance cost. </w:t>
      </w:r>
    </w:p>
    <w:p w14:paraId="3334046E" w14:textId="77777777" w:rsidR="008C4F26" w:rsidRPr="003B6A69" w:rsidRDefault="008C4F26" w:rsidP="00661293">
      <w:pPr>
        <w:shd w:val="clear" w:color="auto" w:fill="FFFFFF"/>
        <w:spacing w:after="120"/>
        <w:rPr>
          <w:rFonts w:asciiTheme="minorHAnsi" w:eastAsia="Times New Roman" w:hAnsiTheme="minorHAnsi"/>
          <w:szCs w:val="20"/>
          <w:lang w:val="en-GB"/>
        </w:rPr>
      </w:pPr>
      <w:r w:rsidRPr="003B6A69">
        <w:rPr>
          <w:rFonts w:asciiTheme="minorHAnsi" w:eastAsia="Times New Roman" w:hAnsiTheme="minorHAnsi"/>
          <w:szCs w:val="20"/>
          <w:lang w:val="en-GB"/>
        </w:rPr>
        <w:t xml:space="preserve">A management plan for the Nature Park will be developed together with the respective governmental authorities to ensure compliance and enforcement mechanisms against illegal hunting and fishing, promote sustainable tourism and ensure monitoring of the key biodiversity values. </w:t>
      </w:r>
    </w:p>
    <w:p w14:paraId="6D9AAE26" w14:textId="77777777" w:rsidR="008C4F26" w:rsidRPr="003B6A69" w:rsidRDefault="008C4F26" w:rsidP="00661293">
      <w:pPr>
        <w:shd w:val="clear" w:color="auto" w:fill="FFFFFF"/>
        <w:spacing w:after="120"/>
        <w:rPr>
          <w:rFonts w:asciiTheme="minorHAnsi" w:eastAsia="Times New Roman" w:hAnsiTheme="minorHAnsi"/>
          <w:szCs w:val="20"/>
          <w:lang w:val="en-GB"/>
        </w:rPr>
      </w:pPr>
      <w:r w:rsidRPr="003B6A69">
        <w:rPr>
          <w:rFonts w:asciiTheme="minorHAnsi" w:eastAsia="Times New Roman" w:hAnsiTheme="minorHAnsi"/>
          <w:szCs w:val="20"/>
          <w:lang w:val="en-GB"/>
        </w:rPr>
        <w:t xml:space="preserve">In July 2019, </w:t>
      </w:r>
      <w:proofErr w:type="spellStart"/>
      <w:r w:rsidRPr="003B6A69">
        <w:rPr>
          <w:rFonts w:asciiTheme="minorHAnsi" w:eastAsia="Times New Roman" w:hAnsiTheme="minorHAnsi"/>
          <w:szCs w:val="20"/>
          <w:lang w:val="en-GB"/>
        </w:rPr>
        <w:t>Ulcinjska</w:t>
      </w:r>
      <w:proofErr w:type="spellEnd"/>
      <w:r w:rsidRPr="003B6A69">
        <w:rPr>
          <w:rFonts w:asciiTheme="minorHAnsi" w:eastAsia="Times New Roman" w:hAnsiTheme="minorHAnsi"/>
          <w:szCs w:val="20"/>
          <w:lang w:val="en-GB"/>
        </w:rPr>
        <w:t xml:space="preserve"> Solana was enlisted as a </w:t>
      </w:r>
      <w:hyperlink r:id="rId40" w:history="1">
        <w:r w:rsidRPr="003B6A69">
          <w:rPr>
            <w:rFonts w:asciiTheme="minorHAnsi" w:eastAsia="Times New Roman" w:hAnsiTheme="minorHAnsi"/>
            <w:color w:val="0563C1" w:themeColor="hyperlink"/>
            <w:szCs w:val="20"/>
            <w:u w:val="single"/>
            <w:lang w:val="en-GB"/>
          </w:rPr>
          <w:t>Ramsar wetland of international importance</w:t>
        </w:r>
      </w:hyperlink>
      <w:r w:rsidRPr="003B6A69">
        <w:rPr>
          <w:rFonts w:asciiTheme="minorHAnsi" w:eastAsia="Times New Roman" w:hAnsiTheme="minorHAnsi"/>
          <w:szCs w:val="20"/>
          <w:lang w:val="en-GB"/>
        </w:rPr>
        <w:t xml:space="preserve">. </w:t>
      </w:r>
      <w:r w:rsidRPr="003B6A69">
        <w:rPr>
          <w:rFonts w:cs="Calibri"/>
          <w:bCs/>
          <w:szCs w:val="20"/>
          <w:lang w:val="en-GB"/>
        </w:rPr>
        <w:t xml:space="preserve">The management plan for the Nature Park will be reviewed to ensure compliance and enforcement mechanisms against illegal hunting and fishing, promote sustainable tourism and ensure monitoring of the key biodiversity values, and, </w:t>
      </w:r>
      <w:proofErr w:type="gramStart"/>
      <w:r w:rsidRPr="003B6A69">
        <w:rPr>
          <w:rFonts w:cs="Calibri"/>
          <w:bCs/>
          <w:szCs w:val="20"/>
          <w:lang w:val="en-GB"/>
        </w:rPr>
        <w:t>last but not least</w:t>
      </w:r>
      <w:proofErr w:type="gramEnd"/>
      <w:r w:rsidRPr="003B6A69">
        <w:rPr>
          <w:rFonts w:cs="Calibri"/>
          <w:bCs/>
          <w:szCs w:val="20"/>
          <w:lang w:val="en-GB"/>
        </w:rPr>
        <w:t>, the Ramsar requirements. The UNDP/GEF project with help ensuring proper management framework of the Ramsar site, and mainstream international requirements and best practices for Ramsar wetlands into the management and operational planning for the area.</w:t>
      </w:r>
    </w:p>
    <w:p w14:paraId="6217DEDD" w14:textId="77777777" w:rsidR="008C4F26" w:rsidRPr="003B6A69" w:rsidRDefault="008C4F26" w:rsidP="00661293">
      <w:pPr>
        <w:spacing w:after="120"/>
        <w:jc w:val="left"/>
        <w:rPr>
          <w:rFonts w:asciiTheme="minorHAnsi" w:eastAsiaTheme="minorHAnsi" w:hAnsiTheme="minorHAnsi" w:cstheme="minorBidi"/>
          <w:szCs w:val="20"/>
          <w:lang w:val="en-GB"/>
        </w:rPr>
      </w:pPr>
    </w:p>
    <w:p w14:paraId="48CDB640" w14:textId="77777777" w:rsidR="008C4F26" w:rsidRPr="003B6A69" w:rsidRDefault="008C4F26" w:rsidP="00661293">
      <w:pPr>
        <w:shd w:val="clear" w:color="auto" w:fill="FFFFFF"/>
        <w:spacing w:after="120"/>
        <w:rPr>
          <w:rFonts w:asciiTheme="minorHAnsi" w:eastAsia="Times New Roman" w:hAnsiTheme="minorHAnsi"/>
          <w:b/>
          <w:szCs w:val="20"/>
          <w:u w:val="single"/>
          <w:lang w:val="en-GB"/>
        </w:rPr>
      </w:pPr>
      <w:r w:rsidRPr="003B6A69">
        <w:rPr>
          <w:rFonts w:asciiTheme="minorHAnsi" w:eastAsia="Times New Roman" w:hAnsiTheme="minorHAnsi"/>
          <w:b/>
          <w:szCs w:val="20"/>
          <w:u w:val="single"/>
          <w:lang w:val="en-GB"/>
        </w:rPr>
        <w:t xml:space="preserve">KBAs and other </w:t>
      </w:r>
      <w:proofErr w:type="gramStart"/>
      <w:r w:rsidRPr="003B6A69">
        <w:rPr>
          <w:rFonts w:asciiTheme="minorHAnsi" w:eastAsia="Times New Roman" w:hAnsiTheme="minorHAnsi"/>
          <w:b/>
          <w:szCs w:val="20"/>
          <w:u w:val="single"/>
          <w:lang w:val="en-GB"/>
        </w:rPr>
        <w:t>internationally-recognized</w:t>
      </w:r>
      <w:proofErr w:type="gramEnd"/>
      <w:r w:rsidRPr="003B6A69">
        <w:rPr>
          <w:rFonts w:asciiTheme="minorHAnsi" w:eastAsia="Times New Roman" w:hAnsiTheme="minorHAnsi"/>
          <w:b/>
          <w:szCs w:val="20"/>
          <w:u w:val="single"/>
          <w:lang w:val="en-GB"/>
        </w:rPr>
        <w:t xml:space="preserve"> BD values that do not have a protection status</w:t>
      </w:r>
    </w:p>
    <w:p w14:paraId="60173384" w14:textId="77777777" w:rsidR="008C4F26" w:rsidRPr="003B6A69" w:rsidRDefault="008C4F26" w:rsidP="00661293">
      <w:pPr>
        <w:spacing w:after="120"/>
        <w:rPr>
          <w:rFonts w:asciiTheme="minorHAnsi" w:eastAsia="Times New Roman" w:hAnsiTheme="minorHAnsi"/>
          <w:b/>
          <w:szCs w:val="20"/>
          <w:lang w:val="en-GB"/>
        </w:rPr>
      </w:pPr>
      <w:r w:rsidRPr="003B6A69">
        <w:rPr>
          <w:rFonts w:asciiTheme="minorHAnsi" w:eastAsia="Times New Roman" w:hAnsiTheme="minorHAnsi"/>
          <w:b/>
          <w:szCs w:val="20"/>
          <w:lang w:val="en-GB"/>
        </w:rPr>
        <w:t>Table 4: KBAs recognised and not part of the PA network in Montenegro</w:t>
      </w:r>
    </w:p>
    <w:p w14:paraId="75202BA3" w14:textId="77777777" w:rsidR="008C4F26" w:rsidRPr="003B6A69" w:rsidRDefault="008C4F26" w:rsidP="00526A88">
      <w:pPr>
        <w:spacing w:after="0"/>
        <w:rPr>
          <w:rFonts w:asciiTheme="minorHAnsi" w:eastAsia="Times New Roman" w:hAnsiTheme="minorHAnsi"/>
          <w:szCs w:val="20"/>
          <w:lang w:val="en-GB"/>
        </w:rPr>
      </w:pPr>
    </w:p>
    <w:tbl>
      <w:tblPr>
        <w:tblW w:w="9450" w:type="dxa"/>
        <w:tblInd w:w="-8" w:type="dxa"/>
        <w:tblLayout w:type="fixed"/>
        <w:tblLook w:val="0000" w:firstRow="0" w:lastRow="0" w:firstColumn="0" w:lastColumn="0" w:noHBand="0" w:noVBand="0"/>
      </w:tblPr>
      <w:tblGrid>
        <w:gridCol w:w="2006"/>
        <w:gridCol w:w="5644"/>
        <w:gridCol w:w="1800"/>
      </w:tblGrid>
      <w:tr w:rsidR="008C4F26" w:rsidRPr="003B6A69" w14:paraId="32C22152" w14:textId="77777777" w:rsidTr="00526A88">
        <w:trPr>
          <w:trHeight w:val="53"/>
        </w:trPr>
        <w:tc>
          <w:tcPr>
            <w:tcW w:w="2006" w:type="dxa"/>
            <w:tcBorders>
              <w:top w:val="single" w:sz="6" w:space="0" w:color="auto"/>
              <w:left w:val="single" w:sz="6" w:space="0" w:color="auto"/>
              <w:bottom w:val="single" w:sz="6" w:space="0" w:color="auto"/>
              <w:right w:val="single" w:sz="6" w:space="0" w:color="auto"/>
            </w:tcBorders>
          </w:tcPr>
          <w:p w14:paraId="6E370080" w14:textId="77777777" w:rsidR="008C4F26" w:rsidRPr="003B6A69" w:rsidRDefault="008C4F26" w:rsidP="00526A88">
            <w:pPr>
              <w:autoSpaceDE w:val="0"/>
              <w:autoSpaceDN w:val="0"/>
              <w:adjustRightInd w:val="0"/>
              <w:spacing w:after="0"/>
              <w:rPr>
                <w:rFonts w:asciiTheme="minorHAnsi" w:eastAsia="Times New Roman" w:hAnsiTheme="minorHAnsi"/>
                <w:b/>
                <w:bCs/>
                <w:color w:val="000000"/>
                <w:szCs w:val="20"/>
                <w:lang w:val="en-GB"/>
              </w:rPr>
            </w:pPr>
            <w:r w:rsidRPr="003B6A69">
              <w:rPr>
                <w:rFonts w:asciiTheme="minorHAnsi" w:eastAsia="Times New Roman" w:hAnsiTheme="minorHAnsi"/>
                <w:b/>
                <w:bCs/>
                <w:color w:val="000000"/>
                <w:szCs w:val="20"/>
                <w:lang w:val="en-GB"/>
              </w:rPr>
              <w:t>Name</w:t>
            </w:r>
          </w:p>
        </w:tc>
        <w:tc>
          <w:tcPr>
            <w:tcW w:w="5644" w:type="dxa"/>
            <w:tcBorders>
              <w:top w:val="single" w:sz="6" w:space="0" w:color="auto"/>
              <w:left w:val="single" w:sz="6" w:space="0" w:color="auto"/>
              <w:bottom w:val="single" w:sz="6" w:space="0" w:color="auto"/>
              <w:right w:val="single" w:sz="6" w:space="0" w:color="auto"/>
            </w:tcBorders>
          </w:tcPr>
          <w:p w14:paraId="4F1B2B1B" w14:textId="77777777" w:rsidR="008C4F26" w:rsidRPr="003B6A69" w:rsidRDefault="008C4F26" w:rsidP="00526A88">
            <w:pPr>
              <w:autoSpaceDE w:val="0"/>
              <w:autoSpaceDN w:val="0"/>
              <w:adjustRightInd w:val="0"/>
              <w:spacing w:after="0"/>
              <w:rPr>
                <w:rFonts w:asciiTheme="minorHAnsi" w:eastAsia="Times New Roman" w:hAnsiTheme="minorHAnsi"/>
                <w:b/>
                <w:bCs/>
                <w:color w:val="000000"/>
                <w:szCs w:val="20"/>
                <w:lang w:val="en-GB"/>
              </w:rPr>
            </w:pPr>
            <w:r w:rsidRPr="003B6A69">
              <w:rPr>
                <w:rFonts w:asciiTheme="minorHAnsi" w:eastAsia="Times New Roman" w:hAnsiTheme="minorHAnsi"/>
                <w:b/>
                <w:bCs/>
                <w:color w:val="000000"/>
                <w:szCs w:val="20"/>
                <w:lang w:val="en-GB"/>
              </w:rPr>
              <w:t>Analysed documents related to KBA</w:t>
            </w:r>
          </w:p>
        </w:tc>
        <w:tc>
          <w:tcPr>
            <w:tcW w:w="1800" w:type="dxa"/>
            <w:tcBorders>
              <w:top w:val="single" w:sz="6" w:space="0" w:color="auto"/>
              <w:left w:val="single" w:sz="6" w:space="0" w:color="auto"/>
              <w:bottom w:val="single" w:sz="6" w:space="0" w:color="auto"/>
              <w:right w:val="single" w:sz="6" w:space="0" w:color="auto"/>
            </w:tcBorders>
          </w:tcPr>
          <w:p w14:paraId="60518758" w14:textId="77777777" w:rsidR="008C4F26" w:rsidRPr="003B6A69" w:rsidRDefault="008C4F26" w:rsidP="00526A88">
            <w:pPr>
              <w:autoSpaceDE w:val="0"/>
              <w:autoSpaceDN w:val="0"/>
              <w:adjustRightInd w:val="0"/>
              <w:spacing w:after="0"/>
              <w:rPr>
                <w:rFonts w:asciiTheme="minorHAnsi" w:eastAsia="Times New Roman" w:hAnsiTheme="minorHAnsi"/>
                <w:b/>
                <w:bCs/>
                <w:color w:val="000000"/>
                <w:szCs w:val="20"/>
                <w:lang w:val="en-GB"/>
              </w:rPr>
            </w:pPr>
            <w:r w:rsidRPr="003B6A69">
              <w:rPr>
                <w:rFonts w:asciiTheme="minorHAnsi" w:eastAsia="Times New Roman" w:hAnsiTheme="minorHAnsi"/>
                <w:b/>
                <w:bCs/>
                <w:color w:val="000000"/>
                <w:szCs w:val="20"/>
                <w:lang w:val="en-GB"/>
              </w:rPr>
              <w:t>KBA are compromised by the spatial development plans</w:t>
            </w:r>
          </w:p>
        </w:tc>
      </w:tr>
      <w:tr w:rsidR="008C4F26" w:rsidRPr="003B6A69" w14:paraId="5F944BA3" w14:textId="77777777" w:rsidTr="00526A88">
        <w:trPr>
          <w:trHeight w:val="53"/>
        </w:trPr>
        <w:tc>
          <w:tcPr>
            <w:tcW w:w="2006" w:type="dxa"/>
            <w:tcBorders>
              <w:top w:val="single" w:sz="6" w:space="0" w:color="auto"/>
              <w:left w:val="single" w:sz="6" w:space="0" w:color="auto"/>
              <w:bottom w:val="single" w:sz="6" w:space="0" w:color="auto"/>
              <w:right w:val="single" w:sz="6" w:space="0" w:color="auto"/>
            </w:tcBorders>
          </w:tcPr>
          <w:p w14:paraId="5C852546" w14:textId="77777777" w:rsidR="008C4F26" w:rsidRPr="003B6A69" w:rsidRDefault="008C4F26" w:rsidP="00526A88">
            <w:pPr>
              <w:autoSpaceDE w:val="0"/>
              <w:autoSpaceDN w:val="0"/>
              <w:adjustRightInd w:val="0"/>
              <w:spacing w:after="0"/>
              <w:rPr>
                <w:rFonts w:asciiTheme="minorHAnsi" w:eastAsia="Times New Roman" w:hAnsiTheme="minorHAnsi"/>
                <w:color w:val="000000"/>
                <w:szCs w:val="20"/>
                <w:lang w:val="en-GB"/>
              </w:rPr>
            </w:pPr>
            <w:r w:rsidRPr="003B6A69">
              <w:rPr>
                <w:rFonts w:asciiTheme="minorHAnsi" w:eastAsia="Times New Roman" w:hAnsiTheme="minorHAnsi"/>
                <w:color w:val="000000"/>
                <w:szCs w:val="20"/>
                <w:lang w:val="en-GB"/>
              </w:rPr>
              <w:t>Bojana Delta</w:t>
            </w:r>
          </w:p>
        </w:tc>
        <w:tc>
          <w:tcPr>
            <w:tcW w:w="5644" w:type="dxa"/>
            <w:tcBorders>
              <w:top w:val="single" w:sz="6" w:space="0" w:color="auto"/>
              <w:left w:val="single" w:sz="6" w:space="0" w:color="auto"/>
              <w:bottom w:val="single" w:sz="6" w:space="0" w:color="auto"/>
              <w:right w:val="single" w:sz="6" w:space="0" w:color="auto"/>
            </w:tcBorders>
          </w:tcPr>
          <w:p w14:paraId="7AF3CA23" w14:textId="77777777" w:rsidR="008C4F26" w:rsidRPr="003B6A69" w:rsidRDefault="008C4F26" w:rsidP="00526A88">
            <w:pPr>
              <w:autoSpaceDE w:val="0"/>
              <w:autoSpaceDN w:val="0"/>
              <w:adjustRightInd w:val="0"/>
              <w:spacing w:after="0"/>
              <w:rPr>
                <w:rFonts w:asciiTheme="minorHAnsi" w:eastAsia="Times New Roman" w:hAnsiTheme="minorHAnsi"/>
                <w:color w:val="000000"/>
                <w:szCs w:val="20"/>
                <w:lang w:val="en-GB"/>
              </w:rPr>
            </w:pPr>
            <w:r w:rsidRPr="003B6A69">
              <w:rPr>
                <w:rFonts w:asciiTheme="minorHAnsi" w:eastAsia="Times New Roman" w:hAnsiTheme="minorHAnsi"/>
                <w:color w:val="000000"/>
                <w:szCs w:val="20"/>
                <w:lang w:val="en-GB"/>
              </w:rPr>
              <w:t>Special purpose spatial plan for the coastal area of Montenegro (2018)</w:t>
            </w:r>
          </w:p>
          <w:p w14:paraId="759EAD81" w14:textId="77777777" w:rsidR="008C4F26" w:rsidRPr="003B6A69" w:rsidRDefault="008C4F26" w:rsidP="00526A88">
            <w:pPr>
              <w:autoSpaceDE w:val="0"/>
              <w:autoSpaceDN w:val="0"/>
              <w:adjustRightInd w:val="0"/>
              <w:spacing w:after="0"/>
              <w:rPr>
                <w:rFonts w:asciiTheme="minorHAnsi" w:eastAsia="Times New Roman" w:hAnsiTheme="minorHAnsi"/>
                <w:color w:val="000000"/>
                <w:szCs w:val="20"/>
                <w:lang w:val="en-GB"/>
              </w:rPr>
            </w:pPr>
            <w:r w:rsidRPr="003B6A69">
              <w:rPr>
                <w:rFonts w:asciiTheme="minorHAnsi" w:eastAsia="Times New Roman" w:hAnsiTheme="minorHAnsi"/>
                <w:color w:val="000000"/>
                <w:szCs w:val="20"/>
                <w:lang w:val="en-GB"/>
              </w:rPr>
              <w:t>Spatial-urban plan of the Municipality Ulcinj (2016 - 2020)</w:t>
            </w:r>
          </w:p>
          <w:p w14:paraId="63731364" w14:textId="77777777" w:rsidR="008C4F26" w:rsidRPr="003B6A69" w:rsidRDefault="008C4F26" w:rsidP="00526A88">
            <w:pPr>
              <w:autoSpaceDE w:val="0"/>
              <w:autoSpaceDN w:val="0"/>
              <w:adjustRightInd w:val="0"/>
              <w:spacing w:after="0"/>
              <w:rPr>
                <w:rFonts w:asciiTheme="minorHAnsi" w:eastAsia="Times New Roman" w:hAnsiTheme="minorHAnsi"/>
                <w:color w:val="000000"/>
                <w:szCs w:val="20"/>
                <w:lang w:val="en-GB"/>
              </w:rPr>
            </w:pPr>
            <w:r w:rsidRPr="003B6A69">
              <w:rPr>
                <w:rFonts w:asciiTheme="minorHAnsi" w:eastAsia="Times New Roman" w:hAnsiTheme="minorHAnsi"/>
                <w:color w:val="000000"/>
                <w:szCs w:val="20"/>
                <w:lang w:val="en-GB"/>
              </w:rPr>
              <w:t>State location study “Part of sector 66 - modules IV and V” Velika plaza</w:t>
            </w:r>
          </w:p>
          <w:p w14:paraId="50BBC1F6" w14:textId="77777777" w:rsidR="008C4F26" w:rsidRPr="003B6A69" w:rsidRDefault="008C4F26" w:rsidP="00526A88">
            <w:pPr>
              <w:autoSpaceDE w:val="0"/>
              <w:autoSpaceDN w:val="0"/>
              <w:adjustRightInd w:val="0"/>
              <w:spacing w:after="0"/>
              <w:rPr>
                <w:rFonts w:asciiTheme="minorHAnsi" w:eastAsia="Times New Roman" w:hAnsiTheme="minorHAnsi"/>
                <w:color w:val="000000"/>
                <w:szCs w:val="20"/>
                <w:lang w:val="en-GB"/>
              </w:rPr>
            </w:pPr>
            <w:r w:rsidRPr="003B6A69">
              <w:rPr>
                <w:rFonts w:asciiTheme="minorHAnsi" w:eastAsia="Times New Roman" w:hAnsiTheme="minorHAnsi"/>
                <w:color w:val="000000"/>
                <w:szCs w:val="20"/>
                <w:lang w:val="en-GB"/>
              </w:rPr>
              <w:t>State location study “Part of sector 66 - existing hotel group I module I” Velika plaza</w:t>
            </w:r>
          </w:p>
        </w:tc>
        <w:tc>
          <w:tcPr>
            <w:tcW w:w="1800" w:type="dxa"/>
            <w:tcBorders>
              <w:top w:val="single" w:sz="6" w:space="0" w:color="auto"/>
              <w:left w:val="single" w:sz="6" w:space="0" w:color="auto"/>
              <w:bottom w:val="single" w:sz="6" w:space="0" w:color="auto"/>
              <w:right w:val="single" w:sz="6" w:space="0" w:color="auto"/>
            </w:tcBorders>
          </w:tcPr>
          <w:p w14:paraId="4E0CE404" w14:textId="77777777" w:rsidR="008C4F26" w:rsidRPr="003B6A69" w:rsidRDefault="008C4F26" w:rsidP="00526A88">
            <w:pPr>
              <w:autoSpaceDE w:val="0"/>
              <w:autoSpaceDN w:val="0"/>
              <w:adjustRightInd w:val="0"/>
              <w:spacing w:after="0"/>
              <w:jc w:val="center"/>
              <w:rPr>
                <w:rFonts w:asciiTheme="minorHAnsi" w:eastAsia="Times New Roman" w:hAnsiTheme="minorHAnsi"/>
                <w:color w:val="000000"/>
                <w:szCs w:val="20"/>
                <w:lang w:val="en-GB"/>
              </w:rPr>
            </w:pPr>
            <w:r w:rsidRPr="003B6A69">
              <w:rPr>
                <w:rFonts w:asciiTheme="minorHAnsi" w:eastAsia="Times New Roman" w:hAnsiTheme="minorHAnsi"/>
                <w:color w:val="000000"/>
                <w:szCs w:val="20"/>
                <w:lang w:val="en-GB"/>
              </w:rPr>
              <w:t>+++</w:t>
            </w:r>
            <w:r w:rsidRPr="003B6A69">
              <w:rPr>
                <w:rFonts w:asciiTheme="minorHAnsi" w:eastAsia="Times New Roman" w:hAnsiTheme="minorHAnsi"/>
                <w:color w:val="000000"/>
                <w:szCs w:val="20"/>
                <w:vertAlign w:val="superscript"/>
                <w:lang w:val="en-GB"/>
              </w:rPr>
              <w:footnoteReference w:id="22"/>
            </w:r>
          </w:p>
        </w:tc>
      </w:tr>
      <w:tr w:rsidR="008C4F26" w:rsidRPr="003B6A69" w14:paraId="2527F1C1" w14:textId="77777777" w:rsidTr="00526A88">
        <w:trPr>
          <w:trHeight w:val="53"/>
        </w:trPr>
        <w:tc>
          <w:tcPr>
            <w:tcW w:w="2006" w:type="dxa"/>
            <w:tcBorders>
              <w:top w:val="single" w:sz="6" w:space="0" w:color="auto"/>
              <w:left w:val="single" w:sz="6" w:space="0" w:color="auto"/>
              <w:bottom w:val="single" w:sz="6" w:space="0" w:color="auto"/>
              <w:right w:val="single" w:sz="6" w:space="0" w:color="auto"/>
            </w:tcBorders>
          </w:tcPr>
          <w:p w14:paraId="5726926A" w14:textId="77777777" w:rsidR="008C4F26" w:rsidRPr="003B6A69" w:rsidRDefault="008C4F26" w:rsidP="00526A88">
            <w:pPr>
              <w:autoSpaceDE w:val="0"/>
              <w:autoSpaceDN w:val="0"/>
              <w:adjustRightInd w:val="0"/>
              <w:spacing w:after="0"/>
              <w:rPr>
                <w:rFonts w:asciiTheme="minorHAnsi" w:eastAsia="Times New Roman" w:hAnsiTheme="minorHAnsi"/>
                <w:color w:val="000000"/>
                <w:szCs w:val="20"/>
                <w:lang w:val="en-GB"/>
              </w:rPr>
            </w:pPr>
            <w:r w:rsidRPr="003B6A69">
              <w:rPr>
                <w:rFonts w:asciiTheme="minorHAnsi" w:eastAsia="Times New Roman" w:hAnsiTheme="minorHAnsi"/>
                <w:color w:val="000000"/>
                <w:szCs w:val="20"/>
                <w:lang w:val="en-GB"/>
              </w:rPr>
              <w:t xml:space="preserve">Lake </w:t>
            </w:r>
            <w:proofErr w:type="spellStart"/>
            <w:r w:rsidRPr="003B6A69">
              <w:rPr>
                <w:rFonts w:asciiTheme="minorHAnsi" w:eastAsia="Times New Roman" w:hAnsiTheme="minorHAnsi"/>
                <w:color w:val="000000"/>
                <w:szCs w:val="20"/>
                <w:lang w:val="en-GB"/>
              </w:rPr>
              <w:t>Sasko</w:t>
            </w:r>
            <w:proofErr w:type="spellEnd"/>
          </w:p>
        </w:tc>
        <w:tc>
          <w:tcPr>
            <w:tcW w:w="5644" w:type="dxa"/>
            <w:tcBorders>
              <w:top w:val="single" w:sz="6" w:space="0" w:color="auto"/>
              <w:left w:val="single" w:sz="6" w:space="0" w:color="auto"/>
              <w:bottom w:val="single" w:sz="6" w:space="0" w:color="auto"/>
              <w:right w:val="single" w:sz="6" w:space="0" w:color="auto"/>
            </w:tcBorders>
          </w:tcPr>
          <w:p w14:paraId="7DCBE36A" w14:textId="77777777" w:rsidR="008C4F26" w:rsidRPr="003B6A69" w:rsidRDefault="008C4F26" w:rsidP="00526A88">
            <w:pPr>
              <w:autoSpaceDE w:val="0"/>
              <w:autoSpaceDN w:val="0"/>
              <w:adjustRightInd w:val="0"/>
              <w:spacing w:after="0"/>
              <w:rPr>
                <w:rFonts w:asciiTheme="minorHAnsi" w:eastAsia="Times New Roman" w:hAnsiTheme="minorHAnsi"/>
                <w:color w:val="000000"/>
                <w:szCs w:val="20"/>
                <w:lang w:val="en-GB"/>
              </w:rPr>
            </w:pPr>
            <w:r w:rsidRPr="003B6A69">
              <w:rPr>
                <w:rFonts w:asciiTheme="minorHAnsi" w:eastAsia="Times New Roman" w:hAnsiTheme="minorHAnsi"/>
                <w:color w:val="000000"/>
                <w:szCs w:val="20"/>
                <w:lang w:val="en-GB"/>
              </w:rPr>
              <w:t>Special purpose spatial plan for the coastal area of Montenegro (2018)</w:t>
            </w:r>
          </w:p>
          <w:p w14:paraId="11E063D4" w14:textId="77777777" w:rsidR="008C4F26" w:rsidRPr="003B6A69" w:rsidRDefault="008C4F26" w:rsidP="00526A88">
            <w:pPr>
              <w:autoSpaceDE w:val="0"/>
              <w:autoSpaceDN w:val="0"/>
              <w:adjustRightInd w:val="0"/>
              <w:spacing w:after="0"/>
              <w:rPr>
                <w:rFonts w:asciiTheme="minorHAnsi" w:eastAsia="Times New Roman" w:hAnsiTheme="minorHAnsi"/>
                <w:color w:val="000000"/>
                <w:szCs w:val="20"/>
                <w:lang w:val="en-GB"/>
              </w:rPr>
            </w:pPr>
            <w:r w:rsidRPr="003B6A69">
              <w:rPr>
                <w:rFonts w:asciiTheme="minorHAnsi" w:eastAsia="Times New Roman" w:hAnsiTheme="minorHAnsi"/>
                <w:color w:val="000000"/>
                <w:szCs w:val="20"/>
                <w:lang w:val="en-GB"/>
              </w:rPr>
              <w:t>Spatial-urban plan of the Municipality Ulcinj (2016 - 2020)</w:t>
            </w:r>
          </w:p>
        </w:tc>
        <w:tc>
          <w:tcPr>
            <w:tcW w:w="1800" w:type="dxa"/>
            <w:tcBorders>
              <w:top w:val="single" w:sz="6" w:space="0" w:color="auto"/>
              <w:left w:val="single" w:sz="6" w:space="0" w:color="auto"/>
              <w:bottom w:val="single" w:sz="6" w:space="0" w:color="auto"/>
              <w:right w:val="single" w:sz="6" w:space="0" w:color="auto"/>
            </w:tcBorders>
          </w:tcPr>
          <w:p w14:paraId="68627B7A" w14:textId="77777777" w:rsidR="008C4F26" w:rsidRPr="003B6A69" w:rsidRDefault="008C4F26" w:rsidP="00526A88">
            <w:pPr>
              <w:autoSpaceDE w:val="0"/>
              <w:autoSpaceDN w:val="0"/>
              <w:adjustRightInd w:val="0"/>
              <w:spacing w:after="0"/>
              <w:jc w:val="center"/>
              <w:rPr>
                <w:rFonts w:asciiTheme="minorHAnsi" w:eastAsia="Times New Roman" w:hAnsiTheme="minorHAnsi"/>
                <w:color w:val="000000"/>
                <w:szCs w:val="20"/>
                <w:lang w:val="en-GB"/>
              </w:rPr>
            </w:pPr>
            <w:r w:rsidRPr="003B6A69">
              <w:rPr>
                <w:rFonts w:asciiTheme="minorHAnsi" w:eastAsia="Times New Roman" w:hAnsiTheme="minorHAnsi"/>
                <w:color w:val="000000"/>
                <w:szCs w:val="20"/>
                <w:lang w:val="en-GB"/>
              </w:rPr>
              <w:t>+++</w:t>
            </w:r>
          </w:p>
        </w:tc>
      </w:tr>
      <w:tr w:rsidR="008C4F26" w:rsidRPr="003B6A69" w14:paraId="4FEB85AF" w14:textId="77777777" w:rsidTr="00526A88">
        <w:trPr>
          <w:trHeight w:val="53"/>
        </w:trPr>
        <w:tc>
          <w:tcPr>
            <w:tcW w:w="2006" w:type="dxa"/>
            <w:tcBorders>
              <w:top w:val="single" w:sz="6" w:space="0" w:color="auto"/>
              <w:left w:val="single" w:sz="6" w:space="0" w:color="auto"/>
              <w:bottom w:val="single" w:sz="6" w:space="0" w:color="auto"/>
              <w:right w:val="single" w:sz="6" w:space="0" w:color="auto"/>
            </w:tcBorders>
          </w:tcPr>
          <w:p w14:paraId="08724B50" w14:textId="77777777" w:rsidR="008C4F26" w:rsidRPr="003B6A69" w:rsidRDefault="008C4F26" w:rsidP="00526A88">
            <w:pPr>
              <w:autoSpaceDE w:val="0"/>
              <w:autoSpaceDN w:val="0"/>
              <w:adjustRightInd w:val="0"/>
              <w:spacing w:after="0"/>
              <w:rPr>
                <w:rFonts w:asciiTheme="minorHAnsi" w:eastAsia="Times New Roman" w:hAnsiTheme="minorHAnsi"/>
                <w:color w:val="000000"/>
                <w:szCs w:val="20"/>
                <w:lang w:val="en-GB"/>
              </w:rPr>
            </w:pPr>
            <w:proofErr w:type="spellStart"/>
            <w:r w:rsidRPr="003B6A69">
              <w:rPr>
                <w:rFonts w:asciiTheme="minorHAnsi" w:eastAsia="Times New Roman" w:hAnsiTheme="minorHAnsi"/>
                <w:color w:val="000000"/>
                <w:szCs w:val="20"/>
                <w:lang w:val="en-GB"/>
              </w:rPr>
              <w:t>Cemovsko</w:t>
            </w:r>
            <w:proofErr w:type="spellEnd"/>
            <w:r w:rsidRPr="003B6A69">
              <w:rPr>
                <w:rFonts w:asciiTheme="minorHAnsi" w:eastAsia="Times New Roman" w:hAnsiTheme="minorHAnsi"/>
                <w:color w:val="000000"/>
                <w:szCs w:val="20"/>
                <w:lang w:val="en-GB"/>
              </w:rPr>
              <w:t xml:space="preserve"> Field</w:t>
            </w:r>
          </w:p>
        </w:tc>
        <w:tc>
          <w:tcPr>
            <w:tcW w:w="5644" w:type="dxa"/>
            <w:tcBorders>
              <w:top w:val="single" w:sz="6" w:space="0" w:color="auto"/>
              <w:left w:val="single" w:sz="6" w:space="0" w:color="auto"/>
              <w:bottom w:val="single" w:sz="6" w:space="0" w:color="auto"/>
              <w:right w:val="single" w:sz="6" w:space="0" w:color="auto"/>
            </w:tcBorders>
          </w:tcPr>
          <w:p w14:paraId="23BFF981" w14:textId="77777777" w:rsidR="008C4F26" w:rsidRPr="003B6A69" w:rsidRDefault="008C4F26" w:rsidP="00526A88">
            <w:pPr>
              <w:autoSpaceDE w:val="0"/>
              <w:autoSpaceDN w:val="0"/>
              <w:adjustRightInd w:val="0"/>
              <w:spacing w:after="0"/>
              <w:rPr>
                <w:rFonts w:asciiTheme="minorHAnsi" w:eastAsia="Times New Roman" w:hAnsiTheme="minorHAnsi"/>
                <w:color w:val="000000"/>
                <w:szCs w:val="20"/>
                <w:lang w:val="en-GB"/>
              </w:rPr>
            </w:pPr>
            <w:r w:rsidRPr="003B6A69">
              <w:rPr>
                <w:rFonts w:asciiTheme="minorHAnsi" w:eastAsia="Times New Roman" w:hAnsiTheme="minorHAnsi"/>
                <w:color w:val="000000"/>
                <w:szCs w:val="20"/>
                <w:lang w:val="en-GB"/>
              </w:rPr>
              <w:t xml:space="preserve">Spatial urban plan of the Capital - Podgorica until 2025 </w:t>
            </w:r>
          </w:p>
        </w:tc>
        <w:tc>
          <w:tcPr>
            <w:tcW w:w="1800" w:type="dxa"/>
            <w:tcBorders>
              <w:top w:val="single" w:sz="6" w:space="0" w:color="auto"/>
              <w:left w:val="single" w:sz="6" w:space="0" w:color="auto"/>
              <w:bottom w:val="single" w:sz="6" w:space="0" w:color="auto"/>
              <w:right w:val="single" w:sz="6" w:space="0" w:color="auto"/>
            </w:tcBorders>
          </w:tcPr>
          <w:p w14:paraId="16D3A19B" w14:textId="77777777" w:rsidR="008C4F26" w:rsidRPr="003B6A69" w:rsidRDefault="008C4F26" w:rsidP="00526A88">
            <w:pPr>
              <w:autoSpaceDE w:val="0"/>
              <w:autoSpaceDN w:val="0"/>
              <w:adjustRightInd w:val="0"/>
              <w:spacing w:after="0"/>
              <w:jc w:val="center"/>
              <w:rPr>
                <w:rFonts w:asciiTheme="minorHAnsi" w:eastAsia="Times New Roman" w:hAnsiTheme="minorHAnsi"/>
                <w:color w:val="000000"/>
                <w:szCs w:val="20"/>
                <w:lang w:val="en-GB"/>
              </w:rPr>
            </w:pPr>
            <w:r w:rsidRPr="003B6A69">
              <w:rPr>
                <w:rFonts w:asciiTheme="minorHAnsi" w:eastAsia="Times New Roman" w:hAnsiTheme="minorHAnsi"/>
                <w:color w:val="000000"/>
                <w:szCs w:val="20"/>
                <w:lang w:val="en-GB"/>
              </w:rPr>
              <w:t>++</w:t>
            </w:r>
          </w:p>
        </w:tc>
      </w:tr>
      <w:tr w:rsidR="008C4F26" w:rsidRPr="003B6A69" w14:paraId="78AB6143" w14:textId="77777777" w:rsidTr="00526A88">
        <w:trPr>
          <w:trHeight w:val="53"/>
        </w:trPr>
        <w:tc>
          <w:tcPr>
            <w:tcW w:w="2006" w:type="dxa"/>
            <w:tcBorders>
              <w:top w:val="single" w:sz="6" w:space="0" w:color="auto"/>
              <w:left w:val="single" w:sz="6" w:space="0" w:color="auto"/>
              <w:bottom w:val="single" w:sz="6" w:space="0" w:color="auto"/>
              <w:right w:val="single" w:sz="6" w:space="0" w:color="auto"/>
            </w:tcBorders>
          </w:tcPr>
          <w:p w14:paraId="19746444" w14:textId="77777777" w:rsidR="008C4F26" w:rsidRPr="003B6A69" w:rsidRDefault="008C4F26" w:rsidP="00526A88">
            <w:pPr>
              <w:autoSpaceDE w:val="0"/>
              <w:autoSpaceDN w:val="0"/>
              <w:adjustRightInd w:val="0"/>
              <w:spacing w:after="0"/>
              <w:rPr>
                <w:rFonts w:asciiTheme="minorHAnsi" w:eastAsia="Times New Roman" w:hAnsiTheme="minorHAnsi"/>
                <w:color w:val="000000"/>
                <w:szCs w:val="20"/>
                <w:lang w:val="en-GB"/>
              </w:rPr>
            </w:pPr>
            <w:proofErr w:type="spellStart"/>
            <w:r w:rsidRPr="003B6A69">
              <w:rPr>
                <w:rFonts w:asciiTheme="minorHAnsi" w:eastAsia="Times New Roman" w:hAnsiTheme="minorHAnsi"/>
                <w:color w:val="000000"/>
                <w:szCs w:val="20"/>
                <w:lang w:val="en-GB"/>
              </w:rPr>
              <w:t>Moraca</w:t>
            </w:r>
            <w:proofErr w:type="spellEnd"/>
            <w:r w:rsidRPr="003B6A69">
              <w:rPr>
                <w:rFonts w:asciiTheme="minorHAnsi" w:eastAsia="Times New Roman" w:hAnsiTheme="minorHAnsi"/>
                <w:color w:val="000000"/>
                <w:szCs w:val="20"/>
                <w:lang w:val="en-GB"/>
              </w:rPr>
              <w:t xml:space="preserve"> River</w:t>
            </w:r>
          </w:p>
        </w:tc>
        <w:tc>
          <w:tcPr>
            <w:tcW w:w="5644" w:type="dxa"/>
            <w:tcBorders>
              <w:top w:val="single" w:sz="6" w:space="0" w:color="auto"/>
              <w:left w:val="single" w:sz="6" w:space="0" w:color="auto"/>
              <w:bottom w:val="single" w:sz="6" w:space="0" w:color="auto"/>
              <w:right w:val="single" w:sz="6" w:space="0" w:color="auto"/>
            </w:tcBorders>
          </w:tcPr>
          <w:p w14:paraId="21374871" w14:textId="77777777" w:rsidR="008C4F26" w:rsidRPr="003B6A69" w:rsidRDefault="008C4F26" w:rsidP="00526A88">
            <w:pPr>
              <w:spacing w:after="0"/>
              <w:jc w:val="left"/>
              <w:rPr>
                <w:rFonts w:asciiTheme="minorHAnsi" w:eastAsia="Times New Roman" w:hAnsiTheme="minorHAnsi"/>
                <w:szCs w:val="20"/>
                <w:lang w:val="en-GB"/>
              </w:rPr>
            </w:pPr>
            <w:r w:rsidRPr="003B6A69">
              <w:rPr>
                <w:rFonts w:asciiTheme="minorHAnsi" w:eastAsia="Times New Roman" w:hAnsiTheme="minorHAnsi"/>
                <w:color w:val="000000"/>
                <w:szCs w:val="20"/>
                <w:lang w:val="en-GB"/>
              </w:rPr>
              <w:t xml:space="preserve">Spatial urban plan of the Capital - Podgorica until 2025 </w:t>
            </w:r>
          </w:p>
        </w:tc>
        <w:tc>
          <w:tcPr>
            <w:tcW w:w="1800" w:type="dxa"/>
            <w:tcBorders>
              <w:top w:val="single" w:sz="6" w:space="0" w:color="auto"/>
              <w:left w:val="single" w:sz="6" w:space="0" w:color="auto"/>
              <w:bottom w:val="single" w:sz="6" w:space="0" w:color="auto"/>
              <w:right w:val="single" w:sz="6" w:space="0" w:color="auto"/>
            </w:tcBorders>
          </w:tcPr>
          <w:p w14:paraId="60E2D251" w14:textId="77777777" w:rsidR="008C4F26" w:rsidRPr="003B6A69" w:rsidRDefault="008C4F26" w:rsidP="00526A88">
            <w:pPr>
              <w:autoSpaceDE w:val="0"/>
              <w:autoSpaceDN w:val="0"/>
              <w:adjustRightInd w:val="0"/>
              <w:spacing w:after="0"/>
              <w:jc w:val="center"/>
              <w:rPr>
                <w:rFonts w:asciiTheme="minorHAnsi" w:eastAsia="Times New Roman" w:hAnsiTheme="minorHAnsi"/>
                <w:color w:val="000000"/>
                <w:szCs w:val="20"/>
                <w:lang w:val="en-GB"/>
              </w:rPr>
            </w:pPr>
            <w:r w:rsidRPr="003B6A69">
              <w:rPr>
                <w:rFonts w:asciiTheme="minorHAnsi" w:eastAsia="Times New Roman" w:hAnsiTheme="minorHAnsi"/>
                <w:color w:val="000000"/>
                <w:szCs w:val="20"/>
                <w:lang w:val="en-GB"/>
              </w:rPr>
              <w:t>+++</w:t>
            </w:r>
          </w:p>
        </w:tc>
      </w:tr>
      <w:tr w:rsidR="008C4F26" w:rsidRPr="003B6A69" w14:paraId="62A03025" w14:textId="77777777" w:rsidTr="00526A88">
        <w:trPr>
          <w:trHeight w:val="53"/>
        </w:trPr>
        <w:tc>
          <w:tcPr>
            <w:tcW w:w="2006" w:type="dxa"/>
            <w:tcBorders>
              <w:top w:val="single" w:sz="6" w:space="0" w:color="auto"/>
              <w:left w:val="single" w:sz="6" w:space="0" w:color="auto"/>
              <w:bottom w:val="single" w:sz="6" w:space="0" w:color="auto"/>
              <w:right w:val="single" w:sz="6" w:space="0" w:color="auto"/>
            </w:tcBorders>
          </w:tcPr>
          <w:p w14:paraId="61BF407F" w14:textId="77777777" w:rsidR="008C4F26" w:rsidRPr="003B6A69" w:rsidRDefault="008C4F26" w:rsidP="00526A88">
            <w:pPr>
              <w:autoSpaceDE w:val="0"/>
              <w:autoSpaceDN w:val="0"/>
              <w:adjustRightInd w:val="0"/>
              <w:spacing w:after="0"/>
              <w:rPr>
                <w:rFonts w:asciiTheme="minorHAnsi" w:eastAsia="Times New Roman" w:hAnsiTheme="minorHAnsi"/>
                <w:color w:val="000000"/>
                <w:szCs w:val="20"/>
                <w:lang w:val="en-GB"/>
              </w:rPr>
            </w:pPr>
            <w:proofErr w:type="spellStart"/>
            <w:r w:rsidRPr="003B6A69">
              <w:rPr>
                <w:rFonts w:asciiTheme="minorHAnsi" w:eastAsia="Times New Roman" w:hAnsiTheme="minorHAnsi"/>
                <w:color w:val="000000"/>
                <w:szCs w:val="20"/>
                <w:lang w:val="en-GB"/>
              </w:rPr>
              <w:t>Cijevna</w:t>
            </w:r>
            <w:proofErr w:type="spellEnd"/>
            <w:r w:rsidRPr="003B6A69">
              <w:rPr>
                <w:rFonts w:asciiTheme="minorHAnsi" w:eastAsia="Times New Roman" w:hAnsiTheme="minorHAnsi"/>
                <w:color w:val="000000"/>
                <w:szCs w:val="20"/>
                <w:lang w:val="en-GB"/>
              </w:rPr>
              <w:t xml:space="preserve"> Canyon and Hum </w:t>
            </w:r>
            <w:proofErr w:type="spellStart"/>
            <w:r w:rsidRPr="003B6A69">
              <w:rPr>
                <w:rFonts w:asciiTheme="minorHAnsi" w:eastAsia="Times New Roman" w:hAnsiTheme="minorHAnsi"/>
                <w:color w:val="000000"/>
                <w:szCs w:val="20"/>
                <w:lang w:val="en-GB"/>
              </w:rPr>
              <w:t>Orahovski</w:t>
            </w:r>
            <w:proofErr w:type="spellEnd"/>
          </w:p>
        </w:tc>
        <w:tc>
          <w:tcPr>
            <w:tcW w:w="5644" w:type="dxa"/>
            <w:tcBorders>
              <w:top w:val="single" w:sz="6" w:space="0" w:color="auto"/>
              <w:left w:val="single" w:sz="6" w:space="0" w:color="auto"/>
              <w:bottom w:val="single" w:sz="6" w:space="0" w:color="auto"/>
              <w:right w:val="single" w:sz="6" w:space="0" w:color="auto"/>
            </w:tcBorders>
          </w:tcPr>
          <w:p w14:paraId="011A3D67" w14:textId="77777777" w:rsidR="008C4F26" w:rsidRPr="003B6A69" w:rsidRDefault="008C4F26" w:rsidP="00526A88">
            <w:pPr>
              <w:spacing w:after="0"/>
              <w:jc w:val="left"/>
              <w:rPr>
                <w:rFonts w:asciiTheme="minorHAnsi" w:eastAsia="Times New Roman" w:hAnsiTheme="minorHAnsi"/>
                <w:szCs w:val="20"/>
                <w:lang w:val="en-GB"/>
              </w:rPr>
            </w:pPr>
            <w:r w:rsidRPr="003B6A69">
              <w:rPr>
                <w:rFonts w:asciiTheme="minorHAnsi" w:eastAsia="Times New Roman" w:hAnsiTheme="minorHAnsi"/>
                <w:color w:val="000000"/>
                <w:szCs w:val="20"/>
                <w:lang w:val="en-GB"/>
              </w:rPr>
              <w:t xml:space="preserve">Spatial urban plan of the Capital - Podgorica until 2025 </w:t>
            </w:r>
          </w:p>
        </w:tc>
        <w:tc>
          <w:tcPr>
            <w:tcW w:w="1800" w:type="dxa"/>
            <w:tcBorders>
              <w:top w:val="single" w:sz="6" w:space="0" w:color="auto"/>
              <w:left w:val="single" w:sz="6" w:space="0" w:color="auto"/>
              <w:bottom w:val="single" w:sz="6" w:space="0" w:color="auto"/>
              <w:right w:val="single" w:sz="6" w:space="0" w:color="auto"/>
            </w:tcBorders>
          </w:tcPr>
          <w:p w14:paraId="66B25628" w14:textId="77777777" w:rsidR="008C4F26" w:rsidRPr="003B6A69" w:rsidRDefault="008C4F26" w:rsidP="00526A88">
            <w:pPr>
              <w:autoSpaceDE w:val="0"/>
              <w:autoSpaceDN w:val="0"/>
              <w:adjustRightInd w:val="0"/>
              <w:spacing w:after="0"/>
              <w:jc w:val="center"/>
              <w:rPr>
                <w:rFonts w:asciiTheme="minorHAnsi" w:eastAsia="Times New Roman" w:hAnsiTheme="minorHAnsi"/>
                <w:color w:val="000000"/>
                <w:szCs w:val="20"/>
                <w:lang w:val="en-GB"/>
              </w:rPr>
            </w:pPr>
            <w:r w:rsidRPr="003B6A69">
              <w:rPr>
                <w:rFonts w:asciiTheme="minorHAnsi" w:eastAsia="Times New Roman" w:hAnsiTheme="minorHAnsi"/>
                <w:color w:val="000000"/>
                <w:szCs w:val="20"/>
                <w:lang w:val="en-GB"/>
              </w:rPr>
              <w:t>++</w:t>
            </w:r>
          </w:p>
        </w:tc>
      </w:tr>
      <w:tr w:rsidR="008C4F26" w:rsidRPr="003B6A69" w14:paraId="52242137" w14:textId="77777777" w:rsidTr="00526A88">
        <w:trPr>
          <w:trHeight w:val="53"/>
        </w:trPr>
        <w:tc>
          <w:tcPr>
            <w:tcW w:w="2006" w:type="dxa"/>
            <w:tcBorders>
              <w:top w:val="single" w:sz="6" w:space="0" w:color="auto"/>
              <w:left w:val="single" w:sz="6" w:space="0" w:color="auto"/>
              <w:bottom w:val="single" w:sz="6" w:space="0" w:color="auto"/>
              <w:right w:val="single" w:sz="6" w:space="0" w:color="auto"/>
            </w:tcBorders>
          </w:tcPr>
          <w:p w14:paraId="3663EB29" w14:textId="77777777" w:rsidR="008C4F26" w:rsidRPr="003B6A69" w:rsidRDefault="008C4F26" w:rsidP="00526A88">
            <w:pPr>
              <w:autoSpaceDE w:val="0"/>
              <w:autoSpaceDN w:val="0"/>
              <w:adjustRightInd w:val="0"/>
              <w:spacing w:after="0"/>
              <w:rPr>
                <w:rFonts w:asciiTheme="minorHAnsi" w:eastAsia="Times New Roman" w:hAnsiTheme="minorHAnsi"/>
                <w:color w:val="000000"/>
                <w:szCs w:val="20"/>
                <w:lang w:val="en-GB"/>
              </w:rPr>
            </w:pPr>
            <w:proofErr w:type="spellStart"/>
            <w:r w:rsidRPr="003B6A69">
              <w:rPr>
                <w:rFonts w:asciiTheme="minorHAnsi" w:eastAsia="Times New Roman" w:hAnsiTheme="minorHAnsi"/>
                <w:color w:val="000000"/>
                <w:szCs w:val="20"/>
                <w:lang w:val="en-GB"/>
              </w:rPr>
              <w:t>Kakaricka</w:t>
            </w:r>
            <w:proofErr w:type="spellEnd"/>
            <w:r w:rsidRPr="003B6A69">
              <w:rPr>
                <w:rFonts w:asciiTheme="minorHAnsi" w:eastAsia="Times New Roman" w:hAnsiTheme="minorHAnsi"/>
                <w:color w:val="000000"/>
                <w:szCs w:val="20"/>
                <w:lang w:val="en-GB"/>
              </w:rPr>
              <w:t xml:space="preserve"> </w:t>
            </w:r>
            <w:proofErr w:type="spellStart"/>
            <w:r w:rsidRPr="003B6A69">
              <w:rPr>
                <w:rFonts w:asciiTheme="minorHAnsi" w:eastAsia="Times New Roman" w:hAnsiTheme="minorHAnsi"/>
                <w:color w:val="000000"/>
                <w:szCs w:val="20"/>
                <w:lang w:val="en-GB"/>
              </w:rPr>
              <w:t>gora</w:t>
            </w:r>
            <w:proofErr w:type="spellEnd"/>
          </w:p>
        </w:tc>
        <w:tc>
          <w:tcPr>
            <w:tcW w:w="5644" w:type="dxa"/>
            <w:tcBorders>
              <w:top w:val="single" w:sz="6" w:space="0" w:color="auto"/>
              <w:left w:val="single" w:sz="6" w:space="0" w:color="auto"/>
              <w:bottom w:val="single" w:sz="6" w:space="0" w:color="auto"/>
              <w:right w:val="single" w:sz="6" w:space="0" w:color="auto"/>
            </w:tcBorders>
          </w:tcPr>
          <w:p w14:paraId="32415711" w14:textId="77777777" w:rsidR="008C4F26" w:rsidRPr="003B6A69" w:rsidRDefault="008C4F26" w:rsidP="00526A88">
            <w:pPr>
              <w:spacing w:after="0"/>
              <w:jc w:val="left"/>
              <w:rPr>
                <w:rFonts w:asciiTheme="minorHAnsi" w:eastAsia="Times New Roman" w:hAnsiTheme="minorHAnsi"/>
                <w:szCs w:val="20"/>
                <w:lang w:val="en-GB"/>
              </w:rPr>
            </w:pPr>
            <w:r w:rsidRPr="003B6A69">
              <w:rPr>
                <w:rFonts w:asciiTheme="minorHAnsi" w:eastAsia="Times New Roman" w:hAnsiTheme="minorHAnsi"/>
                <w:color w:val="000000"/>
                <w:szCs w:val="20"/>
                <w:lang w:val="en-GB"/>
              </w:rPr>
              <w:t xml:space="preserve">Spatial urban plan of the Capital - Podgorica until 2025 </w:t>
            </w:r>
          </w:p>
        </w:tc>
        <w:tc>
          <w:tcPr>
            <w:tcW w:w="1800" w:type="dxa"/>
            <w:tcBorders>
              <w:top w:val="single" w:sz="6" w:space="0" w:color="auto"/>
              <w:left w:val="single" w:sz="6" w:space="0" w:color="auto"/>
              <w:bottom w:val="single" w:sz="6" w:space="0" w:color="auto"/>
              <w:right w:val="single" w:sz="6" w:space="0" w:color="auto"/>
            </w:tcBorders>
          </w:tcPr>
          <w:p w14:paraId="0FB5F27B" w14:textId="77777777" w:rsidR="008C4F26" w:rsidRPr="003B6A69" w:rsidRDefault="008C4F26" w:rsidP="00526A88">
            <w:pPr>
              <w:autoSpaceDE w:val="0"/>
              <w:autoSpaceDN w:val="0"/>
              <w:adjustRightInd w:val="0"/>
              <w:spacing w:after="0"/>
              <w:jc w:val="center"/>
              <w:rPr>
                <w:rFonts w:asciiTheme="minorHAnsi" w:eastAsia="Times New Roman" w:hAnsiTheme="minorHAnsi"/>
                <w:color w:val="000000"/>
                <w:szCs w:val="20"/>
                <w:lang w:val="en-GB"/>
              </w:rPr>
            </w:pPr>
            <w:r w:rsidRPr="003B6A69">
              <w:rPr>
                <w:rFonts w:asciiTheme="minorHAnsi" w:eastAsia="Times New Roman" w:hAnsiTheme="minorHAnsi"/>
                <w:color w:val="000000"/>
                <w:szCs w:val="20"/>
                <w:lang w:val="en-GB"/>
              </w:rPr>
              <w:t>+</w:t>
            </w:r>
          </w:p>
        </w:tc>
      </w:tr>
      <w:tr w:rsidR="008C4F26" w:rsidRPr="003B6A69" w14:paraId="68D321DB" w14:textId="77777777" w:rsidTr="00526A88">
        <w:trPr>
          <w:trHeight w:val="53"/>
        </w:trPr>
        <w:tc>
          <w:tcPr>
            <w:tcW w:w="2006" w:type="dxa"/>
            <w:tcBorders>
              <w:top w:val="single" w:sz="6" w:space="0" w:color="auto"/>
              <w:left w:val="single" w:sz="6" w:space="0" w:color="auto"/>
              <w:bottom w:val="single" w:sz="6" w:space="0" w:color="auto"/>
              <w:right w:val="single" w:sz="6" w:space="0" w:color="auto"/>
            </w:tcBorders>
          </w:tcPr>
          <w:p w14:paraId="4F1B0E3A" w14:textId="77777777" w:rsidR="008C4F26" w:rsidRPr="003B6A69" w:rsidRDefault="008C4F26" w:rsidP="00526A88">
            <w:pPr>
              <w:autoSpaceDE w:val="0"/>
              <w:autoSpaceDN w:val="0"/>
              <w:adjustRightInd w:val="0"/>
              <w:spacing w:after="0"/>
              <w:rPr>
                <w:rFonts w:asciiTheme="minorHAnsi" w:eastAsia="Times New Roman" w:hAnsiTheme="minorHAnsi"/>
                <w:color w:val="000000"/>
                <w:szCs w:val="20"/>
                <w:lang w:val="en-GB"/>
              </w:rPr>
            </w:pPr>
            <w:r w:rsidRPr="003B6A69">
              <w:rPr>
                <w:rFonts w:asciiTheme="minorHAnsi" w:eastAsia="Times New Roman" w:hAnsiTheme="minorHAnsi"/>
                <w:color w:val="000000"/>
                <w:szCs w:val="20"/>
                <w:lang w:val="en-GB"/>
              </w:rPr>
              <w:t>Zeta Stream</w:t>
            </w:r>
          </w:p>
        </w:tc>
        <w:tc>
          <w:tcPr>
            <w:tcW w:w="5644" w:type="dxa"/>
            <w:tcBorders>
              <w:top w:val="single" w:sz="6" w:space="0" w:color="auto"/>
              <w:left w:val="single" w:sz="6" w:space="0" w:color="auto"/>
              <w:bottom w:val="single" w:sz="6" w:space="0" w:color="auto"/>
              <w:right w:val="single" w:sz="6" w:space="0" w:color="auto"/>
            </w:tcBorders>
          </w:tcPr>
          <w:p w14:paraId="5BFD9957" w14:textId="77777777" w:rsidR="008C4F26" w:rsidRPr="003B6A69" w:rsidRDefault="008C4F26" w:rsidP="00526A88">
            <w:pPr>
              <w:autoSpaceDE w:val="0"/>
              <w:autoSpaceDN w:val="0"/>
              <w:adjustRightInd w:val="0"/>
              <w:spacing w:after="0"/>
              <w:rPr>
                <w:rFonts w:asciiTheme="minorHAnsi" w:eastAsia="Times New Roman" w:hAnsiTheme="minorHAnsi"/>
                <w:color w:val="000000"/>
                <w:szCs w:val="20"/>
                <w:lang w:val="en-GB"/>
              </w:rPr>
            </w:pPr>
            <w:r w:rsidRPr="003B6A69">
              <w:rPr>
                <w:rFonts w:asciiTheme="minorHAnsi" w:eastAsia="Times New Roman" w:hAnsiTheme="minorHAnsi"/>
                <w:color w:val="000000"/>
                <w:szCs w:val="20"/>
                <w:lang w:val="en-GB"/>
              </w:rPr>
              <w:t xml:space="preserve">Spatial urban plan of the Municipality </w:t>
            </w:r>
            <w:proofErr w:type="spellStart"/>
            <w:r w:rsidRPr="003B6A69">
              <w:rPr>
                <w:rFonts w:asciiTheme="minorHAnsi" w:eastAsia="Times New Roman" w:hAnsiTheme="minorHAnsi"/>
                <w:color w:val="000000"/>
                <w:szCs w:val="20"/>
                <w:lang w:val="en-GB"/>
              </w:rPr>
              <w:t>Danilovgrad</w:t>
            </w:r>
            <w:proofErr w:type="spellEnd"/>
            <w:r w:rsidRPr="003B6A69">
              <w:rPr>
                <w:rFonts w:asciiTheme="minorHAnsi" w:eastAsia="Times New Roman" w:hAnsiTheme="minorHAnsi"/>
                <w:color w:val="000000"/>
                <w:szCs w:val="20"/>
                <w:lang w:val="en-GB"/>
              </w:rPr>
              <w:t xml:space="preserve"> 2011 – 2020. </w:t>
            </w:r>
          </w:p>
        </w:tc>
        <w:tc>
          <w:tcPr>
            <w:tcW w:w="1800" w:type="dxa"/>
            <w:tcBorders>
              <w:top w:val="single" w:sz="6" w:space="0" w:color="auto"/>
              <w:left w:val="single" w:sz="6" w:space="0" w:color="auto"/>
              <w:bottom w:val="single" w:sz="6" w:space="0" w:color="auto"/>
              <w:right w:val="single" w:sz="6" w:space="0" w:color="auto"/>
            </w:tcBorders>
          </w:tcPr>
          <w:p w14:paraId="2AF08961" w14:textId="77777777" w:rsidR="008C4F26" w:rsidRPr="003B6A69" w:rsidRDefault="008C4F26" w:rsidP="00526A88">
            <w:pPr>
              <w:autoSpaceDE w:val="0"/>
              <w:autoSpaceDN w:val="0"/>
              <w:adjustRightInd w:val="0"/>
              <w:spacing w:after="0"/>
              <w:jc w:val="center"/>
              <w:rPr>
                <w:rFonts w:asciiTheme="minorHAnsi" w:eastAsia="Times New Roman" w:hAnsiTheme="minorHAnsi"/>
                <w:color w:val="000000"/>
                <w:szCs w:val="20"/>
                <w:lang w:val="sr-Latn-ME"/>
              </w:rPr>
            </w:pPr>
            <w:r w:rsidRPr="003B6A69">
              <w:rPr>
                <w:rFonts w:asciiTheme="minorHAnsi" w:eastAsia="Times New Roman" w:hAnsiTheme="minorHAnsi"/>
                <w:color w:val="000000"/>
                <w:szCs w:val="20"/>
                <w:lang w:val="en-GB"/>
              </w:rPr>
              <w:t>+</w:t>
            </w:r>
            <w:r w:rsidRPr="003B6A69">
              <w:rPr>
                <w:rFonts w:asciiTheme="minorHAnsi" w:eastAsia="Times New Roman" w:hAnsiTheme="minorHAnsi"/>
                <w:color w:val="000000"/>
                <w:szCs w:val="20"/>
                <w:lang w:val="sr-Latn-ME"/>
              </w:rPr>
              <w:t>+</w:t>
            </w:r>
          </w:p>
        </w:tc>
      </w:tr>
      <w:tr w:rsidR="008C4F26" w:rsidRPr="003B6A69" w14:paraId="70323F66" w14:textId="77777777" w:rsidTr="00526A88">
        <w:trPr>
          <w:trHeight w:val="53"/>
        </w:trPr>
        <w:tc>
          <w:tcPr>
            <w:tcW w:w="2006" w:type="dxa"/>
            <w:tcBorders>
              <w:top w:val="single" w:sz="6" w:space="0" w:color="auto"/>
              <w:left w:val="single" w:sz="6" w:space="0" w:color="auto"/>
              <w:bottom w:val="single" w:sz="6" w:space="0" w:color="auto"/>
              <w:right w:val="single" w:sz="6" w:space="0" w:color="auto"/>
            </w:tcBorders>
          </w:tcPr>
          <w:p w14:paraId="06C6C3AD" w14:textId="77777777" w:rsidR="008C4F26" w:rsidRPr="003B6A69" w:rsidRDefault="008C4F26" w:rsidP="00526A88">
            <w:pPr>
              <w:autoSpaceDE w:val="0"/>
              <w:autoSpaceDN w:val="0"/>
              <w:adjustRightInd w:val="0"/>
              <w:spacing w:after="0"/>
              <w:rPr>
                <w:rFonts w:asciiTheme="minorHAnsi" w:eastAsia="Times New Roman" w:hAnsiTheme="minorHAnsi"/>
                <w:color w:val="000000"/>
                <w:szCs w:val="20"/>
                <w:lang w:val="en-GB"/>
              </w:rPr>
            </w:pPr>
            <w:proofErr w:type="spellStart"/>
            <w:r w:rsidRPr="003B6A69">
              <w:rPr>
                <w:rFonts w:asciiTheme="minorHAnsi" w:eastAsia="Times New Roman" w:hAnsiTheme="minorHAnsi"/>
                <w:color w:val="000000"/>
                <w:szCs w:val="20"/>
                <w:lang w:val="en-GB"/>
              </w:rPr>
              <w:t>Rumija</w:t>
            </w:r>
            <w:proofErr w:type="spellEnd"/>
          </w:p>
        </w:tc>
        <w:tc>
          <w:tcPr>
            <w:tcW w:w="5644" w:type="dxa"/>
            <w:tcBorders>
              <w:top w:val="single" w:sz="6" w:space="0" w:color="auto"/>
              <w:left w:val="single" w:sz="6" w:space="0" w:color="auto"/>
              <w:bottom w:val="single" w:sz="6" w:space="0" w:color="auto"/>
              <w:right w:val="single" w:sz="6" w:space="0" w:color="auto"/>
            </w:tcBorders>
          </w:tcPr>
          <w:p w14:paraId="124D73A8" w14:textId="77777777" w:rsidR="008C4F26" w:rsidRPr="003B6A69" w:rsidRDefault="008C4F26" w:rsidP="00526A88">
            <w:pPr>
              <w:autoSpaceDE w:val="0"/>
              <w:autoSpaceDN w:val="0"/>
              <w:adjustRightInd w:val="0"/>
              <w:spacing w:after="0"/>
              <w:rPr>
                <w:rFonts w:asciiTheme="minorHAnsi" w:eastAsia="Times New Roman" w:hAnsiTheme="minorHAnsi"/>
                <w:color w:val="000000"/>
                <w:szCs w:val="20"/>
                <w:lang w:val="en-GB"/>
              </w:rPr>
            </w:pPr>
            <w:r w:rsidRPr="003B6A69">
              <w:rPr>
                <w:rFonts w:asciiTheme="minorHAnsi" w:eastAsia="Times New Roman" w:hAnsiTheme="minorHAnsi"/>
                <w:color w:val="000000"/>
                <w:szCs w:val="20"/>
                <w:lang w:val="en-GB"/>
              </w:rPr>
              <w:t xml:space="preserve">Spatial development plan of the territory of the Municipality Bar </w:t>
            </w:r>
          </w:p>
        </w:tc>
        <w:tc>
          <w:tcPr>
            <w:tcW w:w="1800" w:type="dxa"/>
            <w:tcBorders>
              <w:top w:val="single" w:sz="6" w:space="0" w:color="auto"/>
              <w:left w:val="single" w:sz="6" w:space="0" w:color="auto"/>
              <w:bottom w:val="single" w:sz="6" w:space="0" w:color="auto"/>
              <w:right w:val="single" w:sz="6" w:space="0" w:color="auto"/>
            </w:tcBorders>
          </w:tcPr>
          <w:p w14:paraId="405AA329" w14:textId="77777777" w:rsidR="008C4F26" w:rsidRPr="003B6A69" w:rsidRDefault="008C4F26" w:rsidP="00526A88">
            <w:pPr>
              <w:autoSpaceDE w:val="0"/>
              <w:autoSpaceDN w:val="0"/>
              <w:adjustRightInd w:val="0"/>
              <w:spacing w:after="0"/>
              <w:jc w:val="center"/>
              <w:rPr>
                <w:rFonts w:asciiTheme="minorHAnsi" w:eastAsia="Times New Roman" w:hAnsiTheme="minorHAnsi"/>
                <w:color w:val="000000"/>
                <w:szCs w:val="20"/>
                <w:lang w:val="en-GB"/>
              </w:rPr>
            </w:pPr>
            <w:r w:rsidRPr="003B6A69">
              <w:rPr>
                <w:rFonts w:asciiTheme="minorHAnsi" w:eastAsia="Times New Roman" w:hAnsiTheme="minorHAnsi"/>
                <w:color w:val="000000"/>
                <w:szCs w:val="20"/>
                <w:lang w:val="en-GB"/>
              </w:rPr>
              <w:t>-</w:t>
            </w:r>
          </w:p>
        </w:tc>
      </w:tr>
      <w:tr w:rsidR="008C4F26" w:rsidRPr="003B6A69" w14:paraId="67C3C1AC" w14:textId="77777777" w:rsidTr="00526A88">
        <w:trPr>
          <w:trHeight w:val="53"/>
        </w:trPr>
        <w:tc>
          <w:tcPr>
            <w:tcW w:w="2006" w:type="dxa"/>
            <w:tcBorders>
              <w:top w:val="single" w:sz="6" w:space="0" w:color="auto"/>
              <w:left w:val="single" w:sz="6" w:space="0" w:color="auto"/>
              <w:bottom w:val="single" w:sz="6" w:space="0" w:color="auto"/>
              <w:right w:val="single" w:sz="6" w:space="0" w:color="auto"/>
            </w:tcBorders>
          </w:tcPr>
          <w:p w14:paraId="52B70E49" w14:textId="77777777" w:rsidR="008C4F26" w:rsidRPr="003B6A69" w:rsidRDefault="008C4F26" w:rsidP="00526A88">
            <w:pPr>
              <w:autoSpaceDE w:val="0"/>
              <w:autoSpaceDN w:val="0"/>
              <w:adjustRightInd w:val="0"/>
              <w:spacing w:after="0"/>
              <w:rPr>
                <w:rFonts w:asciiTheme="minorHAnsi" w:eastAsia="Times New Roman" w:hAnsiTheme="minorHAnsi"/>
                <w:color w:val="000000"/>
                <w:szCs w:val="20"/>
                <w:lang w:val="en-GB"/>
              </w:rPr>
            </w:pPr>
            <w:proofErr w:type="spellStart"/>
            <w:r w:rsidRPr="003B6A69">
              <w:rPr>
                <w:rFonts w:asciiTheme="minorHAnsi" w:eastAsia="Times New Roman" w:hAnsiTheme="minorHAnsi"/>
                <w:color w:val="000000"/>
                <w:szCs w:val="20"/>
                <w:lang w:val="en-GB"/>
              </w:rPr>
              <w:t>Orjen</w:t>
            </w:r>
            <w:proofErr w:type="spellEnd"/>
          </w:p>
        </w:tc>
        <w:tc>
          <w:tcPr>
            <w:tcW w:w="5644" w:type="dxa"/>
            <w:tcBorders>
              <w:top w:val="single" w:sz="6" w:space="0" w:color="auto"/>
              <w:left w:val="single" w:sz="6" w:space="0" w:color="auto"/>
              <w:bottom w:val="single" w:sz="6" w:space="0" w:color="auto"/>
              <w:right w:val="single" w:sz="6" w:space="0" w:color="auto"/>
            </w:tcBorders>
          </w:tcPr>
          <w:p w14:paraId="53ABE574" w14:textId="77777777" w:rsidR="008C4F26" w:rsidRPr="003B6A69" w:rsidRDefault="008C4F26" w:rsidP="00526A88">
            <w:pPr>
              <w:autoSpaceDE w:val="0"/>
              <w:autoSpaceDN w:val="0"/>
              <w:adjustRightInd w:val="0"/>
              <w:spacing w:after="0"/>
              <w:rPr>
                <w:rFonts w:asciiTheme="minorHAnsi" w:eastAsia="Times New Roman" w:hAnsiTheme="minorHAnsi"/>
                <w:color w:val="000000"/>
                <w:szCs w:val="20"/>
                <w:lang w:val="en-GB"/>
              </w:rPr>
            </w:pPr>
            <w:r w:rsidRPr="003B6A69">
              <w:rPr>
                <w:rFonts w:asciiTheme="minorHAnsi" w:eastAsia="Times New Roman" w:hAnsiTheme="minorHAnsi"/>
                <w:color w:val="000000"/>
                <w:szCs w:val="20"/>
                <w:lang w:val="en-GB"/>
              </w:rPr>
              <w:t xml:space="preserve">Spatial urban plan of the Municipality </w:t>
            </w:r>
            <w:proofErr w:type="spellStart"/>
            <w:r w:rsidRPr="003B6A69">
              <w:rPr>
                <w:rFonts w:asciiTheme="minorHAnsi" w:eastAsia="Times New Roman" w:hAnsiTheme="minorHAnsi"/>
                <w:color w:val="000000"/>
                <w:szCs w:val="20"/>
                <w:lang w:val="en-GB"/>
              </w:rPr>
              <w:t>H</w:t>
            </w:r>
            <w:r w:rsidRPr="003B6A69">
              <w:rPr>
                <w:rFonts w:asciiTheme="minorHAnsi" w:eastAsiaTheme="minorHAnsi" w:hAnsiTheme="minorHAnsi" w:cstheme="minorBidi"/>
                <w:color w:val="000000"/>
                <w:szCs w:val="20"/>
                <w:lang w:val="en-GB"/>
              </w:rPr>
              <w:t>e</w:t>
            </w:r>
            <w:r w:rsidRPr="003B6A69">
              <w:rPr>
                <w:rFonts w:asciiTheme="minorHAnsi" w:eastAsia="Times New Roman" w:hAnsiTheme="minorHAnsi"/>
                <w:color w:val="000000"/>
                <w:szCs w:val="20"/>
                <w:lang w:val="en-GB"/>
              </w:rPr>
              <w:t>rceg</w:t>
            </w:r>
            <w:proofErr w:type="spellEnd"/>
            <w:r w:rsidRPr="003B6A69">
              <w:rPr>
                <w:rFonts w:asciiTheme="minorHAnsi" w:eastAsia="Times New Roman" w:hAnsiTheme="minorHAnsi"/>
                <w:color w:val="000000"/>
                <w:szCs w:val="20"/>
                <w:lang w:val="en-GB"/>
              </w:rPr>
              <w:t xml:space="preserve"> Novi 2019</w:t>
            </w:r>
          </w:p>
        </w:tc>
        <w:tc>
          <w:tcPr>
            <w:tcW w:w="1800" w:type="dxa"/>
            <w:tcBorders>
              <w:top w:val="single" w:sz="6" w:space="0" w:color="auto"/>
              <w:left w:val="single" w:sz="6" w:space="0" w:color="auto"/>
              <w:bottom w:val="single" w:sz="6" w:space="0" w:color="auto"/>
              <w:right w:val="single" w:sz="6" w:space="0" w:color="auto"/>
            </w:tcBorders>
          </w:tcPr>
          <w:p w14:paraId="048E724E" w14:textId="77777777" w:rsidR="008C4F26" w:rsidRPr="003B6A69" w:rsidRDefault="008C4F26" w:rsidP="00526A88">
            <w:pPr>
              <w:autoSpaceDE w:val="0"/>
              <w:autoSpaceDN w:val="0"/>
              <w:adjustRightInd w:val="0"/>
              <w:spacing w:after="0"/>
              <w:jc w:val="center"/>
              <w:rPr>
                <w:rFonts w:asciiTheme="minorHAnsi" w:eastAsia="Times New Roman" w:hAnsiTheme="minorHAnsi"/>
                <w:color w:val="000000"/>
                <w:szCs w:val="20"/>
                <w:lang w:val="en-GB"/>
              </w:rPr>
            </w:pPr>
            <w:r w:rsidRPr="003B6A69">
              <w:rPr>
                <w:rFonts w:asciiTheme="minorHAnsi" w:eastAsia="Times New Roman" w:hAnsiTheme="minorHAnsi"/>
                <w:color w:val="000000"/>
                <w:szCs w:val="20"/>
                <w:lang w:val="en-GB"/>
              </w:rPr>
              <w:t>-</w:t>
            </w:r>
          </w:p>
        </w:tc>
      </w:tr>
      <w:tr w:rsidR="008C4F26" w:rsidRPr="003B6A69" w14:paraId="0F35BBBC" w14:textId="77777777" w:rsidTr="00526A88">
        <w:trPr>
          <w:trHeight w:val="53"/>
        </w:trPr>
        <w:tc>
          <w:tcPr>
            <w:tcW w:w="2006" w:type="dxa"/>
            <w:tcBorders>
              <w:top w:val="single" w:sz="6" w:space="0" w:color="auto"/>
              <w:left w:val="single" w:sz="6" w:space="0" w:color="auto"/>
              <w:bottom w:val="single" w:sz="6" w:space="0" w:color="auto"/>
              <w:right w:val="single" w:sz="6" w:space="0" w:color="auto"/>
            </w:tcBorders>
          </w:tcPr>
          <w:p w14:paraId="5BE9CB2F" w14:textId="77777777" w:rsidR="008C4F26" w:rsidRPr="003B6A69" w:rsidRDefault="008C4F26" w:rsidP="00526A88">
            <w:pPr>
              <w:autoSpaceDE w:val="0"/>
              <w:autoSpaceDN w:val="0"/>
              <w:adjustRightInd w:val="0"/>
              <w:spacing w:after="0"/>
              <w:rPr>
                <w:rFonts w:asciiTheme="minorHAnsi" w:eastAsia="Times New Roman" w:hAnsiTheme="minorHAnsi"/>
                <w:color w:val="000000"/>
                <w:szCs w:val="20"/>
                <w:lang w:val="en-GB"/>
              </w:rPr>
            </w:pPr>
            <w:proofErr w:type="spellStart"/>
            <w:r w:rsidRPr="003B6A69">
              <w:rPr>
                <w:rFonts w:asciiTheme="minorHAnsi" w:eastAsia="Times New Roman" w:hAnsiTheme="minorHAnsi"/>
                <w:color w:val="000000"/>
                <w:szCs w:val="20"/>
                <w:lang w:val="en-GB"/>
              </w:rPr>
              <w:t>Katici</w:t>
            </w:r>
            <w:proofErr w:type="spellEnd"/>
            <w:r w:rsidRPr="003B6A69">
              <w:rPr>
                <w:rFonts w:asciiTheme="minorHAnsi" w:eastAsia="Times New Roman" w:hAnsiTheme="minorHAnsi"/>
                <w:color w:val="000000"/>
                <w:szCs w:val="20"/>
                <w:lang w:val="en-GB"/>
              </w:rPr>
              <w:t xml:space="preserve">, </w:t>
            </w:r>
            <w:proofErr w:type="spellStart"/>
            <w:r w:rsidRPr="003B6A69">
              <w:rPr>
                <w:rFonts w:asciiTheme="minorHAnsi" w:eastAsia="Times New Roman" w:hAnsiTheme="minorHAnsi"/>
                <w:color w:val="000000"/>
                <w:szCs w:val="20"/>
                <w:lang w:val="en-GB"/>
              </w:rPr>
              <w:t>Donkova</w:t>
            </w:r>
            <w:proofErr w:type="spellEnd"/>
            <w:r w:rsidRPr="003B6A69">
              <w:rPr>
                <w:rFonts w:asciiTheme="minorHAnsi" w:eastAsia="Times New Roman" w:hAnsiTheme="minorHAnsi"/>
                <w:color w:val="000000"/>
                <w:szCs w:val="20"/>
                <w:lang w:val="en-GB"/>
              </w:rPr>
              <w:t xml:space="preserve"> and </w:t>
            </w:r>
            <w:proofErr w:type="spellStart"/>
            <w:r w:rsidRPr="003B6A69">
              <w:rPr>
                <w:rFonts w:asciiTheme="minorHAnsi" w:eastAsia="Times New Roman" w:hAnsiTheme="minorHAnsi"/>
                <w:color w:val="000000"/>
                <w:szCs w:val="20"/>
                <w:lang w:val="en-GB"/>
              </w:rPr>
              <w:t>Velja</w:t>
            </w:r>
            <w:proofErr w:type="spellEnd"/>
            <w:r w:rsidRPr="003B6A69">
              <w:rPr>
                <w:rFonts w:asciiTheme="minorHAnsi" w:eastAsia="Times New Roman" w:hAnsiTheme="minorHAnsi"/>
                <w:color w:val="000000"/>
                <w:szCs w:val="20"/>
                <w:lang w:val="en-GB"/>
              </w:rPr>
              <w:t xml:space="preserve"> Seka</w:t>
            </w:r>
          </w:p>
        </w:tc>
        <w:tc>
          <w:tcPr>
            <w:tcW w:w="5644" w:type="dxa"/>
            <w:tcBorders>
              <w:top w:val="single" w:sz="6" w:space="0" w:color="auto"/>
              <w:left w:val="single" w:sz="6" w:space="0" w:color="auto"/>
              <w:bottom w:val="single" w:sz="6" w:space="0" w:color="auto"/>
              <w:right w:val="single" w:sz="6" w:space="0" w:color="auto"/>
            </w:tcBorders>
          </w:tcPr>
          <w:p w14:paraId="3324B2E6" w14:textId="77777777" w:rsidR="008C4F26" w:rsidRPr="003B6A69" w:rsidRDefault="008C4F26" w:rsidP="00526A88">
            <w:pPr>
              <w:spacing w:after="0"/>
              <w:jc w:val="left"/>
              <w:rPr>
                <w:rFonts w:asciiTheme="minorHAnsi" w:eastAsia="Times New Roman" w:hAnsiTheme="minorHAnsi"/>
                <w:szCs w:val="20"/>
                <w:lang w:val="en-GB"/>
              </w:rPr>
            </w:pPr>
            <w:r w:rsidRPr="003B6A69">
              <w:rPr>
                <w:rFonts w:asciiTheme="minorHAnsi" w:eastAsia="Times New Roman" w:hAnsiTheme="minorHAnsi"/>
                <w:color w:val="000000"/>
                <w:szCs w:val="20"/>
                <w:lang w:val="en-GB"/>
              </w:rPr>
              <w:t>Special purpose spatial plan for the coastal area of Montenegro (2018)</w:t>
            </w:r>
          </w:p>
        </w:tc>
        <w:tc>
          <w:tcPr>
            <w:tcW w:w="1800" w:type="dxa"/>
            <w:tcBorders>
              <w:top w:val="single" w:sz="6" w:space="0" w:color="auto"/>
              <w:left w:val="single" w:sz="6" w:space="0" w:color="auto"/>
              <w:bottom w:val="single" w:sz="6" w:space="0" w:color="auto"/>
              <w:right w:val="single" w:sz="6" w:space="0" w:color="auto"/>
            </w:tcBorders>
          </w:tcPr>
          <w:p w14:paraId="21EFFFD1" w14:textId="77777777" w:rsidR="008C4F26" w:rsidRPr="003B6A69" w:rsidRDefault="008C4F26" w:rsidP="003C6B7B">
            <w:pPr>
              <w:numPr>
                <w:ilvl w:val="0"/>
                <w:numId w:val="18"/>
              </w:numPr>
              <w:autoSpaceDE w:val="0"/>
              <w:autoSpaceDN w:val="0"/>
              <w:adjustRightInd w:val="0"/>
              <w:spacing w:after="0"/>
              <w:ind w:left="0" w:firstLine="0"/>
              <w:contextualSpacing/>
              <w:jc w:val="center"/>
              <w:rPr>
                <w:rFonts w:asciiTheme="minorHAnsi" w:eastAsia="Times New Roman" w:hAnsiTheme="minorHAnsi"/>
                <w:color w:val="000000"/>
                <w:szCs w:val="20"/>
                <w:lang w:val="en-GB"/>
              </w:rPr>
            </w:pPr>
          </w:p>
        </w:tc>
      </w:tr>
      <w:tr w:rsidR="008C4F26" w:rsidRPr="003B6A69" w14:paraId="385D48FD" w14:textId="77777777" w:rsidTr="00526A88">
        <w:trPr>
          <w:trHeight w:val="53"/>
        </w:trPr>
        <w:tc>
          <w:tcPr>
            <w:tcW w:w="2006" w:type="dxa"/>
            <w:tcBorders>
              <w:top w:val="single" w:sz="6" w:space="0" w:color="auto"/>
              <w:left w:val="single" w:sz="6" w:space="0" w:color="auto"/>
              <w:bottom w:val="single" w:sz="6" w:space="0" w:color="auto"/>
              <w:right w:val="single" w:sz="6" w:space="0" w:color="auto"/>
            </w:tcBorders>
          </w:tcPr>
          <w:p w14:paraId="1B6FE7BA" w14:textId="77777777" w:rsidR="008C4F26" w:rsidRPr="003B6A69" w:rsidRDefault="008C4F26" w:rsidP="00526A88">
            <w:pPr>
              <w:autoSpaceDE w:val="0"/>
              <w:autoSpaceDN w:val="0"/>
              <w:adjustRightInd w:val="0"/>
              <w:spacing w:after="0"/>
              <w:rPr>
                <w:rFonts w:asciiTheme="minorHAnsi" w:eastAsia="Times New Roman" w:hAnsiTheme="minorHAnsi"/>
                <w:color w:val="000000"/>
                <w:szCs w:val="20"/>
                <w:lang w:val="en-GB"/>
              </w:rPr>
            </w:pPr>
            <w:r w:rsidRPr="003B6A69">
              <w:rPr>
                <w:rFonts w:asciiTheme="minorHAnsi" w:eastAsia="Times New Roman" w:hAnsiTheme="minorHAnsi"/>
                <w:color w:val="000000"/>
                <w:szCs w:val="20"/>
                <w:lang w:val="en-GB"/>
              </w:rPr>
              <w:t xml:space="preserve">Kotor </w:t>
            </w:r>
            <w:proofErr w:type="spellStart"/>
            <w:r w:rsidRPr="003B6A69">
              <w:rPr>
                <w:rFonts w:asciiTheme="minorHAnsi" w:eastAsia="Times New Roman" w:hAnsiTheme="minorHAnsi"/>
                <w:color w:val="000000"/>
                <w:szCs w:val="20"/>
                <w:lang w:val="en-GB"/>
              </w:rPr>
              <w:t>Risan</w:t>
            </w:r>
            <w:proofErr w:type="spellEnd"/>
            <w:r w:rsidRPr="003B6A69">
              <w:rPr>
                <w:rFonts w:asciiTheme="minorHAnsi" w:eastAsia="Times New Roman" w:hAnsiTheme="minorHAnsi"/>
                <w:color w:val="000000"/>
                <w:szCs w:val="20"/>
                <w:lang w:val="en-GB"/>
              </w:rPr>
              <w:t xml:space="preserve"> bay</w:t>
            </w:r>
          </w:p>
        </w:tc>
        <w:tc>
          <w:tcPr>
            <w:tcW w:w="5644" w:type="dxa"/>
            <w:tcBorders>
              <w:top w:val="single" w:sz="6" w:space="0" w:color="auto"/>
              <w:left w:val="single" w:sz="6" w:space="0" w:color="auto"/>
              <w:bottom w:val="single" w:sz="6" w:space="0" w:color="auto"/>
              <w:right w:val="single" w:sz="6" w:space="0" w:color="auto"/>
            </w:tcBorders>
          </w:tcPr>
          <w:p w14:paraId="2F19888A" w14:textId="77777777" w:rsidR="008C4F26" w:rsidRPr="003B6A69" w:rsidRDefault="008C4F26" w:rsidP="00526A88">
            <w:pPr>
              <w:spacing w:after="0"/>
              <w:jc w:val="left"/>
              <w:rPr>
                <w:rFonts w:asciiTheme="minorHAnsi" w:eastAsia="Times New Roman" w:hAnsiTheme="minorHAnsi"/>
                <w:szCs w:val="20"/>
                <w:lang w:val="en-GB"/>
              </w:rPr>
            </w:pPr>
            <w:r w:rsidRPr="003B6A69">
              <w:rPr>
                <w:rFonts w:asciiTheme="minorHAnsi" w:eastAsia="Times New Roman" w:hAnsiTheme="minorHAnsi"/>
                <w:color w:val="000000"/>
                <w:szCs w:val="20"/>
                <w:lang w:val="en-GB"/>
              </w:rPr>
              <w:t>Special purpose spatial plan for the coastal area of Montenegro (2018)</w:t>
            </w:r>
          </w:p>
        </w:tc>
        <w:tc>
          <w:tcPr>
            <w:tcW w:w="1800" w:type="dxa"/>
            <w:tcBorders>
              <w:top w:val="single" w:sz="6" w:space="0" w:color="auto"/>
              <w:left w:val="single" w:sz="6" w:space="0" w:color="auto"/>
              <w:bottom w:val="single" w:sz="6" w:space="0" w:color="auto"/>
              <w:right w:val="single" w:sz="6" w:space="0" w:color="auto"/>
            </w:tcBorders>
          </w:tcPr>
          <w:p w14:paraId="0197D1EE" w14:textId="77777777" w:rsidR="008C4F26" w:rsidRPr="003B6A69" w:rsidRDefault="008C4F26" w:rsidP="00526A88">
            <w:pPr>
              <w:autoSpaceDE w:val="0"/>
              <w:autoSpaceDN w:val="0"/>
              <w:adjustRightInd w:val="0"/>
              <w:spacing w:after="0"/>
              <w:jc w:val="center"/>
              <w:rPr>
                <w:rFonts w:asciiTheme="minorHAnsi" w:eastAsia="Times New Roman" w:hAnsiTheme="minorHAnsi"/>
                <w:color w:val="000000"/>
                <w:szCs w:val="20"/>
                <w:lang w:val="en-GB"/>
              </w:rPr>
            </w:pPr>
            <w:r w:rsidRPr="003B6A69">
              <w:rPr>
                <w:rFonts w:asciiTheme="minorHAnsi" w:eastAsia="Times New Roman" w:hAnsiTheme="minorHAnsi"/>
                <w:color w:val="000000"/>
                <w:szCs w:val="20"/>
                <w:lang w:val="en-GB"/>
              </w:rPr>
              <w:t>+</w:t>
            </w:r>
          </w:p>
        </w:tc>
      </w:tr>
      <w:tr w:rsidR="008C4F26" w:rsidRPr="003B6A69" w14:paraId="3F647650" w14:textId="77777777" w:rsidTr="00526A88">
        <w:trPr>
          <w:trHeight w:val="53"/>
        </w:trPr>
        <w:tc>
          <w:tcPr>
            <w:tcW w:w="2006" w:type="dxa"/>
            <w:tcBorders>
              <w:top w:val="single" w:sz="6" w:space="0" w:color="auto"/>
              <w:left w:val="single" w:sz="6" w:space="0" w:color="auto"/>
              <w:bottom w:val="single" w:sz="6" w:space="0" w:color="auto"/>
              <w:right w:val="single" w:sz="6" w:space="0" w:color="auto"/>
            </w:tcBorders>
          </w:tcPr>
          <w:p w14:paraId="6DC5EE38" w14:textId="77777777" w:rsidR="008C4F26" w:rsidRPr="003B6A69" w:rsidRDefault="008C4F26" w:rsidP="00526A88">
            <w:pPr>
              <w:autoSpaceDE w:val="0"/>
              <w:autoSpaceDN w:val="0"/>
              <w:adjustRightInd w:val="0"/>
              <w:spacing w:after="0"/>
              <w:rPr>
                <w:rFonts w:asciiTheme="minorHAnsi" w:eastAsia="Times New Roman" w:hAnsiTheme="minorHAnsi"/>
                <w:color w:val="000000"/>
                <w:szCs w:val="20"/>
                <w:lang w:val="en-GB"/>
              </w:rPr>
            </w:pPr>
            <w:proofErr w:type="spellStart"/>
            <w:r w:rsidRPr="003B6A69">
              <w:rPr>
                <w:rFonts w:asciiTheme="minorHAnsi" w:eastAsia="Times New Roman" w:hAnsiTheme="minorHAnsi"/>
                <w:color w:val="000000"/>
                <w:szCs w:val="20"/>
                <w:lang w:val="en-GB"/>
              </w:rPr>
              <w:t>Platamuni</w:t>
            </w:r>
            <w:proofErr w:type="spellEnd"/>
          </w:p>
        </w:tc>
        <w:tc>
          <w:tcPr>
            <w:tcW w:w="5644" w:type="dxa"/>
            <w:tcBorders>
              <w:top w:val="single" w:sz="6" w:space="0" w:color="auto"/>
              <w:left w:val="single" w:sz="6" w:space="0" w:color="auto"/>
              <w:bottom w:val="single" w:sz="6" w:space="0" w:color="auto"/>
              <w:right w:val="single" w:sz="6" w:space="0" w:color="auto"/>
            </w:tcBorders>
          </w:tcPr>
          <w:p w14:paraId="5D50DD9E" w14:textId="77777777" w:rsidR="008C4F26" w:rsidRPr="003B6A69" w:rsidRDefault="008C4F26" w:rsidP="00526A88">
            <w:pPr>
              <w:autoSpaceDE w:val="0"/>
              <w:autoSpaceDN w:val="0"/>
              <w:adjustRightInd w:val="0"/>
              <w:spacing w:after="0"/>
              <w:rPr>
                <w:rFonts w:asciiTheme="minorHAnsi" w:eastAsia="Times New Roman" w:hAnsiTheme="minorHAnsi"/>
                <w:color w:val="000000"/>
                <w:szCs w:val="20"/>
                <w:lang w:val="en-GB"/>
              </w:rPr>
            </w:pPr>
            <w:r w:rsidRPr="003B6A69">
              <w:rPr>
                <w:rFonts w:asciiTheme="minorHAnsi" w:eastAsia="Times New Roman" w:hAnsiTheme="minorHAnsi"/>
                <w:color w:val="000000"/>
                <w:szCs w:val="20"/>
                <w:lang w:val="en-GB"/>
              </w:rPr>
              <w:t>Special purpose spatial plan for the coastal area of Montenegro (2018)</w:t>
            </w:r>
          </w:p>
        </w:tc>
        <w:tc>
          <w:tcPr>
            <w:tcW w:w="1800" w:type="dxa"/>
            <w:tcBorders>
              <w:top w:val="single" w:sz="6" w:space="0" w:color="auto"/>
              <w:left w:val="single" w:sz="6" w:space="0" w:color="auto"/>
              <w:bottom w:val="single" w:sz="6" w:space="0" w:color="auto"/>
              <w:right w:val="single" w:sz="6" w:space="0" w:color="auto"/>
            </w:tcBorders>
          </w:tcPr>
          <w:p w14:paraId="0252D93C" w14:textId="77777777" w:rsidR="008C4F26" w:rsidRPr="003B6A69" w:rsidRDefault="008C4F26" w:rsidP="003C6B7B">
            <w:pPr>
              <w:numPr>
                <w:ilvl w:val="0"/>
                <w:numId w:val="18"/>
              </w:numPr>
              <w:autoSpaceDE w:val="0"/>
              <w:autoSpaceDN w:val="0"/>
              <w:adjustRightInd w:val="0"/>
              <w:spacing w:after="0"/>
              <w:ind w:left="0" w:firstLine="0"/>
              <w:contextualSpacing/>
              <w:jc w:val="center"/>
              <w:rPr>
                <w:rFonts w:asciiTheme="minorHAnsi" w:eastAsia="Times New Roman" w:hAnsiTheme="minorHAnsi"/>
                <w:color w:val="000000"/>
                <w:szCs w:val="20"/>
                <w:lang w:val="en-GB"/>
              </w:rPr>
            </w:pPr>
          </w:p>
        </w:tc>
      </w:tr>
    </w:tbl>
    <w:p w14:paraId="0C1BB8A7" w14:textId="77777777" w:rsidR="008C4F26" w:rsidRPr="003B6A69" w:rsidRDefault="008C4F26" w:rsidP="00526A88">
      <w:pPr>
        <w:spacing w:after="0"/>
        <w:jc w:val="left"/>
        <w:rPr>
          <w:rFonts w:asciiTheme="minorHAnsi" w:eastAsiaTheme="minorHAnsi" w:hAnsiTheme="minorHAnsi" w:cstheme="minorBidi"/>
          <w:szCs w:val="20"/>
          <w:lang w:val="en-GB"/>
        </w:rPr>
      </w:pPr>
    </w:p>
    <w:p w14:paraId="1E87A421" w14:textId="77777777" w:rsidR="008C4F26" w:rsidRPr="003B6A69" w:rsidRDefault="008C4F26" w:rsidP="00526A88">
      <w:pPr>
        <w:shd w:val="clear" w:color="auto" w:fill="FFFFFF"/>
        <w:spacing w:after="0"/>
        <w:rPr>
          <w:rFonts w:ascii="Times New Roman" w:eastAsia="Times New Roman" w:hAnsi="Times New Roman"/>
          <w:szCs w:val="20"/>
          <w:lang w:val="en-GB"/>
        </w:rPr>
      </w:pPr>
    </w:p>
    <w:p w14:paraId="54B04813" w14:textId="77777777" w:rsidR="008C4F26" w:rsidRPr="003B6A69" w:rsidRDefault="008C4F26" w:rsidP="00661293">
      <w:pPr>
        <w:shd w:val="clear" w:color="auto" w:fill="FFFFFF"/>
        <w:spacing w:after="120"/>
        <w:rPr>
          <w:rFonts w:asciiTheme="minorHAnsi" w:eastAsia="Times New Roman" w:hAnsiTheme="minorHAnsi"/>
          <w:szCs w:val="20"/>
        </w:rPr>
      </w:pPr>
      <w:r w:rsidRPr="003B6A69">
        <w:rPr>
          <w:rFonts w:asciiTheme="minorHAnsi" w:eastAsia="Times New Roman" w:hAnsiTheme="minorHAnsi"/>
          <w:szCs w:val="20"/>
          <w:lang w:val="en-GB"/>
        </w:rPr>
        <w:t xml:space="preserve">Based on the analysis of </w:t>
      </w:r>
      <w:r w:rsidRPr="003B6A69">
        <w:rPr>
          <w:rFonts w:asciiTheme="minorHAnsi" w:eastAsia="Times New Roman" w:hAnsiTheme="minorHAnsi"/>
          <w:szCs w:val="20"/>
        </w:rPr>
        <w:t xml:space="preserve">land use and spatial planning interests and interventions threatening the state and resilience of valuable biodiversity and ecosystems, the PPG experts have identified the unprotected KBA pilots with a high level of conflict between the chosen spatial development scenario and biodiversity conservation interests. </w:t>
      </w:r>
    </w:p>
    <w:p w14:paraId="210A2EFD" w14:textId="77777777" w:rsidR="008C4F26" w:rsidRPr="003B6A69" w:rsidRDefault="008C4F26" w:rsidP="003C6B7B">
      <w:pPr>
        <w:numPr>
          <w:ilvl w:val="0"/>
          <w:numId w:val="22"/>
        </w:numPr>
        <w:shd w:val="clear" w:color="auto" w:fill="FFFFFF"/>
        <w:spacing w:after="120"/>
        <w:ind w:left="0" w:firstLine="0"/>
        <w:jc w:val="left"/>
        <w:rPr>
          <w:rFonts w:eastAsia="Times New Roman"/>
          <w:b/>
          <w:szCs w:val="20"/>
          <w:u w:val="single"/>
          <w:lang w:val="en-GB"/>
        </w:rPr>
      </w:pPr>
      <w:r w:rsidRPr="003B6A69">
        <w:rPr>
          <w:rFonts w:asciiTheme="minorHAnsi" w:eastAsia="Times New Roman" w:hAnsiTheme="minorHAnsi"/>
          <w:b/>
          <w:szCs w:val="20"/>
          <w:u w:val="single"/>
          <w:lang w:val="en-GB"/>
        </w:rPr>
        <w:t xml:space="preserve">Delta Bojana and </w:t>
      </w:r>
      <w:proofErr w:type="spellStart"/>
      <w:r w:rsidRPr="003B6A69">
        <w:rPr>
          <w:rFonts w:eastAsia="Times New Roman"/>
          <w:b/>
          <w:szCs w:val="20"/>
          <w:u w:val="single"/>
          <w:lang w:val="en-GB"/>
        </w:rPr>
        <w:t>Šasko</w:t>
      </w:r>
      <w:proofErr w:type="spellEnd"/>
      <w:r w:rsidRPr="003B6A69">
        <w:rPr>
          <w:rFonts w:eastAsia="Times New Roman"/>
          <w:b/>
          <w:szCs w:val="20"/>
          <w:u w:val="single"/>
          <w:lang w:val="en-GB"/>
        </w:rPr>
        <w:t xml:space="preserve"> Lake</w:t>
      </w:r>
    </w:p>
    <w:p w14:paraId="1EB96A77" w14:textId="77777777" w:rsidR="008C4F26" w:rsidRPr="003B6A69" w:rsidRDefault="008C4F26" w:rsidP="00661293">
      <w:pPr>
        <w:shd w:val="clear" w:color="auto" w:fill="FFFFFF"/>
        <w:spacing w:after="120"/>
        <w:rPr>
          <w:rFonts w:asciiTheme="minorHAnsi" w:eastAsia="Times New Roman" w:hAnsiTheme="minorHAnsi"/>
          <w:szCs w:val="20"/>
          <w:lang w:val="en-GB"/>
        </w:rPr>
      </w:pPr>
      <w:r w:rsidRPr="003B6A69">
        <w:rPr>
          <w:rFonts w:asciiTheme="minorHAnsi" w:eastAsia="Times New Roman" w:hAnsiTheme="minorHAnsi"/>
          <w:szCs w:val="20"/>
          <w:lang w:val="en-GB"/>
        </w:rPr>
        <w:t xml:space="preserve">One part of KBA of Delta Bojana is protected, but a much larger area does not belong to protected areas. Within the boundaries of the KBA is the Ulcinj Salina, which is protected as a Nature Park. In addition, the Velika </w:t>
      </w:r>
      <w:proofErr w:type="spellStart"/>
      <w:r w:rsidRPr="003B6A69">
        <w:rPr>
          <w:rFonts w:asciiTheme="minorHAnsi" w:eastAsia="Times New Roman" w:hAnsiTheme="minorHAnsi"/>
          <w:szCs w:val="20"/>
          <w:lang w:val="en-GB"/>
        </w:rPr>
        <w:t>plaža</w:t>
      </w:r>
      <w:proofErr w:type="spellEnd"/>
      <w:r w:rsidRPr="003B6A69">
        <w:rPr>
          <w:rFonts w:asciiTheme="minorHAnsi" w:eastAsia="Times New Roman" w:hAnsiTheme="minorHAnsi"/>
          <w:szCs w:val="20"/>
          <w:lang w:val="en-GB"/>
        </w:rPr>
        <w:t xml:space="preserve"> is monument of nature, but the boundaries of this protected area are not clearly defined.</w:t>
      </w:r>
    </w:p>
    <w:p w14:paraId="4A3626CE" w14:textId="77777777" w:rsidR="008C4F26" w:rsidRPr="003B6A69" w:rsidRDefault="008C4F26" w:rsidP="00661293">
      <w:pPr>
        <w:shd w:val="clear" w:color="auto" w:fill="FFFFFF"/>
        <w:spacing w:after="120"/>
        <w:rPr>
          <w:rFonts w:asciiTheme="minorHAnsi" w:eastAsia="Times New Roman" w:hAnsiTheme="minorHAnsi"/>
          <w:szCs w:val="20"/>
          <w:lang w:val="en-GB"/>
        </w:rPr>
      </w:pPr>
      <w:r w:rsidRPr="003B6A69">
        <w:rPr>
          <w:rFonts w:asciiTheme="minorHAnsi" w:eastAsia="Times New Roman" w:hAnsiTheme="minorHAnsi"/>
          <w:szCs w:val="20"/>
          <w:lang w:val="en-GB"/>
        </w:rPr>
        <w:t xml:space="preserve">The Delta Bojana occupies a large area on which several units can be distinguished: </w:t>
      </w:r>
      <w:proofErr w:type="spellStart"/>
      <w:r w:rsidRPr="003B6A69">
        <w:rPr>
          <w:rFonts w:asciiTheme="minorHAnsi" w:eastAsia="Times New Roman" w:hAnsiTheme="minorHAnsi"/>
          <w:szCs w:val="20"/>
          <w:lang w:val="en-GB"/>
        </w:rPr>
        <w:t>Šasko</w:t>
      </w:r>
      <w:proofErr w:type="spellEnd"/>
      <w:r w:rsidRPr="003B6A69">
        <w:rPr>
          <w:rFonts w:asciiTheme="minorHAnsi" w:eastAsia="Times New Roman" w:hAnsiTheme="minorHAnsi"/>
          <w:szCs w:val="20"/>
          <w:lang w:val="en-GB"/>
        </w:rPr>
        <w:t xml:space="preserve"> Lake, Ulcinj Salina, Long Ulcinj beach/Velika </w:t>
      </w:r>
      <w:proofErr w:type="spellStart"/>
      <w:r w:rsidRPr="003B6A69">
        <w:rPr>
          <w:rFonts w:asciiTheme="minorHAnsi" w:eastAsia="Times New Roman" w:hAnsiTheme="minorHAnsi"/>
          <w:szCs w:val="20"/>
          <w:lang w:val="en-GB"/>
        </w:rPr>
        <w:t>Ulcinjska</w:t>
      </w:r>
      <w:proofErr w:type="spellEnd"/>
      <w:r w:rsidRPr="003B6A69">
        <w:rPr>
          <w:rFonts w:asciiTheme="minorHAnsi" w:eastAsia="Times New Roman" w:hAnsiTheme="minorHAnsi"/>
          <w:szCs w:val="20"/>
          <w:lang w:val="en-GB"/>
        </w:rPr>
        <w:t xml:space="preserve"> Plaza with its hinterland, Ada </w:t>
      </w:r>
      <w:proofErr w:type="gramStart"/>
      <w:r w:rsidRPr="003B6A69">
        <w:rPr>
          <w:rFonts w:asciiTheme="minorHAnsi" w:eastAsia="Times New Roman" w:hAnsiTheme="minorHAnsi"/>
          <w:szCs w:val="20"/>
          <w:lang w:val="en-GB"/>
        </w:rPr>
        <w:t>Bojana</w:t>
      </w:r>
      <w:proofErr w:type="gramEnd"/>
      <w:r w:rsidRPr="003B6A69">
        <w:rPr>
          <w:rFonts w:asciiTheme="minorHAnsi" w:eastAsia="Times New Roman" w:hAnsiTheme="minorHAnsi"/>
          <w:szCs w:val="20"/>
          <w:lang w:val="en-GB"/>
        </w:rPr>
        <w:t xml:space="preserve"> and the rest of the KBA. Each of these units is characterized by specific biodiversity, rare and endangered habitats, while the rest of the KBA contains significant areas of quality agricultural land. So far, over 240 bird species have been registered in the Delta Bojana, therefore the entire area has been recognized as the Important Birds Area. Within the KBA there are two EMERALD areas: ME0000004 Long beach/Velika </w:t>
      </w:r>
      <w:proofErr w:type="spellStart"/>
      <w:r w:rsidRPr="003B6A69">
        <w:rPr>
          <w:rFonts w:asciiTheme="minorHAnsi" w:eastAsia="Times New Roman" w:hAnsiTheme="minorHAnsi"/>
          <w:szCs w:val="20"/>
          <w:lang w:val="en-GB"/>
        </w:rPr>
        <w:t>plaža</w:t>
      </w:r>
      <w:proofErr w:type="spellEnd"/>
      <w:r w:rsidRPr="003B6A69">
        <w:rPr>
          <w:rFonts w:asciiTheme="minorHAnsi" w:eastAsia="Times New Roman" w:hAnsiTheme="minorHAnsi"/>
          <w:szCs w:val="20"/>
          <w:lang w:val="en-GB"/>
        </w:rPr>
        <w:t xml:space="preserve"> and Ulcinj Salina, and ME000000C </w:t>
      </w:r>
      <w:proofErr w:type="spellStart"/>
      <w:r w:rsidRPr="003B6A69">
        <w:rPr>
          <w:rFonts w:asciiTheme="minorHAnsi" w:eastAsia="Times New Roman" w:hAnsiTheme="minorHAnsi"/>
          <w:szCs w:val="20"/>
          <w:lang w:val="en-GB"/>
        </w:rPr>
        <w:t>Šasko</w:t>
      </w:r>
      <w:proofErr w:type="spellEnd"/>
      <w:r w:rsidRPr="003B6A69">
        <w:rPr>
          <w:rFonts w:asciiTheme="minorHAnsi" w:eastAsia="Times New Roman" w:hAnsiTheme="minorHAnsi"/>
          <w:szCs w:val="20"/>
          <w:lang w:val="en-GB"/>
        </w:rPr>
        <w:t xml:space="preserve"> </w:t>
      </w:r>
      <w:proofErr w:type="spellStart"/>
      <w:r w:rsidRPr="003B6A69">
        <w:rPr>
          <w:rFonts w:asciiTheme="minorHAnsi" w:eastAsia="Times New Roman" w:hAnsiTheme="minorHAnsi"/>
          <w:szCs w:val="20"/>
          <w:lang w:val="en-GB"/>
        </w:rPr>
        <w:t>jezero</w:t>
      </w:r>
      <w:proofErr w:type="spellEnd"/>
      <w:r w:rsidRPr="003B6A69">
        <w:rPr>
          <w:rFonts w:asciiTheme="minorHAnsi" w:eastAsia="Times New Roman" w:hAnsiTheme="minorHAnsi"/>
          <w:szCs w:val="20"/>
          <w:lang w:val="en-GB"/>
        </w:rPr>
        <w:t xml:space="preserve">, Rijeka Bojana, </w:t>
      </w:r>
      <w:proofErr w:type="spellStart"/>
      <w:r w:rsidRPr="003B6A69">
        <w:rPr>
          <w:rFonts w:asciiTheme="minorHAnsi" w:eastAsia="Times New Roman" w:hAnsiTheme="minorHAnsi"/>
          <w:szCs w:val="20"/>
          <w:lang w:val="en-GB"/>
        </w:rPr>
        <w:t>Knete</w:t>
      </w:r>
      <w:proofErr w:type="spellEnd"/>
      <w:r w:rsidRPr="003B6A69">
        <w:rPr>
          <w:rFonts w:asciiTheme="minorHAnsi" w:eastAsia="Times New Roman" w:hAnsiTheme="minorHAnsi"/>
          <w:szCs w:val="20"/>
          <w:lang w:val="en-GB"/>
        </w:rPr>
        <w:t xml:space="preserve">, Ada Bojana. Long beach/Velika </w:t>
      </w:r>
      <w:proofErr w:type="spellStart"/>
      <w:r w:rsidRPr="003B6A69">
        <w:rPr>
          <w:rFonts w:asciiTheme="minorHAnsi" w:eastAsia="Times New Roman" w:hAnsiTheme="minorHAnsi"/>
          <w:szCs w:val="20"/>
          <w:lang w:val="en-GB"/>
        </w:rPr>
        <w:t>plaža</w:t>
      </w:r>
      <w:proofErr w:type="spellEnd"/>
      <w:r w:rsidRPr="003B6A69">
        <w:rPr>
          <w:rFonts w:asciiTheme="minorHAnsi" w:eastAsia="Times New Roman" w:hAnsiTheme="minorHAnsi"/>
          <w:szCs w:val="20"/>
          <w:lang w:val="en-GB"/>
        </w:rPr>
        <w:t xml:space="preserve"> and Ada Bojana are also recognized as Important Plants Area, meeting two criteria, criteria B - biodiversity richness and criteria C - presence of endangered habitats. Based on the above, </w:t>
      </w:r>
      <w:proofErr w:type="gramStart"/>
      <w:r w:rsidRPr="003B6A69">
        <w:rPr>
          <w:rFonts w:asciiTheme="minorHAnsi" w:eastAsia="Times New Roman" w:hAnsiTheme="minorHAnsi"/>
          <w:szCs w:val="20"/>
          <w:lang w:val="en-GB"/>
        </w:rPr>
        <w:t>it is clear that the</w:t>
      </w:r>
      <w:proofErr w:type="gramEnd"/>
      <w:r w:rsidRPr="003B6A69">
        <w:rPr>
          <w:rFonts w:asciiTheme="minorHAnsi" w:eastAsia="Times New Roman" w:hAnsiTheme="minorHAnsi"/>
          <w:szCs w:val="20"/>
          <w:lang w:val="en-GB"/>
        </w:rPr>
        <w:t xml:space="preserve"> Delta Bojana has an international significance of protection.</w:t>
      </w:r>
    </w:p>
    <w:p w14:paraId="1A7B82EE" w14:textId="77777777" w:rsidR="008C4F26" w:rsidRPr="003B6A69" w:rsidRDefault="008C4F26" w:rsidP="00661293">
      <w:pPr>
        <w:shd w:val="clear" w:color="auto" w:fill="FFFFFF"/>
        <w:spacing w:after="120"/>
        <w:rPr>
          <w:rFonts w:asciiTheme="minorHAnsi" w:eastAsia="Times New Roman" w:hAnsiTheme="minorHAnsi"/>
          <w:szCs w:val="20"/>
          <w:lang w:val="en-GB"/>
        </w:rPr>
      </w:pPr>
      <w:r w:rsidRPr="003B6A69">
        <w:rPr>
          <w:rFonts w:asciiTheme="minorHAnsi" w:eastAsia="Times New Roman" w:hAnsiTheme="minorHAnsi"/>
          <w:szCs w:val="20"/>
          <w:lang w:val="en-GB"/>
        </w:rPr>
        <w:t>The analysis of strategic and spatial planning documents that include Delta Bojana revealed clear conflicts between the need to protect biodiversity and planned urbanistic interventions.</w:t>
      </w:r>
    </w:p>
    <w:p w14:paraId="0F5AB2FD" w14:textId="77777777" w:rsidR="008C4F26" w:rsidRPr="003B6A69" w:rsidRDefault="008C4F26" w:rsidP="003C6B7B">
      <w:pPr>
        <w:numPr>
          <w:ilvl w:val="0"/>
          <w:numId w:val="21"/>
        </w:numPr>
        <w:shd w:val="clear" w:color="auto" w:fill="FFFFFF"/>
        <w:spacing w:after="120"/>
        <w:ind w:left="0" w:firstLine="0"/>
        <w:jc w:val="left"/>
        <w:rPr>
          <w:rFonts w:asciiTheme="minorHAnsi" w:eastAsia="Times New Roman" w:hAnsiTheme="minorHAnsi"/>
          <w:szCs w:val="20"/>
          <w:lang w:val="en-GB"/>
        </w:rPr>
      </w:pPr>
      <w:r w:rsidRPr="003B6A69">
        <w:rPr>
          <w:rFonts w:asciiTheme="minorHAnsi" w:eastAsia="Times New Roman" w:hAnsiTheme="minorHAnsi"/>
          <w:szCs w:val="20"/>
          <w:lang w:val="en-GB"/>
        </w:rPr>
        <w:t xml:space="preserve">Documents envisage the construction of a new sports and recreation complex with tourist facilities and capacities in the zone of </w:t>
      </w:r>
      <w:proofErr w:type="spellStart"/>
      <w:r w:rsidRPr="003B6A69">
        <w:rPr>
          <w:rFonts w:asciiTheme="minorHAnsi" w:eastAsia="Times New Roman" w:hAnsiTheme="minorHAnsi"/>
          <w:szCs w:val="20"/>
          <w:lang w:val="en-GB"/>
        </w:rPr>
        <w:t>Šasko</w:t>
      </w:r>
      <w:proofErr w:type="spellEnd"/>
      <w:r w:rsidRPr="003B6A69">
        <w:rPr>
          <w:rFonts w:asciiTheme="minorHAnsi" w:eastAsia="Times New Roman" w:hAnsiTheme="minorHAnsi"/>
          <w:szCs w:val="20"/>
          <w:lang w:val="en-GB"/>
        </w:rPr>
        <w:t xml:space="preserve"> Lake and its wider surroundings, emphasizing that the construction of a golf complex can also be realized in this zone. This proposal is in contradiction with the guidelines that are found in the same plans, and they refer to the preservation of the ecological characteristics of </w:t>
      </w:r>
      <w:proofErr w:type="spellStart"/>
      <w:r w:rsidRPr="003B6A69">
        <w:rPr>
          <w:rFonts w:asciiTheme="minorHAnsi" w:eastAsia="Times New Roman" w:hAnsiTheme="minorHAnsi"/>
          <w:szCs w:val="20"/>
          <w:lang w:val="en-GB"/>
        </w:rPr>
        <w:t>Šasko</w:t>
      </w:r>
      <w:proofErr w:type="spellEnd"/>
      <w:r w:rsidRPr="003B6A69">
        <w:rPr>
          <w:rFonts w:asciiTheme="minorHAnsi" w:eastAsia="Times New Roman" w:hAnsiTheme="minorHAnsi"/>
          <w:szCs w:val="20"/>
          <w:lang w:val="en-GB"/>
        </w:rPr>
        <w:t xml:space="preserve"> Lake as an EMERALD area. The document also proposes that </w:t>
      </w:r>
      <w:proofErr w:type="spellStart"/>
      <w:r w:rsidRPr="003B6A69">
        <w:rPr>
          <w:rFonts w:asciiTheme="minorHAnsi" w:eastAsia="Times New Roman" w:hAnsiTheme="minorHAnsi"/>
          <w:szCs w:val="20"/>
          <w:lang w:val="en-GB"/>
        </w:rPr>
        <w:t>Šasko</w:t>
      </w:r>
      <w:proofErr w:type="spellEnd"/>
      <w:r w:rsidRPr="003B6A69">
        <w:rPr>
          <w:rFonts w:asciiTheme="minorHAnsi" w:eastAsia="Times New Roman" w:hAnsiTheme="minorHAnsi"/>
          <w:szCs w:val="20"/>
          <w:lang w:val="en-GB"/>
        </w:rPr>
        <w:t xml:space="preserve"> Lake is given the status of protection - a natural monument.</w:t>
      </w:r>
    </w:p>
    <w:p w14:paraId="2591552D" w14:textId="77777777" w:rsidR="008C4F26" w:rsidRPr="003B6A69" w:rsidRDefault="008C4F26" w:rsidP="003C6B7B">
      <w:pPr>
        <w:numPr>
          <w:ilvl w:val="0"/>
          <w:numId w:val="21"/>
        </w:numPr>
        <w:shd w:val="clear" w:color="auto" w:fill="FFFFFF"/>
        <w:spacing w:after="120"/>
        <w:ind w:left="0" w:firstLine="0"/>
        <w:jc w:val="left"/>
        <w:rPr>
          <w:rFonts w:asciiTheme="minorHAnsi" w:eastAsia="Times New Roman" w:hAnsiTheme="minorHAnsi"/>
          <w:szCs w:val="20"/>
          <w:lang w:val="en-GB"/>
        </w:rPr>
      </w:pPr>
      <w:r w:rsidRPr="003B6A69">
        <w:rPr>
          <w:rFonts w:asciiTheme="minorHAnsi" w:eastAsia="Times New Roman" w:hAnsiTheme="minorHAnsi"/>
          <w:szCs w:val="20"/>
          <w:lang w:val="en-GB"/>
        </w:rPr>
        <w:t xml:space="preserve">The priority of development is the construction of the tourist complex Long beach/Velika </w:t>
      </w:r>
      <w:proofErr w:type="spellStart"/>
      <w:r w:rsidRPr="003B6A69">
        <w:rPr>
          <w:rFonts w:asciiTheme="minorHAnsi" w:eastAsia="Times New Roman" w:hAnsiTheme="minorHAnsi"/>
          <w:szCs w:val="20"/>
          <w:lang w:val="en-GB"/>
        </w:rPr>
        <w:t>plaža</w:t>
      </w:r>
      <w:proofErr w:type="spellEnd"/>
      <w:r w:rsidRPr="003B6A69">
        <w:rPr>
          <w:rFonts w:asciiTheme="minorHAnsi" w:eastAsia="Times New Roman" w:hAnsiTheme="minorHAnsi"/>
          <w:szCs w:val="20"/>
          <w:lang w:val="en-GB"/>
        </w:rPr>
        <w:t xml:space="preserve">, within which the construction of hotels and tourist resorts of high category, sports and recreation facilities and camps is planned; it is planned to build sports and recreation areas, open areas - lawns and various water surfaces in the dune zone. It is foreseen that the total accommodation capacity of the hotel on Long beach/Velika </w:t>
      </w:r>
      <w:proofErr w:type="spellStart"/>
      <w:r w:rsidRPr="003B6A69">
        <w:rPr>
          <w:rFonts w:asciiTheme="minorHAnsi" w:eastAsia="Times New Roman" w:hAnsiTheme="minorHAnsi"/>
          <w:szCs w:val="20"/>
          <w:lang w:val="en-GB"/>
        </w:rPr>
        <w:t>plaža</w:t>
      </w:r>
      <w:proofErr w:type="spellEnd"/>
      <w:r w:rsidRPr="003B6A69">
        <w:rPr>
          <w:rFonts w:asciiTheme="minorHAnsi" w:eastAsia="Times New Roman" w:hAnsiTheme="minorHAnsi"/>
          <w:szCs w:val="20"/>
          <w:lang w:val="en-GB"/>
        </w:rPr>
        <w:t xml:space="preserve"> will be around 30,000 beds. The implementation of these plans implies destruction of significant areas of internationally important habitats (hygrophilous forests and meadows, saline wetlands, dunes, dune pastures, etc.), as well as the reduction of populations of species that are protected by national legislation and / or have international protection status.</w:t>
      </w:r>
    </w:p>
    <w:p w14:paraId="537D5AD7" w14:textId="77777777" w:rsidR="008C4F26" w:rsidRPr="003B6A69" w:rsidRDefault="008C4F26" w:rsidP="00661293">
      <w:pPr>
        <w:shd w:val="clear" w:color="auto" w:fill="FFFFFF"/>
        <w:spacing w:after="120"/>
        <w:rPr>
          <w:rFonts w:asciiTheme="minorHAnsi" w:eastAsia="Times New Roman" w:hAnsiTheme="minorHAnsi"/>
          <w:szCs w:val="20"/>
          <w:lang w:val="en-GB"/>
        </w:rPr>
      </w:pPr>
      <w:r w:rsidRPr="003B6A69">
        <w:rPr>
          <w:rFonts w:asciiTheme="minorHAnsi" w:eastAsia="Times New Roman" w:hAnsiTheme="minorHAnsi"/>
          <w:szCs w:val="20"/>
          <w:lang w:val="en-GB"/>
        </w:rPr>
        <w:t xml:space="preserve">The plans also provide for certain restrictions related to environmental protection, related </w:t>
      </w:r>
      <w:proofErr w:type="gramStart"/>
      <w:r w:rsidRPr="003B6A69">
        <w:rPr>
          <w:rFonts w:asciiTheme="minorHAnsi" w:eastAsia="Times New Roman" w:hAnsiTheme="minorHAnsi"/>
          <w:szCs w:val="20"/>
          <w:lang w:val="en-GB"/>
        </w:rPr>
        <w:t>to:</w:t>
      </w:r>
      <w:proofErr w:type="gramEnd"/>
      <w:r w:rsidRPr="003B6A69">
        <w:rPr>
          <w:rFonts w:asciiTheme="minorHAnsi" w:eastAsia="Times New Roman" w:hAnsiTheme="minorHAnsi"/>
          <w:szCs w:val="20"/>
          <w:lang w:val="en-GB"/>
        </w:rPr>
        <w:t xml:space="preserve"> coastal distance (distance of the construction zone from the shoreline), construction of wooden platforms on dunes to reduce the impact on habitat and species, maquis and forest areas between zones with hotel complexes, etc. Spatial-urban plan of Ulcinj (2016) prescribes development of the Dune Mapping Study and the Detailed Landscape Study with a study of landscape taxation within urban plots. Dune mapping was done within the project Promoting Protected areas management through Integrated Marine and Coastal Ecosystems Protection in the Coastal Area of Montenegro. </w:t>
      </w:r>
      <w:proofErr w:type="gramStart"/>
      <w:r w:rsidRPr="003B6A69">
        <w:rPr>
          <w:rFonts w:asciiTheme="minorHAnsi" w:eastAsia="Times New Roman" w:hAnsiTheme="minorHAnsi"/>
          <w:szCs w:val="20"/>
          <w:lang w:val="en-GB"/>
        </w:rPr>
        <w:t>Despite the fact that</w:t>
      </w:r>
      <w:proofErr w:type="gramEnd"/>
      <w:r w:rsidRPr="003B6A69">
        <w:rPr>
          <w:rFonts w:asciiTheme="minorHAnsi" w:eastAsia="Times New Roman" w:hAnsiTheme="minorHAnsi"/>
          <w:szCs w:val="20"/>
          <w:lang w:val="en-GB"/>
        </w:rPr>
        <w:t xml:space="preserve"> some restrictions related to environmental protection are envisaged, the negative impacts of the Plans on habitats and biodiversity are inevitable, which was assessed in the documents themselves.</w:t>
      </w:r>
    </w:p>
    <w:p w14:paraId="0B12CC7D" w14:textId="77777777" w:rsidR="008C4F26" w:rsidRPr="003B6A69" w:rsidRDefault="008C4F26" w:rsidP="003C6B7B">
      <w:pPr>
        <w:numPr>
          <w:ilvl w:val="0"/>
          <w:numId w:val="21"/>
        </w:numPr>
        <w:shd w:val="clear" w:color="auto" w:fill="FFFFFF"/>
        <w:spacing w:after="120"/>
        <w:ind w:left="0" w:firstLine="0"/>
        <w:jc w:val="left"/>
        <w:rPr>
          <w:rFonts w:asciiTheme="minorHAnsi" w:eastAsia="Times New Roman" w:hAnsiTheme="minorHAnsi"/>
          <w:szCs w:val="20"/>
          <w:lang w:val="en-GB"/>
        </w:rPr>
      </w:pPr>
      <w:r w:rsidRPr="003B6A69">
        <w:rPr>
          <w:rFonts w:asciiTheme="minorHAnsi" w:eastAsia="Times New Roman" w:hAnsiTheme="minorHAnsi"/>
          <w:szCs w:val="20"/>
          <w:lang w:val="en-GB"/>
        </w:rPr>
        <w:t xml:space="preserve">The plans envisage the extension of the tourist settlement on Ada Bojana. In the Coastal Area Plan, Ada Bojana is mentioned as a Special Area for Tourism and a potential </w:t>
      </w:r>
      <w:proofErr w:type="spellStart"/>
      <w:r w:rsidRPr="003B6A69">
        <w:rPr>
          <w:rFonts w:asciiTheme="minorHAnsi" w:eastAsia="Times New Roman" w:hAnsiTheme="minorHAnsi"/>
          <w:szCs w:val="20"/>
          <w:lang w:val="en-GB"/>
        </w:rPr>
        <w:t>center</w:t>
      </w:r>
      <w:proofErr w:type="spellEnd"/>
      <w:r w:rsidRPr="003B6A69">
        <w:rPr>
          <w:rFonts w:asciiTheme="minorHAnsi" w:eastAsia="Times New Roman" w:hAnsiTheme="minorHAnsi"/>
          <w:szCs w:val="20"/>
          <w:lang w:val="en-GB"/>
        </w:rPr>
        <w:t xml:space="preserve"> for active sports (stables, horse races). The construction of a special marina (up to 50 berths) is also planned in this area. The implementation of these plans would lead to habitat devastation and reduction of populations of rare / protected species.</w:t>
      </w:r>
    </w:p>
    <w:p w14:paraId="6923376A" w14:textId="77777777" w:rsidR="008C4F26" w:rsidRPr="003B6A69" w:rsidRDefault="008C4F26" w:rsidP="003C6B7B">
      <w:pPr>
        <w:numPr>
          <w:ilvl w:val="0"/>
          <w:numId w:val="22"/>
        </w:numPr>
        <w:shd w:val="clear" w:color="auto" w:fill="FFFFFF"/>
        <w:spacing w:after="120"/>
        <w:ind w:left="0" w:firstLine="0"/>
        <w:jc w:val="left"/>
        <w:rPr>
          <w:rFonts w:asciiTheme="minorHAnsi" w:eastAsia="Times New Roman" w:hAnsiTheme="minorHAnsi"/>
          <w:b/>
          <w:szCs w:val="20"/>
          <w:u w:val="single"/>
          <w:lang w:val="en-GB"/>
        </w:rPr>
      </w:pPr>
      <w:proofErr w:type="spellStart"/>
      <w:r w:rsidRPr="003B6A69">
        <w:rPr>
          <w:rFonts w:asciiTheme="minorHAnsi" w:eastAsia="Times New Roman" w:hAnsiTheme="minorHAnsi"/>
          <w:b/>
          <w:szCs w:val="20"/>
          <w:u w:val="single"/>
          <w:lang w:val="en-GB"/>
        </w:rPr>
        <w:t>Ćemovsko</w:t>
      </w:r>
      <w:proofErr w:type="spellEnd"/>
      <w:r w:rsidRPr="003B6A69">
        <w:rPr>
          <w:rFonts w:asciiTheme="minorHAnsi" w:eastAsia="Times New Roman" w:hAnsiTheme="minorHAnsi"/>
          <w:b/>
          <w:szCs w:val="20"/>
          <w:u w:val="single"/>
          <w:lang w:val="en-GB"/>
        </w:rPr>
        <w:t xml:space="preserve"> field</w:t>
      </w:r>
    </w:p>
    <w:p w14:paraId="0711D685" w14:textId="77777777" w:rsidR="008C4F26" w:rsidRPr="003B6A69" w:rsidRDefault="008C4F26" w:rsidP="00661293">
      <w:pPr>
        <w:shd w:val="clear" w:color="auto" w:fill="FFFFFF"/>
        <w:spacing w:after="120"/>
        <w:rPr>
          <w:rFonts w:asciiTheme="minorHAnsi" w:eastAsia="Times New Roman" w:hAnsiTheme="minorHAnsi"/>
          <w:szCs w:val="20"/>
          <w:lang w:val="en-GB"/>
        </w:rPr>
      </w:pPr>
      <w:r w:rsidRPr="003B6A69">
        <w:rPr>
          <w:rFonts w:asciiTheme="minorHAnsi" w:eastAsia="Times New Roman" w:hAnsiTheme="minorHAnsi"/>
          <w:szCs w:val="20"/>
          <w:lang w:val="en-GB"/>
        </w:rPr>
        <w:t xml:space="preserve">There are very few non-anthropogenic habitats on </w:t>
      </w:r>
      <w:proofErr w:type="spellStart"/>
      <w:r w:rsidRPr="003B6A69">
        <w:rPr>
          <w:rFonts w:asciiTheme="minorHAnsi" w:eastAsia="Times New Roman" w:hAnsiTheme="minorHAnsi"/>
          <w:szCs w:val="20"/>
          <w:lang w:val="en-GB"/>
        </w:rPr>
        <w:t>Ćemovsko</w:t>
      </w:r>
      <w:proofErr w:type="spellEnd"/>
      <w:r w:rsidRPr="003B6A69">
        <w:rPr>
          <w:rFonts w:asciiTheme="minorHAnsi" w:eastAsia="Times New Roman" w:hAnsiTheme="minorHAnsi"/>
          <w:szCs w:val="20"/>
          <w:lang w:val="en-GB"/>
        </w:rPr>
        <w:t xml:space="preserve"> field. The field is covered with vineyards, peach plantations, farms, private houses. In addition, it encompasses houses, a sports airport, a regional recycling </w:t>
      </w:r>
      <w:proofErr w:type="spellStart"/>
      <w:r w:rsidRPr="003B6A69">
        <w:rPr>
          <w:rFonts w:asciiTheme="minorHAnsi" w:eastAsia="Times New Roman" w:hAnsiTheme="minorHAnsi"/>
          <w:szCs w:val="20"/>
          <w:lang w:val="en-GB"/>
        </w:rPr>
        <w:t>center</w:t>
      </w:r>
      <w:proofErr w:type="spellEnd"/>
      <w:r w:rsidRPr="003B6A69">
        <w:rPr>
          <w:rFonts w:asciiTheme="minorHAnsi" w:eastAsia="Times New Roman" w:hAnsiTheme="minorHAnsi"/>
          <w:szCs w:val="20"/>
          <w:lang w:val="en-GB"/>
        </w:rPr>
        <w:t xml:space="preserve">, a landfill, and a refugee settlement. According to the Spatial -urban plan of the Capital - Podgorica, until 2025, industrial zones, service and storage zones, agro-industrial zone, areas for intensive agriculture, new cemetery, communal zones (livestock market and </w:t>
      </w:r>
      <w:proofErr w:type="gramStart"/>
      <w:r w:rsidRPr="003B6A69">
        <w:rPr>
          <w:rFonts w:asciiTheme="minorHAnsi" w:eastAsia="Times New Roman" w:hAnsiTheme="minorHAnsi"/>
          <w:szCs w:val="20"/>
          <w:lang w:val="en-GB"/>
        </w:rPr>
        <w:t>slaughter house</w:t>
      </w:r>
      <w:proofErr w:type="gramEnd"/>
      <w:r w:rsidRPr="003B6A69">
        <w:rPr>
          <w:rFonts w:asciiTheme="minorHAnsi" w:eastAsia="Times New Roman" w:hAnsiTheme="minorHAnsi"/>
          <w:szCs w:val="20"/>
          <w:lang w:val="en-GB"/>
        </w:rPr>
        <w:t xml:space="preserve">), a sanitary landfill exists and another one is planned on </w:t>
      </w:r>
      <w:proofErr w:type="spellStart"/>
      <w:r w:rsidRPr="003B6A69">
        <w:rPr>
          <w:rFonts w:asciiTheme="minorHAnsi" w:eastAsia="Times New Roman" w:hAnsiTheme="minorHAnsi"/>
          <w:szCs w:val="20"/>
          <w:lang w:val="en-GB"/>
        </w:rPr>
        <w:t>Ćemovsko</w:t>
      </w:r>
      <w:proofErr w:type="spellEnd"/>
      <w:r w:rsidRPr="003B6A69">
        <w:rPr>
          <w:rFonts w:asciiTheme="minorHAnsi" w:eastAsia="Times New Roman" w:hAnsiTheme="minorHAnsi"/>
          <w:szCs w:val="20"/>
          <w:lang w:val="en-GB"/>
        </w:rPr>
        <w:t xml:space="preserve"> field.</w:t>
      </w:r>
    </w:p>
    <w:p w14:paraId="525F6D34" w14:textId="77777777" w:rsidR="008C4F26" w:rsidRPr="003B6A69" w:rsidRDefault="008C4F26" w:rsidP="00661293">
      <w:pPr>
        <w:shd w:val="clear" w:color="auto" w:fill="FFFFFF"/>
        <w:spacing w:after="120"/>
        <w:rPr>
          <w:rFonts w:asciiTheme="minorHAnsi" w:eastAsia="Times New Roman" w:hAnsiTheme="minorHAnsi"/>
          <w:szCs w:val="20"/>
          <w:lang w:val="en-GB"/>
        </w:rPr>
      </w:pPr>
      <w:r w:rsidRPr="003B6A69">
        <w:rPr>
          <w:rFonts w:asciiTheme="minorHAnsi" w:eastAsia="Times New Roman" w:hAnsiTheme="minorHAnsi"/>
          <w:szCs w:val="20"/>
          <w:lang w:val="en-GB"/>
        </w:rPr>
        <w:lastRenderedPageBreak/>
        <w:t xml:space="preserve">In the Spatial-urban plan of the Capital, the groundwater pollution of </w:t>
      </w:r>
      <w:proofErr w:type="spellStart"/>
      <w:r w:rsidRPr="003B6A69">
        <w:rPr>
          <w:rFonts w:asciiTheme="minorHAnsi" w:eastAsia="Times New Roman" w:hAnsiTheme="minorHAnsi"/>
          <w:szCs w:val="20"/>
          <w:lang w:val="en-GB"/>
        </w:rPr>
        <w:t>Ćemovsko</w:t>
      </w:r>
      <w:proofErr w:type="spellEnd"/>
      <w:r w:rsidRPr="003B6A69">
        <w:rPr>
          <w:rFonts w:asciiTheme="minorHAnsi" w:eastAsia="Times New Roman" w:hAnsiTheme="minorHAnsi"/>
          <w:szCs w:val="20"/>
          <w:lang w:val="en-GB"/>
        </w:rPr>
        <w:t xml:space="preserve"> field is recognized as a major problem for environmental protection, with the KAP landfill and intensive agriculture being identified as potential sources of pollution. Municipality Tuzi and </w:t>
      </w:r>
      <w:proofErr w:type="spellStart"/>
      <w:r w:rsidRPr="003B6A69">
        <w:rPr>
          <w:rFonts w:asciiTheme="minorHAnsi" w:eastAsia="Times New Roman" w:hAnsiTheme="minorHAnsi"/>
          <w:szCs w:val="20"/>
          <w:lang w:val="en-GB"/>
        </w:rPr>
        <w:t>Golubovci</w:t>
      </w:r>
      <w:proofErr w:type="spellEnd"/>
      <w:r w:rsidRPr="003B6A69">
        <w:rPr>
          <w:rFonts w:asciiTheme="minorHAnsi" w:eastAsia="Times New Roman" w:hAnsiTheme="minorHAnsi"/>
          <w:szCs w:val="20"/>
          <w:lang w:val="en-GB"/>
        </w:rPr>
        <w:t xml:space="preserve"> suburb, between which KBA </w:t>
      </w:r>
      <w:proofErr w:type="spellStart"/>
      <w:r w:rsidRPr="003B6A69">
        <w:rPr>
          <w:rFonts w:asciiTheme="minorHAnsi" w:eastAsia="Times New Roman" w:hAnsiTheme="minorHAnsi"/>
          <w:szCs w:val="20"/>
          <w:lang w:val="en-GB"/>
        </w:rPr>
        <w:t>Ćemovsko</w:t>
      </w:r>
      <w:proofErr w:type="spellEnd"/>
      <w:r w:rsidRPr="003B6A69">
        <w:rPr>
          <w:rFonts w:asciiTheme="minorHAnsi" w:eastAsia="Times New Roman" w:hAnsiTheme="minorHAnsi"/>
          <w:szCs w:val="20"/>
          <w:lang w:val="en-GB"/>
        </w:rPr>
        <w:t xml:space="preserve"> field is located, have been recognized as densely built and still fast-growing urban areas. The area of KBA is dominated by agricultural farms, and within the Spatial-urban plan of the Capital Podgorica, this zone recognised as the possibility of additional land reclamation for intensive agriculture, with individual requests for conversion of agricultural land for housing and business purposes.</w:t>
      </w:r>
    </w:p>
    <w:p w14:paraId="31ED4945" w14:textId="77777777" w:rsidR="008C4F26" w:rsidRPr="003B6A69" w:rsidRDefault="008C4F26" w:rsidP="00661293">
      <w:pPr>
        <w:shd w:val="clear" w:color="auto" w:fill="FFFFFF"/>
        <w:spacing w:after="120"/>
        <w:rPr>
          <w:rFonts w:asciiTheme="minorHAnsi" w:eastAsia="Times New Roman" w:hAnsiTheme="minorHAnsi"/>
          <w:szCs w:val="20"/>
          <w:lang w:val="en-GB"/>
        </w:rPr>
      </w:pPr>
      <w:r w:rsidRPr="003B6A69">
        <w:rPr>
          <w:rFonts w:asciiTheme="minorHAnsi" w:eastAsia="Times New Roman" w:hAnsiTheme="minorHAnsi"/>
          <w:szCs w:val="20"/>
          <w:lang w:val="en-GB"/>
        </w:rPr>
        <w:t xml:space="preserve">Taking into consideration the above, there is a conflict in land use which is foreseen by the planning documentation and protection of biodiversity. The conflict was assessed as moderate, since the construction of large infrastructure facilities is not planned in the core KBA area. In addition, within the KBA there is a hill </w:t>
      </w:r>
      <w:proofErr w:type="spellStart"/>
      <w:r w:rsidRPr="003B6A69">
        <w:rPr>
          <w:rFonts w:asciiTheme="minorHAnsi" w:eastAsia="Times New Roman" w:hAnsiTheme="minorHAnsi"/>
          <w:szCs w:val="20"/>
          <w:lang w:val="en-GB"/>
        </w:rPr>
        <w:t>Vranjska</w:t>
      </w:r>
      <w:proofErr w:type="spellEnd"/>
      <w:r w:rsidRPr="003B6A69">
        <w:rPr>
          <w:rFonts w:asciiTheme="minorHAnsi" w:eastAsia="Times New Roman" w:hAnsiTheme="minorHAnsi"/>
          <w:szCs w:val="20"/>
          <w:lang w:val="en-GB"/>
        </w:rPr>
        <w:t xml:space="preserve"> </w:t>
      </w:r>
      <w:proofErr w:type="spellStart"/>
      <w:r w:rsidRPr="003B6A69">
        <w:rPr>
          <w:rFonts w:asciiTheme="minorHAnsi" w:eastAsia="Times New Roman" w:hAnsiTheme="minorHAnsi"/>
          <w:szCs w:val="20"/>
          <w:lang w:val="en-GB"/>
        </w:rPr>
        <w:t>gora</w:t>
      </w:r>
      <w:proofErr w:type="spellEnd"/>
      <w:r w:rsidRPr="003B6A69">
        <w:rPr>
          <w:rFonts w:asciiTheme="minorHAnsi" w:eastAsia="Times New Roman" w:hAnsiTheme="minorHAnsi"/>
          <w:szCs w:val="20"/>
          <w:lang w:val="en-GB"/>
        </w:rPr>
        <w:t>, where (semi) natural habitats are preserved.</w:t>
      </w:r>
    </w:p>
    <w:p w14:paraId="3B8DC6DC" w14:textId="77777777" w:rsidR="008C4F26" w:rsidRPr="003B6A69" w:rsidRDefault="008C4F26" w:rsidP="003C6B7B">
      <w:pPr>
        <w:numPr>
          <w:ilvl w:val="0"/>
          <w:numId w:val="22"/>
        </w:numPr>
        <w:shd w:val="clear" w:color="auto" w:fill="FFFFFF"/>
        <w:spacing w:after="120"/>
        <w:ind w:left="0" w:firstLine="0"/>
        <w:jc w:val="left"/>
        <w:rPr>
          <w:rFonts w:asciiTheme="minorHAnsi" w:eastAsia="Times New Roman" w:hAnsiTheme="minorHAnsi"/>
          <w:b/>
          <w:szCs w:val="20"/>
          <w:u w:val="single"/>
          <w:lang w:val="en-GB"/>
        </w:rPr>
      </w:pPr>
      <w:proofErr w:type="spellStart"/>
      <w:r w:rsidRPr="003B6A69">
        <w:rPr>
          <w:rFonts w:asciiTheme="minorHAnsi" w:eastAsia="Times New Roman" w:hAnsiTheme="minorHAnsi"/>
          <w:b/>
          <w:szCs w:val="20"/>
          <w:u w:val="single"/>
          <w:lang w:val="en-GB"/>
        </w:rPr>
        <w:t>Morača</w:t>
      </w:r>
      <w:proofErr w:type="spellEnd"/>
      <w:r w:rsidRPr="003B6A69">
        <w:rPr>
          <w:rFonts w:asciiTheme="minorHAnsi" w:eastAsia="Times New Roman" w:hAnsiTheme="minorHAnsi"/>
          <w:b/>
          <w:szCs w:val="20"/>
          <w:u w:val="single"/>
          <w:lang w:val="en-GB"/>
        </w:rPr>
        <w:t xml:space="preserve"> river</w:t>
      </w:r>
    </w:p>
    <w:p w14:paraId="707E600F" w14:textId="77777777" w:rsidR="008C4F26" w:rsidRPr="003B6A69" w:rsidRDefault="008C4F26" w:rsidP="00661293">
      <w:pPr>
        <w:shd w:val="clear" w:color="auto" w:fill="FFFFFF"/>
        <w:spacing w:after="120"/>
        <w:rPr>
          <w:rFonts w:asciiTheme="minorHAnsi" w:eastAsia="Times New Roman" w:hAnsiTheme="minorHAnsi"/>
          <w:szCs w:val="20"/>
          <w:lang w:val="en-GB"/>
        </w:rPr>
      </w:pPr>
      <w:r w:rsidRPr="003B6A69">
        <w:rPr>
          <w:rFonts w:asciiTheme="minorHAnsi" w:eastAsia="Times New Roman" w:hAnsiTheme="minorHAnsi"/>
          <w:szCs w:val="20"/>
          <w:lang w:val="en-GB"/>
        </w:rPr>
        <w:t xml:space="preserve">The Spatial Plan of Montenegro until 2020 and the Energy Development Strategy until 2025 envisage the project of construction of hydropower plants on </w:t>
      </w:r>
      <w:proofErr w:type="spellStart"/>
      <w:r w:rsidRPr="003B6A69">
        <w:rPr>
          <w:rFonts w:asciiTheme="minorHAnsi" w:eastAsia="Times New Roman" w:hAnsiTheme="minorHAnsi"/>
          <w:szCs w:val="20"/>
          <w:lang w:val="en-GB"/>
        </w:rPr>
        <w:t>Morača</w:t>
      </w:r>
      <w:proofErr w:type="spellEnd"/>
      <w:r w:rsidRPr="003B6A69">
        <w:rPr>
          <w:rFonts w:asciiTheme="minorHAnsi" w:eastAsia="Times New Roman" w:hAnsiTheme="minorHAnsi"/>
          <w:szCs w:val="20"/>
          <w:lang w:val="en-GB"/>
        </w:rPr>
        <w:t>, according to the model of moderate construction and use of hydro potential. It is planned to build 4 hydropower plants, 3 of which are located on the territory of Podgorica. According to the development scenario that was assessed as the most suitable, the construction of HPPs is also planned by the Spatial -urban plan of the Capital-Podgorica.</w:t>
      </w:r>
    </w:p>
    <w:p w14:paraId="3B38189C" w14:textId="77777777" w:rsidR="008C4F26" w:rsidRPr="003B6A69" w:rsidRDefault="008C4F26" w:rsidP="00661293">
      <w:pPr>
        <w:shd w:val="clear" w:color="auto" w:fill="FFFFFF"/>
        <w:spacing w:after="120"/>
        <w:rPr>
          <w:rFonts w:asciiTheme="minorHAnsi" w:eastAsia="Times New Roman" w:hAnsiTheme="minorHAnsi"/>
          <w:szCs w:val="20"/>
          <w:lang w:val="en-GB"/>
        </w:rPr>
      </w:pPr>
      <w:r w:rsidRPr="003B6A69">
        <w:rPr>
          <w:rFonts w:asciiTheme="minorHAnsi" w:eastAsia="Times New Roman" w:hAnsiTheme="minorHAnsi"/>
          <w:szCs w:val="20"/>
          <w:lang w:val="en-GB"/>
        </w:rPr>
        <w:t xml:space="preserve">A detailed spatial plan for multipurpose reservoirs on the </w:t>
      </w:r>
      <w:proofErr w:type="spellStart"/>
      <w:r w:rsidRPr="003B6A69">
        <w:rPr>
          <w:rFonts w:asciiTheme="minorHAnsi" w:eastAsia="Times New Roman" w:hAnsiTheme="minorHAnsi"/>
          <w:szCs w:val="20"/>
          <w:lang w:val="en-GB"/>
        </w:rPr>
        <w:t>Morača</w:t>
      </w:r>
      <w:proofErr w:type="spellEnd"/>
      <w:r w:rsidRPr="003B6A69">
        <w:rPr>
          <w:rFonts w:asciiTheme="minorHAnsi" w:eastAsia="Times New Roman" w:hAnsiTheme="minorHAnsi"/>
          <w:szCs w:val="20"/>
          <w:lang w:val="en-GB"/>
        </w:rPr>
        <w:t xml:space="preserve"> River was prepared in 2010, but the tender for the construction of hydropower plants was not realized (no bids were received). The public was divided regarding the construction of hydropower plants, as many experts in the field of environmental protection and biodiversity pointed out the negative impacts of this project on significant habitats, </w:t>
      </w:r>
      <w:proofErr w:type="gramStart"/>
      <w:r w:rsidRPr="003B6A69">
        <w:rPr>
          <w:rFonts w:asciiTheme="minorHAnsi" w:eastAsia="Times New Roman" w:hAnsiTheme="minorHAnsi"/>
          <w:szCs w:val="20"/>
          <w:lang w:val="en-GB"/>
        </w:rPr>
        <w:t>flora</w:t>
      </w:r>
      <w:proofErr w:type="gramEnd"/>
      <w:r w:rsidRPr="003B6A69">
        <w:rPr>
          <w:rFonts w:asciiTheme="minorHAnsi" w:eastAsia="Times New Roman" w:hAnsiTheme="minorHAnsi"/>
          <w:szCs w:val="20"/>
          <w:lang w:val="en-GB"/>
        </w:rPr>
        <w:t xml:space="preserve"> and fauna of the target KBA. </w:t>
      </w:r>
      <w:proofErr w:type="gramStart"/>
      <w:r w:rsidRPr="003B6A69">
        <w:rPr>
          <w:rFonts w:asciiTheme="minorHAnsi" w:eastAsia="Times New Roman" w:hAnsiTheme="minorHAnsi"/>
          <w:szCs w:val="20"/>
          <w:lang w:val="en-GB"/>
        </w:rPr>
        <w:t>In order to</w:t>
      </w:r>
      <w:proofErr w:type="gramEnd"/>
      <w:r w:rsidRPr="003B6A69">
        <w:rPr>
          <w:rFonts w:asciiTheme="minorHAnsi" w:eastAsia="Times New Roman" w:hAnsiTheme="minorHAnsi"/>
          <w:szCs w:val="20"/>
          <w:lang w:val="en-GB"/>
        </w:rPr>
        <w:t xml:space="preserve"> determine as precisely as possible, the potential negative impact on biodiversity, two biodiversity protection studies were prepared in the area of the Detailed Spatial Plan for multipurpose reservoirs on the </w:t>
      </w:r>
      <w:proofErr w:type="spellStart"/>
      <w:r w:rsidRPr="003B6A69">
        <w:rPr>
          <w:rFonts w:asciiTheme="minorHAnsi" w:eastAsia="Times New Roman" w:hAnsiTheme="minorHAnsi"/>
          <w:szCs w:val="20"/>
          <w:lang w:val="en-GB"/>
        </w:rPr>
        <w:t>Morača</w:t>
      </w:r>
      <w:proofErr w:type="spellEnd"/>
      <w:r w:rsidRPr="003B6A69">
        <w:rPr>
          <w:rFonts w:asciiTheme="minorHAnsi" w:eastAsia="Times New Roman" w:hAnsiTheme="minorHAnsi"/>
          <w:szCs w:val="20"/>
          <w:lang w:val="en-GB"/>
        </w:rPr>
        <w:t xml:space="preserve"> River.</w:t>
      </w:r>
    </w:p>
    <w:p w14:paraId="7214E792" w14:textId="77777777" w:rsidR="008C4F26" w:rsidRPr="003B6A69" w:rsidRDefault="008C4F26" w:rsidP="00661293">
      <w:pPr>
        <w:shd w:val="clear" w:color="auto" w:fill="FFFFFF"/>
        <w:spacing w:after="120"/>
        <w:rPr>
          <w:rFonts w:asciiTheme="minorHAnsi" w:eastAsia="Times New Roman" w:hAnsiTheme="minorHAnsi"/>
          <w:szCs w:val="20"/>
          <w:lang w:val="en-GB"/>
        </w:rPr>
      </w:pPr>
      <w:r w:rsidRPr="003B6A69">
        <w:rPr>
          <w:rFonts w:asciiTheme="minorHAnsi" w:eastAsia="Times New Roman" w:hAnsiTheme="minorHAnsi"/>
          <w:szCs w:val="20"/>
          <w:lang w:val="en-GB"/>
        </w:rPr>
        <w:t xml:space="preserve">The Spatial-urban plan of the Capital-Podgorica envisages further granting of concessions for the exploitation of gravel from </w:t>
      </w:r>
      <w:proofErr w:type="spellStart"/>
      <w:r w:rsidRPr="003B6A69">
        <w:rPr>
          <w:rFonts w:asciiTheme="minorHAnsi" w:eastAsia="Times New Roman" w:hAnsiTheme="minorHAnsi"/>
          <w:szCs w:val="20"/>
          <w:lang w:val="en-GB"/>
        </w:rPr>
        <w:t>Morača</w:t>
      </w:r>
      <w:proofErr w:type="spellEnd"/>
      <w:r w:rsidRPr="003B6A69">
        <w:rPr>
          <w:rFonts w:asciiTheme="minorHAnsi" w:eastAsia="Times New Roman" w:hAnsiTheme="minorHAnsi"/>
          <w:szCs w:val="20"/>
          <w:lang w:val="en-GB"/>
        </w:rPr>
        <w:t>. It has been repeatedly assessed that these exploitations negatively affect the biodiversity of the river and the coastal area.</w:t>
      </w:r>
    </w:p>
    <w:p w14:paraId="2704B025" w14:textId="77777777" w:rsidR="008C4F26" w:rsidRPr="003B6A69" w:rsidRDefault="008C4F26" w:rsidP="003C6B7B">
      <w:pPr>
        <w:numPr>
          <w:ilvl w:val="0"/>
          <w:numId w:val="22"/>
        </w:numPr>
        <w:shd w:val="clear" w:color="auto" w:fill="FFFFFF"/>
        <w:spacing w:after="120"/>
        <w:ind w:left="0" w:firstLine="0"/>
        <w:jc w:val="left"/>
        <w:rPr>
          <w:rFonts w:asciiTheme="minorHAnsi" w:eastAsia="Times New Roman" w:hAnsiTheme="minorHAnsi"/>
          <w:b/>
          <w:szCs w:val="20"/>
          <w:u w:val="single"/>
          <w:lang w:val="en-GB"/>
        </w:rPr>
      </w:pPr>
      <w:proofErr w:type="spellStart"/>
      <w:r w:rsidRPr="003B6A69">
        <w:rPr>
          <w:rFonts w:asciiTheme="minorHAnsi" w:eastAsia="Times New Roman" w:hAnsiTheme="minorHAnsi"/>
          <w:b/>
          <w:szCs w:val="20"/>
          <w:u w:val="single"/>
          <w:lang w:val="en-GB"/>
        </w:rPr>
        <w:t>Cijevna</w:t>
      </w:r>
      <w:proofErr w:type="spellEnd"/>
      <w:r w:rsidRPr="003B6A69">
        <w:rPr>
          <w:rFonts w:asciiTheme="minorHAnsi" w:eastAsia="Times New Roman" w:hAnsiTheme="minorHAnsi"/>
          <w:b/>
          <w:szCs w:val="20"/>
          <w:u w:val="single"/>
          <w:lang w:val="en-GB"/>
        </w:rPr>
        <w:t xml:space="preserve"> Canyon and Hum </w:t>
      </w:r>
      <w:proofErr w:type="spellStart"/>
      <w:r w:rsidRPr="003B6A69">
        <w:rPr>
          <w:rFonts w:asciiTheme="minorHAnsi" w:eastAsia="Times New Roman" w:hAnsiTheme="minorHAnsi"/>
          <w:b/>
          <w:szCs w:val="20"/>
          <w:u w:val="single"/>
          <w:lang w:val="en-GB"/>
        </w:rPr>
        <w:t>Orahovski</w:t>
      </w:r>
      <w:proofErr w:type="spellEnd"/>
    </w:p>
    <w:p w14:paraId="79E648B0" w14:textId="77777777" w:rsidR="008C4F26" w:rsidRPr="003B6A69" w:rsidRDefault="008C4F26" w:rsidP="00661293">
      <w:pPr>
        <w:shd w:val="clear" w:color="auto" w:fill="FFFFFF"/>
        <w:spacing w:after="120"/>
        <w:rPr>
          <w:rFonts w:asciiTheme="minorHAnsi" w:eastAsia="Times New Roman" w:hAnsiTheme="minorHAnsi"/>
          <w:szCs w:val="20"/>
          <w:lang w:val="en-GB"/>
        </w:rPr>
      </w:pPr>
      <w:r w:rsidRPr="003B6A69">
        <w:rPr>
          <w:rFonts w:asciiTheme="minorHAnsi" w:eastAsia="Times New Roman" w:hAnsiTheme="minorHAnsi"/>
          <w:szCs w:val="20"/>
          <w:lang w:val="en-GB"/>
        </w:rPr>
        <w:t xml:space="preserve">Part of the </w:t>
      </w:r>
      <w:proofErr w:type="spellStart"/>
      <w:r w:rsidRPr="003B6A69">
        <w:rPr>
          <w:rFonts w:asciiTheme="minorHAnsi" w:eastAsia="Times New Roman" w:hAnsiTheme="minorHAnsi"/>
          <w:szCs w:val="20"/>
          <w:lang w:val="en-GB"/>
        </w:rPr>
        <w:t>Cijevna</w:t>
      </w:r>
      <w:proofErr w:type="spellEnd"/>
      <w:r w:rsidRPr="003B6A69">
        <w:rPr>
          <w:rFonts w:asciiTheme="minorHAnsi" w:eastAsia="Times New Roman" w:hAnsiTheme="minorHAnsi"/>
          <w:szCs w:val="20"/>
          <w:lang w:val="en-GB"/>
        </w:rPr>
        <w:t xml:space="preserve"> canyon, near the </w:t>
      </w:r>
      <w:proofErr w:type="spellStart"/>
      <w:r w:rsidRPr="003B6A69">
        <w:rPr>
          <w:rFonts w:asciiTheme="minorHAnsi" w:eastAsia="Times New Roman" w:hAnsiTheme="minorHAnsi"/>
          <w:szCs w:val="20"/>
          <w:lang w:val="en-GB"/>
        </w:rPr>
        <w:t>Dinoša</w:t>
      </w:r>
      <w:proofErr w:type="spellEnd"/>
      <w:r w:rsidRPr="003B6A69">
        <w:rPr>
          <w:rFonts w:asciiTheme="minorHAnsi" w:eastAsia="Times New Roman" w:hAnsiTheme="minorHAnsi"/>
          <w:szCs w:val="20"/>
          <w:lang w:val="en-GB"/>
        </w:rPr>
        <w:t xml:space="preserve"> location, in 2017 was declared as protected natural asset called the Monument of Nature </w:t>
      </w:r>
      <w:proofErr w:type="spellStart"/>
      <w:r w:rsidRPr="003B6A69">
        <w:rPr>
          <w:rFonts w:asciiTheme="minorHAnsi" w:eastAsia="Times New Roman" w:hAnsiTheme="minorHAnsi"/>
          <w:szCs w:val="20"/>
          <w:lang w:val="en-GB"/>
        </w:rPr>
        <w:t>Cijevna</w:t>
      </w:r>
      <w:proofErr w:type="spellEnd"/>
      <w:r w:rsidRPr="003B6A69">
        <w:rPr>
          <w:rFonts w:asciiTheme="minorHAnsi" w:eastAsia="Times New Roman" w:hAnsiTheme="minorHAnsi"/>
          <w:szCs w:val="20"/>
          <w:lang w:val="en-GB"/>
        </w:rPr>
        <w:t xml:space="preserve"> canyon. The rest of the KBA, Hum </w:t>
      </w:r>
      <w:proofErr w:type="spellStart"/>
      <w:r w:rsidRPr="003B6A69">
        <w:rPr>
          <w:rFonts w:asciiTheme="minorHAnsi" w:eastAsia="Times New Roman" w:hAnsiTheme="minorHAnsi"/>
          <w:szCs w:val="20"/>
          <w:lang w:val="en-GB"/>
        </w:rPr>
        <w:t>Orahovski</w:t>
      </w:r>
      <w:proofErr w:type="spellEnd"/>
      <w:r w:rsidRPr="003B6A69">
        <w:rPr>
          <w:rFonts w:asciiTheme="minorHAnsi" w:eastAsia="Times New Roman" w:hAnsiTheme="minorHAnsi"/>
          <w:szCs w:val="20"/>
          <w:lang w:val="en-GB"/>
        </w:rPr>
        <w:t xml:space="preserve"> and the </w:t>
      </w:r>
      <w:proofErr w:type="spellStart"/>
      <w:r w:rsidRPr="003B6A69">
        <w:rPr>
          <w:rFonts w:asciiTheme="minorHAnsi" w:eastAsia="Times New Roman" w:hAnsiTheme="minorHAnsi"/>
          <w:szCs w:val="20"/>
          <w:lang w:val="en-GB"/>
        </w:rPr>
        <w:t>Cijevna</w:t>
      </w:r>
      <w:proofErr w:type="spellEnd"/>
      <w:r w:rsidRPr="003B6A69">
        <w:rPr>
          <w:rFonts w:asciiTheme="minorHAnsi" w:eastAsia="Times New Roman" w:hAnsiTheme="minorHAnsi"/>
          <w:szCs w:val="20"/>
          <w:lang w:val="en-GB"/>
        </w:rPr>
        <w:t xml:space="preserve"> canyon downstream from </w:t>
      </w:r>
      <w:proofErr w:type="spellStart"/>
      <w:r w:rsidRPr="003B6A69">
        <w:rPr>
          <w:rFonts w:asciiTheme="minorHAnsi" w:eastAsia="Times New Roman" w:hAnsiTheme="minorHAnsi"/>
          <w:szCs w:val="20"/>
          <w:lang w:val="en-GB"/>
        </w:rPr>
        <w:t>Dinoša</w:t>
      </w:r>
      <w:proofErr w:type="spellEnd"/>
      <w:r w:rsidRPr="003B6A69">
        <w:rPr>
          <w:rFonts w:asciiTheme="minorHAnsi" w:eastAsia="Times New Roman" w:hAnsiTheme="minorHAnsi"/>
          <w:szCs w:val="20"/>
          <w:lang w:val="en-GB"/>
        </w:rPr>
        <w:t xml:space="preserve"> is not protected. The Spatial-urban plan of the Capital-Podgorica envisages the construction of warehouses and services in some places along the </w:t>
      </w:r>
      <w:proofErr w:type="spellStart"/>
      <w:r w:rsidRPr="003B6A69">
        <w:rPr>
          <w:rFonts w:asciiTheme="minorHAnsi" w:eastAsia="Times New Roman" w:hAnsiTheme="minorHAnsi"/>
          <w:szCs w:val="20"/>
          <w:lang w:val="en-GB"/>
        </w:rPr>
        <w:t>Cijevna</w:t>
      </w:r>
      <w:proofErr w:type="spellEnd"/>
      <w:r w:rsidRPr="003B6A69">
        <w:rPr>
          <w:rFonts w:asciiTheme="minorHAnsi" w:eastAsia="Times New Roman" w:hAnsiTheme="minorHAnsi"/>
          <w:szCs w:val="20"/>
          <w:lang w:val="en-GB"/>
        </w:rPr>
        <w:t xml:space="preserve"> River, areas for industry and production, as well as granting of concessions for the exploitation of gravel and sand in some locations. Certainly, planned construction and exploitation will have a negative impact on the biodiversity of this zone. It should be emphasized that the KBA covers the river itself and its immediate environment, so that the planned construction in the wider river area does not have a direct negative impact on the KBA.</w:t>
      </w:r>
    </w:p>
    <w:p w14:paraId="127F928F" w14:textId="77777777" w:rsidR="008C4F26" w:rsidRPr="003B6A69" w:rsidRDefault="008C4F26" w:rsidP="003C6B7B">
      <w:pPr>
        <w:numPr>
          <w:ilvl w:val="0"/>
          <w:numId w:val="22"/>
        </w:numPr>
        <w:shd w:val="clear" w:color="auto" w:fill="FFFFFF"/>
        <w:spacing w:after="120"/>
        <w:ind w:left="0" w:firstLine="0"/>
        <w:jc w:val="left"/>
        <w:rPr>
          <w:rFonts w:asciiTheme="minorHAnsi" w:eastAsia="Times New Roman" w:hAnsiTheme="minorHAnsi"/>
          <w:b/>
          <w:szCs w:val="20"/>
          <w:u w:val="single"/>
          <w:lang w:val="en-GB"/>
        </w:rPr>
      </w:pPr>
      <w:proofErr w:type="spellStart"/>
      <w:r w:rsidRPr="003B6A69">
        <w:rPr>
          <w:rFonts w:asciiTheme="minorHAnsi" w:eastAsia="Times New Roman" w:hAnsiTheme="minorHAnsi"/>
          <w:b/>
          <w:szCs w:val="20"/>
          <w:u w:val="single"/>
          <w:lang w:val="en-GB"/>
        </w:rPr>
        <w:t>Kakaricka</w:t>
      </w:r>
      <w:proofErr w:type="spellEnd"/>
      <w:r w:rsidRPr="003B6A69">
        <w:rPr>
          <w:rFonts w:asciiTheme="minorHAnsi" w:eastAsia="Times New Roman" w:hAnsiTheme="minorHAnsi"/>
          <w:b/>
          <w:szCs w:val="20"/>
          <w:u w:val="single"/>
          <w:lang w:val="en-GB"/>
        </w:rPr>
        <w:t xml:space="preserve"> </w:t>
      </w:r>
      <w:proofErr w:type="spellStart"/>
      <w:r w:rsidRPr="003B6A69">
        <w:rPr>
          <w:rFonts w:asciiTheme="minorHAnsi" w:eastAsia="Times New Roman" w:hAnsiTheme="minorHAnsi"/>
          <w:b/>
          <w:szCs w:val="20"/>
          <w:u w:val="single"/>
          <w:lang w:val="en-GB"/>
        </w:rPr>
        <w:t>gora</w:t>
      </w:r>
      <w:proofErr w:type="spellEnd"/>
    </w:p>
    <w:p w14:paraId="43262CEC" w14:textId="77777777" w:rsidR="008C4F26" w:rsidRPr="003B6A69" w:rsidRDefault="008C4F26" w:rsidP="00661293">
      <w:pPr>
        <w:shd w:val="clear" w:color="auto" w:fill="FFFFFF"/>
        <w:spacing w:after="120"/>
        <w:rPr>
          <w:rFonts w:asciiTheme="minorHAnsi" w:eastAsia="Times New Roman" w:hAnsiTheme="minorHAnsi"/>
          <w:szCs w:val="20"/>
          <w:lang w:val="en-GB"/>
        </w:rPr>
      </w:pPr>
      <w:r w:rsidRPr="003B6A69">
        <w:rPr>
          <w:rFonts w:asciiTheme="minorHAnsi" w:eastAsia="Times New Roman" w:hAnsiTheme="minorHAnsi"/>
          <w:szCs w:val="20"/>
          <w:lang w:val="en-GB"/>
        </w:rPr>
        <w:t xml:space="preserve">In the Spatial-urban plan of the Capital-Podgorica (2014) </w:t>
      </w:r>
      <w:proofErr w:type="spellStart"/>
      <w:r w:rsidRPr="003B6A69">
        <w:rPr>
          <w:rFonts w:asciiTheme="minorHAnsi" w:eastAsia="Times New Roman" w:hAnsiTheme="minorHAnsi"/>
          <w:szCs w:val="20"/>
          <w:lang w:val="en-GB"/>
        </w:rPr>
        <w:t>Kakaricka</w:t>
      </w:r>
      <w:proofErr w:type="spellEnd"/>
      <w:r w:rsidRPr="003B6A69">
        <w:rPr>
          <w:rFonts w:asciiTheme="minorHAnsi" w:eastAsia="Times New Roman" w:hAnsiTheme="minorHAnsi"/>
          <w:szCs w:val="20"/>
          <w:lang w:val="en-GB"/>
        </w:rPr>
        <w:t xml:space="preserve"> </w:t>
      </w:r>
      <w:proofErr w:type="spellStart"/>
      <w:r w:rsidRPr="003B6A69">
        <w:rPr>
          <w:rFonts w:asciiTheme="minorHAnsi" w:eastAsia="Times New Roman" w:hAnsiTheme="minorHAnsi"/>
          <w:szCs w:val="20"/>
          <w:lang w:val="en-GB"/>
        </w:rPr>
        <w:t>gora</w:t>
      </w:r>
      <w:proofErr w:type="spellEnd"/>
      <w:r w:rsidRPr="003B6A69">
        <w:rPr>
          <w:rFonts w:asciiTheme="minorHAnsi" w:eastAsia="Times New Roman" w:hAnsiTheme="minorHAnsi"/>
          <w:szCs w:val="20"/>
          <w:lang w:val="en-GB"/>
        </w:rPr>
        <w:t xml:space="preserve"> has been identified as a critical area of illegal construction, so this KBA can </w:t>
      </w:r>
      <w:proofErr w:type="gramStart"/>
      <w:r w:rsidRPr="003B6A69">
        <w:rPr>
          <w:rFonts w:asciiTheme="minorHAnsi" w:eastAsia="Times New Roman" w:hAnsiTheme="minorHAnsi"/>
          <w:szCs w:val="20"/>
          <w:lang w:val="en-GB"/>
        </w:rPr>
        <w:t>be considered to be</w:t>
      </w:r>
      <w:proofErr w:type="gramEnd"/>
      <w:r w:rsidRPr="003B6A69">
        <w:rPr>
          <w:rFonts w:asciiTheme="minorHAnsi" w:eastAsia="Times New Roman" w:hAnsiTheme="minorHAnsi"/>
          <w:szCs w:val="20"/>
          <w:lang w:val="en-GB"/>
        </w:rPr>
        <w:t xml:space="preserve"> already partially devastated. The same Plan envisages rehabilitation of informal construction, development of individual housing, or construction of low density, construction of a women's ward within the rehabilitation centre (Centre for rehabilitation and resocialization of users of psychoactive substances), construction of new telecommunication hubs. Establishment of areas for sports and recreation is also planned on </w:t>
      </w:r>
      <w:proofErr w:type="spellStart"/>
      <w:r w:rsidRPr="003B6A69">
        <w:rPr>
          <w:rFonts w:asciiTheme="minorHAnsi" w:eastAsia="Times New Roman" w:hAnsiTheme="minorHAnsi"/>
          <w:szCs w:val="20"/>
          <w:lang w:val="en-GB"/>
        </w:rPr>
        <w:t>Kakaricka</w:t>
      </w:r>
      <w:proofErr w:type="spellEnd"/>
      <w:r w:rsidRPr="003B6A69">
        <w:rPr>
          <w:rFonts w:asciiTheme="minorHAnsi" w:eastAsia="Times New Roman" w:hAnsiTheme="minorHAnsi"/>
          <w:szCs w:val="20"/>
          <w:lang w:val="en-GB"/>
        </w:rPr>
        <w:t xml:space="preserve"> </w:t>
      </w:r>
      <w:proofErr w:type="spellStart"/>
      <w:r w:rsidRPr="003B6A69">
        <w:rPr>
          <w:rFonts w:asciiTheme="minorHAnsi" w:eastAsia="Times New Roman" w:hAnsiTheme="minorHAnsi"/>
          <w:szCs w:val="20"/>
          <w:lang w:val="en-GB"/>
        </w:rPr>
        <w:t>gora</w:t>
      </w:r>
      <w:proofErr w:type="spellEnd"/>
      <w:r w:rsidRPr="003B6A69">
        <w:rPr>
          <w:rFonts w:asciiTheme="minorHAnsi" w:eastAsia="Times New Roman" w:hAnsiTheme="minorHAnsi"/>
          <w:szCs w:val="20"/>
          <w:lang w:val="en-GB"/>
        </w:rPr>
        <w:t>, as well as action of wider raising/panting of protective forests.</w:t>
      </w:r>
    </w:p>
    <w:p w14:paraId="61AF6444" w14:textId="77777777" w:rsidR="008C4F26" w:rsidRPr="003B6A69" w:rsidRDefault="008C4F26" w:rsidP="003C6B7B">
      <w:pPr>
        <w:numPr>
          <w:ilvl w:val="0"/>
          <w:numId w:val="22"/>
        </w:numPr>
        <w:shd w:val="clear" w:color="auto" w:fill="FFFFFF"/>
        <w:spacing w:after="120"/>
        <w:ind w:left="0" w:firstLine="0"/>
        <w:jc w:val="left"/>
        <w:rPr>
          <w:rFonts w:asciiTheme="minorHAnsi" w:eastAsia="Times New Roman" w:hAnsiTheme="minorHAnsi"/>
          <w:b/>
          <w:szCs w:val="20"/>
          <w:u w:val="single"/>
          <w:lang w:val="en-GB"/>
        </w:rPr>
      </w:pPr>
      <w:r w:rsidRPr="003B6A69">
        <w:rPr>
          <w:rFonts w:asciiTheme="minorHAnsi" w:eastAsia="Times New Roman" w:hAnsiTheme="minorHAnsi"/>
          <w:b/>
          <w:szCs w:val="20"/>
          <w:u w:val="single"/>
          <w:lang w:val="en-GB"/>
        </w:rPr>
        <w:t>Zeta stream</w:t>
      </w:r>
    </w:p>
    <w:p w14:paraId="20A680C9" w14:textId="77777777" w:rsidR="008C4F26" w:rsidRPr="003B6A69" w:rsidRDefault="008C4F26" w:rsidP="00661293">
      <w:pPr>
        <w:shd w:val="clear" w:color="auto" w:fill="FFFFFF"/>
        <w:spacing w:after="120"/>
        <w:rPr>
          <w:rFonts w:asciiTheme="minorHAnsi" w:eastAsia="Times New Roman" w:hAnsiTheme="minorHAnsi"/>
          <w:szCs w:val="20"/>
          <w:lang w:val="en-GB"/>
        </w:rPr>
      </w:pPr>
      <w:r w:rsidRPr="003B6A69">
        <w:rPr>
          <w:rFonts w:asciiTheme="minorHAnsi" w:eastAsia="Times New Roman" w:hAnsiTheme="minorHAnsi"/>
          <w:szCs w:val="20"/>
          <w:lang w:val="en-GB"/>
        </w:rPr>
        <w:t xml:space="preserve">According to the Spatial Plan of Montenegro until 2020, the intersection/crossing of the highway Belgrade - southern Adriatic and the Adriatic - Ionian highway is planned, which is in the zone of a very important water source in Montenegro - the drinking water spring site </w:t>
      </w:r>
      <w:proofErr w:type="spellStart"/>
      <w:r w:rsidRPr="003B6A69">
        <w:rPr>
          <w:rFonts w:asciiTheme="minorHAnsi" w:eastAsia="Times New Roman" w:hAnsiTheme="minorHAnsi"/>
          <w:szCs w:val="20"/>
          <w:lang w:val="en-GB"/>
        </w:rPr>
        <w:t>Mareza</w:t>
      </w:r>
      <w:proofErr w:type="spellEnd"/>
      <w:r w:rsidRPr="003B6A69">
        <w:rPr>
          <w:rFonts w:asciiTheme="minorHAnsi" w:eastAsia="Times New Roman" w:hAnsiTheme="minorHAnsi"/>
          <w:szCs w:val="20"/>
          <w:lang w:val="en-GB"/>
        </w:rPr>
        <w:t xml:space="preserve">. In addition, the reconstruction of the main road M18 is planned, </w:t>
      </w:r>
      <w:proofErr w:type="gramStart"/>
      <w:r w:rsidRPr="003B6A69">
        <w:rPr>
          <w:rFonts w:asciiTheme="minorHAnsi" w:eastAsia="Times New Roman" w:hAnsiTheme="minorHAnsi"/>
          <w:szCs w:val="20"/>
          <w:lang w:val="en-GB"/>
        </w:rPr>
        <w:t>in order to</w:t>
      </w:r>
      <w:proofErr w:type="gramEnd"/>
      <w:r w:rsidRPr="003B6A69">
        <w:rPr>
          <w:rFonts w:asciiTheme="minorHAnsi" w:eastAsia="Times New Roman" w:hAnsiTheme="minorHAnsi"/>
          <w:szCs w:val="20"/>
          <w:lang w:val="en-GB"/>
        </w:rPr>
        <w:t xml:space="preserve"> upgrade the road rank to a highway for fast motor traffic. The locations of the planned infrastructure projects </w:t>
      </w:r>
      <w:proofErr w:type="gramStart"/>
      <w:r w:rsidRPr="003B6A69">
        <w:rPr>
          <w:rFonts w:asciiTheme="minorHAnsi" w:eastAsia="Times New Roman" w:hAnsiTheme="minorHAnsi"/>
          <w:szCs w:val="20"/>
          <w:lang w:val="en-GB"/>
        </w:rPr>
        <w:t>are located in</w:t>
      </w:r>
      <w:proofErr w:type="gramEnd"/>
      <w:r w:rsidRPr="003B6A69">
        <w:rPr>
          <w:rFonts w:asciiTheme="minorHAnsi" w:eastAsia="Times New Roman" w:hAnsiTheme="minorHAnsi"/>
          <w:szCs w:val="20"/>
          <w:lang w:val="en-GB"/>
        </w:rPr>
        <w:t xml:space="preserve"> the KBA Zeta stream zone.</w:t>
      </w:r>
    </w:p>
    <w:p w14:paraId="2EA77111" w14:textId="77777777" w:rsidR="008C4F26" w:rsidRPr="003B6A69" w:rsidRDefault="008C4F26" w:rsidP="00661293">
      <w:pPr>
        <w:shd w:val="clear" w:color="auto" w:fill="FFFFFF"/>
        <w:spacing w:after="120"/>
        <w:rPr>
          <w:rFonts w:asciiTheme="minorHAnsi" w:eastAsia="Times New Roman" w:hAnsiTheme="minorHAnsi"/>
          <w:szCs w:val="20"/>
          <w:lang w:val="en-GB"/>
        </w:rPr>
      </w:pPr>
      <w:r w:rsidRPr="003B6A69">
        <w:rPr>
          <w:rFonts w:asciiTheme="minorHAnsi" w:eastAsia="Times New Roman" w:hAnsiTheme="minorHAnsi"/>
          <w:szCs w:val="20"/>
          <w:lang w:val="en-GB"/>
        </w:rPr>
        <w:t xml:space="preserve">By amending the Spatial-urban plan of the Municipality </w:t>
      </w:r>
      <w:proofErr w:type="spellStart"/>
      <w:r w:rsidRPr="003B6A69">
        <w:rPr>
          <w:rFonts w:asciiTheme="minorHAnsi" w:eastAsia="Times New Roman" w:hAnsiTheme="minorHAnsi"/>
          <w:szCs w:val="20"/>
          <w:lang w:val="en-GB"/>
        </w:rPr>
        <w:t>Danilovgrad</w:t>
      </w:r>
      <w:proofErr w:type="spellEnd"/>
      <w:r w:rsidRPr="003B6A69">
        <w:rPr>
          <w:rFonts w:asciiTheme="minorHAnsi" w:eastAsia="Times New Roman" w:hAnsiTheme="minorHAnsi"/>
          <w:szCs w:val="20"/>
          <w:lang w:val="en-GB"/>
        </w:rPr>
        <w:t xml:space="preserve">, in the part of the general urban development of location </w:t>
      </w:r>
      <w:proofErr w:type="spellStart"/>
      <w:r w:rsidRPr="003B6A69">
        <w:rPr>
          <w:rFonts w:asciiTheme="minorHAnsi" w:eastAsia="Times New Roman" w:hAnsiTheme="minorHAnsi"/>
          <w:szCs w:val="20"/>
          <w:lang w:val="en-GB"/>
        </w:rPr>
        <w:t>Spuž</w:t>
      </w:r>
      <w:proofErr w:type="spellEnd"/>
      <w:r w:rsidRPr="003B6A69">
        <w:rPr>
          <w:rFonts w:asciiTheme="minorHAnsi" w:eastAsia="Times New Roman" w:hAnsiTheme="minorHAnsi"/>
          <w:szCs w:val="20"/>
          <w:lang w:val="en-GB"/>
        </w:rPr>
        <w:t xml:space="preserve">, the construction of an equestrian club and recreational zone along the course of the Zeta stream/river is </w:t>
      </w:r>
      <w:r w:rsidRPr="003B6A69">
        <w:rPr>
          <w:rFonts w:asciiTheme="minorHAnsi" w:eastAsia="Times New Roman" w:hAnsiTheme="minorHAnsi"/>
          <w:szCs w:val="20"/>
          <w:lang w:val="en-GB"/>
        </w:rPr>
        <w:lastRenderedPageBreak/>
        <w:t>planned, which can have a negative impact on the river and local biodiversity. It should be taken into consideration that great pressure on biodiversity (unresolved issues of wastewater from certain factories/plants and farms, illegal construction, pollution caused by agricultural production, etc.) already exist within the boundaries of KBA Zeta. The local study of the location for translation of part of the waters of the river Zeta into the reservoirs "</w:t>
      </w:r>
      <w:proofErr w:type="spellStart"/>
      <w:r w:rsidRPr="003B6A69">
        <w:rPr>
          <w:rFonts w:asciiTheme="minorHAnsi" w:eastAsia="Times New Roman" w:hAnsiTheme="minorHAnsi"/>
          <w:szCs w:val="20"/>
          <w:lang w:val="en-GB"/>
        </w:rPr>
        <w:t>Krupac</w:t>
      </w:r>
      <w:proofErr w:type="spellEnd"/>
      <w:r w:rsidRPr="003B6A69">
        <w:rPr>
          <w:rFonts w:asciiTheme="minorHAnsi" w:eastAsia="Times New Roman" w:hAnsiTheme="minorHAnsi"/>
          <w:szCs w:val="20"/>
          <w:lang w:val="en-GB"/>
        </w:rPr>
        <w:t>" and "</w:t>
      </w:r>
      <w:proofErr w:type="spellStart"/>
      <w:r w:rsidRPr="003B6A69">
        <w:rPr>
          <w:rFonts w:asciiTheme="minorHAnsi" w:eastAsia="Times New Roman" w:hAnsiTheme="minorHAnsi"/>
          <w:szCs w:val="20"/>
          <w:lang w:val="en-GB"/>
        </w:rPr>
        <w:t>Slano</w:t>
      </w:r>
      <w:proofErr w:type="spellEnd"/>
      <w:r w:rsidRPr="003B6A69">
        <w:rPr>
          <w:rFonts w:asciiTheme="minorHAnsi" w:eastAsia="Times New Roman" w:hAnsiTheme="minorHAnsi"/>
          <w:szCs w:val="20"/>
          <w:lang w:val="en-GB"/>
        </w:rPr>
        <w:t xml:space="preserve">", Municipality of </w:t>
      </w:r>
      <w:proofErr w:type="spellStart"/>
      <w:r w:rsidRPr="003B6A69">
        <w:rPr>
          <w:rFonts w:asciiTheme="minorHAnsi" w:eastAsia="Times New Roman" w:hAnsiTheme="minorHAnsi"/>
          <w:szCs w:val="20"/>
          <w:lang w:val="en-GB"/>
        </w:rPr>
        <w:t>Nikšić</w:t>
      </w:r>
      <w:proofErr w:type="spellEnd"/>
      <w:r w:rsidRPr="003B6A69">
        <w:rPr>
          <w:rFonts w:asciiTheme="minorHAnsi" w:eastAsia="Times New Roman" w:hAnsiTheme="minorHAnsi"/>
          <w:szCs w:val="20"/>
          <w:lang w:val="en-GB"/>
        </w:rPr>
        <w:t xml:space="preserve"> is planned to be prepared in 2020. As the document has not been developed no data is available on the planned interventions. Negative impact on biodiversity can be expected with the envisioned type of intervention.</w:t>
      </w:r>
    </w:p>
    <w:p w14:paraId="68A96F0B" w14:textId="77777777" w:rsidR="008C4F26" w:rsidRPr="003B6A69" w:rsidRDefault="008C4F26" w:rsidP="00661293">
      <w:pPr>
        <w:shd w:val="clear" w:color="auto" w:fill="FFFFFF"/>
        <w:spacing w:after="120"/>
        <w:rPr>
          <w:rFonts w:asciiTheme="minorHAnsi" w:eastAsia="Times New Roman" w:hAnsiTheme="minorHAnsi"/>
          <w:szCs w:val="20"/>
          <w:lang w:val="en-GB"/>
        </w:rPr>
      </w:pPr>
      <w:r w:rsidRPr="003B6A69">
        <w:rPr>
          <w:rFonts w:asciiTheme="minorHAnsi" w:eastAsia="Times New Roman" w:hAnsiTheme="minorHAnsi"/>
          <w:szCs w:val="20"/>
          <w:lang w:val="en-GB"/>
        </w:rPr>
        <w:t>One part of KBA Zeta is protected as the Nature Park "Rijeka Zeta" (V IUCN Category) in 2019. Protection Study was prepared within the process of declaring this area protected in 2019.</w:t>
      </w:r>
    </w:p>
    <w:p w14:paraId="2C31E2D0" w14:textId="77777777" w:rsidR="008C4F26" w:rsidRPr="003B6A69" w:rsidRDefault="008C4F26" w:rsidP="003C6B7B">
      <w:pPr>
        <w:numPr>
          <w:ilvl w:val="0"/>
          <w:numId w:val="22"/>
        </w:numPr>
        <w:shd w:val="clear" w:color="auto" w:fill="FFFFFF"/>
        <w:spacing w:after="120"/>
        <w:ind w:left="0" w:firstLine="0"/>
        <w:jc w:val="left"/>
        <w:rPr>
          <w:rFonts w:asciiTheme="minorHAnsi" w:eastAsia="Times New Roman" w:hAnsiTheme="minorHAnsi"/>
          <w:b/>
          <w:szCs w:val="20"/>
          <w:u w:val="single"/>
          <w:lang w:val="en-GB"/>
        </w:rPr>
      </w:pPr>
      <w:proofErr w:type="spellStart"/>
      <w:r w:rsidRPr="003B6A69">
        <w:rPr>
          <w:rFonts w:asciiTheme="minorHAnsi" w:eastAsia="Times New Roman" w:hAnsiTheme="minorHAnsi"/>
          <w:b/>
          <w:szCs w:val="20"/>
          <w:u w:val="single"/>
          <w:lang w:val="en-GB"/>
        </w:rPr>
        <w:t>Rumija</w:t>
      </w:r>
      <w:proofErr w:type="spellEnd"/>
    </w:p>
    <w:p w14:paraId="10D6FFEF" w14:textId="77777777" w:rsidR="008C4F26" w:rsidRPr="003B6A69" w:rsidRDefault="008C4F26" w:rsidP="00661293">
      <w:pPr>
        <w:shd w:val="clear" w:color="auto" w:fill="FFFFFF"/>
        <w:spacing w:after="120"/>
        <w:rPr>
          <w:rFonts w:asciiTheme="minorHAnsi" w:eastAsia="Times New Roman" w:hAnsiTheme="minorHAnsi"/>
          <w:szCs w:val="20"/>
          <w:lang w:val="en-GB"/>
        </w:rPr>
      </w:pPr>
      <w:r w:rsidRPr="003B6A69">
        <w:rPr>
          <w:rFonts w:asciiTheme="minorHAnsi" w:eastAsia="Times New Roman" w:hAnsiTheme="minorHAnsi"/>
          <w:szCs w:val="20"/>
          <w:lang w:val="en-GB"/>
        </w:rPr>
        <w:t xml:space="preserve">The Spatial Development Plan for the territory of the Municipality Bar envisages that </w:t>
      </w:r>
      <w:proofErr w:type="spellStart"/>
      <w:r w:rsidRPr="003B6A69">
        <w:rPr>
          <w:rFonts w:asciiTheme="minorHAnsi" w:eastAsia="Times New Roman" w:hAnsiTheme="minorHAnsi"/>
          <w:szCs w:val="20"/>
          <w:lang w:val="en-GB"/>
        </w:rPr>
        <w:t>Rumija</w:t>
      </w:r>
      <w:proofErr w:type="spellEnd"/>
      <w:r w:rsidRPr="003B6A69">
        <w:rPr>
          <w:rFonts w:asciiTheme="minorHAnsi" w:eastAsia="Times New Roman" w:hAnsiTheme="minorHAnsi"/>
          <w:szCs w:val="20"/>
          <w:lang w:val="en-GB"/>
        </w:rPr>
        <w:t xml:space="preserve"> will be declared as a Regional Nature Park. Detailed rules for the protection, arrangement and cultural use of natural resources will be determined as part of the development of the Spatial Plan of the Special Purpose Area of the </w:t>
      </w:r>
      <w:proofErr w:type="spellStart"/>
      <w:r w:rsidRPr="003B6A69">
        <w:rPr>
          <w:rFonts w:asciiTheme="minorHAnsi" w:eastAsia="Times New Roman" w:hAnsiTheme="minorHAnsi"/>
          <w:szCs w:val="20"/>
          <w:lang w:val="en-GB"/>
        </w:rPr>
        <w:t>Rumija</w:t>
      </w:r>
      <w:proofErr w:type="spellEnd"/>
      <w:r w:rsidRPr="003B6A69">
        <w:rPr>
          <w:rFonts w:asciiTheme="minorHAnsi" w:eastAsia="Times New Roman" w:hAnsiTheme="minorHAnsi"/>
          <w:szCs w:val="20"/>
          <w:lang w:val="en-GB"/>
        </w:rPr>
        <w:t xml:space="preserve"> Regional Nature Park. This document will define the boundaries of the Regional Park, which are not known at this point thus </w:t>
      </w:r>
      <w:proofErr w:type="spellStart"/>
      <w:r w:rsidRPr="003B6A69">
        <w:rPr>
          <w:rFonts w:asciiTheme="minorHAnsi" w:eastAsia="Times New Roman" w:hAnsiTheme="minorHAnsi"/>
          <w:szCs w:val="20"/>
          <w:lang w:val="en-GB"/>
        </w:rPr>
        <w:t>can not</w:t>
      </w:r>
      <w:proofErr w:type="spellEnd"/>
      <w:r w:rsidRPr="003B6A69">
        <w:rPr>
          <w:rFonts w:asciiTheme="minorHAnsi" w:eastAsia="Times New Roman" w:hAnsiTheme="minorHAnsi"/>
          <w:szCs w:val="20"/>
          <w:lang w:val="en-GB"/>
        </w:rPr>
        <w:t xml:space="preserve"> be compared with the boundaries of the KBA. The Spatial Plan of Montenegro from 2008 proposed that </w:t>
      </w:r>
      <w:proofErr w:type="spellStart"/>
      <w:r w:rsidRPr="003B6A69">
        <w:rPr>
          <w:rFonts w:asciiTheme="minorHAnsi" w:eastAsia="Times New Roman" w:hAnsiTheme="minorHAnsi"/>
          <w:szCs w:val="20"/>
          <w:lang w:val="en-GB"/>
        </w:rPr>
        <w:t>Rumija</w:t>
      </w:r>
      <w:proofErr w:type="spellEnd"/>
      <w:r w:rsidRPr="003B6A69">
        <w:rPr>
          <w:rFonts w:asciiTheme="minorHAnsi" w:eastAsia="Times New Roman" w:hAnsiTheme="minorHAnsi"/>
          <w:szCs w:val="20"/>
          <w:lang w:val="en-GB"/>
        </w:rPr>
        <w:t xml:space="preserve"> be declared a Regional Nature Park, and the same proposal exists in the National Biodiversity Strategy with the Action Plan for the period 2010-2015. </w:t>
      </w:r>
      <w:proofErr w:type="spellStart"/>
      <w:r w:rsidRPr="003B6A69">
        <w:rPr>
          <w:rFonts w:asciiTheme="minorHAnsi" w:eastAsia="Times New Roman" w:hAnsiTheme="minorHAnsi"/>
          <w:szCs w:val="20"/>
          <w:lang w:val="en-GB"/>
        </w:rPr>
        <w:t>Rumija</w:t>
      </w:r>
      <w:proofErr w:type="spellEnd"/>
      <w:r w:rsidRPr="003B6A69">
        <w:rPr>
          <w:rFonts w:asciiTheme="minorHAnsi" w:eastAsia="Times New Roman" w:hAnsiTheme="minorHAnsi"/>
          <w:szCs w:val="20"/>
          <w:lang w:val="en-GB"/>
        </w:rPr>
        <w:t xml:space="preserve"> Regional Park is mentioned in the Spatial Plan of Special Purpose for the coastal area of Montenegro. Accordingly, for this KBA there is no conflict between planning documentation and biodiversity protection.</w:t>
      </w:r>
    </w:p>
    <w:p w14:paraId="663E85AA" w14:textId="77777777" w:rsidR="008C4F26" w:rsidRPr="003B6A69" w:rsidRDefault="008C4F26" w:rsidP="003C6B7B">
      <w:pPr>
        <w:numPr>
          <w:ilvl w:val="0"/>
          <w:numId w:val="22"/>
        </w:numPr>
        <w:shd w:val="clear" w:color="auto" w:fill="FFFFFF"/>
        <w:spacing w:after="120"/>
        <w:ind w:left="0" w:firstLine="0"/>
        <w:jc w:val="left"/>
        <w:rPr>
          <w:rFonts w:asciiTheme="minorHAnsi" w:eastAsia="Times New Roman" w:hAnsiTheme="minorHAnsi"/>
          <w:b/>
          <w:szCs w:val="20"/>
          <w:u w:val="single"/>
          <w:lang w:val="en-GB"/>
        </w:rPr>
      </w:pPr>
      <w:proofErr w:type="spellStart"/>
      <w:r w:rsidRPr="003B6A69">
        <w:rPr>
          <w:rFonts w:asciiTheme="minorHAnsi" w:eastAsia="Times New Roman" w:hAnsiTheme="minorHAnsi"/>
          <w:b/>
          <w:szCs w:val="20"/>
          <w:u w:val="single"/>
          <w:lang w:val="en-GB"/>
        </w:rPr>
        <w:t>Orjen</w:t>
      </w:r>
      <w:proofErr w:type="spellEnd"/>
    </w:p>
    <w:p w14:paraId="079ABB74" w14:textId="77777777" w:rsidR="008C4F26" w:rsidRPr="003B6A69" w:rsidRDefault="008C4F26" w:rsidP="00661293">
      <w:pPr>
        <w:shd w:val="clear" w:color="auto" w:fill="FFFFFF"/>
        <w:spacing w:after="120"/>
        <w:rPr>
          <w:rFonts w:asciiTheme="minorHAnsi" w:eastAsia="Times New Roman" w:hAnsiTheme="minorHAnsi"/>
          <w:szCs w:val="20"/>
          <w:lang w:val="en-GB"/>
        </w:rPr>
      </w:pPr>
      <w:r w:rsidRPr="003B6A69">
        <w:rPr>
          <w:rFonts w:asciiTheme="minorHAnsi" w:hAnsiTheme="minorHAnsi"/>
          <w:szCs w:val="20"/>
          <w:lang w:val="en"/>
        </w:rPr>
        <w:t xml:space="preserve">The Spatial Plan of Montenegro until 2020 envisages establishment of the </w:t>
      </w:r>
      <w:proofErr w:type="spellStart"/>
      <w:r w:rsidRPr="003B6A69">
        <w:rPr>
          <w:rFonts w:asciiTheme="minorHAnsi" w:hAnsiTheme="minorHAnsi"/>
          <w:szCs w:val="20"/>
          <w:lang w:val="en"/>
        </w:rPr>
        <w:t>Orjen</w:t>
      </w:r>
      <w:proofErr w:type="spellEnd"/>
      <w:r w:rsidRPr="003B6A69">
        <w:rPr>
          <w:rFonts w:asciiTheme="minorHAnsi" w:hAnsiTheme="minorHAnsi"/>
          <w:szCs w:val="20"/>
          <w:lang w:val="en"/>
        </w:rPr>
        <w:t xml:space="preserve"> National Park. However, in 2009, the Municipal Assembly of </w:t>
      </w:r>
      <w:proofErr w:type="spellStart"/>
      <w:r w:rsidRPr="003B6A69">
        <w:rPr>
          <w:rFonts w:asciiTheme="minorHAnsi" w:hAnsiTheme="minorHAnsi"/>
          <w:szCs w:val="20"/>
          <w:lang w:val="en"/>
        </w:rPr>
        <w:t>Herceg</w:t>
      </w:r>
      <w:proofErr w:type="spellEnd"/>
      <w:r w:rsidRPr="003B6A69">
        <w:rPr>
          <w:rFonts w:asciiTheme="minorHAnsi" w:hAnsiTheme="minorHAnsi"/>
          <w:szCs w:val="20"/>
          <w:lang w:val="en"/>
        </w:rPr>
        <w:t xml:space="preserve"> Novi passed an act declaring the protected area </w:t>
      </w:r>
      <w:proofErr w:type="spellStart"/>
      <w:r w:rsidRPr="003B6A69">
        <w:rPr>
          <w:rFonts w:asciiTheme="minorHAnsi" w:hAnsiTheme="minorHAnsi"/>
          <w:szCs w:val="20"/>
          <w:lang w:val="en"/>
        </w:rPr>
        <w:t>Orjen</w:t>
      </w:r>
      <w:proofErr w:type="spellEnd"/>
      <w:r w:rsidRPr="003B6A69">
        <w:rPr>
          <w:rFonts w:asciiTheme="minorHAnsi" w:hAnsiTheme="minorHAnsi"/>
          <w:szCs w:val="20"/>
          <w:lang w:val="en"/>
        </w:rPr>
        <w:t xml:space="preserve"> Nature Park, which protects the part of the KBA that belongs to this municipality. Spatial plans of the municipalities of Kotor and </w:t>
      </w:r>
      <w:proofErr w:type="spellStart"/>
      <w:r w:rsidRPr="003B6A69">
        <w:rPr>
          <w:rFonts w:asciiTheme="minorHAnsi" w:hAnsiTheme="minorHAnsi"/>
          <w:szCs w:val="20"/>
          <w:lang w:val="en"/>
        </w:rPr>
        <w:t>Niksic</w:t>
      </w:r>
      <w:proofErr w:type="spellEnd"/>
      <w:r w:rsidRPr="003B6A69">
        <w:rPr>
          <w:rFonts w:asciiTheme="minorHAnsi" w:hAnsiTheme="minorHAnsi"/>
          <w:szCs w:val="20"/>
          <w:lang w:val="en"/>
        </w:rPr>
        <w:t xml:space="preserve"> are under development, therefore could not be analyzed.</w:t>
      </w:r>
    </w:p>
    <w:p w14:paraId="26CFE6A8" w14:textId="77777777" w:rsidR="008C4F26" w:rsidRPr="003B6A69" w:rsidRDefault="008C4F26" w:rsidP="003C6B7B">
      <w:pPr>
        <w:numPr>
          <w:ilvl w:val="0"/>
          <w:numId w:val="22"/>
        </w:numPr>
        <w:shd w:val="clear" w:color="auto" w:fill="FFFFFF"/>
        <w:spacing w:after="120"/>
        <w:ind w:left="0" w:firstLine="0"/>
        <w:jc w:val="left"/>
        <w:rPr>
          <w:rFonts w:asciiTheme="minorHAnsi" w:eastAsia="Times New Roman" w:hAnsiTheme="minorHAnsi"/>
          <w:b/>
          <w:szCs w:val="20"/>
          <w:u w:val="single"/>
          <w:lang w:val="en-GB"/>
        </w:rPr>
      </w:pPr>
      <w:r w:rsidRPr="003B6A69">
        <w:rPr>
          <w:rFonts w:asciiTheme="minorHAnsi" w:eastAsia="Times New Roman" w:hAnsiTheme="minorHAnsi"/>
          <w:b/>
          <w:szCs w:val="20"/>
          <w:u w:val="single"/>
          <w:lang w:val="en-GB"/>
        </w:rPr>
        <w:t>Kotor-</w:t>
      </w:r>
      <w:proofErr w:type="spellStart"/>
      <w:r w:rsidRPr="003B6A69">
        <w:rPr>
          <w:rFonts w:asciiTheme="minorHAnsi" w:eastAsia="Times New Roman" w:hAnsiTheme="minorHAnsi"/>
          <w:b/>
          <w:szCs w:val="20"/>
          <w:u w:val="single"/>
          <w:lang w:val="en-GB"/>
        </w:rPr>
        <w:t>Risan</w:t>
      </w:r>
      <w:proofErr w:type="spellEnd"/>
      <w:r w:rsidRPr="003B6A69">
        <w:rPr>
          <w:rFonts w:asciiTheme="minorHAnsi" w:eastAsia="Times New Roman" w:hAnsiTheme="minorHAnsi"/>
          <w:b/>
          <w:szCs w:val="20"/>
          <w:u w:val="single"/>
          <w:lang w:val="en-GB"/>
        </w:rPr>
        <w:t xml:space="preserve"> Bay</w:t>
      </w:r>
    </w:p>
    <w:p w14:paraId="10D0886F" w14:textId="77777777" w:rsidR="008C4F26" w:rsidRPr="003B6A69" w:rsidRDefault="008C4F26" w:rsidP="00661293">
      <w:pPr>
        <w:shd w:val="clear" w:color="auto" w:fill="FFFFFF"/>
        <w:spacing w:after="120"/>
        <w:rPr>
          <w:rFonts w:asciiTheme="minorHAnsi" w:eastAsia="Times New Roman" w:hAnsiTheme="minorHAnsi"/>
          <w:szCs w:val="20"/>
          <w:lang w:val="en-GB"/>
        </w:rPr>
      </w:pPr>
      <w:r w:rsidRPr="003B6A69">
        <w:rPr>
          <w:rFonts w:asciiTheme="minorHAnsi" w:eastAsia="Times New Roman" w:hAnsiTheme="minorHAnsi"/>
          <w:szCs w:val="20"/>
          <w:lang w:val="en-GB"/>
        </w:rPr>
        <w:t>The Special purpose spatial plan for the coastal area of Montenegro (2018) envisions anchorages and mariculture ports in the Kotor-</w:t>
      </w:r>
      <w:proofErr w:type="spellStart"/>
      <w:r w:rsidRPr="003B6A69">
        <w:rPr>
          <w:rFonts w:asciiTheme="minorHAnsi" w:eastAsia="Times New Roman" w:hAnsiTheme="minorHAnsi"/>
          <w:szCs w:val="20"/>
          <w:lang w:val="en-GB"/>
        </w:rPr>
        <w:t>Risan</w:t>
      </w:r>
      <w:proofErr w:type="spellEnd"/>
      <w:r w:rsidRPr="003B6A69">
        <w:rPr>
          <w:rFonts w:asciiTheme="minorHAnsi" w:eastAsia="Times New Roman" w:hAnsiTheme="minorHAnsi"/>
          <w:szCs w:val="20"/>
          <w:lang w:val="en-GB"/>
        </w:rPr>
        <w:t xml:space="preserve"> Bay. The SEA that accompanies this Plan emphasized that final area (coverage) of these planned actions will depend on the protected area at sea or underwater. The Spatial Plan of the Municipality Kotor, which encompass the area of KBA Kotor </w:t>
      </w:r>
      <w:proofErr w:type="spellStart"/>
      <w:r w:rsidRPr="003B6A69">
        <w:rPr>
          <w:rFonts w:asciiTheme="minorHAnsi" w:eastAsia="Times New Roman" w:hAnsiTheme="minorHAnsi"/>
          <w:szCs w:val="20"/>
          <w:lang w:val="en-GB"/>
        </w:rPr>
        <w:t>Risan</w:t>
      </w:r>
      <w:proofErr w:type="spellEnd"/>
      <w:r w:rsidRPr="003B6A69">
        <w:rPr>
          <w:rFonts w:asciiTheme="minorHAnsi" w:eastAsia="Times New Roman" w:hAnsiTheme="minorHAnsi"/>
          <w:szCs w:val="20"/>
          <w:lang w:val="en-GB"/>
        </w:rPr>
        <w:t xml:space="preserve"> Bay, is in the process of development, therefore could not be analysed.</w:t>
      </w:r>
    </w:p>
    <w:p w14:paraId="733A691C" w14:textId="77777777" w:rsidR="008C4F26" w:rsidRPr="003B6A69" w:rsidRDefault="008C4F26" w:rsidP="003C6B7B">
      <w:pPr>
        <w:numPr>
          <w:ilvl w:val="0"/>
          <w:numId w:val="22"/>
        </w:numPr>
        <w:shd w:val="clear" w:color="auto" w:fill="FFFFFF"/>
        <w:spacing w:after="120"/>
        <w:ind w:left="0" w:firstLine="0"/>
        <w:jc w:val="left"/>
        <w:rPr>
          <w:rFonts w:asciiTheme="minorHAnsi" w:eastAsia="Times New Roman" w:hAnsiTheme="minorHAnsi"/>
          <w:b/>
          <w:szCs w:val="20"/>
          <w:u w:val="single"/>
          <w:lang w:val="en-GB"/>
        </w:rPr>
      </w:pPr>
      <w:proofErr w:type="spellStart"/>
      <w:r w:rsidRPr="003B6A69">
        <w:rPr>
          <w:rFonts w:asciiTheme="minorHAnsi" w:eastAsia="Times New Roman" w:hAnsiTheme="minorHAnsi"/>
          <w:b/>
          <w:szCs w:val="20"/>
          <w:u w:val="single"/>
          <w:lang w:val="en-GB"/>
        </w:rPr>
        <w:t>Platamuni</w:t>
      </w:r>
      <w:proofErr w:type="spellEnd"/>
    </w:p>
    <w:p w14:paraId="22DF5A4C" w14:textId="77777777" w:rsidR="008C4F26" w:rsidRPr="003B6A69" w:rsidRDefault="008C4F26" w:rsidP="00661293">
      <w:pPr>
        <w:shd w:val="clear" w:color="auto" w:fill="FFFFFF"/>
        <w:spacing w:after="120"/>
        <w:rPr>
          <w:rFonts w:asciiTheme="minorHAnsi" w:eastAsia="Times New Roman" w:hAnsiTheme="minorHAnsi"/>
          <w:szCs w:val="20"/>
          <w:lang w:val="en-GB"/>
        </w:rPr>
      </w:pPr>
      <w:r w:rsidRPr="003B6A69">
        <w:rPr>
          <w:rFonts w:asciiTheme="minorHAnsi" w:eastAsia="Times New Roman" w:hAnsiTheme="minorHAnsi"/>
          <w:szCs w:val="20"/>
          <w:lang w:val="en-GB"/>
        </w:rPr>
        <w:t xml:space="preserve">The Special purpose spatial plan for the coastal area of Montenegro (2018) proposes the </w:t>
      </w:r>
      <w:proofErr w:type="spellStart"/>
      <w:r w:rsidRPr="003B6A69">
        <w:rPr>
          <w:rFonts w:asciiTheme="minorHAnsi" w:eastAsia="Times New Roman" w:hAnsiTheme="minorHAnsi"/>
          <w:szCs w:val="20"/>
          <w:lang w:val="en-GB"/>
        </w:rPr>
        <w:t>Platamuni</w:t>
      </w:r>
      <w:proofErr w:type="spellEnd"/>
      <w:r w:rsidRPr="003B6A69">
        <w:rPr>
          <w:rFonts w:asciiTheme="minorHAnsi" w:eastAsia="Times New Roman" w:hAnsiTheme="minorHAnsi"/>
          <w:szCs w:val="20"/>
          <w:lang w:val="en-GB"/>
        </w:rPr>
        <w:t xml:space="preserve"> zone, from Seka </w:t>
      </w:r>
      <w:proofErr w:type="spellStart"/>
      <w:r w:rsidRPr="003B6A69">
        <w:rPr>
          <w:rFonts w:asciiTheme="minorHAnsi" w:eastAsia="Times New Roman" w:hAnsiTheme="minorHAnsi"/>
          <w:szCs w:val="20"/>
          <w:lang w:val="en-GB"/>
        </w:rPr>
        <w:t>Albaneza</w:t>
      </w:r>
      <w:proofErr w:type="spellEnd"/>
      <w:r w:rsidRPr="003B6A69">
        <w:rPr>
          <w:rFonts w:asciiTheme="minorHAnsi" w:eastAsia="Times New Roman" w:hAnsiTheme="minorHAnsi"/>
          <w:szCs w:val="20"/>
          <w:lang w:val="en-GB"/>
        </w:rPr>
        <w:t xml:space="preserve"> to Cape </w:t>
      </w:r>
      <w:proofErr w:type="spellStart"/>
      <w:r w:rsidRPr="003B6A69">
        <w:rPr>
          <w:rFonts w:asciiTheme="minorHAnsi" w:eastAsia="Times New Roman" w:hAnsiTheme="minorHAnsi"/>
          <w:szCs w:val="20"/>
          <w:lang w:val="en-GB"/>
        </w:rPr>
        <w:t>Platamuni</w:t>
      </w:r>
      <w:proofErr w:type="spellEnd"/>
      <w:r w:rsidRPr="003B6A69">
        <w:rPr>
          <w:rFonts w:asciiTheme="minorHAnsi" w:eastAsia="Times New Roman" w:hAnsiTheme="minorHAnsi"/>
          <w:szCs w:val="20"/>
          <w:lang w:val="en-GB"/>
        </w:rPr>
        <w:t xml:space="preserve">, for protection (marine and coastal protected areas) and has been included in the priority areas for protection. The </w:t>
      </w:r>
      <w:proofErr w:type="gramStart"/>
      <w:r w:rsidRPr="003B6A69">
        <w:rPr>
          <w:rFonts w:asciiTheme="minorHAnsi" w:eastAsia="Times New Roman" w:hAnsiTheme="minorHAnsi"/>
          <w:szCs w:val="20"/>
          <w:lang w:val="en-GB"/>
        </w:rPr>
        <w:t>above mentioned</w:t>
      </w:r>
      <w:proofErr w:type="gramEnd"/>
      <w:r w:rsidRPr="003B6A69">
        <w:rPr>
          <w:rFonts w:asciiTheme="minorHAnsi" w:eastAsia="Times New Roman" w:hAnsiTheme="minorHAnsi"/>
          <w:szCs w:val="20"/>
          <w:lang w:val="en-GB"/>
        </w:rPr>
        <w:t xml:space="preserve"> spatial planning document, this decision has been elaborated by the research results collected during the implementation of the project “Rapid assessment survey of coastal habitats to help prioritize the suitable new areas needing a protection status for the development of a network of Marine and Coastal protected areas in Montenegro (RAC / SPA - UNEP / MAP, 2011, 2014).</w:t>
      </w:r>
    </w:p>
    <w:p w14:paraId="6D97EAA7" w14:textId="77777777" w:rsidR="008C4F26" w:rsidRPr="003B6A69" w:rsidRDefault="008C4F26" w:rsidP="008C4F26">
      <w:pPr>
        <w:spacing w:after="160" w:line="259" w:lineRule="auto"/>
        <w:jc w:val="left"/>
        <w:rPr>
          <w:rFonts w:asciiTheme="minorHAnsi" w:eastAsia="Times New Roman" w:hAnsiTheme="minorHAnsi"/>
          <w:sz w:val="22"/>
          <w:szCs w:val="22"/>
          <w:lang w:val="en-GB"/>
        </w:rPr>
      </w:pPr>
      <w:r w:rsidRPr="003B6A69">
        <w:rPr>
          <w:rFonts w:asciiTheme="minorHAnsi" w:eastAsiaTheme="minorHAnsi" w:hAnsiTheme="minorHAnsi" w:cstheme="minorBidi"/>
          <w:sz w:val="22"/>
          <w:szCs w:val="22"/>
          <w:lang w:val="en-GB"/>
        </w:rPr>
        <w:br w:type="page"/>
      </w:r>
    </w:p>
    <w:p w14:paraId="7811E8B9" w14:textId="7A0D4D2F" w:rsidR="008C4F26" w:rsidRPr="003B6A69" w:rsidRDefault="008C4F26" w:rsidP="00904420">
      <w:pPr>
        <w:pStyle w:val="Heading2"/>
        <w:rPr>
          <w:lang w:val="en-GB"/>
        </w:rPr>
      </w:pPr>
      <w:bookmarkStart w:id="100" w:name="_Annex_4:_Agricultural"/>
      <w:bookmarkStart w:id="101" w:name="_Annex_2._Sustainable"/>
      <w:bookmarkStart w:id="102" w:name="_Annex_21._Sustainable"/>
      <w:bookmarkStart w:id="103" w:name="_Annex_18._Sustainable"/>
      <w:bookmarkStart w:id="104" w:name="_Toc82018289"/>
      <w:bookmarkEnd w:id="100"/>
      <w:bookmarkEnd w:id="101"/>
      <w:bookmarkEnd w:id="102"/>
      <w:bookmarkEnd w:id="103"/>
      <w:r w:rsidRPr="003B6A69">
        <w:rPr>
          <w:lang w:val="en-GB"/>
        </w:rPr>
        <w:lastRenderedPageBreak/>
        <w:t xml:space="preserve">Annex </w:t>
      </w:r>
      <w:r w:rsidR="006C1C66" w:rsidRPr="003B6A69">
        <w:rPr>
          <w:lang w:val="en-GB"/>
        </w:rPr>
        <w:t>16</w:t>
      </w:r>
      <w:r w:rsidRPr="003B6A69">
        <w:rPr>
          <w:lang w:val="en-GB"/>
        </w:rPr>
        <w:t>. Sustainable tourism baseline and feasibility analysis for Outcome 3</w:t>
      </w:r>
      <w:bookmarkEnd w:id="104"/>
    </w:p>
    <w:p w14:paraId="6219FC50" w14:textId="77777777" w:rsidR="008C4F26" w:rsidRPr="003B6A69" w:rsidRDefault="008C4F26" w:rsidP="008C4F26">
      <w:pPr>
        <w:spacing w:after="160" w:line="259" w:lineRule="auto"/>
        <w:jc w:val="left"/>
        <w:rPr>
          <w:rFonts w:asciiTheme="minorHAnsi" w:eastAsiaTheme="minorHAnsi" w:hAnsiTheme="minorHAnsi" w:cstheme="minorBidi"/>
          <w:b/>
          <w:szCs w:val="20"/>
        </w:rPr>
      </w:pPr>
      <w:r w:rsidRPr="003B6A69">
        <w:rPr>
          <w:rFonts w:asciiTheme="minorHAnsi" w:eastAsiaTheme="minorHAnsi" w:hAnsiTheme="minorHAnsi" w:cstheme="minorBidi"/>
          <w:b/>
          <w:szCs w:val="20"/>
        </w:rPr>
        <w:t>Introduction</w:t>
      </w:r>
    </w:p>
    <w:p w14:paraId="19F173B0" w14:textId="77777777" w:rsidR="008C4F26" w:rsidRPr="003B6A69" w:rsidRDefault="008C4F26" w:rsidP="008C4F26">
      <w:pPr>
        <w:shd w:val="clear" w:color="auto" w:fill="FFFFFF"/>
        <w:spacing w:after="120"/>
        <w:rPr>
          <w:rFonts w:asciiTheme="minorHAnsi" w:eastAsia="Times New Roman" w:hAnsiTheme="minorHAnsi" w:cstheme="minorHAnsi"/>
          <w:bCs/>
          <w:szCs w:val="20"/>
        </w:rPr>
      </w:pPr>
      <w:r w:rsidRPr="003B6A69">
        <w:rPr>
          <w:rFonts w:asciiTheme="minorHAnsi" w:eastAsia="Times New Roman" w:hAnsiTheme="minorHAnsi" w:cstheme="minorHAnsi"/>
          <w:bCs/>
          <w:szCs w:val="20"/>
        </w:rPr>
        <w:t>“The effects of tourism are often compared to that of fire: it can cook your food and heat your home, but it can also burn the house down.” – a quote that represents all the effects tourism has on one economy: it provides employment and income opportunities, can finance PAs and raise awareness, but on the other hand it can also degrade ecosystems, raise the cost of living for local people and subsequently cause revenues to flow out of the destination. The conservation and sustainable use of biodiversity, if incorporated, can bring benefits to the local communities both on the social and on the economical level.</w:t>
      </w:r>
      <w:r w:rsidRPr="003B6A69">
        <w:rPr>
          <w:rFonts w:asciiTheme="minorHAnsi" w:eastAsia="Times New Roman" w:hAnsiTheme="minorHAnsi" w:cstheme="minorHAnsi"/>
          <w:bCs/>
          <w:szCs w:val="20"/>
          <w:vertAlign w:val="superscript"/>
        </w:rPr>
        <w:footnoteReference w:id="23"/>
      </w:r>
    </w:p>
    <w:p w14:paraId="5EEFEC9F" w14:textId="77777777" w:rsidR="008C4F26" w:rsidRPr="003B6A69" w:rsidRDefault="008C4F26" w:rsidP="008C4F26">
      <w:pPr>
        <w:spacing w:after="120" w:line="259" w:lineRule="auto"/>
        <w:rPr>
          <w:rFonts w:asciiTheme="minorHAnsi" w:eastAsiaTheme="minorHAnsi" w:hAnsiTheme="minorHAnsi" w:cstheme="minorHAnsi"/>
          <w:bCs/>
          <w:szCs w:val="20"/>
        </w:rPr>
      </w:pPr>
      <w:r w:rsidRPr="003B6A69">
        <w:rPr>
          <w:rFonts w:asciiTheme="minorHAnsi" w:eastAsiaTheme="minorHAnsi" w:hAnsiTheme="minorHAnsi" w:cstheme="minorHAnsi"/>
          <w:bCs/>
          <w:szCs w:val="20"/>
        </w:rPr>
        <w:t xml:space="preserve">Sustainable governance of tourism development in a destination is a complex process involving the private sector (developers, financers, franchisees, and operators), all levels of government and </w:t>
      </w:r>
      <w:proofErr w:type="gramStart"/>
      <w:r w:rsidRPr="003B6A69">
        <w:rPr>
          <w:rFonts w:asciiTheme="minorHAnsi" w:eastAsiaTheme="minorHAnsi" w:hAnsiTheme="minorHAnsi" w:cstheme="minorHAnsi"/>
          <w:bCs/>
          <w:szCs w:val="20"/>
        </w:rPr>
        <w:t>a number of</w:t>
      </w:r>
      <w:proofErr w:type="gramEnd"/>
      <w:r w:rsidRPr="003B6A69">
        <w:rPr>
          <w:rFonts w:asciiTheme="minorHAnsi" w:eastAsiaTheme="minorHAnsi" w:hAnsiTheme="minorHAnsi" w:cstheme="minorHAnsi"/>
          <w:bCs/>
          <w:szCs w:val="20"/>
        </w:rPr>
        <w:t xml:space="preserve"> public agencies, interest groups of residents and NGOs. Decisions taken far away from the local realities of destinations tend to be less effective and may lead to “white elephants”, unfulfilled expectations and uncontrolled development. On the other hand, local action plans without adequate coordination with provincial or national guidelines, or without the enabling policy tools and a normative environment that can guide the right kind of development, may also lead to environmental degradation and inadequate distribution of benefits. </w:t>
      </w:r>
      <w:r w:rsidRPr="003B6A69">
        <w:rPr>
          <w:rFonts w:asciiTheme="minorHAnsi" w:eastAsiaTheme="minorHAnsi" w:hAnsiTheme="minorHAnsi" w:cstheme="minorHAnsi"/>
          <w:bCs/>
          <w:szCs w:val="20"/>
          <w:vertAlign w:val="superscript"/>
        </w:rPr>
        <w:footnoteReference w:id="24"/>
      </w:r>
    </w:p>
    <w:p w14:paraId="355566C1" w14:textId="77777777" w:rsidR="008C4F26" w:rsidRPr="003B6A69" w:rsidRDefault="008C4F26" w:rsidP="008C4F26">
      <w:pPr>
        <w:spacing w:after="120" w:line="259" w:lineRule="auto"/>
        <w:rPr>
          <w:rFonts w:asciiTheme="minorHAnsi" w:eastAsiaTheme="minorHAnsi" w:hAnsiTheme="minorHAnsi" w:cstheme="minorHAnsi"/>
          <w:szCs w:val="20"/>
        </w:rPr>
      </w:pPr>
      <w:r w:rsidRPr="003B6A69">
        <w:rPr>
          <w:rFonts w:asciiTheme="minorHAnsi" w:eastAsiaTheme="minorHAnsi" w:hAnsiTheme="minorHAnsi" w:cstheme="minorHAnsi"/>
          <w:bCs/>
          <w:szCs w:val="20"/>
        </w:rPr>
        <w:t>A range of tools can be used to control and influence tourism impacts on biodiversity</w:t>
      </w:r>
      <w:r w:rsidRPr="003B6A69">
        <w:rPr>
          <w:rFonts w:asciiTheme="minorHAnsi" w:eastAsiaTheme="minorHAnsi" w:hAnsiTheme="minorHAnsi" w:cstheme="minorBidi"/>
          <w:szCs w:val="20"/>
          <w:vertAlign w:val="superscript"/>
        </w:rPr>
        <w:footnoteReference w:id="25"/>
      </w:r>
      <w:r w:rsidRPr="003B6A69">
        <w:rPr>
          <w:rFonts w:asciiTheme="minorHAnsi" w:eastAsiaTheme="minorHAnsi" w:hAnsiTheme="minorHAnsi" w:cstheme="minorHAnsi"/>
          <w:bCs/>
          <w:szCs w:val="20"/>
        </w:rPr>
        <w:t>. Regulations may be adopted, such as minimum standards for construction/decommissioning, operational standards, and measures to control visitor movement and activities.</w:t>
      </w:r>
      <w:r w:rsidRPr="003B6A69">
        <w:rPr>
          <w:rFonts w:asciiTheme="minorHAnsi" w:eastAsiaTheme="minorHAnsi" w:hAnsiTheme="minorHAnsi" w:cstheme="minorHAnsi"/>
          <w:szCs w:val="20"/>
        </w:rPr>
        <w:t xml:space="preserve"> Economic instruments might include penalties to discourage environmentally harmful investments and activities, incentives such as concessions to operate in protected areas, and indirect incentives such as larger grants, </w:t>
      </w:r>
      <w:proofErr w:type="gramStart"/>
      <w:r w:rsidRPr="003B6A69">
        <w:rPr>
          <w:rFonts w:asciiTheme="minorHAnsi" w:eastAsiaTheme="minorHAnsi" w:hAnsiTheme="minorHAnsi" w:cstheme="minorHAnsi"/>
          <w:szCs w:val="20"/>
        </w:rPr>
        <w:t>loans</w:t>
      </w:r>
      <w:proofErr w:type="gramEnd"/>
      <w:r w:rsidRPr="003B6A69">
        <w:rPr>
          <w:rFonts w:asciiTheme="minorHAnsi" w:eastAsiaTheme="minorHAnsi" w:hAnsiTheme="minorHAnsi" w:cstheme="minorHAnsi"/>
          <w:szCs w:val="20"/>
        </w:rPr>
        <w:t xml:space="preserve"> and micro-credit schemes for sustainable tourism through multi- and bilateral funding entities. Voluntary tools can be implemented, such as product and destination standards, certification systems, codes of conduct and recognition of best practices such as through awards.</w:t>
      </w:r>
    </w:p>
    <w:p w14:paraId="2853CF89" w14:textId="77777777" w:rsidR="008C4F26" w:rsidRPr="003B6A69" w:rsidRDefault="008C4F26" w:rsidP="008C4F26">
      <w:pPr>
        <w:spacing w:after="120" w:line="259" w:lineRule="auto"/>
        <w:rPr>
          <w:rFonts w:asciiTheme="minorHAnsi" w:eastAsiaTheme="minorHAnsi" w:hAnsiTheme="minorHAnsi" w:cstheme="minorHAnsi"/>
          <w:szCs w:val="20"/>
        </w:rPr>
      </w:pPr>
      <w:r w:rsidRPr="003B6A69">
        <w:rPr>
          <w:rFonts w:asciiTheme="minorHAnsi" w:eastAsiaTheme="minorHAnsi" w:hAnsiTheme="minorHAnsi" w:cstheme="minorHAnsi"/>
          <w:szCs w:val="20"/>
        </w:rPr>
        <w:t>The most successful certification schemes bring three kinds of advantages to prospective clients: marketing value by the consumers (brand recognition), preferential treatment by other businesses along the supply chain (right of first refusal, pre-requisites for suppliers), and management benefits (the process leading to certification trains and motivates the company team)</w:t>
      </w:r>
      <w:r w:rsidRPr="003B6A69">
        <w:rPr>
          <w:rFonts w:asciiTheme="minorHAnsi" w:eastAsiaTheme="minorHAnsi" w:hAnsiTheme="minorHAnsi" w:cstheme="minorBidi"/>
          <w:szCs w:val="20"/>
          <w:vertAlign w:val="superscript"/>
        </w:rPr>
        <w:t xml:space="preserve"> </w:t>
      </w:r>
      <w:r w:rsidRPr="003B6A69">
        <w:rPr>
          <w:rFonts w:asciiTheme="minorHAnsi" w:eastAsiaTheme="minorHAnsi" w:hAnsiTheme="minorHAnsi" w:cstheme="minorBidi"/>
          <w:szCs w:val="20"/>
          <w:vertAlign w:val="superscript"/>
        </w:rPr>
        <w:footnoteReference w:id="26"/>
      </w:r>
      <w:r w:rsidRPr="003B6A69">
        <w:rPr>
          <w:rFonts w:asciiTheme="minorHAnsi" w:eastAsiaTheme="minorHAnsi" w:hAnsiTheme="minorHAnsi" w:cstheme="minorHAnsi"/>
          <w:szCs w:val="20"/>
        </w:rPr>
        <w:t xml:space="preserve">. When a government or a destination management body wishes to adopt voluntary codes of conduct or standards, they have the option of adhering to existing sets of guidelines, </w:t>
      </w:r>
      <w:proofErr w:type="gramStart"/>
      <w:r w:rsidRPr="003B6A69">
        <w:rPr>
          <w:rFonts w:asciiTheme="minorHAnsi" w:eastAsiaTheme="minorHAnsi" w:hAnsiTheme="minorHAnsi" w:cstheme="minorHAnsi"/>
          <w:szCs w:val="20"/>
        </w:rPr>
        <w:t>ecolabels</w:t>
      </w:r>
      <w:proofErr w:type="gramEnd"/>
      <w:r w:rsidRPr="003B6A69">
        <w:rPr>
          <w:rFonts w:asciiTheme="minorHAnsi" w:eastAsiaTheme="minorHAnsi" w:hAnsiTheme="minorHAnsi" w:cstheme="minorHAnsi"/>
          <w:szCs w:val="20"/>
        </w:rPr>
        <w:t xml:space="preserve"> and certification criteria, or developing new criteria based on their own conditions and expectations. Investment in existing standards is more worthwhile if that brand is recognized by key consumers or business-to-business decision makers. An existing label may not necessarily be easily applied to local circumstances, however, and may require payment of licensing fees to the brand holder.</w:t>
      </w:r>
    </w:p>
    <w:p w14:paraId="324D70F2" w14:textId="77777777" w:rsidR="008C4F26" w:rsidRPr="003B6A69" w:rsidRDefault="008C4F26" w:rsidP="008C4F26">
      <w:pPr>
        <w:spacing w:after="120" w:line="259" w:lineRule="auto"/>
        <w:rPr>
          <w:rFonts w:asciiTheme="minorHAnsi" w:eastAsiaTheme="minorHAnsi" w:hAnsiTheme="minorHAnsi" w:cstheme="minorHAnsi"/>
          <w:szCs w:val="20"/>
        </w:rPr>
      </w:pPr>
      <w:r w:rsidRPr="003B6A69">
        <w:rPr>
          <w:rFonts w:asciiTheme="minorHAnsi" w:eastAsiaTheme="minorHAnsi" w:hAnsiTheme="minorHAnsi" w:cstheme="minorHAnsi"/>
          <w:szCs w:val="20"/>
        </w:rPr>
        <w:t xml:space="preserve">Standards and codes can be used on their own to benchmark and promote good practice. They may also be backed by certification schemes that verify compliance, leading to the award of a label. The possibility of winning an award can act as an incentive but the greatest benefit from the schemes probably comes from raising awareness of sustainability issues, such as biodiversity impacts, and promoting good practice as an encouragement and guide to others. Sustainable tourism award schemes are run at a global level by various agencies and international tourism companies and </w:t>
      </w:r>
      <w:proofErr w:type="gramStart"/>
      <w:r w:rsidRPr="003B6A69">
        <w:rPr>
          <w:rFonts w:asciiTheme="minorHAnsi" w:eastAsiaTheme="minorHAnsi" w:hAnsiTheme="minorHAnsi" w:cstheme="minorHAnsi"/>
          <w:szCs w:val="20"/>
        </w:rPr>
        <w:t>a number of</w:t>
      </w:r>
      <w:proofErr w:type="gramEnd"/>
      <w:r w:rsidRPr="003B6A69">
        <w:rPr>
          <w:rFonts w:asciiTheme="minorHAnsi" w:eastAsiaTheme="minorHAnsi" w:hAnsiTheme="minorHAnsi" w:cstheme="minorHAnsi"/>
          <w:szCs w:val="20"/>
        </w:rPr>
        <w:t xml:space="preserve"> individual countries have their own schemes. </w:t>
      </w:r>
      <w:proofErr w:type="gramStart"/>
      <w:r w:rsidRPr="003B6A69">
        <w:rPr>
          <w:rFonts w:asciiTheme="minorHAnsi" w:eastAsiaTheme="minorHAnsi" w:hAnsiTheme="minorHAnsi" w:cstheme="minorHAnsi"/>
          <w:szCs w:val="20"/>
        </w:rPr>
        <w:t>The majority of</w:t>
      </w:r>
      <w:proofErr w:type="gramEnd"/>
      <w:r w:rsidRPr="003B6A69">
        <w:rPr>
          <w:rFonts w:asciiTheme="minorHAnsi" w:eastAsiaTheme="minorHAnsi" w:hAnsiTheme="minorHAnsi" w:cstheme="minorHAnsi"/>
          <w:szCs w:val="20"/>
        </w:rPr>
        <w:t xml:space="preserve"> them are associated with relevant international tourism fairs</w:t>
      </w:r>
      <w:r w:rsidRPr="003B6A69">
        <w:rPr>
          <w:rFonts w:asciiTheme="minorHAnsi" w:eastAsiaTheme="minorHAnsi" w:hAnsiTheme="minorHAnsi" w:cstheme="minorBidi"/>
          <w:szCs w:val="20"/>
          <w:vertAlign w:val="superscript"/>
        </w:rPr>
        <w:footnoteReference w:id="27"/>
      </w:r>
      <w:r w:rsidRPr="003B6A69">
        <w:rPr>
          <w:rFonts w:asciiTheme="minorHAnsi" w:eastAsiaTheme="minorHAnsi" w:hAnsiTheme="minorHAnsi" w:cstheme="minorHAnsi"/>
          <w:szCs w:val="20"/>
        </w:rPr>
        <w:t>.</w:t>
      </w:r>
    </w:p>
    <w:p w14:paraId="5FF2B3E7" w14:textId="77777777" w:rsidR="008C4F26" w:rsidRPr="003B6A69" w:rsidRDefault="008C4F26" w:rsidP="008C4F26">
      <w:pPr>
        <w:autoSpaceDE w:val="0"/>
        <w:autoSpaceDN w:val="0"/>
        <w:adjustRightInd w:val="0"/>
        <w:spacing w:after="120"/>
        <w:rPr>
          <w:rFonts w:asciiTheme="minorHAnsi" w:eastAsia="Calibri" w:hAnsiTheme="minorHAnsi" w:cstheme="minorHAnsi"/>
          <w:szCs w:val="20"/>
        </w:rPr>
      </w:pPr>
      <w:r w:rsidRPr="003B6A69">
        <w:rPr>
          <w:rFonts w:asciiTheme="minorHAnsi" w:eastAsia="Calibri" w:hAnsiTheme="minorHAnsi" w:cstheme="minorHAnsi"/>
          <w:szCs w:val="20"/>
        </w:rPr>
        <w:lastRenderedPageBreak/>
        <w:t xml:space="preserve">A critical component of any strategy is the concept of carrying capacity and limits of acceptable change, as well as the identification and collection of baseline information to serve as reference for monitoring </w:t>
      </w:r>
      <w:proofErr w:type="spellStart"/>
      <w:r w:rsidRPr="003B6A69">
        <w:rPr>
          <w:rFonts w:asciiTheme="minorHAnsi" w:eastAsia="Calibri" w:hAnsiTheme="minorHAnsi" w:cstheme="minorHAnsi"/>
          <w:szCs w:val="20"/>
        </w:rPr>
        <w:t>programmes</w:t>
      </w:r>
      <w:proofErr w:type="spellEnd"/>
      <w:r w:rsidRPr="003B6A69">
        <w:rPr>
          <w:rFonts w:asciiTheme="minorHAnsi" w:eastAsia="Calibri" w:hAnsiTheme="minorHAnsi" w:cstheme="minorHAnsi"/>
          <w:szCs w:val="20"/>
        </w:rPr>
        <w:t xml:space="preserve">. </w:t>
      </w:r>
      <w:r w:rsidRPr="003B6A69">
        <w:rPr>
          <w:rFonts w:asciiTheme="minorHAnsi" w:eastAsia="Calibri" w:hAnsiTheme="minorHAnsi" w:cstheme="minorHAnsi"/>
          <w:color w:val="000000"/>
          <w:szCs w:val="20"/>
        </w:rPr>
        <w:t xml:space="preserve">Benchmarking here is established through research and best practices from </w:t>
      </w:r>
      <w:proofErr w:type="spellStart"/>
      <w:r w:rsidRPr="003B6A69">
        <w:rPr>
          <w:rFonts w:asciiTheme="minorHAnsi" w:eastAsia="Calibri" w:hAnsiTheme="minorHAnsi" w:cstheme="minorHAnsi"/>
          <w:color w:val="000000"/>
          <w:szCs w:val="20"/>
        </w:rPr>
        <w:t>neighbouring</w:t>
      </w:r>
      <w:proofErr w:type="spellEnd"/>
      <w:r w:rsidRPr="003B6A69">
        <w:rPr>
          <w:rFonts w:asciiTheme="minorHAnsi" w:eastAsia="Calibri" w:hAnsiTheme="minorHAnsi" w:cstheme="minorHAnsi"/>
          <w:color w:val="000000"/>
          <w:szCs w:val="20"/>
        </w:rPr>
        <w:t xml:space="preserve"> countries. </w:t>
      </w:r>
    </w:p>
    <w:p w14:paraId="7CEC8366" w14:textId="77777777" w:rsidR="008C4F26" w:rsidRPr="003B6A69" w:rsidRDefault="008C4F26" w:rsidP="008C4F26">
      <w:pPr>
        <w:autoSpaceDE w:val="0"/>
        <w:autoSpaceDN w:val="0"/>
        <w:adjustRightInd w:val="0"/>
        <w:spacing w:after="120"/>
        <w:rPr>
          <w:rFonts w:asciiTheme="minorHAnsi" w:eastAsia="Times New Roman" w:hAnsiTheme="minorHAnsi" w:cstheme="minorHAnsi"/>
          <w:bCs/>
          <w:szCs w:val="20"/>
        </w:rPr>
      </w:pPr>
      <w:r w:rsidRPr="003B6A69">
        <w:rPr>
          <w:rFonts w:asciiTheme="minorHAnsi" w:eastAsia="Times New Roman" w:hAnsiTheme="minorHAnsi" w:cstheme="minorHAnsi"/>
          <w:bCs/>
          <w:szCs w:val="20"/>
        </w:rPr>
        <w:t xml:space="preserve">It is very important for the project design to consider the motivation of local players, and to set reasonable goals from the perspective of residents </w:t>
      </w:r>
      <w:proofErr w:type="gramStart"/>
      <w:r w:rsidRPr="003B6A69">
        <w:rPr>
          <w:rFonts w:asciiTheme="minorHAnsi" w:eastAsia="Times New Roman" w:hAnsiTheme="minorHAnsi" w:cstheme="minorHAnsi"/>
          <w:bCs/>
          <w:szCs w:val="20"/>
        </w:rPr>
        <w:t>in order for</w:t>
      </w:r>
      <w:proofErr w:type="gramEnd"/>
      <w:r w:rsidRPr="003B6A69">
        <w:rPr>
          <w:rFonts w:asciiTheme="minorHAnsi" w:eastAsia="Times New Roman" w:hAnsiTheme="minorHAnsi" w:cstheme="minorHAnsi"/>
          <w:bCs/>
          <w:szCs w:val="20"/>
        </w:rPr>
        <w:t xml:space="preserve"> the project to succeed. Locals often perceive projects as an outside initiative, from which little benefits can be obtain in the long run due to the lack of involvement of local players in the project design. Ultimately, the private sector is the engine of tourism, and holds the experience and supply chain contacts that allow products to be sold sustainably on the marketplace. Operators, guides, agents, </w:t>
      </w:r>
      <w:proofErr w:type="gramStart"/>
      <w:r w:rsidRPr="003B6A69">
        <w:rPr>
          <w:rFonts w:asciiTheme="minorHAnsi" w:eastAsia="Times New Roman" w:hAnsiTheme="minorHAnsi" w:cstheme="minorHAnsi"/>
          <w:bCs/>
          <w:szCs w:val="20"/>
        </w:rPr>
        <w:t>wholesalers</w:t>
      </w:r>
      <w:proofErr w:type="gramEnd"/>
      <w:r w:rsidRPr="003B6A69">
        <w:rPr>
          <w:rFonts w:asciiTheme="minorHAnsi" w:eastAsia="Times New Roman" w:hAnsiTheme="minorHAnsi" w:cstheme="minorHAnsi"/>
          <w:bCs/>
          <w:szCs w:val="20"/>
        </w:rPr>
        <w:t xml:space="preserve"> and distributors need to be involved in product design, marketing and sales, as appropriate.</w:t>
      </w:r>
      <w:r w:rsidRPr="003B6A69">
        <w:rPr>
          <w:rFonts w:asciiTheme="minorHAnsi" w:eastAsia="Times New Roman" w:hAnsiTheme="minorHAnsi" w:cstheme="minorHAnsi"/>
          <w:bCs/>
          <w:szCs w:val="20"/>
          <w:vertAlign w:val="superscript"/>
        </w:rPr>
        <w:footnoteReference w:id="28"/>
      </w:r>
    </w:p>
    <w:p w14:paraId="1879E222" w14:textId="77777777" w:rsidR="008C4F26" w:rsidRPr="003B6A69" w:rsidRDefault="008C4F26" w:rsidP="008C4F26">
      <w:pPr>
        <w:autoSpaceDE w:val="0"/>
        <w:autoSpaceDN w:val="0"/>
        <w:adjustRightInd w:val="0"/>
        <w:spacing w:after="120"/>
        <w:rPr>
          <w:rFonts w:asciiTheme="minorHAnsi" w:eastAsia="Calibri" w:hAnsiTheme="minorHAnsi" w:cstheme="minorHAnsi"/>
          <w:color w:val="000000"/>
          <w:szCs w:val="20"/>
        </w:rPr>
      </w:pPr>
      <w:r w:rsidRPr="003B6A69">
        <w:rPr>
          <w:rFonts w:asciiTheme="minorHAnsi" w:eastAsia="Calibri" w:hAnsiTheme="minorHAnsi" w:cstheme="minorHAnsi"/>
          <w:color w:val="000000"/>
          <w:szCs w:val="20"/>
        </w:rPr>
        <w:t xml:space="preserve">Most travelers are still unaware of the potential impact their consumer choices can have on the sustainability of tourism. Communicating sustainability issues to tourists is not easy. There is a perception that tourists do not want to consider the negative effects of their vacation – they do not want to see poverty, deal with waste, witness cultural degradation, or face the concerns of locals. While there is an element of truth in this, particularly in the “escape paradigm” of vacationing, a large percentage of travelers today want to contribute positively. In fact, sustainability sells – if the message is well presented, and pricing is competitive, customers are inclined to prefer providers that benefit destinations. Interpretation techniques can be employed by tourism providers to communicate natural and cultural heritage values, create a sense of place and awareness, and to offer a quality tourism experience. </w:t>
      </w:r>
    </w:p>
    <w:p w14:paraId="16E4F26B" w14:textId="77777777" w:rsidR="008C4F26" w:rsidRPr="003B6A69" w:rsidRDefault="008C4F26" w:rsidP="008C4F26">
      <w:pPr>
        <w:spacing w:after="160" w:line="259" w:lineRule="auto"/>
        <w:jc w:val="left"/>
        <w:rPr>
          <w:rFonts w:asciiTheme="minorHAnsi" w:eastAsia="Times New Roman" w:hAnsiTheme="minorHAnsi" w:cstheme="minorBidi"/>
          <w:b/>
          <w:bCs/>
          <w:szCs w:val="20"/>
        </w:rPr>
      </w:pPr>
      <w:r w:rsidRPr="003B6A69">
        <w:rPr>
          <w:rFonts w:asciiTheme="minorHAnsi" w:eastAsiaTheme="minorHAnsi" w:hAnsiTheme="minorHAnsi" w:cstheme="minorBidi"/>
          <w:b/>
          <w:szCs w:val="20"/>
        </w:rPr>
        <w:t>Voluntary eco-certification and verification mechanisms for hotels and tourism operators</w:t>
      </w:r>
    </w:p>
    <w:p w14:paraId="6834B1F5" w14:textId="77777777" w:rsidR="008C4F26" w:rsidRPr="003B6A69" w:rsidRDefault="008C4F26" w:rsidP="008C4F26">
      <w:pPr>
        <w:spacing w:after="120" w:line="259" w:lineRule="auto"/>
        <w:rPr>
          <w:rFonts w:asciiTheme="minorHAnsi" w:eastAsiaTheme="minorHAnsi" w:hAnsiTheme="minorHAnsi" w:cstheme="minorHAnsi"/>
          <w:szCs w:val="20"/>
        </w:rPr>
      </w:pPr>
      <w:r w:rsidRPr="003B6A69">
        <w:rPr>
          <w:rFonts w:asciiTheme="minorHAnsi" w:eastAsiaTheme="minorHAnsi" w:hAnsiTheme="minorHAnsi" w:cstheme="minorHAnsi"/>
          <w:szCs w:val="20"/>
        </w:rPr>
        <w:t>In 2015 it was estimated around 80 environmental and sustainability certificates in Europe with around 15,000 designations / certificates had been awarded to tourism operators and destinations (</w:t>
      </w:r>
      <w:proofErr w:type="spellStart"/>
      <w:r w:rsidRPr="003B6A69">
        <w:rPr>
          <w:rFonts w:asciiTheme="minorHAnsi" w:eastAsiaTheme="minorHAnsi" w:hAnsiTheme="minorHAnsi" w:cstheme="minorHAnsi"/>
          <w:szCs w:val="20"/>
        </w:rPr>
        <w:t>Hamele</w:t>
      </w:r>
      <w:proofErr w:type="spellEnd"/>
      <w:r w:rsidRPr="003B6A69">
        <w:rPr>
          <w:rFonts w:asciiTheme="minorHAnsi" w:eastAsiaTheme="minorHAnsi" w:hAnsiTheme="minorHAnsi" w:cstheme="minorHAnsi"/>
          <w:szCs w:val="20"/>
        </w:rPr>
        <w:t>, 2015). Today, there are around 30 different systems of standards, criteria and indicators that have been developed and are used in Europe to certify the sustainability of tourist contents at the destination levels, but also for businesses, hotels and apartments, and tour operators and travel agencies. Some of these systems are modified and adopted to fit the national frameworks, while others attempt to create broader systems to be used on international level. Among them, according to the criterion of scale and strength of the networks of institutions that support them, two systems of standards are important to note - ETIS and EU Ecolabel.</w:t>
      </w:r>
    </w:p>
    <w:p w14:paraId="489C01F5" w14:textId="77777777" w:rsidR="008C4F26" w:rsidRPr="003B6A69" w:rsidRDefault="008C4F26" w:rsidP="008C4F26">
      <w:pPr>
        <w:spacing w:after="120" w:line="259" w:lineRule="auto"/>
        <w:rPr>
          <w:rFonts w:asciiTheme="minorHAnsi" w:eastAsiaTheme="minorHAnsi" w:hAnsiTheme="minorHAnsi" w:cstheme="minorHAnsi"/>
          <w:szCs w:val="20"/>
        </w:rPr>
      </w:pPr>
      <w:r w:rsidRPr="003B6A69">
        <w:rPr>
          <w:rFonts w:asciiTheme="minorHAnsi" w:eastAsiaTheme="minorHAnsi" w:hAnsiTheme="minorHAnsi" w:cstheme="minorHAnsi"/>
          <w:szCs w:val="20"/>
        </w:rPr>
        <w:t xml:space="preserve">To assist tourism destinations in monitoring, measuring and systematically working to improve their sustainability, the European Commission (EC) has developed ETIS19 - the </w:t>
      </w:r>
      <w:r w:rsidRPr="003B6A69">
        <w:rPr>
          <w:rFonts w:asciiTheme="minorHAnsi" w:eastAsiaTheme="minorHAnsi" w:hAnsiTheme="minorHAnsi" w:cstheme="minorHAnsi"/>
          <w:b/>
          <w:bCs/>
          <w:i/>
          <w:iCs/>
          <w:szCs w:val="20"/>
        </w:rPr>
        <w:t>European Indicator System for Sustainable Tourism Destinations</w:t>
      </w:r>
      <w:r w:rsidRPr="003B6A69">
        <w:rPr>
          <w:rFonts w:asciiTheme="minorHAnsi" w:eastAsiaTheme="minorHAnsi" w:hAnsiTheme="minorHAnsi" w:cstheme="minorHAnsi"/>
          <w:szCs w:val="20"/>
          <w:vertAlign w:val="superscript"/>
        </w:rPr>
        <w:footnoteReference w:id="29"/>
      </w:r>
      <w:r w:rsidRPr="003B6A69">
        <w:rPr>
          <w:rFonts w:asciiTheme="minorHAnsi" w:eastAsiaTheme="minorHAnsi" w:hAnsiTheme="minorHAnsi" w:cstheme="minorHAnsi"/>
          <w:szCs w:val="20"/>
        </w:rPr>
        <w:t>. The system is designed in a way that, following the guidelines prepared, can be used by any destination without specific prior knowledge and training, and includes 27 basic and 40 additional indicators structured into 4 main topics and 22 criteria.</w:t>
      </w:r>
    </w:p>
    <w:p w14:paraId="2403FACF" w14:textId="77777777" w:rsidR="008C4F26" w:rsidRPr="003B6A69" w:rsidRDefault="008C4F26" w:rsidP="008C4F26">
      <w:pPr>
        <w:autoSpaceDE w:val="0"/>
        <w:autoSpaceDN w:val="0"/>
        <w:adjustRightInd w:val="0"/>
        <w:spacing w:after="120" w:line="201" w:lineRule="atLeast"/>
        <w:rPr>
          <w:rFonts w:asciiTheme="minorHAnsi" w:eastAsiaTheme="minorHAnsi" w:hAnsiTheme="minorHAnsi" w:cstheme="minorHAnsi"/>
          <w:szCs w:val="20"/>
        </w:rPr>
      </w:pPr>
      <w:r w:rsidRPr="003B6A69">
        <w:rPr>
          <w:rFonts w:asciiTheme="minorHAnsi" w:eastAsiaTheme="minorHAnsi" w:hAnsiTheme="minorHAnsi" w:cstheme="minorHAnsi"/>
          <w:szCs w:val="20"/>
        </w:rPr>
        <w:t xml:space="preserve">The ETIS is a management, information and monitoring tool specifically intended for tourism destinations. It is designed as a locally owned and led process for collecting and </w:t>
      </w:r>
      <w:proofErr w:type="spellStart"/>
      <w:r w:rsidRPr="003B6A69">
        <w:rPr>
          <w:rFonts w:asciiTheme="minorHAnsi" w:eastAsiaTheme="minorHAnsi" w:hAnsiTheme="minorHAnsi" w:cstheme="minorHAnsi"/>
          <w:szCs w:val="20"/>
        </w:rPr>
        <w:t>analysing</w:t>
      </w:r>
      <w:proofErr w:type="spellEnd"/>
      <w:r w:rsidRPr="003B6A69">
        <w:rPr>
          <w:rFonts w:asciiTheme="minorHAnsi" w:eastAsiaTheme="minorHAnsi" w:hAnsiTheme="minorHAnsi" w:cstheme="minorHAnsi"/>
          <w:szCs w:val="20"/>
        </w:rPr>
        <w:t xml:space="preserve"> data with the overall objective to assess the impact of tourism on a destination. The specific objective of the ETIS is to contribute to improving the sustainable management of destinations. It aims at helping destinations and the stakeholders within to measure their sustainability management processes, enabling them to monitor their performance and progress over time.</w:t>
      </w:r>
      <w:r w:rsidRPr="003B6A69">
        <w:rPr>
          <w:rFonts w:asciiTheme="minorHAnsi" w:eastAsiaTheme="minorHAnsi" w:hAnsiTheme="minorHAnsi" w:cstheme="minorHAnsi"/>
          <w:szCs w:val="20"/>
          <w:vertAlign w:val="superscript"/>
        </w:rPr>
        <w:footnoteReference w:id="30"/>
      </w:r>
    </w:p>
    <w:p w14:paraId="47B992C4" w14:textId="77777777" w:rsidR="008C4F26" w:rsidRPr="003B6A69" w:rsidRDefault="008C4F26" w:rsidP="008C4F26">
      <w:pPr>
        <w:spacing w:after="120" w:line="259" w:lineRule="auto"/>
        <w:rPr>
          <w:rFonts w:asciiTheme="minorHAnsi" w:eastAsiaTheme="minorHAnsi" w:hAnsiTheme="minorHAnsi" w:cstheme="minorHAnsi"/>
          <w:szCs w:val="20"/>
        </w:rPr>
      </w:pPr>
      <w:r w:rsidRPr="003B6A69">
        <w:rPr>
          <w:rFonts w:asciiTheme="minorHAnsi" w:eastAsiaTheme="minorHAnsi" w:hAnsiTheme="minorHAnsi" w:cstheme="minorHAnsi"/>
          <w:szCs w:val="20"/>
        </w:rPr>
        <w:t>The ETIS represents a common methodology towards sustainable destination management. It is not a certification system or an eco-labelling scheme, but a highly effective management tool provided by the European Commission. The ETIS is specially designed for tourism destinations to allow monitoring of performance and for helping destinations to develop and carry out their plans for greater sustainability with a long-term vision.</w:t>
      </w:r>
    </w:p>
    <w:p w14:paraId="3540528E" w14:textId="77777777" w:rsidR="008C4F26" w:rsidRPr="003B6A69" w:rsidRDefault="008C4F26" w:rsidP="008C4F26">
      <w:pPr>
        <w:spacing w:after="120" w:line="259" w:lineRule="auto"/>
        <w:rPr>
          <w:rFonts w:asciiTheme="minorHAnsi" w:eastAsiaTheme="minorHAnsi" w:hAnsiTheme="minorHAnsi" w:cstheme="minorHAnsi"/>
          <w:szCs w:val="20"/>
        </w:rPr>
      </w:pPr>
      <w:r w:rsidRPr="003B6A69">
        <w:rPr>
          <w:rFonts w:asciiTheme="minorHAnsi" w:eastAsiaTheme="minorHAnsi" w:hAnsiTheme="minorHAnsi" w:cstheme="minorHAnsi"/>
          <w:szCs w:val="20"/>
        </w:rPr>
        <w:t>Since tourism competitiveness is closely linked to its sustainability, the ETIS allows policy and decision-makers to monitor the main elements that determine the destination attractiveness and competitiveness on the market so they can enhance the visitor experience and ensure customer satisfaction.</w:t>
      </w:r>
    </w:p>
    <w:p w14:paraId="7FABD3E5" w14:textId="77777777" w:rsidR="008C4F26" w:rsidRPr="003B6A69" w:rsidRDefault="008C4F26" w:rsidP="008C4F26">
      <w:pPr>
        <w:spacing w:after="120" w:line="259" w:lineRule="auto"/>
        <w:rPr>
          <w:rFonts w:asciiTheme="minorHAnsi" w:eastAsiaTheme="minorHAnsi" w:hAnsiTheme="minorHAnsi" w:cstheme="minorHAnsi"/>
          <w:szCs w:val="20"/>
        </w:rPr>
      </w:pPr>
      <w:r w:rsidRPr="003B6A69">
        <w:rPr>
          <w:rFonts w:asciiTheme="minorHAnsi" w:eastAsiaTheme="minorHAnsi" w:hAnsiTheme="minorHAnsi" w:cstheme="minorHAnsi"/>
          <w:szCs w:val="20"/>
        </w:rPr>
        <w:lastRenderedPageBreak/>
        <w:t xml:space="preserve">The key benefits for your destination: improved information for decision-making, effective risk management, </w:t>
      </w:r>
      <w:proofErr w:type="spellStart"/>
      <w:r w:rsidRPr="003B6A69">
        <w:rPr>
          <w:rFonts w:asciiTheme="minorHAnsi" w:eastAsiaTheme="minorHAnsi" w:hAnsiTheme="minorHAnsi" w:cstheme="minorHAnsi"/>
          <w:szCs w:val="20"/>
        </w:rPr>
        <w:t>prioritisation</w:t>
      </w:r>
      <w:proofErr w:type="spellEnd"/>
      <w:r w:rsidRPr="003B6A69">
        <w:rPr>
          <w:rFonts w:asciiTheme="minorHAnsi" w:eastAsiaTheme="minorHAnsi" w:hAnsiTheme="minorHAnsi" w:cstheme="minorHAnsi"/>
          <w:szCs w:val="20"/>
        </w:rPr>
        <w:t xml:space="preserve"> of action projects, performance benchmarking, improved community buy-in and support for tourism stakeholders, enhanced visitor experience, increased bottom-line/cost savings, increased value per visitor.</w:t>
      </w:r>
    </w:p>
    <w:p w14:paraId="7DECEEE0" w14:textId="77777777" w:rsidR="008C4F26" w:rsidRPr="003B6A69" w:rsidRDefault="008C4F26" w:rsidP="008C4F26">
      <w:pPr>
        <w:spacing w:after="120" w:line="259" w:lineRule="auto"/>
        <w:rPr>
          <w:rFonts w:asciiTheme="minorHAnsi" w:eastAsiaTheme="minorHAnsi" w:hAnsiTheme="minorHAnsi" w:cstheme="minorHAnsi"/>
          <w:szCs w:val="20"/>
        </w:rPr>
      </w:pPr>
      <w:r w:rsidRPr="003B6A69">
        <w:rPr>
          <w:rFonts w:asciiTheme="minorHAnsi" w:eastAsiaTheme="minorHAnsi" w:hAnsiTheme="minorHAnsi" w:cstheme="minorHAnsi"/>
          <w:b/>
          <w:bCs/>
          <w:szCs w:val="20"/>
        </w:rPr>
        <w:t>EU Ecolabel</w:t>
      </w:r>
      <w:r w:rsidRPr="003B6A69">
        <w:rPr>
          <w:rFonts w:asciiTheme="minorHAnsi" w:eastAsiaTheme="minorHAnsi" w:hAnsiTheme="minorHAnsi" w:cstheme="minorHAnsi"/>
          <w:b/>
          <w:bCs/>
          <w:szCs w:val="20"/>
          <w:vertAlign w:val="superscript"/>
        </w:rPr>
        <w:footnoteReference w:id="31"/>
      </w:r>
      <w:r w:rsidRPr="003B6A69">
        <w:rPr>
          <w:rFonts w:asciiTheme="minorHAnsi" w:eastAsiaTheme="minorHAnsi" w:hAnsiTheme="minorHAnsi" w:cstheme="minorHAnsi"/>
          <w:szCs w:val="20"/>
        </w:rPr>
        <w:t xml:space="preserve"> criteria </w:t>
      </w:r>
      <w:proofErr w:type="gramStart"/>
      <w:r w:rsidRPr="003B6A69">
        <w:rPr>
          <w:rFonts w:asciiTheme="minorHAnsi" w:eastAsiaTheme="minorHAnsi" w:hAnsiTheme="minorHAnsi" w:cstheme="minorHAnsi"/>
          <w:szCs w:val="20"/>
        </w:rPr>
        <w:t>has</w:t>
      </w:r>
      <w:proofErr w:type="gramEnd"/>
      <w:r w:rsidRPr="003B6A69">
        <w:rPr>
          <w:rFonts w:asciiTheme="minorHAnsi" w:eastAsiaTheme="minorHAnsi" w:hAnsiTheme="minorHAnsi" w:cstheme="minorHAnsi"/>
          <w:szCs w:val="20"/>
        </w:rPr>
        <w:t xml:space="preserve"> been developed for tourist accommodation and campsite services. These are criteria and indicator systems </w:t>
      </w:r>
      <w:proofErr w:type="gramStart"/>
      <w:r w:rsidRPr="003B6A69">
        <w:rPr>
          <w:rFonts w:asciiTheme="minorHAnsi" w:eastAsiaTheme="minorHAnsi" w:hAnsiTheme="minorHAnsi" w:cstheme="minorHAnsi"/>
          <w:szCs w:val="20"/>
        </w:rPr>
        <w:t>similar to</w:t>
      </w:r>
      <w:proofErr w:type="gramEnd"/>
      <w:r w:rsidRPr="003B6A69">
        <w:rPr>
          <w:rFonts w:asciiTheme="minorHAnsi" w:eastAsiaTheme="minorHAnsi" w:hAnsiTheme="minorHAnsi" w:cstheme="minorHAnsi"/>
          <w:szCs w:val="20"/>
        </w:rPr>
        <w:t xml:space="preserve"> those developed by the Global Council for Sustainable Tourism, but more tailored to the EU context and level of tourism development.</w:t>
      </w:r>
    </w:p>
    <w:p w14:paraId="0594FCCB" w14:textId="77777777" w:rsidR="008C4F26" w:rsidRPr="003B6A69" w:rsidRDefault="008C4F26" w:rsidP="008C4F26">
      <w:pPr>
        <w:spacing w:after="120" w:line="259" w:lineRule="auto"/>
        <w:rPr>
          <w:rFonts w:asciiTheme="minorHAnsi" w:eastAsiaTheme="minorHAnsi" w:hAnsiTheme="minorHAnsi" w:cstheme="minorHAnsi"/>
          <w:szCs w:val="20"/>
        </w:rPr>
      </w:pPr>
      <w:r w:rsidRPr="003B6A69">
        <w:rPr>
          <w:rFonts w:asciiTheme="minorHAnsi" w:eastAsiaTheme="minorHAnsi" w:hAnsiTheme="minorHAnsi" w:cstheme="minorHAnsi"/>
          <w:szCs w:val="20"/>
        </w:rPr>
        <w:t xml:space="preserve">Established in 1992 and </w:t>
      </w:r>
      <w:proofErr w:type="spellStart"/>
      <w:r w:rsidRPr="003B6A69">
        <w:rPr>
          <w:rFonts w:asciiTheme="minorHAnsi" w:eastAsiaTheme="minorHAnsi" w:hAnsiTheme="minorHAnsi" w:cstheme="minorHAnsi"/>
          <w:szCs w:val="20"/>
        </w:rPr>
        <w:t>recognised</w:t>
      </w:r>
      <w:proofErr w:type="spellEnd"/>
      <w:r w:rsidRPr="003B6A69">
        <w:rPr>
          <w:rFonts w:asciiTheme="minorHAnsi" w:eastAsiaTheme="minorHAnsi" w:hAnsiTheme="minorHAnsi" w:cstheme="minorHAnsi"/>
          <w:szCs w:val="20"/>
        </w:rPr>
        <w:t xml:space="preserve"> across Europe and worldwide, the EU Ecolabel is a label of environmental excellence that is awarded to products and services meeting high environmental standards throughout their </w:t>
      </w:r>
      <w:proofErr w:type="gramStart"/>
      <w:r w:rsidRPr="003B6A69">
        <w:rPr>
          <w:rFonts w:asciiTheme="minorHAnsi" w:eastAsiaTheme="minorHAnsi" w:hAnsiTheme="minorHAnsi" w:cstheme="minorHAnsi"/>
          <w:szCs w:val="20"/>
        </w:rPr>
        <w:t>life-cycle</w:t>
      </w:r>
      <w:proofErr w:type="gramEnd"/>
      <w:r w:rsidRPr="003B6A69">
        <w:rPr>
          <w:rFonts w:asciiTheme="minorHAnsi" w:eastAsiaTheme="minorHAnsi" w:hAnsiTheme="minorHAnsi" w:cstheme="minorHAnsi"/>
          <w:szCs w:val="20"/>
        </w:rPr>
        <w:t>: from raw material extraction, to production, distribution and disposal. The EU Ecolabel promotes the circular economy by</w:t>
      </w:r>
      <w:r w:rsidRPr="003B6A69">
        <w:rPr>
          <w:rFonts w:asciiTheme="minorHAnsi" w:eastAsiaTheme="minorHAnsi" w:hAnsiTheme="minorHAnsi" w:cstheme="minorHAnsi"/>
          <w:color w:val="58585A"/>
          <w:szCs w:val="20"/>
        </w:rPr>
        <w:t xml:space="preserve"> </w:t>
      </w:r>
      <w:r w:rsidRPr="003B6A69">
        <w:rPr>
          <w:rFonts w:asciiTheme="minorHAnsi" w:eastAsiaTheme="minorHAnsi" w:hAnsiTheme="minorHAnsi" w:cstheme="minorHAnsi"/>
          <w:szCs w:val="20"/>
        </w:rPr>
        <w:t>encouraging producers to generate less waste and CO</w:t>
      </w:r>
      <w:r w:rsidRPr="003B6A69">
        <w:rPr>
          <w:rFonts w:asciiTheme="minorHAnsi" w:eastAsiaTheme="minorHAnsi" w:hAnsiTheme="minorHAnsi" w:cstheme="minorHAnsi"/>
          <w:szCs w:val="20"/>
          <w:vertAlign w:val="subscript"/>
        </w:rPr>
        <w:t>2</w:t>
      </w:r>
      <w:r w:rsidRPr="003B6A69">
        <w:rPr>
          <w:rFonts w:asciiTheme="minorHAnsi" w:eastAsiaTheme="minorHAnsi" w:hAnsiTheme="minorHAnsi" w:cstheme="minorHAnsi"/>
          <w:szCs w:val="20"/>
        </w:rPr>
        <w:t xml:space="preserve"> during the manufacturing process. The EU Ecolabel criteria also encourages companies to develop products that are durable, easy to repair and recycle.</w:t>
      </w:r>
    </w:p>
    <w:p w14:paraId="3FB29D23" w14:textId="77777777" w:rsidR="008C4F26" w:rsidRPr="003B6A69" w:rsidRDefault="008C4F26" w:rsidP="008C4F26">
      <w:pPr>
        <w:spacing w:after="120" w:line="259" w:lineRule="auto"/>
        <w:rPr>
          <w:rFonts w:asciiTheme="minorHAnsi" w:eastAsiaTheme="minorHAnsi" w:hAnsiTheme="minorHAnsi" w:cstheme="minorHAnsi"/>
          <w:szCs w:val="20"/>
        </w:rPr>
      </w:pPr>
      <w:r w:rsidRPr="003B6A69">
        <w:rPr>
          <w:rFonts w:asciiTheme="minorHAnsi" w:eastAsiaTheme="minorHAnsi" w:hAnsiTheme="minorHAnsi" w:cstheme="minorHAnsi"/>
          <w:szCs w:val="20"/>
        </w:rPr>
        <w:t>The EU Ecolabel criteria provide exigent guidelines for companies looking to lower their environmental impact and guarantee the efficiency of their environmental actions through third party controls. Furthermore, many companies turn to the EU Ecolabel criteria for guidance on eco-friendly best practices when developing their product lines.</w:t>
      </w:r>
    </w:p>
    <w:p w14:paraId="424313B1" w14:textId="77777777" w:rsidR="008C4F26" w:rsidRPr="003B6A69" w:rsidRDefault="008C4F26" w:rsidP="000A12EC">
      <w:pPr>
        <w:spacing w:after="120" w:line="259" w:lineRule="auto"/>
        <w:jc w:val="left"/>
        <w:rPr>
          <w:rFonts w:asciiTheme="minorHAnsi" w:eastAsiaTheme="minorHAnsi" w:hAnsiTheme="minorHAnsi" w:cstheme="minorHAnsi"/>
          <w:szCs w:val="20"/>
        </w:rPr>
      </w:pPr>
      <w:r w:rsidRPr="003B6A69">
        <w:rPr>
          <w:rFonts w:asciiTheme="minorHAnsi" w:eastAsiaTheme="minorHAnsi" w:hAnsiTheme="minorHAnsi" w:cstheme="minorHAnsi"/>
          <w:szCs w:val="20"/>
        </w:rPr>
        <w:t>To obtain EU Ecolabel one must contact Competent Body in the country, fill in ECAT online registration form, use the criteria document, and the information and checklists, to assemble a dossier containing all the information and test results needed to show how the product has met each criterion (each criterion will include a section setting out the assessment and verification requirements which may include product tests, declarations of compliance, or independent verification), once compiled, one must submit dossier and application form and the final two steps include assessment and award of license.</w:t>
      </w:r>
      <w:r w:rsidRPr="003B6A69">
        <w:rPr>
          <w:rFonts w:asciiTheme="minorHAnsi" w:eastAsiaTheme="minorHAnsi" w:hAnsiTheme="minorHAnsi" w:cstheme="minorHAnsi"/>
          <w:szCs w:val="20"/>
          <w:vertAlign w:val="superscript"/>
        </w:rPr>
        <w:footnoteReference w:id="32"/>
      </w:r>
    </w:p>
    <w:p w14:paraId="22574E2F" w14:textId="77777777" w:rsidR="008C4F26" w:rsidRPr="003B6A69" w:rsidRDefault="008C4F26" w:rsidP="000A12EC">
      <w:pPr>
        <w:spacing w:after="120" w:line="259" w:lineRule="auto"/>
        <w:jc w:val="left"/>
        <w:rPr>
          <w:rFonts w:asciiTheme="minorHAnsi" w:eastAsiaTheme="minorHAnsi" w:hAnsiTheme="minorHAnsi" w:cstheme="minorHAnsi"/>
          <w:szCs w:val="20"/>
        </w:rPr>
      </w:pPr>
      <w:r w:rsidRPr="003B6A69">
        <w:rPr>
          <w:rFonts w:asciiTheme="minorHAnsi" w:eastAsiaTheme="minorHAnsi" w:hAnsiTheme="minorHAnsi" w:cstheme="minorHAnsi"/>
          <w:szCs w:val="20"/>
        </w:rPr>
        <w:t xml:space="preserve">The </w:t>
      </w:r>
      <w:r w:rsidRPr="003B6A69">
        <w:rPr>
          <w:rFonts w:asciiTheme="minorHAnsi" w:eastAsiaTheme="minorHAnsi" w:hAnsiTheme="minorHAnsi" w:cstheme="minorHAnsi"/>
          <w:b/>
          <w:bCs/>
          <w:szCs w:val="20"/>
        </w:rPr>
        <w:t xml:space="preserve">Global Sustainable Tourism Council </w:t>
      </w:r>
      <w:r w:rsidRPr="003B6A69">
        <w:rPr>
          <w:rFonts w:asciiTheme="minorHAnsi" w:eastAsiaTheme="minorHAnsi" w:hAnsiTheme="minorHAnsi" w:cstheme="minorHAnsi"/>
          <w:szCs w:val="20"/>
        </w:rPr>
        <w:t xml:space="preserve">(GSTC), supported by a range of international bodies, has established sustainable tourism standards for tourism businesses and for destinations. These include criteria on biodiversity. The Council is also accrediting certification schemes that embrace the standards. The Criteria are the minimum, not the maximum, which businesses and destinations should implement to achieve social, environmental, cultural, and economic sustainability. Both include various requirements to consider implications for biodiversity. Businesses are required to conserve biodiversity, </w:t>
      </w:r>
      <w:proofErr w:type="gramStart"/>
      <w:r w:rsidRPr="003B6A69">
        <w:rPr>
          <w:rFonts w:asciiTheme="minorHAnsi" w:eastAsiaTheme="minorHAnsi" w:hAnsiTheme="minorHAnsi" w:cstheme="minorHAnsi"/>
          <w:szCs w:val="20"/>
        </w:rPr>
        <w:t>ecosystems</w:t>
      </w:r>
      <w:proofErr w:type="gramEnd"/>
      <w:r w:rsidRPr="003B6A69">
        <w:rPr>
          <w:rFonts w:asciiTheme="minorHAnsi" w:eastAsiaTheme="minorHAnsi" w:hAnsiTheme="minorHAnsi" w:cstheme="minorHAnsi"/>
          <w:szCs w:val="20"/>
        </w:rPr>
        <w:t xml:space="preserve"> and landscapes. Destinations are required to have regulations to protect natural resources in place and enforced, together with a requirement to monitor impacts and protect sensitive environments.</w:t>
      </w:r>
      <w:r w:rsidRPr="003B6A69">
        <w:rPr>
          <w:rFonts w:asciiTheme="minorHAnsi" w:eastAsiaTheme="minorHAnsi" w:hAnsiTheme="minorHAnsi" w:cstheme="minorHAnsi"/>
          <w:szCs w:val="20"/>
          <w:vertAlign w:val="superscript"/>
        </w:rPr>
        <w:footnoteReference w:id="33"/>
      </w:r>
    </w:p>
    <w:p w14:paraId="0A5F3599" w14:textId="77777777" w:rsidR="008C4F26" w:rsidRPr="003B6A69" w:rsidRDefault="008C4F26" w:rsidP="008C4F26">
      <w:pPr>
        <w:spacing w:after="120" w:line="259" w:lineRule="auto"/>
        <w:rPr>
          <w:rFonts w:asciiTheme="minorHAnsi" w:eastAsiaTheme="minorHAnsi" w:hAnsiTheme="minorHAnsi" w:cstheme="minorHAnsi"/>
          <w:szCs w:val="20"/>
        </w:rPr>
      </w:pPr>
      <w:r w:rsidRPr="003B6A69">
        <w:rPr>
          <w:rFonts w:asciiTheme="minorHAnsi" w:eastAsiaTheme="minorHAnsi" w:hAnsiTheme="minorHAnsi" w:cstheme="minorHAnsi"/>
          <w:szCs w:val="20"/>
        </w:rPr>
        <w:t xml:space="preserve">The </w:t>
      </w:r>
      <w:r w:rsidRPr="003B6A69">
        <w:rPr>
          <w:rFonts w:asciiTheme="minorHAnsi" w:eastAsiaTheme="minorHAnsi" w:hAnsiTheme="minorHAnsi" w:cstheme="minorHAnsi"/>
          <w:b/>
          <w:bCs/>
          <w:szCs w:val="20"/>
        </w:rPr>
        <w:t>DESTINET</w:t>
      </w:r>
      <w:r w:rsidRPr="003B6A69">
        <w:rPr>
          <w:rFonts w:asciiTheme="minorHAnsi" w:eastAsiaTheme="minorHAnsi" w:hAnsiTheme="minorHAnsi" w:cstheme="minorHAnsi"/>
          <w:szCs w:val="20"/>
          <w:vertAlign w:val="superscript"/>
        </w:rPr>
        <w:footnoteReference w:id="34"/>
      </w:r>
      <w:r w:rsidRPr="003B6A69">
        <w:rPr>
          <w:rFonts w:asciiTheme="minorHAnsi" w:eastAsiaTheme="minorHAnsi" w:hAnsiTheme="minorHAnsi" w:cstheme="minorHAnsi"/>
          <w:szCs w:val="20"/>
        </w:rPr>
        <w:t xml:space="preserve"> (Knowledge Networking Portal for Sustainable and Responsible Tourism) is an independent portal supported by the European Commission and officially registered as a United Nations “Partnership for Sustainable Development”. It serves as a reference point for sustainable tourism in Europe. It offers a comprehensive inventory of worldwide certification </w:t>
      </w:r>
      <w:proofErr w:type="spellStart"/>
      <w:r w:rsidRPr="003B6A69">
        <w:rPr>
          <w:rFonts w:asciiTheme="minorHAnsi" w:eastAsiaTheme="minorHAnsi" w:hAnsiTheme="minorHAnsi" w:cstheme="minorHAnsi"/>
          <w:szCs w:val="20"/>
        </w:rPr>
        <w:t>programmes</w:t>
      </w:r>
      <w:proofErr w:type="spellEnd"/>
      <w:r w:rsidRPr="003B6A69">
        <w:rPr>
          <w:rFonts w:asciiTheme="minorHAnsi" w:eastAsiaTheme="minorHAnsi" w:hAnsiTheme="minorHAnsi" w:cstheme="minorHAnsi"/>
          <w:szCs w:val="20"/>
        </w:rPr>
        <w:t xml:space="preserve">. While it may not list all initiatives, it is regularly updated. The </w:t>
      </w:r>
      <w:proofErr w:type="spellStart"/>
      <w:r w:rsidRPr="003B6A69">
        <w:rPr>
          <w:rFonts w:asciiTheme="minorHAnsi" w:eastAsiaTheme="minorHAnsi" w:hAnsiTheme="minorHAnsi" w:cstheme="minorHAnsi"/>
          <w:szCs w:val="20"/>
        </w:rPr>
        <w:t>Destinet</w:t>
      </w:r>
      <w:proofErr w:type="spellEnd"/>
      <w:r w:rsidRPr="003B6A69">
        <w:rPr>
          <w:rFonts w:asciiTheme="minorHAnsi" w:eastAsiaTheme="minorHAnsi" w:hAnsiTheme="minorHAnsi" w:cstheme="minorHAnsi"/>
          <w:szCs w:val="20"/>
        </w:rPr>
        <w:t xml:space="preserve"> Tourism 2030 Atlas lists over 200 sustainable tourism certification systems, yet those instruments cover less than 2% of the volume of tourism operations worldwide. Visitors to the site can click on the Global Certification </w:t>
      </w:r>
      <w:proofErr w:type="spellStart"/>
      <w:r w:rsidRPr="003B6A69">
        <w:rPr>
          <w:rFonts w:asciiTheme="minorHAnsi" w:eastAsiaTheme="minorHAnsi" w:hAnsiTheme="minorHAnsi" w:cstheme="minorHAnsi"/>
          <w:szCs w:val="20"/>
        </w:rPr>
        <w:t>Quickfinder</w:t>
      </w:r>
      <w:proofErr w:type="spellEnd"/>
      <w:r w:rsidRPr="003B6A69">
        <w:rPr>
          <w:rFonts w:asciiTheme="minorHAnsi" w:eastAsiaTheme="minorHAnsi" w:hAnsiTheme="minorHAnsi" w:cstheme="minorHAnsi"/>
          <w:szCs w:val="20"/>
        </w:rPr>
        <w:t xml:space="preserve"> with the map of 240+ certification </w:t>
      </w:r>
      <w:proofErr w:type="spellStart"/>
      <w:r w:rsidRPr="003B6A69">
        <w:rPr>
          <w:rFonts w:asciiTheme="minorHAnsi" w:eastAsiaTheme="minorHAnsi" w:hAnsiTheme="minorHAnsi" w:cstheme="minorHAnsi"/>
          <w:szCs w:val="20"/>
        </w:rPr>
        <w:t>programmes</w:t>
      </w:r>
      <w:proofErr w:type="spellEnd"/>
      <w:r w:rsidRPr="003B6A69">
        <w:rPr>
          <w:rFonts w:asciiTheme="minorHAnsi" w:eastAsiaTheme="minorHAnsi" w:hAnsiTheme="minorHAnsi" w:cstheme="minorHAnsi"/>
          <w:szCs w:val="20"/>
        </w:rPr>
        <w:t>.</w:t>
      </w:r>
      <w:r w:rsidRPr="003B6A69">
        <w:rPr>
          <w:rFonts w:asciiTheme="minorHAnsi" w:eastAsiaTheme="minorHAnsi" w:hAnsiTheme="minorHAnsi" w:cstheme="minorHAnsi"/>
          <w:szCs w:val="20"/>
          <w:vertAlign w:val="superscript"/>
        </w:rPr>
        <w:footnoteReference w:id="35"/>
      </w:r>
    </w:p>
    <w:p w14:paraId="0197DDDE" w14:textId="77777777" w:rsidR="008C4F26" w:rsidRPr="003B6A69" w:rsidRDefault="008C4F26" w:rsidP="008C4F26">
      <w:pPr>
        <w:spacing w:after="120" w:line="259" w:lineRule="auto"/>
        <w:rPr>
          <w:rFonts w:asciiTheme="minorHAnsi" w:eastAsiaTheme="minorHAnsi" w:hAnsiTheme="minorHAnsi" w:cstheme="minorHAnsi"/>
          <w:szCs w:val="20"/>
        </w:rPr>
      </w:pPr>
      <w:r w:rsidRPr="003B6A69">
        <w:rPr>
          <w:rFonts w:asciiTheme="minorHAnsi" w:eastAsiaTheme="minorHAnsi" w:hAnsiTheme="minorHAnsi" w:cstheme="minorHAnsi"/>
          <w:szCs w:val="20"/>
        </w:rPr>
        <w:t>Within this platform the European Ecotourism Network (EEN) is established.</w:t>
      </w:r>
      <w:r w:rsidRPr="003B6A69">
        <w:rPr>
          <w:rFonts w:asciiTheme="minorHAnsi" w:eastAsiaTheme="minorHAnsi" w:hAnsiTheme="minorHAnsi" w:cstheme="minorHAnsi"/>
          <w:szCs w:val="20"/>
          <w:vertAlign w:val="superscript"/>
        </w:rPr>
        <w:footnoteReference w:id="36"/>
      </w:r>
      <w:r w:rsidRPr="003B6A69">
        <w:rPr>
          <w:rFonts w:asciiTheme="minorHAnsi" w:eastAsiaTheme="minorHAnsi" w:hAnsiTheme="minorHAnsi" w:cstheme="minorHAnsi"/>
          <w:szCs w:val="20"/>
        </w:rPr>
        <w:t xml:space="preserve"> EDEN (European Destination of </w:t>
      </w:r>
      <w:proofErr w:type="spellStart"/>
      <w:r w:rsidRPr="003B6A69">
        <w:rPr>
          <w:rFonts w:asciiTheme="minorHAnsi" w:eastAsiaTheme="minorHAnsi" w:hAnsiTheme="minorHAnsi" w:cstheme="minorHAnsi"/>
          <w:szCs w:val="20"/>
        </w:rPr>
        <w:t>ExcelleNce</w:t>
      </w:r>
      <w:proofErr w:type="spellEnd"/>
      <w:r w:rsidRPr="003B6A69">
        <w:rPr>
          <w:rFonts w:asciiTheme="minorHAnsi" w:eastAsiaTheme="minorHAnsi" w:hAnsiTheme="minorHAnsi" w:cstheme="minorHAnsi"/>
          <w:szCs w:val="20"/>
        </w:rPr>
        <w:t>) is a project launched by the EC in line with EU tourism policy guidelines, with the aim of promoting a sustainable tourism development model in a way that promotes European tourism destinations that are at the forefront of innovation and quality that implement sustainable tourism principles and practices.</w:t>
      </w:r>
    </w:p>
    <w:p w14:paraId="3A27325D" w14:textId="77777777" w:rsidR="008C4F26" w:rsidRPr="003B6A69" w:rsidRDefault="008C4F26" w:rsidP="000A12EC">
      <w:pPr>
        <w:spacing w:after="120" w:line="259" w:lineRule="auto"/>
        <w:jc w:val="left"/>
        <w:rPr>
          <w:rFonts w:asciiTheme="minorHAnsi" w:eastAsiaTheme="minorHAnsi" w:hAnsiTheme="minorHAnsi" w:cstheme="minorHAnsi"/>
          <w:szCs w:val="20"/>
        </w:rPr>
      </w:pPr>
      <w:r w:rsidRPr="003B6A69">
        <w:rPr>
          <w:rFonts w:asciiTheme="minorHAnsi" w:eastAsiaTheme="minorHAnsi" w:hAnsiTheme="minorHAnsi" w:cstheme="minorHAnsi"/>
          <w:szCs w:val="20"/>
        </w:rPr>
        <w:lastRenderedPageBreak/>
        <w:t>One of the challenges for sustainable tourism certification is the relatively small penetration of the instrument into the mainstream markets</w:t>
      </w:r>
      <w:r w:rsidRPr="003B6A69">
        <w:rPr>
          <w:rFonts w:asciiTheme="minorHAnsi" w:eastAsiaTheme="minorHAnsi" w:hAnsiTheme="minorHAnsi" w:cstheme="minorHAnsi"/>
          <w:szCs w:val="20"/>
          <w:vertAlign w:val="superscript"/>
        </w:rPr>
        <w:footnoteReference w:id="37"/>
      </w:r>
      <w:r w:rsidRPr="003B6A69">
        <w:rPr>
          <w:rFonts w:asciiTheme="minorHAnsi" w:eastAsiaTheme="minorHAnsi" w:hAnsiTheme="minorHAnsi" w:cstheme="minorHAnsi"/>
          <w:szCs w:val="20"/>
          <w:vertAlign w:val="superscript"/>
        </w:rPr>
        <w:t>.</w:t>
      </w:r>
      <w:r w:rsidRPr="003B6A69">
        <w:rPr>
          <w:rFonts w:asciiTheme="minorHAnsi" w:eastAsiaTheme="minorHAnsi" w:hAnsiTheme="minorHAnsi" w:cstheme="minorHAnsi"/>
          <w:szCs w:val="20"/>
        </w:rPr>
        <w:t xml:space="preserve"> Voluntary standards, codes and guidelines may be produced for more specific tourism activities aimed at </w:t>
      </w:r>
      <w:proofErr w:type="spellStart"/>
      <w:r w:rsidRPr="003B6A69">
        <w:rPr>
          <w:rFonts w:asciiTheme="minorHAnsi" w:eastAsiaTheme="minorHAnsi" w:hAnsiTheme="minorHAnsi" w:cstheme="minorHAnsi"/>
          <w:szCs w:val="20"/>
        </w:rPr>
        <w:t>minimising</w:t>
      </w:r>
      <w:proofErr w:type="spellEnd"/>
      <w:r w:rsidRPr="003B6A69">
        <w:rPr>
          <w:rFonts w:asciiTheme="minorHAnsi" w:eastAsiaTheme="minorHAnsi" w:hAnsiTheme="minorHAnsi" w:cstheme="minorHAnsi"/>
          <w:szCs w:val="20"/>
        </w:rPr>
        <w:t xml:space="preserve"> their biodiversity impact. Examples include IUCN’s work on the siting and design of hotels, or various local and global codes for wildlife watching. Their success is entirely dependent on sector commitment. Standards and codes can be used on their own to benchmark and promote good practice. They may also be backed by certification schemes that verify compliance, leading to the award of a label. One specific recommendation is that a sustainable tourism standard should have an explicit goal of making a significant contribution towards halting the loss of biological diversity, and in creating the conditions to help achieve an increase in biodiversity.</w:t>
      </w:r>
      <w:r w:rsidRPr="003B6A69">
        <w:rPr>
          <w:rFonts w:asciiTheme="minorHAnsi" w:eastAsiaTheme="minorHAnsi" w:hAnsiTheme="minorHAnsi" w:cstheme="minorHAnsi"/>
          <w:szCs w:val="20"/>
          <w:vertAlign w:val="superscript"/>
        </w:rPr>
        <w:footnoteReference w:id="38"/>
      </w:r>
    </w:p>
    <w:p w14:paraId="0CC3F3C7" w14:textId="77777777" w:rsidR="008C4F26" w:rsidRPr="003B6A69" w:rsidRDefault="008C4F26" w:rsidP="000A12EC">
      <w:pPr>
        <w:spacing w:after="120" w:line="259" w:lineRule="auto"/>
        <w:jc w:val="left"/>
        <w:rPr>
          <w:rFonts w:asciiTheme="minorHAnsi" w:eastAsiaTheme="minorHAnsi" w:hAnsiTheme="minorHAnsi" w:cstheme="minorHAnsi"/>
          <w:szCs w:val="20"/>
        </w:rPr>
      </w:pPr>
      <w:r w:rsidRPr="003B6A69">
        <w:rPr>
          <w:rFonts w:asciiTheme="minorHAnsi" w:eastAsiaTheme="minorHAnsi" w:hAnsiTheme="minorHAnsi" w:cstheme="minorHAnsi"/>
          <w:szCs w:val="20"/>
        </w:rPr>
        <w:t xml:space="preserve">Eco-tourism certification schemes in Montenegro and neighboring countries differ substantially. Some have chosen to start off with destination certification scheme as an umbrella for businesses that operate in </w:t>
      </w:r>
      <w:proofErr w:type="spellStart"/>
      <w:r w:rsidRPr="003B6A69">
        <w:rPr>
          <w:rFonts w:asciiTheme="minorHAnsi" w:eastAsiaTheme="minorHAnsi" w:hAnsiTheme="minorHAnsi" w:cstheme="minorHAnsi"/>
          <w:szCs w:val="20"/>
        </w:rPr>
        <w:t>eco friendly</w:t>
      </w:r>
      <w:proofErr w:type="spellEnd"/>
      <w:r w:rsidRPr="003B6A69">
        <w:rPr>
          <w:rFonts w:asciiTheme="minorHAnsi" w:eastAsiaTheme="minorHAnsi" w:hAnsiTheme="minorHAnsi" w:cstheme="minorHAnsi"/>
          <w:szCs w:val="20"/>
        </w:rPr>
        <w:t xml:space="preserve"> manners. This is especially the case of Slovenia which has its’ own certification scheme which is compatible with the ones that operate on the international level. Other have left certification completely voluntary to the business, without engaging in the eco-tourism destinations schemes. Following paragraphs investigate certificates and schemes used in Slovenia, Croatia, </w:t>
      </w:r>
      <w:proofErr w:type="gramStart"/>
      <w:r w:rsidRPr="003B6A69">
        <w:rPr>
          <w:rFonts w:asciiTheme="minorHAnsi" w:eastAsiaTheme="minorHAnsi" w:hAnsiTheme="minorHAnsi" w:cstheme="minorHAnsi"/>
          <w:szCs w:val="20"/>
        </w:rPr>
        <w:t>Serbia</w:t>
      </w:r>
      <w:proofErr w:type="gramEnd"/>
      <w:r w:rsidRPr="003B6A69">
        <w:rPr>
          <w:rFonts w:asciiTheme="minorHAnsi" w:eastAsiaTheme="minorHAnsi" w:hAnsiTheme="minorHAnsi" w:cstheme="minorHAnsi"/>
          <w:szCs w:val="20"/>
        </w:rPr>
        <w:t xml:space="preserve"> and Montenegro. </w:t>
      </w:r>
    </w:p>
    <w:p w14:paraId="546BDE00" w14:textId="77777777" w:rsidR="008C4F26" w:rsidRPr="003B6A69" w:rsidRDefault="008C4F26" w:rsidP="008C4F26">
      <w:pPr>
        <w:spacing w:after="160" w:line="259" w:lineRule="auto"/>
        <w:jc w:val="center"/>
        <w:rPr>
          <w:rFonts w:asciiTheme="minorHAnsi" w:eastAsiaTheme="minorHAnsi" w:hAnsiTheme="minorHAnsi" w:cstheme="minorHAnsi"/>
          <w:i/>
          <w:iCs/>
          <w:szCs w:val="20"/>
        </w:rPr>
      </w:pPr>
      <w:r w:rsidRPr="003B6A69">
        <w:rPr>
          <w:rFonts w:asciiTheme="minorHAnsi" w:eastAsiaTheme="minorHAnsi" w:hAnsiTheme="minorHAnsi" w:cstheme="minorHAnsi"/>
          <w:i/>
          <w:iCs/>
          <w:szCs w:val="20"/>
        </w:rPr>
        <w:t>Table 1. Eco-tourism certifications used in Montenegro and neighboring countries</w:t>
      </w:r>
      <w:r w:rsidRPr="003B6A69">
        <w:rPr>
          <w:rFonts w:asciiTheme="minorHAnsi" w:eastAsiaTheme="minorHAnsi" w:hAnsiTheme="minorHAnsi" w:cstheme="minorHAnsi"/>
          <w:i/>
          <w:iCs/>
          <w:szCs w:val="20"/>
          <w:vertAlign w:val="superscript"/>
        </w:rPr>
        <w:footnoteReference w:id="39"/>
      </w:r>
    </w:p>
    <w:tbl>
      <w:tblPr>
        <w:tblStyle w:val="TableGrid7"/>
        <w:tblW w:w="0" w:type="auto"/>
        <w:tblLook w:val="04A0" w:firstRow="1" w:lastRow="0" w:firstColumn="1" w:lastColumn="0" w:noHBand="0" w:noVBand="1"/>
      </w:tblPr>
      <w:tblGrid>
        <w:gridCol w:w="2117"/>
        <w:gridCol w:w="1721"/>
        <w:gridCol w:w="1709"/>
        <w:gridCol w:w="1699"/>
        <w:gridCol w:w="1764"/>
      </w:tblGrid>
      <w:tr w:rsidR="008C4F26" w:rsidRPr="003B6A69" w14:paraId="73B7BB02" w14:textId="77777777" w:rsidTr="008C4F26">
        <w:tc>
          <w:tcPr>
            <w:tcW w:w="2117" w:type="dxa"/>
          </w:tcPr>
          <w:p w14:paraId="4930957E" w14:textId="77777777" w:rsidR="008C4F26" w:rsidRPr="003B6A69" w:rsidRDefault="008C4F26" w:rsidP="008C4F26">
            <w:pPr>
              <w:spacing w:after="0"/>
              <w:jc w:val="left"/>
              <w:rPr>
                <w:rFonts w:asciiTheme="minorHAnsi" w:hAnsiTheme="minorHAnsi" w:cstheme="minorHAnsi"/>
                <w:szCs w:val="20"/>
              </w:rPr>
            </w:pPr>
          </w:p>
        </w:tc>
        <w:tc>
          <w:tcPr>
            <w:tcW w:w="1721" w:type="dxa"/>
          </w:tcPr>
          <w:p w14:paraId="67E3E766" w14:textId="77777777" w:rsidR="008C4F26" w:rsidRPr="003B6A69" w:rsidRDefault="008C4F26" w:rsidP="008C4F26">
            <w:pPr>
              <w:spacing w:after="0"/>
              <w:jc w:val="left"/>
              <w:rPr>
                <w:rFonts w:asciiTheme="minorHAnsi" w:hAnsiTheme="minorHAnsi" w:cstheme="minorHAnsi"/>
                <w:szCs w:val="20"/>
              </w:rPr>
            </w:pPr>
            <w:r w:rsidRPr="003B6A69">
              <w:rPr>
                <w:rFonts w:asciiTheme="minorHAnsi" w:hAnsiTheme="minorHAnsi" w:cstheme="minorHAnsi"/>
                <w:szCs w:val="20"/>
              </w:rPr>
              <w:t>Slovenia</w:t>
            </w:r>
          </w:p>
        </w:tc>
        <w:tc>
          <w:tcPr>
            <w:tcW w:w="1709" w:type="dxa"/>
          </w:tcPr>
          <w:p w14:paraId="2D313216" w14:textId="77777777" w:rsidR="008C4F26" w:rsidRPr="003B6A69" w:rsidRDefault="008C4F26" w:rsidP="008C4F26">
            <w:pPr>
              <w:spacing w:after="0"/>
              <w:jc w:val="left"/>
              <w:rPr>
                <w:rFonts w:asciiTheme="minorHAnsi" w:hAnsiTheme="minorHAnsi" w:cstheme="minorHAnsi"/>
                <w:szCs w:val="20"/>
              </w:rPr>
            </w:pPr>
            <w:r w:rsidRPr="003B6A69">
              <w:rPr>
                <w:rFonts w:asciiTheme="minorHAnsi" w:hAnsiTheme="minorHAnsi" w:cstheme="minorHAnsi"/>
                <w:szCs w:val="20"/>
              </w:rPr>
              <w:t>Croatia</w:t>
            </w:r>
          </w:p>
        </w:tc>
        <w:tc>
          <w:tcPr>
            <w:tcW w:w="1699" w:type="dxa"/>
          </w:tcPr>
          <w:p w14:paraId="535B3D66" w14:textId="77777777" w:rsidR="008C4F26" w:rsidRPr="003B6A69" w:rsidRDefault="008C4F26" w:rsidP="008C4F26">
            <w:pPr>
              <w:spacing w:after="0"/>
              <w:jc w:val="left"/>
              <w:rPr>
                <w:rFonts w:asciiTheme="minorHAnsi" w:hAnsiTheme="minorHAnsi" w:cstheme="minorHAnsi"/>
                <w:szCs w:val="20"/>
              </w:rPr>
            </w:pPr>
            <w:r w:rsidRPr="003B6A69">
              <w:rPr>
                <w:rFonts w:asciiTheme="minorHAnsi" w:hAnsiTheme="minorHAnsi" w:cstheme="minorHAnsi"/>
                <w:szCs w:val="20"/>
              </w:rPr>
              <w:t>Serbia</w:t>
            </w:r>
          </w:p>
        </w:tc>
        <w:tc>
          <w:tcPr>
            <w:tcW w:w="1764" w:type="dxa"/>
          </w:tcPr>
          <w:p w14:paraId="6E4F4FDD" w14:textId="77777777" w:rsidR="008C4F26" w:rsidRPr="003B6A69" w:rsidRDefault="008C4F26" w:rsidP="008C4F26">
            <w:pPr>
              <w:spacing w:after="0"/>
              <w:jc w:val="left"/>
              <w:rPr>
                <w:rFonts w:asciiTheme="minorHAnsi" w:hAnsiTheme="minorHAnsi" w:cstheme="minorHAnsi"/>
                <w:szCs w:val="20"/>
              </w:rPr>
            </w:pPr>
            <w:r w:rsidRPr="003B6A69">
              <w:rPr>
                <w:rFonts w:asciiTheme="minorHAnsi" w:hAnsiTheme="minorHAnsi" w:cstheme="minorHAnsi"/>
                <w:szCs w:val="20"/>
              </w:rPr>
              <w:t>Montenegro</w:t>
            </w:r>
          </w:p>
        </w:tc>
      </w:tr>
      <w:tr w:rsidR="008C4F26" w:rsidRPr="003B6A69" w14:paraId="57A2F964" w14:textId="77777777" w:rsidTr="008C4F26">
        <w:tc>
          <w:tcPr>
            <w:tcW w:w="2117" w:type="dxa"/>
          </w:tcPr>
          <w:p w14:paraId="6A8E20F4" w14:textId="77777777" w:rsidR="008C4F26" w:rsidRPr="003B6A69" w:rsidRDefault="008C4F26" w:rsidP="008C4F26">
            <w:pPr>
              <w:spacing w:after="0"/>
              <w:jc w:val="left"/>
              <w:rPr>
                <w:rFonts w:asciiTheme="minorHAnsi" w:hAnsiTheme="minorHAnsi" w:cstheme="minorHAnsi"/>
                <w:szCs w:val="20"/>
              </w:rPr>
            </w:pPr>
            <w:r w:rsidRPr="003B6A69">
              <w:rPr>
                <w:rFonts w:asciiTheme="minorHAnsi" w:hAnsiTheme="minorHAnsi" w:cstheme="minorHAnsi"/>
                <w:szCs w:val="20"/>
              </w:rPr>
              <w:t>EU Ecolabel</w:t>
            </w:r>
            <w:r w:rsidRPr="003B6A69">
              <w:rPr>
                <w:rFonts w:asciiTheme="minorHAnsi" w:hAnsiTheme="minorHAnsi" w:cstheme="minorHAnsi"/>
                <w:szCs w:val="20"/>
                <w:vertAlign w:val="superscript"/>
              </w:rPr>
              <w:footnoteReference w:id="40"/>
            </w:r>
          </w:p>
        </w:tc>
        <w:tc>
          <w:tcPr>
            <w:tcW w:w="1721" w:type="dxa"/>
          </w:tcPr>
          <w:p w14:paraId="699319C3" w14:textId="77777777" w:rsidR="008C4F26" w:rsidRPr="003B6A69" w:rsidRDefault="008C4F26" w:rsidP="008C4F26">
            <w:pPr>
              <w:spacing w:after="0"/>
              <w:jc w:val="left"/>
              <w:rPr>
                <w:rFonts w:asciiTheme="minorHAnsi" w:hAnsiTheme="minorHAnsi" w:cstheme="minorHAnsi"/>
                <w:szCs w:val="20"/>
              </w:rPr>
            </w:pPr>
            <w:r w:rsidRPr="003B6A69">
              <w:rPr>
                <w:rFonts w:asciiTheme="minorHAnsi" w:hAnsiTheme="minorHAnsi" w:cstheme="minorHAnsi"/>
                <w:szCs w:val="20"/>
              </w:rPr>
              <w:t>14</w:t>
            </w:r>
          </w:p>
        </w:tc>
        <w:tc>
          <w:tcPr>
            <w:tcW w:w="1709" w:type="dxa"/>
          </w:tcPr>
          <w:p w14:paraId="4B5047F9" w14:textId="77777777" w:rsidR="008C4F26" w:rsidRPr="003B6A69" w:rsidRDefault="008C4F26" w:rsidP="008C4F26">
            <w:pPr>
              <w:spacing w:after="0"/>
              <w:jc w:val="left"/>
              <w:rPr>
                <w:rFonts w:asciiTheme="minorHAnsi" w:hAnsiTheme="minorHAnsi" w:cstheme="minorHAnsi"/>
                <w:szCs w:val="20"/>
              </w:rPr>
            </w:pPr>
            <w:r w:rsidRPr="003B6A69">
              <w:rPr>
                <w:rFonts w:asciiTheme="minorHAnsi" w:hAnsiTheme="minorHAnsi" w:cstheme="minorHAnsi"/>
                <w:szCs w:val="20"/>
              </w:rPr>
              <w:t>1</w:t>
            </w:r>
          </w:p>
        </w:tc>
        <w:tc>
          <w:tcPr>
            <w:tcW w:w="1699" w:type="dxa"/>
          </w:tcPr>
          <w:p w14:paraId="61E5F824" w14:textId="77777777" w:rsidR="008C4F26" w:rsidRPr="003B6A69" w:rsidRDefault="008C4F26" w:rsidP="008C4F26">
            <w:pPr>
              <w:spacing w:after="0"/>
              <w:jc w:val="left"/>
              <w:rPr>
                <w:rFonts w:asciiTheme="minorHAnsi" w:hAnsiTheme="minorHAnsi" w:cstheme="minorHAnsi"/>
                <w:szCs w:val="20"/>
              </w:rPr>
            </w:pPr>
            <w:r w:rsidRPr="003B6A69">
              <w:rPr>
                <w:rFonts w:asciiTheme="minorHAnsi" w:hAnsiTheme="minorHAnsi" w:cstheme="minorHAnsi"/>
                <w:szCs w:val="20"/>
              </w:rPr>
              <w:t>-</w:t>
            </w:r>
          </w:p>
        </w:tc>
        <w:tc>
          <w:tcPr>
            <w:tcW w:w="1764" w:type="dxa"/>
          </w:tcPr>
          <w:p w14:paraId="4E6D715E" w14:textId="77777777" w:rsidR="008C4F26" w:rsidRPr="003B6A69" w:rsidRDefault="008C4F26" w:rsidP="008C4F26">
            <w:pPr>
              <w:spacing w:after="0"/>
              <w:jc w:val="left"/>
              <w:rPr>
                <w:rFonts w:asciiTheme="minorHAnsi" w:hAnsiTheme="minorHAnsi" w:cstheme="minorHAnsi"/>
                <w:szCs w:val="20"/>
              </w:rPr>
            </w:pPr>
            <w:r w:rsidRPr="003B6A69">
              <w:rPr>
                <w:rFonts w:asciiTheme="minorHAnsi" w:hAnsiTheme="minorHAnsi" w:cstheme="minorHAnsi"/>
                <w:szCs w:val="20"/>
              </w:rPr>
              <w:t>15</w:t>
            </w:r>
          </w:p>
        </w:tc>
      </w:tr>
      <w:tr w:rsidR="008C4F26" w:rsidRPr="003B6A69" w14:paraId="1FD8458A" w14:textId="77777777" w:rsidTr="008C4F26">
        <w:tc>
          <w:tcPr>
            <w:tcW w:w="2117" w:type="dxa"/>
          </w:tcPr>
          <w:p w14:paraId="22464DCB" w14:textId="77777777" w:rsidR="008C4F26" w:rsidRPr="003B6A69" w:rsidRDefault="008C4F26" w:rsidP="008C4F26">
            <w:pPr>
              <w:spacing w:after="0"/>
              <w:jc w:val="left"/>
              <w:rPr>
                <w:rFonts w:asciiTheme="minorHAnsi" w:hAnsiTheme="minorHAnsi" w:cstheme="minorHAnsi"/>
                <w:szCs w:val="20"/>
              </w:rPr>
            </w:pPr>
            <w:proofErr w:type="spellStart"/>
            <w:r w:rsidRPr="003B6A69">
              <w:rPr>
                <w:rFonts w:asciiTheme="minorHAnsi" w:hAnsiTheme="minorHAnsi" w:cstheme="minorHAnsi"/>
                <w:szCs w:val="20"/>
              </w:rPr>
              <w:t>Travelife</w:t>
            </w:r>
            <w:proofErr w:type="spellEnd"/>
          </w:p>
        </w:tc>
        <w:tc>
          <w:tcPr>
            <w:tcW w:w="1721" w:type="dxa"/>
          </w:tcPr>
          <w:p w14:paraId="7E231DC3" w14:textId="77777777" w:rsidR="008C4F26" w:rsidRPr="003B6A69" w:rsidRDefault="008C4F26" w:rsidP="008C4F26">
            <w:pPr>
              <w:spacing w:after="0"/>
              <w:jc w:val="left"/>
              <w:rPr>
                <w:rFonts w:asciiTheme="minorHAnsi" w:hAnsiTheme="minorHAnsi" w:cstheme="minorHAnsi"/>
                <w:szCs w:val="20"/>
              </w:rPr>
            </w:pPr>
            <w:r w:rsidRPr="003B6A69">
              <w:rPr>
                <w:rFonts w:asciiTheme="minorHAnsi" w:hAnsiTheme="minorHAnsi" w:cstheme="minorHAnsi"/>
                <w:szCs w:val="20"/>
              </w:rPr>
              <w:t>15</w:t>
            </w:r>
          </w:p>
        </w:tc>
        <w:tc>
          <w:tcPr>
            <w:tcW w:w="1709" w:type="dxa"/>
          </w:tcPr>
          <w:p w14:paraId="2439CAD0" w14:textId="77777777" w:rsidR="008C4F26" w:rsidRPr="003B6A69" w:rsidRDefault="008C4F26" w:rsidP="008C4F26">
            <w:pPr>
              <w:spacing w:after="0"/>
              <w:jc w:val="left"/>
              <w:rPr>
                <w:rFonts w:asciiTheme="minorHAnsi" w:hAnsiTheme="minorHAnsi" w:cstheme="minorHAnsi"/>
                <w:szCs w:val="20"/>
              </w:rPr>
            </w:pPr>
            <w:r w:rsidRPr="003B6A69">
              <w:rPr>
                <w:rFonts w:asciiTheme="minorHAnsi" w:hAnsiTheme="minorHAnsi" w:cstheme="minorHAnsi"/>
                <w:szCs w:val="20"/>
              </w:rPr>
              <w:t>11</w:t>
            </w:r>
          </w:p>
        </w:tc>
        <w:tc>
          <w:tcPr>
            <w:tcW w:w="1699" w:type="dxa"/>
          </w:tcPr>
          <w:p w14:paraId="58264289" w14:textId="77777777" w:rsidR="008C4F26" w:rsidRPr="003B6A69" w:rsidRDefault="008C4F26" w:rsidP="008C4F26">
            <w:pPr>
              <w:spacing w:after="0"/>
              <w:jc w:val="left"/>
              <w:rPr>
                <w:rFonts w:asciiTheme="minorHAnsi" w:hAnsiTheme="minorHAnsi" w:cstheme="minorHAnsi"/>
                <w:szCs w:val="20"/>
              </w:rPr>
            </w:pPr>
            <w:r w:rsidRPr="003B6A69">
              <w:rPr>
                <w:rFonts w:asciiTheme="minorHAnsi" w:hAnsiTheme="minorHAnsi" w:cstheme="minorHAnsi"/>
                <w:szCs w:val="20"/>
              </w:rPr>
              <w:t>-</w:t>
            </w:r>
          </w:p>
        </w:tc>
        <w:tc>
          <w:tcPr>
            <w:tcW w:w="1764" w:type="dxa"/>
          </w:tcPr>
          <w:p w14:paraId="4ED36BB8" w14:textId="77777777" w:rsidR="008C4F26" w:rsidRPr="003B6A69" w:rsidRDefault="008C4F26" w:rsidP="008C4F26">
            <w:pPr>
              <w:spacing w:after="0"/>
              <w:jc w:val="left"/>
              <w:rPr>
                <w:rFonts w:asciiTheme="minorHAnsi" w:hAnsiTheme="minorHAnsi" w:cstheme="minorHAnsi"/>
                <w:szCs w:val="20"/>
              </w:rPr>
            </w:pPr>
            <w:r w:rsidRPr="003B6A69">
              <w:rPr>
                <w:rFonts w:asciiTheme="minorHAnsi" w:hAnsiTheme="minorHAnsi" w:cstheme="minorHAnsi"/>
                <w:szCs w:val="20"/>
              </w:rPr>
              <w:t>1</w:t>
            </w:r>
          </w:p>
        </w:tc>
      </w:tr>
      <w:tr w:rsidR="008C4F26" w:rsidRPr="003B6A69" w14:paraId="5EB8EF8A" w14:textId="77777777" w:rsidTr="008C4F26">
        <w:tc>
          <w:tcPr>
            <w:tcW w:w="2117" w:type="dxa"/>
          </w:tcPr>
          <w:p w14:paraId="46F094DA" w14:textId="77777777" w:rsidR="008C4F26" w:rsidRPr="003B6A69" w:rsidRDefault="008C4F26" w:rsidP="008C4F26">
            <w:pPr>
              <w:spacing w:after="0"/>
              <w:jc w:val="left"/>
              <w:rPr>
                <w:rFonts w:asciiTheme="minorHAnsi" w:hAnsiTheme="minorHAnsi" w:cstheme="minorHAnsi"/>
                <w:szCs w:val="20"/>
              </w:rPr>
            </w:pPr>
            <w:r w:rsidRPr="003B6A69">
              <w:rPr>
                <w:rFonts w:asciiTheme="minorHAnsi" w:hAnsiTheme="minorHAnsi" w:cstheme="minorHAnsi"/>
                <w:szCs w:val="20"/>
              </w:rPr>
              <w:t>Green Key</w:t>
            </w:r>
          </w:p>
        </w:tc>
        <w:tc>
          <w:tcPr>
            <w:tcW w:w="1721" w:type="dxa"/>
          </w:tcPr>
          <w:p w14:paraId="168B413F" w14:textId="77777777" w:rsidR="008C4F26" w:rsidRPr="003B6A69" w:rsidRDefault="008C4F26" w:rsidP="008C4F26">
            <w:pPr>
              <w:spacing w:after="0"/>
              <w:jc w:val="left"/>
              <w:rPr>
                <w:rFonts w:asciiTheme="minorHAnsi" w:hAnsiTheme="minorHAnsi" w:cstheme="minorHAnsi"/>
                <w:szCs w:val="20"/>
              </w:rPr>
            </w:pPr>
            <w:r w:rsidRPr="003B6A69">
              <w:rPr>
                <w:rFonts w:asciiTheme="minorHAnsi" w:hAnsiTheme="minorHAnsi" w:cstheme="minorHAnsi"/>
                <w:szCs w:val="20"/>
              </w:rPr>
              <w:t>22</w:t>
            </w:r>
          </w:p>
        </w:tc>
        <w:tc>
          <w:tcPr>
            <w:tcW w:w="1709" w:type="dxa"/>
          </w:tcPr>
          <w:p w14:paraId="7752BD63" w14:textId="77777777" w:rsidR="008C4F26" w:rsidRPr="003B6A69" w:rsidRDefault="008C4F26" w:rsidP="008C4F26">
            <w:pPr>
              <w:spacing w:after="0"/>
              <w:jc w:val="left"/>
              <w:rPr>
                <w:rFonts w:asciiTheme="minorHAnsi" w:hAnsiTheme="minorHAnsi" w:cstheme="minorHAnsi"/>
                <w:szCs w:val="20"/>
              </w:rPr>
            </w:pPr>
            <w:r w:rsidRPr="003B6A69">
              <w:rPr>
                <w:rFonts w:asciiTheme="minorHAnsi" w:hAnsiTheme="minorHAnsi" w:cstheme="minorHAnsi"/>
                <w:szCs w:val="20"/>
              </w:rPr>
              <w:t>9</w:t>
            </w:r>
          </w:p>
        </w:tc>
        <w:tc>
          <w:tcPr>
            <w:tcW w:w="1699" w:type="dxa"/>
          </w:tcPr>
          <w:p w14:paraId="3C388550" w14:textId="77777777" w:rsidR="008C4F26" w:rsidRPr="003B6A69" w:rsidRDefault="008C4F26" w:rsidP="008C4F26">
            <w:pPr>
              <w:spacing w:after="0"/>
              <w:jc w:val="left"/>
              <w:rPr>
                <w:rFonts w:asciiTheme="minorHAnsi" w:hAnsiTheme="minorHAnsi" w:cstheme="minorHAnsi"/>
                <w:szCs w:val="20"/>
              </w:rPr>
            </w:pPr>
            <w:r w:rsidRPr="003B6A69">
              <w:rPr>
                <w:rFonts w:asciiTheme="minorHAnsi" w:hAnsiTheme="minorHAnsi" w:cstheme="minorHAnsi"/>
                <w:szCs w:val="20"/>
              </w:rPr>
              <w:t>2</w:t>
            </w:r>
          </w:p>
        </w:tc>
        <w:tc>
          <w:tcPr>
            <w:tcW w:w="1764" w:type="dxa"/>
          </w:tcPr>
          <w:p w14:paraId="5F5F1BC3" w14:textId="77777777" w:rsidR="008C4F26" w:rsidRPr="003B6A69" w:rsidRDefault="008C4F26" w:rsidP="008C4F26">
            <w:pPr>
              <w:spacing w:after="0"/>
              <w:jc w:val="left"/>
              <w:rPr>
                <w:rFonts w:asciiTheme="minorHAnsi" w:hAnsiTheme="minorHAnsi" w:cstheme="minorHAnsi"/>
                <w:szCs w:val="20"/>
              </w:rPr>
            </w:pPr>
            <w:r w:rsidRPr="003B6A69">
              <w:rPr>
                <w:rFonts w:asciiTheme="minorHAnsi" w:hAnsiTheme="minorHAnsi" w:cstheme="minorHAnsi"/>
                <w:szCs w:val="20"/>
              </w:rPr>
              <w:t>1</w:t>
            </w:r>
          </w:p>
        </w:tc>
      </w:tr>
      <w:tr w:rsidR="008C4F26" w:rsidRPr="003B6A69" w14:paraId="033BEF4C" w14:textId="77777777" w:rsidTr="008C4F26">
        <w:tc>
          <w:tcPr>
            <w:tcW w:w="2117" w:type="dxa"/>
          </w:tcPr>
          <w:p w14:paraId="77CA69F4" w14:textId="77777777" w:rsidR="008C4F26" w:rsidRPr="003B6A69" w:rsidRDefault="008C4F26" w:rsidP="008C4F26">
            <w:pPr>
              <w:spacing w:after="0"/>
              <w:jc w:val="left"/>
              <w:rPr>
                <w:rFonts w:asciiTheme="minorHAnsi" w:hAnsiTheme="minorHAnsi" w:cstheme="minorHAnsi"/>
                <w:szCs w:val="20"/>
              </w:rPr>
            </w:pPr>
            <w:r w:rsidRPr="003B6A69">
              <w:rPr>
                <w:rFonts w:asciiTheme="minorHAnsi" w:hAnsiTheme="minorHAnsi" w:cstheme="minorHAnsi"/>
                <w:szCs w:val="20"/>
              </w:rPr>
              <w:t>Green Globe</w:t>
            </w:r>
            <w:r w:rsidRPr="003B6A69">
              <w:rPr>
                <w:rFonts w:asciiTheme="minorHAnsi" w:hAnsiTheme="minorHAnsi" w:cstheme="minorHAnsi"/>
                <w:szCs w:val="20"/>
                <w:vertAlign w:val="superscript"/>
              </w:rPr>
              <w:footnoteReference w:id="41"/>
            </w:r>
          </w:p>
        </w:tc>
        <w:tc>
          <w:tcPr>
            <w:tcW w:w="1721" w:type="dxa"/>
          </w:tcPr>
          <w:p w14:paraId="2B4FBA44" w14:textId="77777777" w:rsidR="008C4F26" w:rsidRPr="003B6A69" w:rsidRDefault="008C4F26" w:rsidP="008C4F26">
            <w:pPr>
              <w:spacing w:after="0"/>
              <w:jc w:val="left"/>
              <w:rPr>
                <w:rFonts w:asciiTheme="minorHAnsi" w:hAnsiTheme="minorHAnsi" w:cstheme="minorHAnsi"/>
                <w:szCs w:val="20"/>
              </w:rPr>
            </w:pPr>
            <w:r w:rsidRPr="003B6A69">
              <w:rPr>
                <w:rFonts w:asciiTheme="minorHAnsi" w:hAnsiTheme="minorHAnsi" w:cstheme="minorHAnsi"/>
                <w:szCs w:val="20"/>
              </w:rPr>
              <w:t>4</w:t>
            </w:r>
          </w:p>
        </w:tc>
        <w:tc>
          <w:tcPr>
            <w:tcW w:w="1709" w:type="dxa"/>
          </w:tcPr>
          <w:p w14:paraId="2CA989A9" w14:textId="77777777" w:rsidR="008C4F26" w:rsidRPr="003B6A69" w:rsidRDefault="008C4F26" w:rsidP="008C4F26">
            <w:pPr>
              <w:spacing w:after="0"/>
              <w:jc w:val="left"/>
              <w:rPr>
                <w:rFonts w:asciiTheme="minorHAnsi" w:hAnsiTheme="minorHAnsi" w:cstheme="minorHAnsi"/>
                <w:szCs w:val="20"/>
              </w:rPr>
            </w:pPr>
            <w:r w:rsidRPr="003B6A69">
              <w:rPr>
                <w:rFonts w:asciiTheme="minorHAnsi" w:hAnsiTheme="minorHAnsi" w:cstheme="minorHAnsi"/>
                <w:szCs w:val="20"/>
              </w:rPr>
              <w:t>1</w:t>
            </w:r>
          </w:p>
        </w:tc>
        <w:tc>
          <w:tcPr>
            <w:tcW w:w="1699" w:type="dxa"/>
          </w:tcPr>
          <w:p w14:paraId="7F12F2C1" w14:textId="77777777" w:rsidR="008C4F26" w:rsidRPr="003B6A69" w:rsidRDefault="008C4F26" w:rsidP="008C4F26">
            <w:pPr>
              <w:spacing w:after="0"/>
              <w:jc w:val="left"/>
              <w:rPr>
                <w:rFonts w:asciiTheme="minorHAnsi" w:hAnsiTheme="minorHAnsi" w:cstheme="minorHAnsi"/>
                <w:szCs w:val="20"/>
              </w:rPr>
            </w:pPr>
            <w:r w:rsidRPr="003B6A69">
              <w:rPr>
                <w:rFonts w:asciiTheme="minorHAnsi" w:hAnsiTheme="minorHAnsi" w:cstheme="minorHAnsi"/>
                <w:szCs w:val="20"/>
              </w:rPr>
              <w:t>1</w:t>
            </w:r>
          </w:p>
        </w:tc>
        <w:tc>
          <w:tcPr>
            <w:tcW w:w="1764" w:type="dxa"/>
          </w:tcPr>
          <w:p w14:paraId="14F7D891" w14:textId="77777777" w:rsidR="008C4F26" w:rsidRPr="003B6A69" w:rsidRDefault="008C4F26" w:rsidP="008C4F26">
            <w:pPr>
              <w:spacing w:after="0"/>
              <w:jc w:val="left"/>
              <w:rPr>
                <w:rFonts w:asciiTheme="minorHAnsi" w:hAnsiTheme="minorHAnsi" w:cstheme="minorHAnsi"/>
                <w:szCs w:val="20"/>
              </w:rPr>
            </w:pPr>
            <w:r w:rsidRPr="003B6A69">
              <w:rPr>
                <w:rFonts w:asciiTheme="minorHAnsi" w:hAnsiTheme="minorHAnsi" w:cstheme="minorHAnsi"/>
                <w:szCs w:val="20"/>
              </w:rPr>
              <w:t>-</w:t>
            </w:r>
          </w:p>
        </w:tc>
      </w:tr>
      <w:tr w:rsidR="008C4F26" w:rsidRPr="003B6A69" w14:paraId="6A56F325" w14:textId="77777777" w:rsidTr="008C4F26">
        <w:tc>
          <w:tcPr>
            <w:tcW w:w="2117" w:type="dxa"/>
          </w:tcPr>
          <w:p w14:paraId="2D57E810" w14:textId="77777777" w:rsidR="008C4F26" w:rsidRPr="003B6A69" w:rsidRDefault="008C4F26" w:rsidP="008C4F26">
            <w:pPr>
              <w:spacing w:after="0"/>
              <w:jc w:val="left"/>
              <w:rPr>
                <w:rFonts w:asciiTheme="minorHAnsi" w:hAnsiTheme="minorHAnsi" w:cstheme="minorHAnsi"/>
                <w:szCs w:val="20"/>
              </w:rPr>
            </w:pPr>
            <w:proofErr w:type="spellStart"/>
            <w:r w:rsidRPr="003B6A69">
              <w:rPr>
                <w:rFonts w:asciiTheme="minorHAnsi" w:hAnsiTheme="minorHAnsi" w:cstheme="minorHAnsi"/>
                <w:szCs w:val="20"/>
              </w:rPr>
              <w:t>TourCert</w:t>
            </w:r>
            <w:proofErr w:type="spellEnd"/>
            <w:r w:rsidRPr="003B6A69">
              <w:rPr>
                <w:rFonts w:asciiTheme="minorHAnsi" w:hAnsiTheme="minorHAnsi" w:cstheme="minorHAnsi"/>
                <w:szCs w:val="20"/>
                <w:vertAlign w:val="superscript"/>
              </w:rPr>
              <w:footnoteReference w:id="42"/>
            </w:r>
          </w:p>
        </w:tc>
        <w:tc>
          <w:tcPr>
            <w:tcW w:w="1721" w:type="dxa"/>
          </w:tcPr>
          <w:p w14:paraId="206E8329" w14:textId="77777777" w:rsidR="008C4F26" w:rsidRPr="003B6A69" w:rsidRDefault="008C4F26" w:rsidP="008C4F26">
            <w:pPr>
              <w:spacing w:after="0"/>
              <w:jc w:val="left"/>
              <w:rPr>
                <w:rFonts w:asciiTheme="minorHAnsi" w:hAnsiTheme="minorHAnsi" w:cstheme="minorHAnsi"/>
                <w:szCs w:val="20"/>
              </w:rPr>
            </w:pPr>
            <w:r w:rsidRPr="003B6A69">
              <w:rPr>
                <w:rFonts w:asciiTheme="minorHAnsi" w:hAnsiTheme="minorHAnsi" w:cstheme="minorHAnsi"/>
                <w:szCs w:val="20"/>
              </w:rPr>
              <w:t>-</w:t>
            </w:r>
          </w:p>
        </w:tc>
        <w:tc>
          <w:tcPr>
            <w:tcW w:w="1709" w:type="dxa"/>
          </w:tcPr>
          <w:p w14:paraId="4AAA821A" w14:textId="77777777" w:rsidR="008C4F26" w:rsidRPr="003B6A69" w:rsidRDefault="008C4F26" w:rsidP="008C4F26">
            <w:pPr>
              <w:spacing w:after="0"/>
              <w:jc w:val="left"/>
              <w:rPr>
                <w:rFonts w:asciiTheme="minorHAnsi" w:hAnsiTheme="minorHAnsi" w:cstheme="minorHAnsi"/>
                <w:szCs w:val="20"/>
              </w:rPr>
            </w:pPr>
            <w:r w:rsidRPr="003B6A69">
              <w:rPr>
                <w:rFonts w:asciiTheme="minorHAnsi" w:hAnsiTheme="minorHAnsi" w:cstheme="minorHAnsi"/>
                <w:szCs w:val="20"/>
              </w:rPr>
              <w:t>-</w:t>
            </w:r>
          </w:p>
        </w:tc>
        <w:tc>
          <w:tcPr>
            <w:tcW w:w="1699" w:type="dxa"/>
          </w:tcPr>
          <w:p w14:paraId="0A4E00DB" w14:textId="77777777" w:rsidR="008C4F26" w:rsidRPr="003B6A69" w:rsidRDefault="008C4F26" w:rsidP="008C4F26">
            <w:pPr>
              <w:spacing w:after="0"/>
              <w:jc w:val="left"/>
              <w:rPr>
                <w:rFonts w:asciiTheme="minorHAnsi" w:hAnsiTheme="minorHAnsi" w:cstheme="minorHAnsi"/>
                <w:szCs w:val="20"/>
              </w:rPr>
            </w:pPr>
            <w:r w:rsidRPr="003B6A69">
              <w:rPr>
                <w:rFonts w:asciiTheme="minorHAnsi" w:hAnsiTheme="minorHAnsi" w:cstheme="minorHAnsi"/>
                <w:szCs w:val="20"/>
              </w:rPr>
              <w:t>-</w:t>
            </w:r>
          </w:p>
        </w:tc>
        <w:tc>
          <w:tcPr>
            <w:tcW w:w="1764" w:type="dxa"/>
          </w:tcPr>
          <w:p w14:paraId="6D838A21" w14:textId="77777777" w:rsidR="008C4F26" w:rsidRPr="003B6A69" w:rsidRDefault="008C4F26" w:rsidP="008C4F26">
            <w:pPr>
              <w:spacing w:after="0"/>
              <w:jc w:val="left"/>
              <w:rPr>
                <w:rFonts w:asciiTheme="minorHAnsi" w:hAnsiTheme="minorHAnsi" w:cstheme="minorHAnsi"/>
                <w:szCs w:val="20"/>
              </w:rPr>
            </w:pPr>
            <w:r w:rsidRPr="003B6A69">
              <w:rPr>
                <w:rFonts w:asciiTheme="minorHAnsi" w:hAnsiTheme="minorHAnsi" w:cstheme="minorHAnsi"/>
                <w:szCs w:val="20"/>
              </w:rPr>
              <w:t>1</w:t>
            </w:r>
          </w:p>
        </w:tc>
      </w:tr>
      <w:tr w:rsidR="008C4F26" w:rsidRPr="003B6A69" w14:paraId="623E52BA" w14:textId="77777777" w:rsidTr="008C4F26">
        <w:tc>
          <w:tcPr>
            <w:tcW w:w="2117" w:type="dxa"/>
          </w:tcPr>
          <w:p w14:paraId="24BAC6A8" w14:textId="77777777" w:rsidR="008C4F26" w:rsidRPr="003B6A69" w:rsidRDefault="008C4F26" w:rsidP="008C4F26">
            <w:pPr>
              <w:spacing w:after="0"/>
              <w:jc w:val="left"/>
              <w:rPr>
                <w:rFonts w:asciiTheme="minorHAnsi" w:hAnsiTheme="minorHAnsi" w:cstheme="minorHAnsi"/>
                <w:szCs w:val="20"/>
              </w:rPr>
            </w:pPr>
            <w:r w:rsidRPr="003B6A69">
              <w:rPr>
                <w:rFonts w:asciiTheme="minorHAnsi" w:hAnsiTheme="minorHAnsi" w:cstheme="minorHAnsi"/>
                <w:szCs w:val="20"/>
              </w:rPr>
              <w:t>Blue Flag</w:t>
            </w:r>
            <w:r w:rsidRPr="003B6A69">
              <w:rPr>
                <w:rFonts w:asciiTheme="minorHAnsi" w:hAnsiTheme="minorHAnsi" w:cstheme="minorHAnsi"/>
                <w:szCs w:val="20"/>
                <w:vertAlign w:val="superscript"/>
              </w:rPr>
              <w:footnoteReference w:id="43"/>
            </w:r>
          </w:p>
        </w:tc>
        <w:tc>
          <w:tcPr>
            <w:tcW w:w="1721" w:type="dxa"/>
          </w:tcPr>
          <w:p w14:paraId="2C63EA4F" w14:textId="77777777" w:rsidR="008C4F26" w:rsidRPr="003B6A69" w:rsidRDefault="008C4F26" w:rsidP="008C4F26">
            <w:pPr>
              <w:spacing w:after="0"/>
              <w:jc w:val="left"/>
              <w:rPr>
                <w:rFonts w:asciiTheme="minorHAnsi" w:hAnsiTheme="minorHAnsi" w:cstheme="minorHAnsi"/>
                <w:szCs w:val="20"/>
              </w:rPr>
            </w:pPr>
            <w:r w:rsidRPr="003B6A69">
              <w:rPr>
                <w:rFonts w:asciiTheme="minorHAnsi" w:hAnsiTheme="minorHAnsi" w:cstheme="minorHAnsi"/>
                <w:szCs w:val="20"/>
              </w:rPr>
              <w:t>14</w:t>
            </w:r>
          </w:p>
        </w:tc>
        <w:tc>
          <w:tcPr>
            <w:tcW w:w="1709" w:type="dxa"/>
          </w:tcPr>
          <w:p w14:paraId="102092EC" w14:textId="77777777" w:rsidR="008C4F26" w:rsidRPr="003B6A69" w:rsidRDefault="008C4F26" w:rsidP="008C4F26">
            <w:pPr>
              <w:spacing w:after="0"/>
              <w:jc w:val="left"/>
              <w:rPr>
                <w:rFonts w:asciiTheme="minorHAnsi" w:hAnsiTheme="minorHAnsi" w:cstheme="minorHAnsi"/>
                <w:szCs w:val="20"/>
              </w:rPr>
            </w:pPr>
            <w:r w:rsidRPr="003B6A69">
              <w:rPr>
                <w:rFonts w:asciiTheme="minorHAnsi" w:hAnsiTheme="minorHAnsi" w:cstheme="minorHAnsi"/>
                <w:szCs w:val="20"/>
              </w:rPr>
              <w:t>122</w:t>
            </w:r>
          </w:p>
        </w:tc>
        <w:tc>
          <w:tcPr>
            <w:tcW w:w="1699" w:type="dxa"/>
          </w:tcPr>
          <w:p w14:paraId="4CB12061" w14:textId="77777777" w:rsidR="008C4F26" w:rsidRPr="003B6A69" w:rsidRDefault="008C4F26" w:rsidP="008C4F26">
            <w:pPr>
              <w:spacing w:after="0"/>
              <w:jc w:val="left"/>
              <w:rPr>
                <w:rFonts w:asciiTheme="minorHAnsi" w:hAnsiTheme="minorHAnsi" w:cstheme="minorHAnsi"/>
                <w:szCs w:val="20"/>
              </w:rPr>
            </w:pPr>
            <w:r w:rsidRPr="003B6A69">
              <w:rPr>
                <w:rFonts w:asciiTheme="minorHAnsi" w:hAnsiTheme="minorHAnsi" w:cstheme="minorHAnsi"/>
                <w:szCs w:val="20"/>
              </w:rPr>
              <w:t>1</w:t>
            </w:r>
          </w:p>
        </w:tc>
        <w:tc>
          <w:tcPr>
            <w:tcW w:w="1764" w:type="dxa"/>
          </w:tcPr>
          <w:p w14:paraId="42340F5E" w14:textId="77777777" w:rsidR="008C4F26" w:rsidRPr="003B6A69" w:rsidRDefault="008C4F26" w:rsidP="008C4F26">
            <w:pPr>
              <w:spacing w:after="0"/>
              <w:jc w:val="left"/>
              <w:rPr>
                <w:rFonts w:asciiTheme="minorHAnsi" w:hAnsiTheme="minorHAnsi" w:cstheme="minorHAnsi"/>
                <w:szCs w:val="20"/>
              </w:rPr>
            </w:pPr>
            <w:r w:rsidRPr="003B6A69">
              <w:rPr>
                <w:rFonts w:asciiTheme="minorHAnsi" w:hAnsiTheme="minorHAnsi" w:cstheme="minorHAnsi"/>
                <w:szCs w:val="20"/>
              </w:rPr>
              <w:t>33</w:t>
            </w:r>
          </w:p>
        </w:tc>
      </w:tr>
      <w:tr w:rsidR="008C4F26" w:rsidRPr="003B6A69" w14:paraId="29326170" w14:textId="77777777" w:rsidTr="008C4F26">
        <w:tc>
          <w:tcPr>
            <w:tcW w:w="2117" w:type="dxa"/>
          </w:tcPr>
          <w:p w14:paraId="0BF891A6" w14:textId="77777777" w:rsidR="008C4F26" w:rsidRPr="003B6A69" w:rsidRDefault="008C4F26" w:rsidP="008C4F26">
            <w:pPr>
              <w:spacing w:after="0"/>
              <w:jc w:val="left"/>
              <w:rPr>
                <w:rFonts w:asciiTheme="minorHAnsi" w:hAnsiTheme="minorHAnsi" w:cstheme="minorHAnsi"/>
                <w:szCs w:val="20"/>
              </w:rPr>
            </w:pPr>
            <w:proofErr w:type="spellStart"/>
            <w:r w:rsidRPr="003B6A69">
              <w:rPr>
                <w:rFonts w:asciiTheme="minorHAnsi" w:hAnsiTheme="minorHAnsi" w:cstheme="minorHAnsi"/>
                <w:szCs w:val="20"/>
              </w:rPr>
              <w:t>GreenDestinations</w:t>
            </w:r>
            <w:proofErr w:type="spellEnd"/>
            <w:r w:rsidRPr="003B6A69">
              <w:rPr>
                <w:rFonts w:asciiTheme="minorHAnsi" w:hAnsiTheme="minorHAnsi" w:cstheme="minorHAnsi"/>
                <w:szCs w:val="20"/>
                <w:vertAlign w:val="superscript"/>
              </w:rPr>
              <w:footnoteReference w:id="44"/>
            </w:r>
          </w:p>
        </w:tc>
        <w:tc>
          <w:tcPr>
            <w:tcW w:w="1721" w:type="dxa"/>
          </w:tcPr>
          <w:p w14:paraId="59F84C3E" w14:textId="77777777" w:rsidR="008C4F26" w:rsidRPr="003B6A69" w:rsidRDefault="008C4F26" w:rsidP="008C4F26">
            <w:pPr>
              <w:spacing w:after="0"/>
              <w:jc w:val="left"/>
              <w:rPr>
                <w:rFonts w:asciiTheme="minorHAnsi" w:hAnsiTheme="minorHAnsi" w:cstheme="minorHAnsi"/>
                <w:szCs w:val="20"/>
              </w:rPr>
            </w:pPr>
            <w:r w:rsidRPr="003B6A69">
              <w:rPr>
                <w:rFonts w:asciiTheme="minorHAnsi" w:hAnsiTheme="minorHAnsi" w:cstheme="minorHAnsi"/>
                <w:szCs w:val="20"/>
              </w:rPr>
              <w:t>33</w:t>
            </w:r>
          </w:p>
        </w:tc>
        <w:tc>
          <w:tcPr>
            <w:tcW w:w="1709" w:type="dxa"/>
          </w:tcPr>
          <w:p w14:paraId="2591D68B" w14:textId="77777777" w:rsidR="008C4F26" w:rsidRPr="003B6A69" w:rsidRDefault="008C4F26" w:rsidP="008C4F26">
            <w:pPr>
              <w:spacing w:after="0"/>
              <w:jc w:val="left"/>
              <w:rPr>
                <w:rFonts w:asciiTheme="minorHAnsi" w:hAnsiTheme="minorHAnsi" w:cstheme="minorHAnsi"/>
                <w:szCs w:val="20"/>
              </w:rPr>
            </w:pPr>
            <w:r w:rsidRPr="003B6A69">
              <w:rPr>
                <w:rFonts w:asciiTheme="minorHAnsi" w:hAnsiTheme="minorHAnsi" w:cstheme="minorHAnsi"/>
                <w:szCs w:val="20"/>
              </w:rPr>
              <w:t>1</w:t>
            </w:r>
          </w:p>
        </w:tc>
        <w:tc>
          <w:tcPr>
            <w:tcW w:w="1699" w:type="dxa"/>
          </w:tcPr>
          <w:p w14:paraId="66E05B2D" w14:textId="77777777" w:rsidR="008C4F26" w:rsidRPr="003B6A69" w:rsidRDefault="008C4F26" w:rsidP="008C4F26">
            <w:pPr>
              <w:spacing w:after="0"/>
              <w:jc w:val="left"/>
              <w:rPr>
                <w:rFonts w:asciiTheme="minorHAnsi" w:hAnsiTheme="minorHAnsi" w:cstheme="minorHAnsi"/>
                <w:szCs w:val="20"/>
              </w:rPr>
            </w:pPr>
            <w:r w:rsidRPr="003B6A69">
              <w:rPr>
                <w:rFonts w:asciiTheme="minorHAnsi" w:hAnsiTheme="minorHAnsi" w:cstheme="minorHAnsi"/>
                <w:szCs w:val="20"/>
              </w:rPr>
              <w:t>-</w:t>
            </w:r>
          </w:p>
        </w:tc>
        <w:tc>
          <w:tcPr>
            <w:tcW w:w="1764" w:type="dxa"/>
          </w:tcPr>
          <w:p w14:paraId="4816AE88" w14:textId="77777777" w:rsidR="008C4F26" w:rsidRPr="003B6A69" w:rsidRDefault="008C4F26" w:rsidP="008C4F26">
            <w:pPr>
              <w:spacing w:after="0"/>
              <w:jc w:val="left"/>
              <w:rPr>
                <w:rFonts w:asciiTheme="minorHAnsi" w:hAnsiTheme="minorHAnsi" w:cstheme="minorHAnsi"/>
                <w:szCs w:val="20"/>
              </w:rPr>
            </w:pPr>
            <w:r w:rsidRPr="003B6A69">
              <w:rPr>
                <w:rFonts w:asciiTheme="minorHAnsi" w:hAnsiTheme="minorHAnsi" w:cstheme="minorHAnsi"/>
                <w:szCs w:val="20"/>
              </w:rPr>
              <w:t>-</w:t>
            </w:r>
          </w:p>
        </w:tc>
      </w:tr>
      <w:tr w:rsidR="008C4F26" w:rsidRPr="003B6A69" w14:paraId="4563E6CF" w14:textId="77777777" w:rsidTr="008C4F26">
        <w:tc>
          <w:tcPr>
            <w:tcW w:w="2117" w:type="dxa"/>
          </w:tcPr>
          <w:p w14:paraId="0CD0CADA" w14:textId="77777777" w:rsidR="008C4F26" w:rsidRPr="003B6A69" w:rsidRDefault="008C4F26" w:rsidP="008C4F26">
            <w:pPr>
              <w:spacing w:after="0"/>
              <w:jc w:val="left"/>
              <w:rPr>
                <w:rFonts w:asciiTheme="minorHAnsi" w:hAnsiTheme="minorHAnsi" w:cstheme="minorHAnsi"/>
                <w:szCs w:val="20"/>
              </w:rPr>
            </w:pPr>
            <w:r w:rsidRPr="003B6A69">
              <w:rPr>
                <w:rFonts w:asciiTheme="minorHAnsi" w:hAnsiTheme="minorHAnsi" w:cstheme="minorHAnsi"/>
                <w:szCs w:val="20"/>
              </w:rPr>
              <w:t>EMAS</w:t>
            </w:r>
          </w:p>
        </w:tc>
        <w:tc>
          <w:tcPr>
            <w:tcW w:w="1721" w:type="dxa"/>
          </w:tcPr>
          <w:p w14:paraId="4102B369" w14:textId="77777777" w:rsidR="008C4F26" w:rsidRPr="003B6A69" w:rsidRDefault="008C4F26" w:rsidP="008C4F26">
            <w:pPr>
              <w:spacing w:after="0"/>
              <w:jc w:val="left"/>
              <w:rPr>
                <w:rFonts w:asciiTheme="minorHAnsi" w:hAnsiTheme="minorHAnsi" w:cstheme="minorHAnsi"/>
                <w:szCs w:val="20"/>
              </w:rPr>
            </w:pPr>
            <w:r w:rsidRPr="003B6A69">
              <w:rPr>
                <w:rFonts w:asciiTheme="minorHAnsi" w:hAnsiTheme="minorHAnsi" w:cstheme="minorHAnsi"/>
                <w:szCs w:val="20"/>
              </w:rPr>
              <w:t>10</w:t>
            </w:r>
          </w:p>
        </w:tc>
        <w:tc>
          <w:tcPr>
            <w:tcW w:w="1709" w:type="dxa"/>
          </w:tcPr>
          <w:p w14:paraId="1FA98F0D" w14:textId="77777777" w:rsidR="008C4F26" w:rsidRPr="003B6A69" w:rsidRDefault="008C4F26" w:rsidP="008C4F26">
            <w:pPr>
              <w:spacing w:after="0"/>
              <w:jc w:val="left"/>
              <w:rPr>
                <w:rFonts w:asciiTheme="minorHAnsi" w:hAnsiTheme="minorHAnsi" w:cstheme="minorHAnsi"/>
                <w:szCs w:val="20"/>
              </w:rPr>
            </w:pPr>
            <w:r w:rsidRPr="003B6A69">
              <w:rPr>
                <w:rFonts w:asciiTheme="minorHAnsi" w:hAnsiTheme="minorHAnsi" w:cstheme="minorHAnsi"/>
                <w:szCs w:val="20"/>
              </w:rPr>
              <w:t>1</w:t>
            </w:r>
          </w:p>
        </w:tc>
        <w:tc>
          <w:tcPr>
            <w:tcW w:w="1699" w:type="dxa"/>
          </w:tcPr>
          <w:p w14:paraId="46E19946" w14:textId="77777777" w:rsidR="008C4F26" w:rsidRPr="003B6A69" w:rsidRDefault="008C4F26" w:rsidP="008C4F26">
            <w:pPr>
              <w:spacing w:after="0"/>
              <w:jc w:val="left"/>
              <w:rPr>
                <w:rFonts w:asciiTheme="minorHAnsi" w:hAnsiTheme="minorHAnsi" w:cstheme="minorHAnsi"/>
                <w:szCs w:val="20"/>
              </w:rPr>
            </w:pPr>
            <w:r w:rsidRPr="003B6A69">
              <w:rPr>
                <w:rFonts w:asciiTheme="minorHAnsi" w:hAnsiTheme="minorHAnsi" w:cstheme="minorHAnsi"/>
                <w:szCs w:val="20"/>
              </w:rPr>
              <w:t>-</w:t>
            </w:r>
          </w:p>
        </w:tc>
        <w:tc>
          <w:tcPr>
            <w:tcW w:w="1764" w:type="dxa"/>
          </w:tcPr>
          <w:p w14:paraId="57C1EB12" w14:textId="77777777" w:rsidR="008C4F26" w:rsidRPr="003B6A69" w:rsidRDefault="008C4F26" w:rsidP="008C4F26">
            <w:pPr>
              <w:spacing w:after="0"/>
              <w:jc w:val="left"/>
              <w:rPr>
                <w:rFonts w:asciiTheme="minorHAnsi" w:hAnsiTheme="minorHAnsi" w:cstheme="minorHAnsi"/>
                <w:szCs w:val="20"/>
              </w:rPr>
            </w:pPr>
            <w:r w:rsidRPr="003B6A69">
              <w:rPr>
                <w:rFonts w:asciiTheme="minorHAnsi" w:hAnsiTheme="minorHAnsi" w:cstheme="minorHAnsi"/>
                <w:szCs w:val="20"/>
              </w:rPr>
              <w:t>-</w:t>
            </w:r>
          </w:p>
        </w:tc>
      </w:tr>
      <w:tr w:rsidR="008C4F26" w:rsidRPr="003B6A69" w14:paraId="63470B4B" w14:textId="77777777" w:rsidTr="008C4F26">
        <w:tc>
          <w:tcPr>
            <w:tcW w:w="2117" w:type="dxa"/>
          </w:tcPr>
          <w:p w14:paraId="249A61CD" w14:textId="77777777" w:rsidR="008C4F26" w:rsidRPr="003B6A69" w:rsidRDefault="008C4F26" w:rsidP="008C4F26">
            <w:pPr>
              <w:spacing w:after="0"/>
              <w:jc w:val="left"/>
              <w:rPr>
                <w:rFonts w:asciiTheme="minorHAnsi" w:hAnsiTheme="minorHAnsi" w:cstheme="minorHAnsi"/>
                <w:szCs w:val="20"/>
              </w:rPr>
            </w:pPr>
            <w:r w:rsidRPr="003B6A69">
              <w:rPr>
                <w:rFonts w:asciiTheme="minorHAnsi" w:hAnsiTheme="minorHAnsi" w:cstheme="minorHAnsi"/>
                <w:szCs w:val="20"/>
              </w:rPr>
              <w:t>EUROPARC</w:t>
            </w:r>
            <w:r w:rsidRPr="003B6A69">
              <w:rPr>
                <w:rFonts w:asciiTheme="minorHAnsi" w:hAnsiTheme="minorHAnsi" w:cstheme="minorHAnsi"/>
                <w:szCs w:val="20"/>
                <w:vertAlign w:val="superscript"/>
              </w:rPr>
              <w:footnoteReference w:id="45"/>
            </w:r>
          </w:p>
        </w:tc>
        <w:tc>
          <w:tcPr>
            <w:tcW w:w="1721" w:type="dxa"/>
          </w:tcPr>
          <w:p w14:paraId="51A6BDB4" w14:textId="77777777" w:rsidR="008C4F26" w:rsidRPr="003B6A69" w:rsidRDefault="008C4F26" w:rsidP="008C4F26">
            <w:pPr>
              <w:spacing w:after="0"/>
              <w:jc w:val="left"/>
              <w:rPr>
                <w:rFonts w:asciiTheme="minorHAnsi" w:hAnsiTheme="minorHAnsi" w:cstheme="minorHAnsi"/>
                <w:szCs w:val="20"/>
              </w:rPr>
            </w:pPr>
            <w:r w:rsidRPr="003B6A69">
              <w:rPr>
                <w:rFonts w:asciiTheme="minorHAnsi" w:hAnsiTheme="minorHAnsi" w:cstheme="minorHAnsi"/>
                <w:szCs w:val="20"/>
              </w:rPr>
              <w:t>2</w:t>
            </w:r>
          </w:p>
        </w:tc>
        <w:tc>
          <w:tcPr>
            <w:tcW w:w="1709" w:type="dxa"/>
          </w:tcPr>
          <w:p w14:paraId="04C88021" w14:textId="77777777" w:rsidR="008C4F26" w:rsidRPr="003B6A69" w:rsidRDefault="008C4F26" w:rsidP="008C4F26">
            <w:pPr>
              <w:spacing w:after="0"/>
              <w:jc w:val="left"/>
              <w:rPr>
                <w:rFonts w:asciiTheme="minorHAnsi" w:hAnsiTheme="minorHAnsi" w:cstheme="minorHAnsi"/>
                <w:szCs w:val="20"/>
              </w:rPr>
            </w:pPr>
            <w:r w:rsidRPr="003B6A69">
              <w:rPr>
                <w:rFonts w:asciiTheme="minorHAnsi" w:hAnsiTheme="minorHAnsi" w:cstheme="minorHAnsi"/>
                <w:szCs w:val="20"/>
              </w:rPr>
              <w:t>1</w:t>
            </w:r>
          </w:p>
        </w:tc>
        <w:tc>
          <w:tcPr>
            <w:tcW w:w="1699" w:type="dxa"/>
          </w:tcPr>
          <w:p w14:paraId="1AE82E62" w14:textId="77777777" w:rsidR="008C4F26" w:rsidRPr="003B6A69" w:rsidRDefault="008C4F26" w:rsidP="008C4F26">
            <w:pPr>
              <w:spacing w:after="0"/>
              <w:jc w:val="left"/>
              <w:rPr>
                <w:rFonts w:asciiTheme="minorHAnsi" w:hAnsiTheme="minorHAnsi" w:cstheme="minorHAnsi"/>
                <w:szCs w:val="20"/>
              </w:rPr>
            </w:pPr>
            <w:r w:rsidRPr="003B6A69">
              <w:rPr>
                <w:rFonts w:asciiTheme="minorHAnsi" w:hAnsiTheme="minorHAnsi" w:cstheme="minorHAnsi"/>
                <w:szCs w:val="20"/>
              </w:rPr>
              <w:t>2</w:t>
            </w:r>
          </w:p>
        </w:tc>
        <w:tc>
          <w:tcPr>
            <w:tcW w:w="1764" w:type="dxa"/>
          </w:tcPr>
          <w:p w14:paraId="58482883" w14:textId="77777777" w:rsidR="008C4F26" w:rsidRPr="003B6A69" w:rsidRDefault="008C4F26" w:rsidP="008C4F26">
            <w:pPr>
              <w:spacing w:after="0"/>
              <w:jc w:val="left"/>
              <w:rPr>
                <w:rFonts w:asciiTheme="minorHAnsi" w:hAnsiTheme="minorHAnsi" w:cstheme="minorHAnsi"/>
                <w:szCs w:val="20"/>
              </w:rPr>
            </w:pPr>
            <w:r w:rsidRPr="003B6A69">
              <w:rPr>
                <w:rFonts w:asciiTheme="minorHAnsi" w:hAnsiTheme="minorHAnsi" w:cstheme="minorHAnsi"/>
                <w:szCs w:val="20"/>
              </w:rPr>
              <w:t>-</w:t>
            </w:r>
          </w:p>
        </w:tc>
      </w:tr>
    </w:tbl>
    <w:p w14:paraId="3789370E" w14:textId="77777777" w:rsidR="008C4F26" w:rsidRPr="003B6A69" w:rsidRDefault="008C4F26" w:rsidP="008C4F26">
      <w:pPr>
        <w:spacing w:after="120" w:line="259" w:lineRule="auto"/>
        <w:jc w:val="center"/>
        <w:rPr>
          <w:rFonts w:asciiTheme="minorHAnsi" w:eastAsiaTheme="minorHAnsi" w:hAnsiTheme="minorHAnsi" w:cstheme="minorHAnsi"/>
          <w:szCs w:val="20"/>
        </w:rPr>
      </w:pPr>
      <w:r w:rsidRPr="003B6A69">
        <w:rPr>
          <w:rFonts w:asciiTheme="minorHAnsi" w:eastAsiaTheme="minorHAnsi" w:hAnsiTheme="minorHAnsi" w:cstheme="minorHAnsi"/>
          <w:szCs w:val="20"/>
        </w:rPr>
        <w:t>Source: Author’s research</w:t>
      </w:r>
    </w:p>
    <w:p w14:paraId="2611E2C3" w14:textId="77777777" w:rsidR="008C4F26" w:rsidRPr="003B6A69" w:rsidRDefault="008C4F26" w:rsidP="008C4F26">
      <w:pPr>
        <w:spacing w:after="120" w:line="259" w:lineRule="auto"/>
        <w:rPr>
          <w:rFonts w:asciiTheme="minorHAnsi" w:eastAsiaTheme="minorHAnsi" w:hAnsiTheme="minorHAnsi" w:cstheme="minorHAnsi"/>
          <w:szCs w:val="20"/>
        </w:rPr>
      </w:pPr>
      <w:r w:rsidRPr="003B6A69">
        <w:rPr>
          <w:rFonts w:asciiTheme="minorHAnsi" w:eastAsiaTheme="minorHAnsi" w:hAnsiTheme="minorHAnsi" w:cstheme="minorHAnsi"/>
          <w:b/>
          <w:bCs/>
          <w:szCs w:val="20"/>
        </w:rPr>
        <w:t>EU Ecolabel,</w:t>
      </w:r>
      <w:r w:rsidRPr="003B6A69">
        <w:rPr>
          <w:rFonts w:asciiTheme="minorHAnsi" w:eastAsiaTheme="minorHAnsi" w:hAnsiTheme="minorHAnsi" w:cstheme="minorHAnsi"/>
          <w:b/>
          <w:bCs/>
          <w:szCs w:val="20"/>
          <w:vertAlign w:val="superscript"/>
        </w:rPr>
        <w:footnoteReference w:id="46"/>
      </w:r>
      <w:r w:rsidRPr="003B6A69">
        <w:rPr>
          <w:rFonts w:asciiTheme="minorHAnsi" w:eastAsiaTheme="minorHAnsi" w:hAnsiTheme="minorHAnsi" w:cstheme="minorHAnsi"/>
          <w:szCs w:val="20"/>
        </w:rPr>
        <w:t xml:space="preserve"> as previously described, has been developed as a criterion for tourist accommodation and campsite services, tailored to the EU context and level of tourism development. It is a label of environmental excellence that is awarded to products and services meeting high environmental standards throughout their </w:t>
      </w:r>
      <w:proofErr w:type="gramStart"/>
      <w:r w:rsidRPr="003B6A69">
        <w:rPr>
          <w:rFonts w:asciiTheme="minorHAnsi" w:eastAsiaTheme="minorHAnsi" w:hAnsiTheme="minorHAnsi" w:cstheme="minorHAnsi"/>
          <w:szCs w:val="20"/>
        </w:rPr>
        <w:t>life-cycle</w:t>
      </w:r>
      <w:proofErr w:type="gramEnd"/>
      <w:r w:rsidRPr="003B6A69">
        <w:rPr>
          <w:rFonts w:asciiTheme="minorHAnsi" w:eastAsiaTheme="minorHAnsi" w:hAnsiTheme="minorHAnsi" w:cstheme="minorHAnsi"/>
          <w:szCs w:val="20"/>
        </w:rPr>
        <w:t>: from raw material extraction, to production, distribution and disposal. It</w:t>
      </w:r>
      <w:r w:rsidRPr="003B6A69">
        <w:rPr>
          <w:rFonts w:asciiTheme="minorHAnsi" w:eastAsiaTheme="minorHAnsi" w:hAnsiTheme="minorHAnsi" w:cstheme="minorHAnsi"/>
          <w:color w:val="58585A"/>
          <w:szCs w:val="20"/>
        </w:rPr>
        <w:t xml:space="preserve"> </w:t>
      </w:r>
      <w:r w:rsidRPr="003B6A69">
        <w:rPr>
          <w:rFonts w:asciiTheme="minorHAnsi" w:eastAsiaTheme="minorHAnsi" w:hAnsiTheme="minorHAnsi" w:cstheme="minorHAnsi"/>
          <w:szCs w:val="20"/>
        </w:rPr>
        <w:t>encourages producers to generate less waste and CO</w:t>
      </w:r>
      <w:r w:rsidRPr="003B6A69">
        <w:rPr>
          <w:rFonts w:asciiTheme="minorHAnsi" w:eastAsiaTheme="minorHAnsi" w:hAnsiTheme="minorHAnsi" w:cstheme="minorHAnsi"/>
          <w:szCs w:val="20"/>
          <w:vertAlign w:val="subscript"/>
        </w:rPr>
        <w:t>2</w:t>
      </w:r>
      <w:r w:rsidRPr="003B6A69">
        <w:rPr>
          <w:rFonts w:asciiTheme="minorHAnsi" w:eastAsiaTheme="minorHAnsi" w:hAnsiTheme="minorHAnsi" w:cstheme="minorHAnsi"/>
          <w:szCs w:val="20"/>
        </w:rPr>
        <w:t xml:space="preserve"> during the manufacturing process. The EU Ecolabel criteria also encourages companies to develop products that are durable, easy to repair and to recycle.</w:t>
      </w:r>
    </w:p>
    <w:p w14:paraId="1735220B" w14:textId="77777777" w:rsidR="008C4F26" w:rsidRPr="003B6A69" w:rsidRDefault="008C4F26" w:rsidP="008C4F26">
      <w:pPr>
        <w:spacing w:after="120" w:line="259" w:lineRule="auto"/>
        <w:rPr>
          <w:rFonts w:asciiTheme="minorHAnsi" w:eastAsiaTheme="minorHAnsi" w:hAnsiTheme="minorHAnsi" w:cstheme="minorHAnsi"/>
          <w:szCs w:val="20"/>
        </w:rPr>
      </w:pPr>
      <w:r w:rsidRPr="003B6A69">
        <w:rPr>
          <w:rFonts w:asciiTheme="minorHAnsi" w:eastAsiaTheme="minorHAnsi" w:hAnsiTheme="minorHAnsi" w:cstheme="minorHAnsi"/>
          <w:szCs w:val="20"/>
        </w:rPr>
        <w:t>Fees for EU Ecolabel vary among the type of applicants and among the countries: Micro-enterprises will pay between 200 and 350 Euros as an application fee. Compared to those, SMEs will pay anywhere from 200 to 600 Euros as an application fee. The annual fees can reach 25000 Euros, depending on the type of company.</w:t>
      </w:r>
      <w:r w:rsidRPr="003B6A69">
        <w:rPr>
          <w:rFonts w:asciiTheme="minorHAnsi" w:eastAsiaTheme="minorHAnsi" w:hAnsiTheme="minorHAnsi" w:cstheme="minorHAnsi"/>
          <w:szCs w:val="20"/>
          <w:vertAlign w:val="superscript"/>
        </w:rPr>
        <w:footnoteReference w:id="47"/>
      </w:r>
      <w:r w:rsidRPr="003B6A69">
        <w:rPr>
          <w:rFonts w:asciiTheme="minorHAnsi" w:eastAsiaTheme="minorHAnsi" w:hAnsiTheme="minorHAnsi" w:cstheme="minorHAnsi"/>
          <w:szCs w:val="20"/>
        </w:rPr>
        <w:t xml:space="preserve"> </w:t>
      </w:r>
    </w:p>
    <w:p w14:paraId="6C67B33F" w14:textId="77777777" w:rsidR="008C4F26" w:rsidRPr="003B6A69" w:rsidRDefault="008C4F26" w:rsidP="000A12EC">
      <w:pPr>
        <w:spacing w:after="120" w:line="259" w:lineRule="auto"/>
        <w:jc w:val="left"/>
        <w:rPr>
          <w:rFonts w:asciiTheme="minorHAnsi" w:eastAsiaTheme="minorHAnsi" w:hAnsiTheme="minorHAnsi" w:cstheme="minorHAnsi"/>
          <w:szCs w:val="20"/>
        </w:rPr>
      </w:pPr>
      <w:proofErr w:type="spellStart"/>
      <w:r w:rsidRPr="003B6A69">
        <w:rPr>
          <w:rFonts w:asciiTheme="minorHAnsi" w:eastAsiaTheme="minorHAnsi" w:hAnsiTheme="minorHAnsi" w:cstheme="minorHAnsi"/>
          <w:b/>
          <w:bCs/>
          <w:szCs w:val="20"/>
        </w:rPr>
        <w:lastRenderedPageBreak/>
        <w:t>Travelife</w:t>
      </w:r>
      <w:proofErr w:type="spellEnd"/>
      <w:r w:rsidRPr="003B6A69">
        <w:rPr>
          <w:rFonts w:asciiTheme="minorHAnsi" w:eastAsiaTheme="minorHAnsi" w:hAnsiTheme="minorHAnsi" w:cstheme="minorHAnsi"/>
          <w:szCs w:val="20"/>
          <w:vertAlign w:val="superscript"/>
        </w:rPr>
        <w:footnoteReference w:id="48"/>
      </w:r>
      <w:r w:rsidRPr="003B6A69">
        <w:rPr>
          <w:rFonts w:asciiTheme="minorHAnsi" w:eastAsiaTheme="minorHAnsi" w:hAnsiTheme="minorHAnsi" w:cstheme="minorHAnsi"/>
          <w:szCs w:val="20"/>
        </w:rPr>
        <w:t xml:space="preserve"> is an international sustainability certification scheme, which helps its members improve their environmental, </w:t>
      </w:r>
      <w:proofErr w:type="gramStart"/>
      <w:r w:rsidRPr="003B6A69">
        <w:rPr>
          <w:rFonts w:asciiTheme="minorHAnsi" w:eastAsiaTheme="minorHAnsi" w:hAnsiTheme="minorHAnsi" w:cstheme="minorHAnsi"/>
          <w:szCs w:val="20"/>
        </w:rPr>
        <w:t>social</w:t>
      </w:r>
      <w:proofErr w:type="gramEnd"/>
      <w:r w:rsidRPr="003B6A69">
        <w:rPr>
          <w:rFonts w:asciiTheme="minorHAnsi" w:eastAsiaTheme="minorHAnsi" w:hAnsiTheme="minorHAnsi" w:cstheme="minorHAnsi"/>
          <w:szCs w:val="20"/>
        </w:rPr>
        <w:t xml:space="preserve"> and economic impacts cost-effectively. Hotels that meet the </w:t>
      </w:r>
      <w:proofErr w:type="spellStart"/>
      <w:r w:rsidRPr="003B6A69">
        <w:rPr>
          <w:rFonts w:asciiTheme="minorHAnsi" w:eastAsiaTheme="minorHAnsi" w:hAnsiTheme="minorHAnsi" w:cstheme="minorHAnsi"/>
          <w:szCs w:val="20"/>
        </w:rPr>
        <w:t>Travelife</w:t>
      </w:r>
      <w:proofErr w:type="spellEnd"/>
      <w:r w:rsidRPr="003B6A69">
        <w:rPr>
          <w:rFonts w:asciiTheme="minorHAnsi" w:eastAsiaTheme="minorHAnsi" w:hAnsiTheme="minorHAnsi" w:cstheme="minorHAnsi"/>
          <w:szCs w:val="20"/>
        </w:rPr>
        <w:t xml:space="preserve"> standard are formally </w:t>
      </w:r>
      <w:proofErr w:type="spellStart"/>
      <w:r w:rsidRPr="003B6A69">
        <w:rPr>
          <w:rFonts w:asciiTheme="minorHAnsi" w:eastAsiaTheme="minorHAnsi" w:hAnsiTheme="minorHAnsi" w:cstheme="minorHAnsi"/>
          <w:szCs w:val="20"/>
        </w:rPr>
        <w:t>recognised</w:t>
      </w:r>
      <w:proofErr w:type="spellEnd"/>
      <w:r w:rsidRPr="003B6A69">
        <w:rPr>
          <w:rFonts w:asciiTheme="minorHAnsi" w:eastAsiaTheme="minorHAnsi" w:hAnsiTheme="minorHAnsi" w:cstheme="minorHAnsi"/>
          <w:szCs w:val="20"/>
        </w:rPr>
        <w:t xml:space="preserve"> with a </w:t>
      </w:r>
      <w:proofErr w:type="spellStart"/>
      <w:r w:rsidRPr="003B6A69">
        <w:rPr>
          <w:rFonts w:asciiTheme="minorHAnsi" w:eastAsiaTheme="minorHAnsi" w:hAnsiTheme="minorHAnsi" w:cstheme="minorHAnsi"/>
          <w:szCs w:val="20"/>
        </w:rPr>
        <w:t>Travelife</w:t>
      </w:r>
      <w:proofErr w:type="spellEnd"/>
      <w:r w:rsidRPr="003B6A69">
        <w:rPr>
          <w:rFonts w:asciiTheme="minorHAnsi" w:eastAsiaTheme="minorHAnsi" w:hAnsiTheme="minorHAnsi" w:cstheme="minorHAnsi"/>
          <w:szCs w:val="20"/>
        </w:rPr>
        <w:t xml:space="preserve"> award to promote their achievements. </w:t>
      </w:r>
      <w:proofErr w:type="spellStart"/>
      <w:r w:rsidRPr="003B6A69">
        <w:rPr>
          <w:rFonts w:asciiTheme="minorHAnsi" w:eastAsiaTheme="minorHAnsi" w:hAnsiTheme="minorHAnsi" w:cstheme="minorHAnsi"/>
          <w:szCs w:val="20"/>
        </w:rPr>
        <w:t>Travelife</w:t>
      </w:r>
      <w:proofErr w:type="spellEnd"/>
      <w:r w:rsidRPr="003B6A69">
        <w:rPr>
          <w:rFonts w:asciiTheme="minorHAnsi" w:eastAsiaTheme="minorHAnsi" w:hAnsiTheme="minorHAnsi" w:cstheme="minorHAnsi"/>
          <w:szCs w:val="20"/>
        </w:rPr>
        <w:t xml:space="preserve"> has been designed by the travel industry as an affordable and fair system that helps hotels and accommodations to improve their sustainability. To achieve a </w:t>
      </w:r>
      <w:proofErr w:type="spellStart"/>
      <w:r w:rsidRPr="003B6A69">
        <w:rPr>
          <w:rFonts w:asciiTheme="minorHAnsi" w:eastAsiaTheme="minorHAnsi" w:hAnsiTheme="minorHAnsi" w:cstheme="minorHAnsi"/>
          <w:szCs w:val="20"/>
        </w:rPr>
        <w:t>Travelife</w:t>
      </w:r>
      <w:proofErr w:type="spellEnd"/>
      <w:r w:rsidRPr="003B6A69">
        <w:rPr>
          <w:rFonts w:asciiTheme="minorHAnsi" w:eastAsiaTheme="minorHAnsi" w:hAnsiTheme="minorHAnsi" w:cstheme="minorHAnsi"/>
          <w:szCs w:val="20"/>
        </w:rPr>
        <w:t xml:space="preserve"> award and become certified, hotels must become a </w:t>
      </w:r>
      <w:proofErr w:type="spellStart"/>
      <w:r w:rsidRPr="003B6A69">
        <w:rPr>
          <w:rFonts w:asciiTheme="minorHAnsi" w:eastAsiaTheme="minorHAnsi" w:hAnsiTheme="minorHAnsi" w:cstheme="minorHAnsi"/>
          <w:szCs w:val="20"/>
        </w:rPr>
        <w:t>Travelife</w:t>
      </w:r>
      <w:proofErr w:type="spellEnd"/>
      <w:r w:rsidRPr="003B6A69">
        <w:rPr>
          <w:rFonts w:asciiTheme="minorHAnsi" w:eastAsiaTheme="minorHAnsi" w:hAnsiTheme="minorHAnsi" w:cstheme="minorHAnsi"/>
          <w:szCs w:val="20"/>
        </w:rPr>
        <w:t xml:space="preserve"> member and prove they meet the </w:t>
      </w:r>
      <w:proofErr w:type="spellStart"/>
      <w:r w:rsidRPr="003B6A69">
        <w:rPr>
          <w:rFonts w:asciiTheme="minorHAnsi" w:eastAsiaTheme="minorHAnsi" w:hAnsiTheme="minorHAnsi" w:cstheme="minorHAnsi"/>
          <w:szCs w:val="20"/>
        </w:rPr>
        <w:t>Travelife</w:t>
      </w:r>
      <w:proofErr w:type="spellEnd"/>
      <w:r w:rsidRPr="003B6A69">
        <w:rPr>
          <w:rFonts w:asciiTheme="minorHAnsi" w:eastAsiaTheme="minorHAnsi" w:hAnsiTheme="minorHAnsi" w:cstheme="minorHAnsi"/>
          <w:szCs w:val="20"/>
        </w:rPr>
        <w:t xml:space="preserve"> assessment criteria. They will then receive a </w:t>
      </w:r>
      <w:proofErr w:type="spellStart"/>
      <w:r w:rsidRPr="003B6A69">
        <w:rPr>
          <w:rFonts w:asciiTheme="minorHAnsi" w:eastAsiaTheme="minorHAnsi" w:hAnsiTheme="minorHAnsi" w:cstheme="minorHAnsi"/>
          <w:szCs w:val="20"/>
        </w:rPr>
        <w:t>Travelife</w:t>
      </w:r>
      <w:proofErr w:type="spellEnd"/>
      <w:r w:rsidRPr="003B6A69">
        <w:rPr>
          <w:rFonts w:asciiTheme="minorHAnsi" w:eastAsiaTheme="minorHAnsi" w:hAnsiTheme="minorHAnsi" w:cstheme="minorHAnsi"/>
          <w:szCs w:val="20"/>
        </w:rPr>
        <w:t xml:space="preserve"> Gold award, an award </w:t>
      </w:r>
      <w:proofErr w:type="gramStart"/>
      <w:r w:rsidRPr="003B6A69">
        <w:rPr>
          <w:rFonts w:asciiTheme="minorHAnsi" w:eastAsiaTheme="minorHAnsi" w:hAnsiTheme="minorHAnsi" w:cstheme="minorHAnsi"/>
          <w:szCs w:val="20"/>
        </w:rPr>
        <w:t>plaque</w:t>
      </w:r>
      <w:proofErr w:type="gramEnd"/>
      <w:r w:rsidRPr="003B6A69">
        <w:rPr>
          <w:rFonts w:asciiTheme="minorHAnsi" w:eastAsiaTheme="minorHAnsi" w:hAnsiTheme="minorHAnsi" w:cstheme="minorHAnsi"/>
          <w:szCs w:val="20"/>
        </w:rPr>
        <w:t xml:space="preserve"> and the right to use the </w:t>
      </w:r>
      <w:proofErr w:type="spellStart"/>
      <w:r w:rsidRPr="003B6A69">
        <w:rPr>
          <w:rFonts w:asciiTheme="minorHAnsi" w:eastAsiaTheme="minorHAnsi" w:hAnsiTheme="minorHAnsi" w:cstheme="minorHAnsi"/>
          <w:szCs w:val="20"/>
        </w:rPr>
        <w:t>Travelife</w:t>
      </w:r>
      <w:proofErr w:type="spellEnd"/>
      <w:r w:rsidRPr="003B6A69">
        <w:rPr>
          <w:rFonts w:asciiTheme="minorHAnsi" w:eastAsiaTheme="minorHAnsi" w:hAnsiTheme="minorHAnsi" w:cstheme="minorHAnsi"/>
          <w:szCs w:val="20"/>
        </w:rPr>
        <w:t xml:space="preserve"> certification mark to showcase their sustainability achievements to their customers.</w:t>
      </w:r>
    </w:p>
    <w:p w14:paraId="61545B04" w14:textId="77777777" w:rsidR="008C4F26" w:rsidRPr="003B6A69" w:rsidRDefault="008C4F26" w:rsidP="000A12EC">
      <w:pPr>
        <w:spacing w:after="120" w:line="259" w:lineRule="auto"/>
        <w:jc w:val="left"/>
        <w:rPr>
          <w:rFonts w:asciiTheme="minorHAnsi" w:eastAsiaTheme="minorHAnsi" w:hAnsiTheme="minorHAnsi" w:cstheme="minorHAnsi"/>
          <w:szCs w:val="20"/>
        </w:rPr>
      </w:pPr>
      <w:r w:rsidRPr="003B6A69">
        <w:rPr>
          <w:rFonts w:asciiTheme="minorHAnsi" w:eastAsiaTheme="minorHAnsi" w:hAnsiTheme="minorHAnsi" w:cstheme="minorHAnsi"/>
          <w:szCs w:val="20"/>
        </w:rPr>
        <w:t xml:space="preserve">The criteria assessed include sustainability of management systems (business polices, legislation, human and financial resources, communication processes), looking after employees and protecting human rights, community integration, taking care of suppliers and guests, but most of all the accent is on environmental management with specific attention being tailored to managing energy use, managing water use, managing and reducing solid waste use, managing use of harmful substances and looking after and protecting wildlife. Fees for </w:t>
      </w:r>
      <w:proofErr w:type="spellStart"/>
      <w:r w:rsidRPr="003B6A69">
        <w:rPr>
          <w:rFonts w:asciiTheme="minorHAnsi" w:eastAsiaTheme="minorHAnsi" w:hAnsiTheme="minorHAnsi" w:cstheme="minorHAnsi"/>
          <w:szCs w:val="20"/>
        </w:rPr>
        <w:t>Travelife</w:t>
      </w:r>
      <w:proofErr w:type="spellEnd"/>
      <w:r w:rsidRPr="003B6A69">
        <w:rPr>
          <w:rFonts w:asciiTheme="minorHAnsi" w:eastAsiaTheme="minorHAnsi" w:hAnsiTheme="minorHAnsi" w:cstheme="minorHAnsi"/>
          <w:szCs w:val="20"/>
        </w:rPr>
        <w:t xml:space="preserve"> vary from 640 Euros to 2150 Euros for 2-year membership which is based on the size of the property.</w:t>
      </w:r>
      <w:r w:rsidRPr="003B6A69">
        <w:rPr>
          <w:rFonts w:asciiTheme="minorHAnsi" w:eastAsiaTheme="minorHAnsi" w:hAnsiTheme="minorHAnsi" w:cstheme="minorHAnsi"/>
          <w:szCs w:val="20"/>
          <w:vertAlign w:val="superscript"/>
        </w:rPr>
        <w:footnoteReference w:id="49"/>
      </w:r>
      <w:r w:rsidRPr="003B6A69">
        <w:rPr>
          <w:rFonts w:asciiTheme="minorHAnsi" w:eastAsiaTheme="minorHAnsi" w:hAnsiTheme="minorHAnsi" w:cstheme="minorHAnsi"/>
          <w:szCs w:val="20"/>
        </w:rPr>
        <w:t xml:space="preserve"> </w:t>
      </w:r>
    </w:p>
    <w:p w14:paraId="7C348E47" w14:textId="77777777" w:rsidR="008C4F26" w:rsidRPr="003B6A69" w:rsidRDefault="008C4F26" w:rsidP="000A12EC">
      <w:pPr>
        <w:spacing w:after="120" w:line="259" w:lineRule="auto"/>
        <w:jc w:val="left"/>
        <w:rPr>
          <w:rFonts w:asciiTheme="minorHAnsi" w:eastAsiaTheme="minorHAnsi" w:hAnsiTheme="minorHAnsi" w:cstheme="minorHAnsi"/>
          <w:szCs w:val="20"/>
        </w:rPr>
      </w:pPr>
      <w:r w:rsidRPr="003B6A69">
        <w:rPr>
          <w:rFonts w:asciiTheme="minorHAnsi" w:eastAsiaTheme="minorHAnsi" w:hAnsiTheme="minorHAnsi" w:cstheme="minorHAnsi"/>
          <w:b/>
          <w:bCs/>
          <w:szCs w:val="20"/>
        </w:rPr>
        <w:t>The Green Key</w:t>
      </w:r>
      <w:r w:rsidRPr="003B6A69">
        <w:rPr>
          <w:rFonts w:asciiTheme="minorHAnsi" w:eastAsiaTheme="minorHAnsi" w:hAnsiTheme="minorHAnsi" w:cstheme="minorHAnsi"/>
          <w:szCs w:val="20"/>
          <w:vertAlign w:val="superscript"/>
        </w:rPr>
        <w:footnoteReference w:id="50"/>
      </w:r>
      <w:r w:rsidRPr="003B6A69">
        <w:rPr>
          <w:rFonts w:asciiTheme="minorHAnsi" w:eastAsiaTheme="minorHAnsi" w:hAnsiTheme="minorHAnsi" w:cstheme="minorHAnsi"/>
          <w:szCs w:val="20"/>
        </w:rPr>
        <w:t xml:space="preserve"> is a voluntary eco-label, and the award is the leading standard for excellence in the field of environmental responsibility and sustainable operation within the tourism industry. The Green Key </w:t>
      </w:r>
      <w:proofErr w:type="spellStart"/>
      <w:r w:rsidRPr="003B6A69">
        <w:rPr>
          <w:rFonts w:asciiTheme="minorHAnsi" w:eastAsiaTheme="minorHAnsi" w:hAnsiTheme="minorHAnsi" w:cstheme="minorHAnsi"/>
          <w:szCs w:val="20"/>
        </w:rPr>
        <w:t>programme</w:t>
      </w:r>
      <w:proofErr w:type="spellEnd"/>
      <w:r w:rsidRPr="003B6A69">
        <w:rPr>
          <w:rFonts w:asciiTheme="minorHAnsi" w:eastAsiaTheme="minorHAnsi" w:hAnsiTheme="minorHAnsi" w:cstheme="minorHAnsi"/>
          <w:szCs w:val="20"/>
        </w:rPr>
        <w:t xml:space="preserve"> is operated internationally under the management of the Foundation for Environmental Education (FEE) with Head Offices in Copenhagen, Denmark. FEE has national member </w:t>
      </w:r>
      <w:proofErr w:type="spellStart"/>
      <w:r w:rsidRPr="003B6A69">
        <w:rPr>
          <w:rFonts w:asciiTheme="minorHAnsi" w:eastAsiaTheme="minorHAnsi" w:hAnsiTheme="minorHAnsi" w:cstheme="minorHAnsi"/>
          <w:szCs w:val="20"/>
        </w:rPr>
        <w:t>organisations</w:t>
      </w:r>
      <w:proofErr w:type="spellEnd"/>
      <w:r w:rsidRPr="003B6A69">
        <w:rPr>
          <w:rFonts w:asciiTheme="minorHAnsi" w:eastAsiaTheme="minorHAnsi" w:hAnsiTheme="minorHAnsi" w:cstheme="minorHAnsi"/>
          <w:szCs w:val="20"/>
        </w:rPr>
        <w:t xml:space="preserve"> in more than 70 countries worldwide. Many of these member </w:t>
      </w:r>
      <w:proofErr w:type="spellStart"/>
      <w:r w:rsidRPr="003B6A69">
        <w:rPr>
          <w:rFonts w:asciiTheme="minorHAnsi" w:eastAsiaTheme="minorHAnsi" w:hAnsiTheme="minorHAnsi" w:cstheme="minorHAnsi"/>
          <w:szCs w:val="20"/>
        </w:rPr>
        <w:t>organisations</w:t>
      </w:r>
      <w:proofErr w:type="spellEnd"/>
      <w:r w:rsidRPr="003B6A69">
        <w:rPr>
          <w:rFonts w:asciiTheme="minorHAnsi" w:eastAsiaTheme="minorHAnsi" w:hAnsiTheme="minorHAnsi" w:cstheme="minorHAnsi"/>
          <w:szCs w:val="20"/>
        </w:rPr>
        <w:t xml:space="preserve"> administrate the Green Key </w:t>
      </w:r>
      <w:proofErr w:type="spellStart"/>
      <w:r w:rsidRPr="003B6A69">
        <w:rPr>
          <w:rFonts w:asciiTheme="minorHAnsi" w:eastAsiaTheme="minorHAnsi" w:hAnsiTheme="minorHAnsi" w:cstheme="minorHAnsi"/>
          <w:szCs w:val="20"/>
        </w:rPr>
        <w:t>programme</w:t>
      </w:r>
      <w:proofErr w:type="spellEnd"/>
      <w:r w:rsidRPr="003B6A69">
        <w:rPr>
          <w:rFonts w:asciiTheme="minorHAnsi" w:eastAsiaTheme="minorHAnsi" w:hAnsiTheme="minorHAnsi" w:cstheme="minorHAnsi"/>
          <w:szCs w:val="20"/>
        </w:rPr>
        <w:t xml:space="preserve"> at the national level or are considering starting the implementation of the </w:t>
      </w:r>
      <w:proofErr w:type="spellStart"/>
      <w:r w:rsidRPr="003B6A69">
        <w:rPr>
          <w:rFonts w:asciiTheme="minorHAnsi" w:eastAsiaTheme="minorHAnsi" w:hAnsiTheme="minorHAnsi" w:cstheme="minorHAnsi"/>
          <w:szCs w:val="20"/>
        </w:rPr>
        <w:t>programme</w:t>
      </w:r>
      <w:proofErr w:type="spellEnd"/>
      <w:r w:rsidRPr="003B6A69">
        <w:rPr>
          <w:rFonts w:asciiTheme="minorHAnsi" w:eastAsiaTheme="minorHAnsi" w:hAnsiTheme="minorHAnsi" w:cstheme="minorHAnsi"/>
          <w:szCs w:val="20"/>
        </w:rPr>
        <w:t xml:space="preserve">. In countries without a national Green Key office, Green Key International </w:t>
      </w:r>
      <w:proofErr w:type="gramStart"/>
      <w:r w:rsidRPr="003B6A69">
        <w:rPr>
          <w:rFonts w:asciiTheme="minorHAnsi" w:eastAsiaTheme="minorHAnsi" w:hAnsiTheme="minorHAnsi" w:cstheme="minorHAnsi"/>
          <w:szCs w:val="20"/>
        </w:rPr>
        <w:t>is in charge of</w:t>
      </w:r>
      <w:proofErr w:type="gramEnd"/>
      <w:r w:rsidRPr="003B6A69">
        <w:rPr>
          <w:rFonts w:asciiTheme="minorHAnsi" w:eastAsiaTheme="minorHAnsi" w:hAnsiTheme="minorHAnsi" w:cstheme="minorHAnsi"/>
          <w:szCs w:val="20"/>
        </w:rPr>
        <w:t xml:space="preserve"> administrating Green Key award sites.</w:t>
      </w:r>
    </w:p>
    <w:p w14:paraId="0743343B" w14:textId="77777777" w:rsidR="008C4F26" w:rsidRPr="003B6A69" w:rsidRDefault="008C4F26" w:rsidP="008C4F26">
      <w:pPr>
        <w:spacing w:after="120" w:line="259" w:lineRule="auto"/>
        <w:rPr>
          <w:rFonts w:asciiTheme="minorHAnsi" w:eastAsiaTheme="minorHAnsi" w:hAnsiTheme="minorHAnsi" w:cstheme="minorHAnsi"/>
          <w:szCs w:val="20"/>
        </w:rPr>
      </w:pPr>
      <w:r w:rsidRPr="003B6A69">
        <w:rPr>
          <w:rFonts w:asciiTheme="minorHAnsi" w:eastAsiaTheme="minorHAnsi" w:hAnsiTheme="minorHAnsi" w:cstheme="minorHAnsi"/>
          <w:szCs w:val="20"/>
        </w:rPr>
        <w:t xml:space="preserve">Establishments awarded with the Green Key certification meet a set of high standard environmental requirements. These requirements are developed as criteria and explanatory notes for six separate Green Key categories (hotels and hostels, campsites and holiday parks, small accommodations, conference </w:t>
      </w:r>
      <w:proofErr w:type="spellStart"/>
      <w:r w:rsidRPr="003B6A69">
        <w:rPr>
          <w:rFonts w:asciiTheme="minorHAnsi" w:eastAsiaTheme="minorHAnsi" w:hAnsiTheme="minorHAnsi" w:cstheme="minorHAnsi"/>
          <w:szCs w:val="20"/>
        </w:rPr>
        <w:t>centres</w:t>
      </w:r>
      <w:proofErr w:type="spellEnd"/>
      <w:r w:rsidRPr="003B6A69">
        <w:rPr>
          <w:rFonts w:asciiTheme="minorHAnsi" w:eastAsiaTheme="minorHAnsi" w:hAnsiTheme="minorHAnsi" w:cstheme="minorHAnsi"/>
          <w:szCs w:val="20"/>
        </w:rPr>
        <w:t xml:space="preserve">, </w:t>
      </w:r>
      <w:proofErr w:type="gramStart"/>
      <w:r w:rsidRPr="003B6A69">
        <w:rPr>
          <w:rFonts w:asciiTheme="minorHAnsi" w:eastAsiaTheme="minorHAnsi" w:hAnsiTheme="minorHAnsi" w:cstheme="minorHAnsi"/>
          <w:szCs w:val="20"/>
        </w:rPr>
        <w:t>restaurants</w:t>
      </w:r>
      <w:proofErr w:type="gramEnd"/>
      <w:r w:rsidRPr="003B6A69">
        <w:rPr>
          <w:rFonts w:asciiTheme="minorHAnsi" w:eastAsiaTheme="minorHAnsi" w:hAnsiTheme="minorHAnsi" w:cstheme="minorHAnsi"/>
          <w:szCs w:val="20"/>
        </w:rPr>
        <w:t xml:space="preserve"> and attractions). The requirements cover the following common 13 criteria areas: staff involvement, environmental management, guest information, water, energy, washing and cleaning, food and beverage, administration, waste, indoor environment, green areas, green </w:t>
      </w:r>
      <w:proofErr w:type="gramStart"/>
      <w:r w:rsidRPr="003B6A69">
        <w:rPr>
          <w:rFonts w:asciiTheme="minorHAnsi" w:eastAsiaTheme="minorHAnsi" w:hAnsiTheme="minorHAnsi" w:cstheme="minorHAnsi"/>
          <w:szCs w:val="20"/>
        </w:rPr>
        <w:t>activities</w:t>
      </w:r>
      <w:proofErr w:type="gramEnd"/>
      <w:r w:rsidRPr="003B6A69">
        <w:rPr>
          <w:rFonts w:asciiTheme="minorHAnsi" w:eastAsiaTheme="minorHAnsi" w:hAnsiTheme="minorHAnsi" w:cstheme="minorHAnsi"/>
          <w:szCs w:val="20"/>
        </w:rPr>
        <w:t xml:space="preserve"> and corporate social responsibility. These common criteria are tailored for the individual categories. </w:t>
      </w:r>
    </w:p>
    <w:p w14:paraId="3837676B" w14:textId="77777777" w:rsidR="008C4F26" w:rsidRPr="003B6A69" w:rsidRDefault="008C4F26" w:rsidP="008C4F26">
      <w:pPr>
        <w:spacing w:after="120" w:line="259" w:lineRule="auto"/>
        <w:rPr>
          <w:rFonts w:asciiTheme="minorHAnsi" w:eastAsiaTheme="minorHAnsi" w:hAnsiTheme="minorHAnsi" w:cstheme="minorHAnsi"/>
          <w:szCs w:val="20"/>
        </w:rPr>
      </w:pPr>
      <w:r w:rsidRPr="003B6A69">
        <w:rPr>
          <w:rFonts w:asciiTheme="minorHAnsi" w:eastAsiaTheme="minorHAnsi" w:hAnsiTheme="minorHAnsi" w:cstheme="minorHAnsi"/>
          <w:szCs w:val="20"/>
        </w:rPr>
        <w:t xml:space="preserve">Most criteria are required and must be met, while other criteria are guidelines in that an increasing percentage of guideline criteria must be met depending on the years of involvement in the Green Key </w:t>
      </w:r>
      <w:proofErr w:type="spellStart"/>
      <w:r w:rsidRPr="003B6A69">
        <w:rPr>
          <w:rFonts w:asciiTheme="minorHAnsi" w:eastAsiaTheme="minorHAnsi" w:hAnsiTheme="minorHAnsi" w:cstheme="minorHAnsi"/>
          <w:szCs w:val="20"/>
        </w:rPr>
        <w:t>programme</w:t>
      </w:r>
      <w:proofErr w:type="spellEnd"/>
      <w:r w:rsidRPr="003B6A69">
        <w:rPr>
          <w:rFonts w:asciiTheme="minorHAnsi" w:eastAsiaTheme="minorHAnsi" w:hAnsiTheme="minorHAnsi" w:cstheme="minorHAnsi"/>
          <w:szCs w:val="20"/>
        </w:rPr>
        <w:t xml:space="preserve">. It is possible for the Green Key national </w:t>
      </w:r>
      <w:proofErr w:type="spellStart"/>
      <w:r w:rsidRPr="003B6A69">
        <w:rPr>
          <w:rFonts w:asciiTheme="minorHAnsi" w:eastAsiaTheme="minorHAnsi" w:hAnsiTheme="minorHAnsi" w:cstheme="minorHAnsi"/>
          <w:szCs w:val="20"/>
        </w:rPr>
        <w:t>programmes</w:t>
      </w:r>
      <w:proofErr w:type="spellEnd"/>
      <w:r w:rsidRPr="003B6A69">
        <w:rPr>
          <w:rFonts w:asciiTheme="minorHAnsi" w:eastAsiaTheme="minorHAnsi" w:hAnsiTheme="minorHAnsi" w:cstheme="minorHAnsi"/>
          <w:szCs w:val="20"/>
        </w:rPr>
        <w:t xml:space="preserve"> to strengthen/add criteria in conjunction with the international criteria.</w:t>
      </w:r>
    </w:p>
    <w:p w14:paraId="40873F40" w14:textId="77777777" w:rsidR="008C4F26" w:rsidRPr="003B6A69" w:rsidRDefault="008C4F26" w:rsidP="008C4F26">
      <w:pPr>
        <w:spacing w:after="120" w:line="259" w:lineRule="auto"/>
        <w:rPr>
          <w:rFonts w:asciiTheme="minorHAnsi" w:eastAsiaTheme="minorHAnsi" w:hAnsiTheme="minorHAnsi" w:cstheme="minorHAnsi"/>
          <w:szCs w:val="20"/>
        </w:rPr>
      </w:pPr>
      <w:r w:rsidRPr="003B6A69">
        <w:rPr>
          <w:rFonts w:asciiTheme="minorHAnsi" w:eastAsiaTheme="minorHAnsi" w:hAnsiTheme="minorHAnsi" w:cstheme="minorHAnsi"/>
          <w:szCs w:val="20"/>
        </w:rPr>
        <w:t>Fees vary based on the category and include levies from 500</w:t>
      </w:r>
      <w:r w:rsidRPr="003B6A69">
        <w:rPr>
          <w:rFonts w:asciiTheme="minorHAnsi" w:eastAsiaTheme="minorHAnsi" w:hAnsiTheme="minorHAnsi" w:cstheme="minorHAnsi"/>
          <w:color w:val="000000" w:themeColor="text1"/>
          <w:szCs w:val="20"/>
        </w:rPr>
        <w:t xml:space="preserve">€ to 1000€ </w:t>
      </w:r>
      <w:proofErr w:type="spellStart"/>
      <w:r w:rsidRPr="003B6A69">
        <w:rPr>
          <w:rFonts w:asciiTheme="minorHAnsi" w:eastAsiaTheme="minorHAnsi" w:hAnsiTheme="minorHAnsi" w:cstheme="minorHAnsi"/>
          <w:color w:val="000000" w:themeColor="text1"/>
          <w:szCs w:val="20"/>
        </w:rPr>
        <w:t>payed</w:t>
      </w:r>
      <w:proofErr w:type="spellEnd"/>
      <w:r w:rsidRPr="003B6A69">
        <w:rPr>
          <w:rFonts w:asciiTheme="minorHAnsi" w:eastAsiaTheme="minorHAnsi" w:hAnsiTheme="minorHAnsi" w:cstheme="minorHAnsi"/>
          <w:color w:val="000000" w:themeColor="text1"/>
          <w:szCs w:val="20"/>
        </w:rPr>
        <w:t xml:space="preserve"> annually, plus an audit cost of 500€, plus travel costs, paid in years 1,2,5 and then every three years. </w:t>
      </w:r>
    </w:p>
    <w:p w14:paraId="1F9249C0" w14:textId="77777777" w:rsidR="008C4F26" w:rsidRPr="003B6A69" w:rsidRDefault="008C4F26" w:rsidP="000A12EC">
      <w:pPr>
        <w:spacing w:after="120" w:line="259" w:lineRule="auto"/>
        <w:jc w:val="left"/>
        <w:rPr>
          <w:rFonts w:asciiTheme="minorHAnsi" w:eastAsiaTheme="minorHAnsi" w:hAnsiTheme="minorHAnsi" w:cstheme="minorHAnsi"/>
          <w:szCs w:val="20"/>
        </w:rPr>
      </w:pPr>
      <w:r w:rsidRPr="003B6A69">
        <w:rPr>
          <w:rFonts w:asciiTheme="minorHAnsi" w:eastAsiaTheme="minorHAnsi" w:hAnsiTheme="minorHAnsi" w:cstheme="minorHAnsi"/>
          <w:b/>
          <w:bCs/>
          <w:szCs w:val="20"/>
        </w:rPr>
        <w:t>The Green Globe</w:t>
      </w:r>
      <w:r w:rsidRPr="003B6A69">
        <w:rPr>
          <w:rFonts w:asciiTheme="minorHAnsi" w:eastAsiaTheme="minorHAnsi" w:hAnsiTheme="minorHAnsi" w:cstheme="minorHAnsi"/>
          <w:szCs w:val="20"/>
          <w:vertAlign w:val="superscript"/>
        </w:rPr>
        <w:footnoteReference w:id="51"/>
      </w:r>
      <w:r w:rsidRPr="003B6A69">
        <w:rPr>
          <w:rFonts w:asciiTheme="minorHAnsi" w:eastAsiaTheme="minorHAnsi" w:hAnsiTheme="minorHAnsi" w:cstheme="minorHAnsi"/>
          <w:szCs w:val="20"/>
          <w:vertAlign w:val="superscript"/>
        </w:rPr>
        <w:t xml:space="preserve"> </w:t>
      </w:r>
      <w:r w:rsidRPr="003B6A69">
        <w:rPr>
          <w:rFonts w:asciiTheme="minorHAnsi" w:eastAsiaTheme="minorHAnsi" w:hAnsiTheme="minorHAnsi" w:cstheme="minorHAnsi"/>
          <w:szCs w:val="20"/>
        </w:rPr>
        <w:t xml:space="preserve">provides certification, training &amp; education, and marketing services worldwide. Certification is provided for the sustainable operation and management of travel and tourism companies and their related supplier businesses. Green Globe also maintains a global network of independent auditors who provide third party inspection and validation. The Green Globe Standard is based on internationally accepted criteria developed during the 15 years of the Green Globe program. Green Globe is active in harmonizing with other established sustainability certification programs around the world. The process of harmonization contributes to maintaining core criteria and at the same time addresses regional issues through the adoption of locally developed standards. Criteria include sustainable management, social/economic criteria, cultural </w:t>
      </w:r>
      <w:proofErr w:type="gramStart"/>
      <w:r w:rsidRPr="003B6A69">
        <w:rPr>
          <w:rFonts w:asciiTheme="minorHAnsi" w:eastAsiaTheme="minorHAnsi" w:hAnsiTheme="minorHAnsi" w:cstheme="minorHAnsi"/>
          <w:szCs w:val="20"/>
        </w:rPr>
        <w:t>heritage</w:t>
      </w:r>
      <w:proofErr w:type="gramEnd"/>
      <w:r w:rsidRPr="003B6A69">
        <w:rPr>
          <w:rFonts w:asciiTheme="minorHAnsi" w:eastAsiaTheme="minorHAnsi" w:hAnsiTheme="minorHAnsi" w:cstheme="minorHAnsi"/>
          <w:szCs w:val="20"/>
        </w:rPr>
        <w:t xml:space="preserve"> and environment. Environmental criteria include purchasing policies that favor environmentally friendly products for building materials, capital goods, food, and consumables, responsible consumption and frequent monitoring of waste, energy efficiency through sustainable technology and effective waste management encouraging the use of renewable energy, water consumption management, wastewater management, controlled and reduced </w:t>
      </w:r>
      <w:r w:rsidRPr="003B6A69">
        <w:rPr>
          <w:rFonts w:asciiTheme="minorHAnsi" w:eastAsiaTheme="minorHAnsi" w:hAnsiTheme="minorHAnsi" w:cstheme="minorHAnsi"/>
          <w:szCs w:val="20"/>
        </w:rPr>
        <w:lastRenderedPageBreak/>
        <w:t>greenhouse gas emissions from all sources, waste management through planning, reduction, reuse, recycling, with attention to the use of harmful substances,</w:t>
      </w:r>
      <w:r w:rsidRPr="003B6A69">
        <w:rPr>
          <w:rFonts w:asciiTheme="minorHAnsi" w:eastAsia="Times New Roman" w:hAnsiTheme="minorHAnsi" w:cstheme="minorHAnsi"/>
          <w:color w:val="8894A3"/>
          <w:szCs w:val="20"/>
        </w:rPr>
        <w:t xml:space="preserve"> </w:t>
      </w:r>
      <w:r w:rsidRPr="003B6A69">
        <w:rPr>
          <w:rFonts w:asciiTheme="minorHAnsi" w:eastAsiaTheme="minorHAnsi" w:hAnsiTheme="minorHAnsi" w:cstheme="minorHAnsi"/>
          <w:szCs w:val="20"/>
        </w:rPr>
        <w:t>implementation practices to reduce pollution from noise, light, runoff, erosion, ozone-depleting compounds, and air and soil contaminants.</w:t>
      </w:r>
      <w:r w:rsidRPr="003B6A69">
        <w:rPr>
          <w:rFonts w:asciiTheme="minorHAnsi" w:eastAsia="Times New Roman" w:hAnsiTheme="minorHAnsi" w:cstheme="minorHAnsi"/>
          <w:color w:val="8894A3"/>
          <w:szCs w:val="20"/>
        </w:rPr>
        <w:t xml:space="preserve"> </w:t>
      </w:r>
      <w:r w:rsidRPr="003B6A69">
        <w:rPr>
          <w:rFonts w:asciiTheme="minorHAnsi" w:eastAsiaTheme="minorHAnsi" w:hAnsiTheme="minorHAnsi" w:cstheme="minorHAnsi"/>
          <w:szCs w:val="20"/>
        </w:rPr>
        <w:t xml:space="preserve">In addition to these there is a specific criterion that </w:t>
      </w:r>
      <w:proofErr w:type="gramStart"/>
      <w:r w:rsidRPr="003B6A69">
        <w:rPr>
          <w:rFonts w:asciiTheme="minorHAnsi" w:eastAsiaTheme="minorHAnsi" w:hAnsiTheme="minorHAnsi" w:cstheme="minorHAnsi"/>
          <w:szCs w:val="20"/>
        </w:rPr>
        <w:t>takes into account</w:t>
      </w:r>
      <w:proofErr w:type="gramEnd"/>
      <w:r w:rsidRPr="003B6A69">
        <w:rPr>
          <w:rFonts w:asciiTheme="minorHAnsi" w:eastAsiaTheme="minorHAnsi" w:hAnsiTheme="minorHAnsi" w:cstheme="minorHAnsi"/>
          <w:szCs w:val="20"/>
        </w:rPr>
        <w:t xml:space="preserve"> conserving biodiversity, ecosystems and landscapes. This criteria takes into account that wildlife species are only harvested from the wild, consumed, displayed, sold, or internationally traded, as part of a regulated activity that ensures that their utilization is sustainable; that no captive wildlife is held, except for properly regulated activities, and living specimens of protected wildlife species are only kept by those authorized and suitably equipped to house and care for them; that the business uses native species for landscaping and restoration, and takes measures to avoid the introduction of invasive alien species; that the business contributes to the support of biodiversity conservation, including supporting natural protected areas and areas of high biodiversity value; and that the interactions with wildlife do not produce adverse effects on the viability of populations in the wild; and any disturbance of natural ecosystems is minimized, rehabilitated, and there is a compensatory contribution to conservation management.</w:t>
      </w:r>
    </w:p>
    <w:p w14:paraId="4A2419E0" w14:textId="77777777" w:rsidR="008C4F26" w:rsidRPr="003B6A69" w:rsidRDefault="008C4F26" w:rsidP="000A12EC">
      <w:pPr>
        <w:spacing w:after="120" w:line="259" w:lineRule="auto"/>
        <w:jc w:val="left"/>
        <w:rPr>
          <w:rFonts w:asciiTheme="minorHAnsi" w:eastAsiaTheme="minorHAnsi" w:hAnsiTheme="minorHAnsi" w:cstheme="minorHAnsi"/>
          <w:szCs w:val="20"/>
        </w:rPr>
      </w:pPr>
      <w:r w:rsidRPr="003B6A69">
        <w:rPr>
          <w:rFonts w:asciiTheme="minorHAnsi" w:eastAsiaTheme="minorHAnsi" w:hAnsiTheme="minorHAnsi" w:cstheme="minorHAnsi"/>
          <w:szCs w:val="20"/>
        </w:rPr>
        <w:t>Annual membership rates vary between hotels and business and their respective sizes and can be anywhere between 650</w:t>
      </w:r>
      <w:r w:rsidRPr="003B6A69">
        <w:rPr>
          <w:rFonts w:asciiTheme="minorHAnsi" w:eastAsia="Times New Roman" w:hAnsiTheme="minorHAnsi" w:cstheme="minorHAnsi"/>
          <w:color w:val="000000" w:themeColor="text1"/>
          <w:szCs w:val="20"/>
        </w:rPr>
        <w:t>€</w:t>
      </w:r>
      <w:r w:rsidRPr="003B6A69">
        <w:rPr>
          <w:rFonts w:asciiTheme="minorHAnsi" w:eastAsiaTheme="minorHAnsi" w:hAnsiTheme="minorHAnsi" w:cstheme="minorHAnsi"/>
          <w:szCs w:val="20"/>
        </w:rPr>
        <w:t xml:space="preserve"> to 45000</w:t>
      </w:r>
      <w:r w:rsidRPr="003B6A69">
        <w:rPr>
          <w:rFonts w:asciiTheme="minorHAnsi" w:eastAsia="Times New Roman" w:hAnsiTheme="minorHAnsi" w:cstheme="minorHAnsi"/>
          <w:color w:val="000000" w:themeColor="text1"/>
          <w:szCs w:val="20"/>
        </w:rPr>
        <w:t>€</w:t>
      </w:r>
      <w:r w:rsidRPr="003B6A69">
        <w:rPr>
          <w:rFonts w:asciiTheme="minorHAnsi" w:eastAsiaTheme="minorHAnsi" w:hAnsiTheme="minorHAnsi" w:cstheme="minorHAnsi"/>
          <w:szCs w:val="20"/>
        </w:rPr>
        <w:t xml:space="preserve">, not including consulting and auditing. </w:t>
      </w:r>
    </w:p>
    <w:p w14:paraId="66017905" w14:textId="77777777" w:rsidR="008C4F26" w:rsidRPr="003B6A69" w:rsidRDefault="008C4F26" w:rsidP="000A12EC">
      <w:pPr>
        <w:spacing w:before="100" w:beforeAutospacing="1" w:after="120" w:afterAutospacing="1" w:line="259" w:lineRule="auto"/>
        <w:jc w:val="left"/>
        <w:rPr>
          <w:rFonts w:asciiTheme="minorHAnsi" w:eastAsiaTheme="minorHAnsi" w:hAnsiTheme="minorHAnsi" w:cstheme="minorHAnsi"/>
          <w:szCs w:val="20"/>
        </w:rPr>
      </w:pPr>
      <w:r w:rsidRPr="003B6A69">
        <w:rPr>
          <w:rFonts w:asciiTheme="minorHAnsi" w:eastAsiaTheme="minorHAnsi" w:hAnsiTheme="minorHAnsi" w:cstheme="minorHAnsi"/>
          <w:szCs w:val="20"/>
        </w:rPr>
        <w:t xml:space="preserve">There are also international schemes for </w:t>
      </w:r>
      <w:proofErr w:type="spellStart"/>
      <w:r w:rsidRPr="003B6A69">
        <w:rPr>
          <w:rFonts w:asciiTheme="minorHAnsi" w:eastAsiaTheme="minorHAnsi" w:hAnsiTheme="minorHAnsi" w:cstheme="minorHAnsi"/>
          <w:szCs w:val="20"/>
        </w:rPr>
        <w:t>recognising</w:t>
      </w:r>
      <w:proofErr w:type="spellEnd"/>
      <w:r w:rsidRPr="003B6A69">
        <w:rPr>
          <w:rFonts w:asciiTheme="minorHAnsi" w:eastAsiaTheme="minorHAnsi" w:hAnsiTheme="minorHAnsi" w:cstheme="minorHAnsi"/>
          <w:szCs w:val="20"/>
        </w:rPr>
        <w:t xml:space="preserve"> the adoption of high environmental standards in tourism provision, such as the </w:t>
      </w:r>
      <w:r w:rsidRPr="003B6A69">
        <w:rPr>
          <w:rFonts w:asciiTheme="minorHAnsi" w:eastAsiaTheme="minorHAnsi" w:hAnsiTheme="minorHAnsi" w:cstheme="minorHAnsi"/>
          <w:b/>
          <w:szCs w:val="20"/>
        </w:rPr>
        <w:t>Green Globe 21</w:t>
      </w:r>
      <w:r w:rsidRPr="003B6A69">
        <w:rPr>
          <w:rFonts w:asciiTheme="minorHAnsi" w:eastAsiaTheme="minorHAnsi" w:hAnsiTheme="minorHAnsi" w:cstheme="minorHAnsi"/>
          <w:szCs w:val="20"/>
        </w:rPr>
        <w:t xml:space="preserve"> scheme.  </w:t>
      </w:r>
    </w:p>
    <w:p w14:paraId="618C9C11" w14:textId="77777777" w:rsidR="008C4F26" w:rsidRPr="003B6A69" w:rsidRDefault="008C4F26" w:rsidP="000A12EC">
      <w:pPr>
        <w:spacing w:before="100" w:beforeAutospacing="1" w:after="120" w:afterAutospacing="1" w:line="259" w:lineRule="auto"/>
        <w:jc w:val="left"/>
        <w:rPr>
          <w:rFonts w:asciiTheme="minorHAnsi" w:eastAsiaTheme="minorHAnsi" w:hAnsiTheme="minorHAnsi" w:cstheme="minorHAnsi"/>
          <w:szCs w:val="20"/>
        </w:rPr>
      </w:pPr>
      <w:r w:rsidRPr="003B6A69">
        <w:rPr>
          <w:rFonts w:asciiTheme="minorHAnsi" w:eastAsiaTheme="minorHAnsi" w:hAnsiTheme="minorHAnsi" w:cstheme="minorHAnsi"/>
          <w:szCs w:val="20"/>
        </w:rPr>
        <w:t xml:space="preserve">Green Globe has recently joined with the Ecotourism Association of Australia to develop a new </w:t>
      </w:r>
      <w:proofErr w:type="spellStart"/>
      <w:r w:rsidRPr="003B6A69">
        <w:rPr>
          <w:rFonts w:asciiTheme="minorHAnsi" w:eastAsiaTheme="minorHAnsi" w:hAnsiTheme="minorHAnsi" w:cstheme="minorHAnsi"/>
          <w:szCs w:val="20"/>
        </w:rPr>
        <w:t>programme</w:t>
      </w:r>
      <w:proofErr w:type="spellEnd"/>
      <w:r w:rsidRPr="003B6A69">
        <w:rPr>
          <w:rFonts w:asciiTheme="minorHAnsi" w:eastAsiaTheme="minorHAnsi" w:hAnsiTheme="minorHAnsi" w:cstheme="minorHAnsi"/>
          <w:szCs w:val="20"/>
        </w:rPr>
        <w:t xml:space="preserve"> aimed at ecotourism, an activity that could provide important opportunities for park tourism managers. The Green Globe 21 is positioned as an industry accreditation scheme to promote and market environmentally sound tourism. Under the Green Globe accreditation scheme, companies, communities, suppliers, professionals etc. can graduate through three categories to obtain higher levels of recognition for the sustainability of their operations, which they can then use for marketing purposes:</w:t>
      </w:r>
    </w:p>
    <w:p w14:paraId="6A4C1D8D" w14:textId="77777777" w:rsidR="008C4F26" w:rsidRPr="003B6A69" w:rsidRDefault="008C4F26" w:rsidP="000A12EC">
      <w:pPr>
        <w:spacing w:before="100" w:beforeAutospacing="1" w:after="120" w:afterAutospacing="1" w:line="259" w:lineRule="auto"/>
        <w:jc w:val="left"/>
        <w:rPr>
          <w:rFonts w:asciiTheme="minorHAnsi" w:eastAsiaTheme="minorHAnsi" w:hAnsiTheme="minorHAnsi" w:cstheme="minorHAnsi"/>
          <w:szCs w:val="20"/>
        </w:rPr>
      </w:pPr>
      <w:r w:rsidRPr="003B6A69">
        <w:rPr>
          <w:rFonts w:asciiTheme="minorHAnsi" w:eastAsiaTheme="minorHAnsi" w:hAnsiTheme="minorHAnsi" w:cstheme="minorHAnsi"/>
          <w:szCs w:val="20"/>
        </w:rPr>
        <w:t xml:space="preserve">A: Affiliated companies etc. are those who wish to gain a foothold in sustainable tourism and access a whole range of support and information sources </w:t>
      </w:r>
      <w:proofErr w:type="gramStart"/>
      <w:r w:rsidRPr="003B6A69">
        <w:rPr>
          <w:rFonts w:asciiTheme="minorHAnsi" w:eastAsiaTheme="minorHAnsi" w:hAnsiTheme="minorHAnsi" w:cstheme="minorHAnsi"/>
          <w:szCs w:val="20"/>
        </w:rPr>
        <w:t>in order to</w:t>
      </w:r>
      <w:proofErr w:type="gramEnd"/>
      <w:r w:rsidRPr="003B6A69">
        <w:rPr>
          <w:rFonts w:asciiTheme="minorHAnsi" w:eastAsiaTheme="minorHAnsi" w:hAnsiTheme="minorHAnsi" w:cstheme="minorHAnsi"/>
          <w:szCs w:val="20"/>
        </w:rPr>
        <w:t xml:space="preserve"> be officially </w:t>
      </w:r>
      <w:proofErr w:type="spellStart"/>
      <w:r w:rsidRPr="003B6A69">
        <w:rPr>
          <w:rFonts w:asciiTheme="minorHAnsi" w:eastAsiaTheme="minorHAnsi" w:hAnsiTheme="minorHAnsi" w:cstheme="minorHAnsi"/>
          <w:szCs w:val="20"/>
        </w:rPr>
        <w:t>recognised</w:t>
      </w:r>
      <w:proofErr w:type="spellEnd"/>
      <w:r w:rsidRPr="003B6A69">
        <w:rPr>
          <w:rFonts w:asciiTheme="minorHAnsi" w:eastAsiaTheme="minorHAnsi" w:hAnsiTheme="minorHAnsi" w:cstheme="minorHAnsi"/>
          <w:szCs w:val="20"/>
        </w:rPr>
        <w:t xml:space="preserve"> as environmentally sound, and to support and spread eco-conscious values.</w:t>
      </w:r>
    </w:p>
    <w:p w14:paraId="0516A136" w14:textId="77777777" w:rsidR="008C4F26" w:rsidRPr="003B6A69" w:rsidRDefault="008C4F26" w:rsidP="000A12EC">
      <w:pPr>
        <w:spacing w:before="100" w:beforeAutospacing="1" w:after="120" w:afterAutospacing="1" w:line="259" w:lineRule="auto"/>
        <w:jc w:val="left"/>
        <w:rPr>
          <w:rFonts w:asciiTheme="minorHAnsi" w:eastAsiaTheme="minorHAnsi" w:hAnsiTheme="minorHAnsi" w:cstheme="minorHAnsi"/>
          <w:szCs w:val="20"/>
        </w:rPr>
      </w:pPr>
      <w:r w:rsidRPr="003B6A69">
        <w:rPr>
          <w:rFonts w:asciiTheme="minorHAnsi" w:eastAsiaTheme="minorHAnsi" w:hAnsiTheme="minorHAnsi" w:cstheme="minorHAnsi"/>
          <w:szCs w:val="20"/>
        </w:rPr>
        <w:t>B: Benchmarking companies and communities are on the second step of the pathway towards sustainable travel and tourism. They have access to the Green Globe 21 web site which provides them with information on benchmarking. They receive a sustainability assessment and are assisted in their progress towards the next step.</w:t>
      </w:r>
    </w:p>
    <w:p w14:paraId="5033592D" w14:textId="77777777" w:rsidR="008C4F26" w:rsidRPr="003B6A69" w:rsidRDefault="008C4F26" w:rsidP="000A12EC">
      <w:pPr>
        <w:spacing w:after="120" w:line="259" w:lineRule="auto"/>
        <w:jc w:val="left"/>
        <w:rPr>
          <w:rFonts w:asciiTheme="minorHAnsi" w:eastAsiaTheme="minorHAnsi" w:hAnsiTheme="minorHAnsi" w:cstheme="minorHAnsi"/>
          <w:szCs w:val="20"/>
        </w:rPr>
      </w:pPr>
      <w:r w:rsidRPr="003B6A69">
        <w:rPr>
          <w:rFonts w:asciiTheme="minorHAnsi" w:eastAsiaTheme="minorHAnsi" w:hAnsiTheme="minorHAnsi" w:cstheme="minorHAnsi"/>
          <w:szCs w:val="20"/>
        </w:rPr>
        <w:t>C: Certified companies and communities have travelled further along the Green Globe 21 path to sustainable travel and tourism. Certified members have their performance independently assessed and audited. Audits take place regularly to ensure that performance levels are maintained or improved.</w:t>
      </w:r>
    </w:p>
    <w:p w14:paraId="5CF0F4E7" w14:textId="77777777" w:rsidR="008C4F26" w:rsidRPr="003B6A69" w:rsidRDefault="008C4F26" w:rsidP="008C4F26">
      <w:pPr>
        <w:spacing w:after="120" w:line="259" w:lineRule="auto"/>
        <w:rPr>
          <w:rFonts w:asciiTheme="minorHAnsi" w:eastAsiaTheme="minorHAnsi" w:hAnsiTheme="minorHAnsi" w:cstheme="minorHAnsi"/>
          <w:color w:val="000000" w:themeColor="text1"/>
          <w:szCs w:val="20"/>
          <w:shd w:val="clear" w:color="auto" w:fill="FFFFFF"/>
        </w:rPr>
      </w:pPr>
      <w:proofErr w:type="spellStart"/>
      <w:r w:rsidRPr="003B6A69">
        <w:rPr>
          <w:rFonts w:asciiTheme="minorHAnsi" w:eastAsiaTheme="minorHAnsi" w:hAnsiTheme="minorHAnsi" w:cstheme="minorHAnsi"/>
          <w:b/>
          <w:bCs/>
          <w:szCs w:val="20"/>
        </w:rPr>
        <w:t>TourCert</w:t>
      </w:r>
      <w:proofErr w:type="spellEnd"/>
      <w:r w:rsidRPr="003B6A69">
        <w:rPr>
          <w:rFonts w:asciiTheme="minorHAnsi" w:eastAsiaTheme="minorHAnsi" w:hAnsiTheme="minorHAnsi" w:cstheme="minorHAnsi"/>
          <w:szCs w:val="20"/>
          <w:vertAlign w:val="superscript"/>
        </w:rPr>
        <w:footnoteReference w:id="52"/>
      </w:r>
      <w:r w:rsidRPr="003B6A69">
        <w:rPr>
          <w:rFonts w:asciiTheme="minorHAnsi" w:eastAsiaTheme="minorHAnsi" w:hAnsiTheme="minorHAnsi" w:cstheme="minorHAnsi"/>
          <w:szCs w:val="20"/>
        </w:rPr>
        <w:t xml:space="preserve"> advises and accompanies tourism enterprises and destinations in the implementation of sustainable and successful ways of doing business. </w:t>
      </w:r>
      <w:proofErr w:type="spellStart"/>
      <w:r w:rsidRPr="003B6A69">
        <w:rPr>
          <w:rFonts w:asciiTheme="minorHAnsi" w:eastAsiaTheme="minorHAnsi" w:hAnsiTheme="minorHAnsi" w:cstheme="minorHAnsi"/>
          <w:szCs w:val="20"/>
        </w:rPr>
        <w:t>TourCert</w:t>
      </w:r>
      <w:proofErr w:type="spellEnd"/>
      <w:r w:rsidRPr="003B6A69">
        <w:rPr>
          <w:rFonts w:asciiTheme="minorHAnsi" w:eastAsiaTheme="minorHAnsi" w:hAnsiTheme="minorHAnsi" w:cstheme="minorHAnsi"/>
          <w:szCs w:val="20"/>
        </w:rPr>
        <w:t xml:space="preserve"> qualifies through consultancies, seminars and online trainings that impart </w:t>
      </w:r>
      <w:proofErr w:type="spellStart"/>
      <w:r w:rsidRPr="003B6A69">
        <w:rPr>
          <w:rFonts w:asciiTheme="minorHAnsi" w:eastAsiaTheme="minorHAnsi" w:hAnsiTheme="minorHAnsi" w:cstheme="minorHAnsi"/>
          <w:szCs w:val="20"/>
        </w:rPr>
        <w:t>specialised</w:t>
      </w:r>
      <w:proofErr w:type="spellEnd"/>
      <w:r w:rsidRPr="003B6A69">
        <w:rPr>
          <w:rFonts w:asciiTheme="minorHAnsi" w:eastAsiaTheme="minorHAnsi" w:hAnsiTheme="minorHAnsi" w:cstheme="minorHAnsi"/>
          <w:szCs w:val="20"/>
        </w:rPr>
        <w:t xml:space="preserve"> knowledge on sustainable tourism. They provide certification and award the </w:t>
      </w:r>
      <w:proofErr w:type="spellStart"/>
      <w:r w:rsidRPr="003B6A69">
        <w:rPr>
          <w:rFonts w:asciiTheme="minorHAnsi" w:eastAsiaTheme="minorHAnsi" w:hAnsiTheme="minorHAnsi" w:cstheme="minorHAnsi"/>
          <w:szCs w:val="20"/>
        </w:rPr>
        <w:t>TourCert</w:t>
      </w:r>
      <w:proofErr w:type="spellEnd"/>
      <w:r w:rsidRPr="003B6A69">
        <w:rPr>
          <w:rFonts w:asciiTheme="minorHAnsi" w:eastAsiaTheme="minorHAnsi" w:hAnsiTheme="minorHAnsi" w:cstheme="minorHAnsi"/>
          <w:szCs w:val="20"/>
        </w:rPr>
        <w:t xml:space="preserve"> label for sustainability and corporate responsibility in tourism. They take into account two categories: companies and destinations and their systems further </w:t>
      </w:r>
      <w:r w:rsidRPr="003B6A69">
        <w:rPr>
          <w:rFonts w:asciiTheme="minorHAnsi" w:eastAsiaTheme="minorHAnsi" w:hAnsiTheme="minorHAnsi" w:cstheme="minorHAnsi"/>
          <w:color w:val="000000" w:themeColor="text1"/>
          <w:szCs w:val="20"/>
          <w:shd w:val="clear" w:color="auto" w:fill="FFFFFF"/>
        </w:rPr>
        <w:t>differentiate between the systematics for tour operators, accommodations and other tourism companies (</w:t>
      </w:r>
      <w:proofErr w:type="gramStart"/>
      <w:r w:rsidRPr="003B6A69">
        <w:rPr>
          <w:rFonts w:asciiTheme="minorHAnsi" w:eastAsiaTheme="minorHAnsi" w:hAnsiTheme="minorHAnsi" w:cstheme="minorHAnsi"/>
          <w:color w:val="000000" w:themeColor="text1"/>
          <w:szCs w:val="20"/>
          <w:shd w:val="clear" w:color="auto" w:fill="FFFFFF"/>
        </w:rPr>
        <w:t>e.g.</w:t>
      </w:r>
      <w:proofErr w:type="gramEnd"/>
      <w:r w:rsidRPr="003B6A69">
        <w:rPr>
          <w:rFonts w:asciiTheme="minorHAnsi" w:eastAsiaTheme="minorHAnsi" w:hAnsiTheme="minorHAnsi" w:cstheme="minorHAnsi"/>
          <w:color w:val="000000" w:themeColor="text1"/>
          <w:szCs w:val="20"/>
          <w:shd w:val="clear" w:color="auto" w:fill="FFFFFF"/>
        </w:rPr>
        <w:t xml:space="preserve"> travel agencies, tourist attractions). Their certification process includes seminars and trainings, which includes taking all the modules before the audit and certification take place. For instance, their module on biodiversity includes materials about the ecosystems and biodiversity, understanding biodiversity as a key indicator of sustainable development, and as a foundation of the economy, production processes, and livelihoods; material on biodiversity as natural capital for tourism, </w:t>
      </w:r>
      <w:r w:rsidRPr="003B6A69">
        <w:rPr>
          <w:rFonts w:asciiTheme="minorHAnsi" w:eastAsiaTheme="minorHAnsi" w:hAnsiTheme="minorHAnsi" w:cstheme="minorHAnsi"/>
          <w:color w:val="000000" w:themeColor="text1"/>
          <w:szCs w:val="20"/>
          <w:shd w:val="clear" w:color="auto" w:fill="FFFFFF"/>
        </w:rPr>
        <w:lastRenderedPageBreak/>
        <w:t xml:space="preserve">sports, and leisure allowing businesses to make most applicable biodiversity strategies while measuring the ecological footprint with options to protect and preserve biodiversity. </w:t>
      </w:r>
    </w:p>
    <w:p w14:paraId="22F02ECA" w14:textId="77777777" w:rsidR="008C4F26" w:rsidRPr="003B6A69" w:rsidRDefault="008C4F26" w:rsidP="000A12EC">
      <w:pPr>
        <w:spacing w:after="120" w:line="259" w:lineRule="auto"/>
        <w:jc w:val="left"/>
        <w:rPr>
          <w:rFonts w:asciiTheme="minorHAnsi" w:eastAsia="Times New Roman" w:hAnsiTheme="minorHAnsi" w:cstheme="minorHAnsi"/>
          <w:color w:val="000000" w:themeColor="text1"/>
          <w:szCs w:val="20"/>
          <w:shd w:val="clear" w:color="auto" w:fill="FFFFFF"/>
        </w:rPr>
      </w:pPr>
      <w:r w:rsidRPr="003B6A69">
        <w:rPr>
          <w:rFonts w:asciiTheme="minorHAnsi" w:eastAsia="Times New Roman" w:hAnsiTheme="minorHAnsi" w:cstheme="minorHAnsi"/>
          <w:color w:val="000000" w:themeColor="text1"/>
          <w:szCs w:val="20"/>
          <w:shd w:val="clear" w:color="auto" w:fill="FFFFFF"/>
        </w:rPr>
        <w:t>Introductory costs vary between 1200</w:t>
      </w:r>
      <w:r w:rsidRPr="003B6A69">
        <w:rPr>
          <w:rFonts w:asciiTheme="minorHAnsi" w:eastAsia="Times New Roman" w:hAnsiTheme="minorHAnsi" w:cstheme="minorHAnsi"/>
          <w:color w:val="000000" w:themeColor="text1"/>
          <w:szCs w:val="20"/>
        </w:rPr>
        <w:t>€</w:t>
      </w:r>
      <w:r w:rsidRPr="003B6A69">
        <w:rPr>
          <w:rFonts w:asciiTheme="minorHAnsi" w:eastAsia="Times New Roman" w:hAnsiTheme="minorHAnsi" w:cstheme="minorHAnsi"/>
          <w:color w:val="000000" w:themeColor="text1"/>
          <w:szCs w:val="20"/>
          <w:shd w:val="clear" w:color="auto" w:fill="FFFFFF"/>
        </w:rPr>
        <w:t xml:space="preserve"> and 8750</w:t>
      </w:r>
      <w:r w:rsidRPr="003B6A69">
        <w:rPr>
          <w:rFonts w:asciiTheme="minorHAnsi" w:eastAsia="Times New Roman" w:hAnsiTheme="minorHAnsi" w:cstheme="minorHAnsi"/>
          <w:color w:val="000000" w:themeColor="text1"/>
          <w:szCs w:val="20"/>
        </w:rPr>
        <w:t>€</w:t>
      </w:r>
      <w:r w:rsidRPr="003B6A69">
        <w:rPr>
          <w:rFonts w:asciiTheme="minorHAnsi" w:eastAsia="Times New Roman" w:hAnsiTheme="minorHAnsi" w:cstheme="minorHAnsi"/>
          <w:color w:val="000000" w:themeColor="text1"/>
          <w:szCs w:val="20"/>
          <w:shd w:val="clear" w:color="auto" w:fill="FFFFFF"/>
        </w:rPr>
        <w:t xml:space="preserve"> for businesses, to 19350</w:t>
      </w:r>
      <w:r w:rsidRPr="003B6A69">
        <w:rPr>
          <w:rFonts w:asciiTheme="minorHAnsi" w:eastAsia="Times New Roman" w:hAnsiTheme="minorHAnsi" w:cstheme="minorHAnsi"/>
          <w:color w:val="000000" w:themeColor="text1"/>
          <w:szCs w:val="20"/>
        </w:rPr>
        <w:t>€</w:t>
      </w:r>
      <w:r w:rsidRPr="003B6A69">
        <w:rPr>
          <w:rFonts w:asciiTheme="minorHAnsi" w:eastAsia="Times New Roman" w:hAnsiTheme="minorHAnsi" w:cstheme="minorHAnsi"/>
          <w:color w:val="000000" w:themeColor="text1"/>
          <w:szCs w:val="20"/>
          <w:shd w:val="clear" w:color="auto" w:fill="FFFFFF"/>
        </w:rPr>
        <w:t xml:space="preserve"> for destinations. Audit and Certification costs are between 900</w:t>
      </w:r>
      <w:r w:rsidRPr="003B6A69">
        <w:rPr>
          <w:rFonts w:asciiTheme="minorHAnsi" w:eastAsia="Times New Roman" w:hAnsiTheme="minorHAnsi" w:cstheme="minorHAnsi"/>
          <w:color w:val="000000" w:themeColor="text1"/>
          <w:szCs w:val="20"/>
        </w:rPr>
        <w:t>€</w:t>
      </w:r>
      <w:r w:rsidRPr="003B6A69">
        <w:rPr>
          <w:rFonts w:asciiTheme="minorHAnsi" w:eastAsia="Times New Roman" w:hAnsiTheme="minorHAnsi" w:cstheme="minorHAnsi"/>
          <w:color w:val="000000" w:themeColor="text1"/>
          <w:szCs w:val="20"/>
          <w:shd w:val="clear" w:color="auto" w:fill="FFFFFF"/>
        </w:rPr>
        <w:t xml:space="preserve"> and 4500</w:t>
      </w:r>
      <w:r w:rsidRPr="003B6A69">
        <w:rPr>
          <w:rFonts w:asciiTheme="minorHAnsi" w:eastAsia="Times New Roman" w:hAnsiTheme="minorHAnsi" w:cstheme="minorHAnsi"/>
          <w:color w:val="000000" w:themeColor="text1"/>
          <w:szCs w:val="20"/>
        </w:rPr>
        <w:t>€</w:t>
      </w:r>
      <w:r w:rsidRPr="003B6A69">
        <w:rPr>
          <w:rFonts w:asciiTheme="minorHAnsi" w:eastAsia="Times New Roman" w:hAnsiTheme="minorHAnsi" w:cstheme="minorHAnsi"/>
          <w:color w:val="000000" w:themeColor="text1"/>
          <w:szCs w:val="20"/>
          <w:shd w:val="clear" w:color="auto" w:fill="FFFFFF"/>
        </w:rPr>
        <w:t>, and annual membership costs are between 75</w:t>
      </w:r>
      <w:r w:rsidRPr="003B6A69">
        <w:rPr>
          <w:rFonts w:asciiTheme="minorHAnsi" w:eastAsia="Times New Roman" w:hAnsiTheme="minorHAnsi" w:cstheme="minorHAnsi"/>
          <w:color w:val="000000" w:themeColor="text1"/>
          <w:szCs w:val="20"/>
        </w:rPr>
        <w:t>€</w:t>
      </w:r>
      <w:r w:rsidRPr="003B6A69">
        <w:rPr>
          <w:rFonts w:asciiTheme="minorHAnsi" w:eastAsia="Times New Roman" w:hAnsiTheme="minorHAnsi" w:cstheme="minorHAnsi"/>
          <w:color w:val="000000" w:themeColor="text1"/>
          <w:szCs w:val="20"/>
          <w:shd w:val="clear" w:color="auto" w:fill="FFFFFF"/>
        </w:rPr>
        <w:t>0 and 4050</w:t>
      </w:r>
      <w:r w:rsidRPr="003B6A69">
        <w:rPr>
          <w:rFonts w:asciiTheme="minorHAnsi" w:eastAsia="Times New Roman" w:hAnsiTheme="minorHAnsi" w:cstheme="minorHAnsi"/>
          <w:color w:val="000000" w:themeColor="text1"/>
          <w:szCs w:val="20"/>
        </w:rPr>
        <w:t>€</w:t>
      </w:r>
      <w:r w:rsidRPr="003B6A69">
        <w:rPr>
          <w:rFonts w:asciiTheme="minorHAnsi" w:eastAsia="Times New Roman" w:hAnsiTheme="minorHAnsi" w:cstheme="minorHAnsi"/>
          <w:color w:val="000000" w:themeColor="text1"/>
          <w:szCs w:val="20"/>
          <w:shd w:val="clear" w:color="auto" w:fill="FFFFFF"/>
        </w:rPr>
        <w:t xml:space="preserve">. </w:t>
      </w:r>
    </w:p>
    <w:p w14:paraId="733FD24C" w14:textId="77777777" w:rsidR="008C4F26" w:rsidRPr="003B6A69" w:rsidRDefault="008C4F26" w:rsidP="000A12EC">
      <w:pPr>
        <w:spacing w:after="120" w:line="259" w:lineRule="auto"/>
        <w:jc w:val="left"/>
        <w:rPr>
          <w:rFonts w:asciiTheme="minorHAnsi" w:eastAsia="Times New Roman" w:hAnsiTheme="minorHAnsi" w:cstheme="minorHAnsi"/>
          <w:szCs w:val="20"/>
        </w:rPr>
      </w:pPr>
      <w:r w:rsidRPr="003B6A69">
        <w:rPr>
          <w:rFonts w:asciiTheme="minorHAnsi" w:eastAsia="Times New Roman" w:hAnsiTheme="minorHAnsi" w:cstheme="minorHAnsi"/>
          <w:b/>
          <w:bCs/>
          <w:szCs w:val="20"/>
        </w:rPr>
        <w:t>Blue Flag</w:t>
      </w:r>
      <w:r w:rsidRPr="003B6A69">
        <w:rPr>
          <w:rFonts w:asciiTheme="minorHAnsi" w:eastAsia="Times New Roman" w:hAnsiTheme="minorHAnsi" w:cstheme="minorHAnsi"/>
          <w:szCs w:val="20"/>
          <w:vertAlign w:val="superscript"/>
        </w:rPr>
        <w:footnoteReference w:id="53"/>
      </w:r>
      <w:r w:rsidRPr="003B6A69">
        <w:rPr>
          <w:rFonts w:asciiTheme="minorHAnsi" w:eastAsia="Times New Roman" w:hAnsiTheme="minorHAnsi" w:cstheme="minorHAnsi"/>
          <w:b/>
          <w:bCs/>
          <w:szCs w:val="20"/>
        </w:rPr>
        <w:t xml:space="preserve"> </w:t>
      </w:r>
      <w:r w:rsidRPr="003B6A69">
        <w:rPr>
          <w:rFonts w:asciiTheme="minorHAnsi" w:eastAsia="Times New Roman" w:hAnsiTheme="minorHAnsi" w:cstheme="minorHAnsi"/>
          <w:szCs w:val="20"/>
        </w:rPr>
        <w:t xml:space="preserve">is a world-renowned eco-label operated under the auspices of the Foundation for Environmental Education and is headquartered in Copenhagen, Denmark. </w:t>
      </w:r>
      <w:proofErr w:type="gramStart"/>
      <w:r w:rsidRPr="003B6A69">
        <w:rPr>
          <w:rFonts w:asciiTheme="minorHAnsi" w:eastAsia="Times New Roman" w:hAnsiTheme="minorHAnsi" w:cstheme="minorHAnsi"/>
          <w:szCs w:val="20"/>
        </w:rPr>
        <w:t>In order to</w:t>
      </w:r>
      <w:proofErr w:type="gramEnd"/>
      <w:r w:rsidRPr="003B6A69">
        <w:rPr>
          <w:rFonts w:asciiTheme="minorHAnsi" w:eastAsia="Times New Roman" w:hAnsiTheme="minorHAnsi" w:cstheme="minorHAnsi"/>
          <w:szCs w:val="20"/>
        </w:rPr>
        <w:t xml:space="preserve"> qualify for this prestigious award, a series of stringent environmental, educational, safety-related and access-related criteria must be met and maintained. Central criteria </w:t>
      </w:r>
      <w:proofErr w:type="gramStart"/>
      <w:r w:rsidRPr="003B6A69">
        <w:rPr>
          <w:rFonts w:asciiTheme="minorHAnsi" w:eastAsia="Times New Roman" w:hAnsiTheme="minorHAnsi" w:cstheme="minorHAnsi"/>
          <w:szCs w:val="20"/>
        </w:rPr>
        <w:t>is</w:t>
      </w:r>
      <w:proofErr w:type="gramEnd"/>
      <w:r w:rsidRPr="003B6A69">
        <w:rPr>
          <w:rFonts w:asciiTheme="minorHAnsi" w:eastAsia="Times New Roman" w:hAnsiTheme="minorHAnsi" w:cstheme="minorHAnsi"/>
          <w:szCs w:val="20"/>
        </w:rPr>
        <w:t xml:space="preserve"> based on the education of public on the environment, information for visitors about the indigenous flora and fauna, monitoring, management and safety.</w:t>
      </w:r>
    </w:p>
    <w:p w14:paraId="7273A26B" w14:textId="77777777" w:rsidR="008C4F26" w:rsidRPr="003B6A69" w:rsidRDefault="008C4F26" w:rsidP="008C4F26">
      <w:pPr>
        <w:spacing w:after="120" w:line="259" w:lineRule="auto"/>
        <w:rPr>
          <w:rFonts w:asciiTheme="minorHAnsi" w:eastAsiaTheme="minorHAnsi" w:hAnsiTheme="minorHAnsi" w:cstheme="minorHAnsi"/>
          <w:szCs w:val="20"/>
        </w:rPr>
      </w:pPr>
      <w:r w:rsidRPr="003B6A69">
        <w:rPr>
          <w:rFonts w:asciiTheme="minorHAnsi" w:eastAsiaTheme="minorHAnsi" w:hAnsiTheme="minorHAnsi" w:cstheme="minorHAnsi"/>
          <w:szCs w:val="20"/>
        </w:rPr>
        <w:t xml:space="preserve">The mission of Blue Flag is to promote sustainability in the tourism sector, through environmental education, environmental </w:t>
      </w:r>
      <w:proofErr w:type="gramStart"/>
      <w:r w:rsidRPr="003B6A69">
        <w:rPr>
          <w:rFonts w:asciiTheme="minorHAnsi" w:eastAsiaTheme="minorHAnsi" w:hAnsiTheme="minorHAnsi" w:cstheme="minorHAnsi"/>
          <w:szCs w:val="20"/>
        </w:rPr>
        <w:t>protection</w:t>
      </w:r>
      <w:proofErr w:type="gramEnd"/>
      <w:r w:rsidRPr="003B6A69">
        <w:rPr>
          <w:rFonts w:asciiTheme="minorHAnsi" w:eastAsiaTheme="minorHAnsi" w:hAnsiTheme="minorHAnsi" w:cstheme="minorHAnsi"/>
          <w:szCs w:val="20"/>
        </w:rPr>
        <w:t xml:space="preserve"> and other sustainable development practices. Blue Flag also campaigns against disparity, inequality, unemployment, health threats, depletion of natural resources, environmental threats, </w:t>
      </w:r>
      <w:proofErr w:type="gramStart"/>
      <w:r w:rsidRPr="003B6A69">
        <w:rPr>
          <w:rFonts w:asciiTheme="minorHAnsi" w:eastAsiaTheme="minorHAnsi" w:hAnsiTheme="minorHAnsi" w:cstheme="minorHAnsi"/>
          <w:szCs w:val="20"/>
        </w:rPr>
        <w:t>pollution</w:t>
      </w:r>
      <w:proofErr w:type="gramEnd"/>
      <w:r w:rsidRPr="003B6A69">
        <w:rPr>
          <w:rFonts w:asciiTheme="minorHAnsi" w:eastAsiaTheme="minorHAnsi" w:hAnsiTheme="minorHAnsi" w:cstheme="minorHAnsi"/>
          <w:szCs w:val="20"/>
        </w:rPr>
        <w:t xml:space="preserve"> and general environmental degradation. Their criteria </w:t>
      </w:r>
      <w:proofErr w:type="gramStart"/>
      <w:r w:rsidRPr="003B6A69">
        <w:rPr>
          <w:rFonts w:asciiTheme="minorHAnsi" w:eastAsiaTheme="minorHAnsi" w:hAnsiTheme="minorHAnsi" w:cstheme="minorHAnsi"/>
          <w:szCs w:val="20"/>
        </w:rPr>
        <w:t>is</w:t>
      </w:r>
      <w:proofErr w:type="gramEnd"/>
      <w:r w:rsidRPr="003B6A69">
        <w:rPr>
          <w:rFonts w:asciiTheme="minorHAnsi" w:eastAsiaTheme="minorHAnsi" w:hAnsiTheme="minorHAnsi" w:cstheme="minorHAnsi"/>
          <w:szCs w:val="20"/>
        </w:rPr>
        <w:t xml:space="preserve"> based around environmental education and information, water quality, environmental management, safety services, social responsibility, responsible tourism and additional criteria for specific wildlife based activities. These criteria differ based on the categories which include beaches, </w:t>
      </w:r>
      <w:proofErr w:type="gramStart"/>
      <w:r w:rsidRPr="003B6A69">
        <w:rPr>
          <w:rFonts w:asciiTheme="minorHAnsi" w:eastAsiaTheme="minorHAnsi" w:hAnsiTheme="minorHAnsi" w:cstheme="minorHAnsi"/>
          <w:szCs w:val="20"/>
        </w:rPr>
        <w:t>marinas</w:t>
      </w:r>
      <w:proofErr w:type="gramEnd"/>
      <w:r w:rsidRPr="003B6A69">
        <w:rPr>
          <w:rFonts w:asciiTheme="minorHAnsi" w:eastAsiaTheme="minorHAnsi" w:hAnsiTheme="minorHAnsi" w:cstheme="minorHAnsi"/>
          <w:szCs w:val="20"/>
        </w:rPr>
        <w:t xml:space="preserve"> and tourism boats. </w:t>
      </w:r>
    </w:p>
    <w:p w14:paraId="592AE9F7" w14:textId="77777777" w:rsidR="008C4F26" w:rsidRPr="003B6A69" w:rsidRDefault="008C4F26" w:rsidP="008C4F26">
      <w:pPr>
        <w:spacing w:after="120" w:line="259" w:lineRule="auto"/>
        <w:rPr>
          <w:rFonts w:asciiTheme="minorHAnsi" w:eastAsiaTheme="minorHAnsi" w:hAnsiTheme="minorHAnsi" w:cstheme="minorHAnsi"/>
          <w:szCs w:val="20"/>
        </w:rPr>
      </w:pPr>
      <w:proofErr w:type="spellStart"/>
      <w:r w:rsidRPr="003B6A69">
        <w:rPr>
          <w:rFonts w:asciiTheme="minorHAnsi" w:eastAsiaTheme="minorHAnsi" w:hAnsiTheme="minorHAnsi" w:cstheme="minorHAnsi"/>
          <w:b/>
          <w:bCs/>
          <w:szCs w:val="20"/>
        </w:rPr>
        <w:t>GreenDestinations</w:t>
      </w:r>
      <w:proofErr w:type="spellEnd"/>
      <w:r w:rsidRPr="003B6A69">
        <w:rPr>
          <w:rFonts w:asciiTheme="minorHAnsi" w:eastAsiaTheme="minorHAnsi" w:hAnsiTheme="minorHAnsi" w:cstheme="minorHAnsi"/>
          <w:szCs w:val="20"/>
          <w:vertAlign w:val="superscript"/>
        </w:rPr>
        <w:footnoteReference w:id="54"/>
      </w:r>
      <w:r w:rsidRPr="003B6A69">
        <w:rPr>
          <w:rFonts w:asciiTheme="minorHAnsi" w:eastAsiaTheme="minorHAnsi" w:hAnsiTheme="minorHAnsi" w:cstheme="minorHAnsi"/>
          <w:szCs w:val="20"/>
        </w:rPr>
        <w:t xml:space="preserve"> developed a program offering support to destination managers in implementing suitable solutions and in delivering sustainable and responsible tourism, while actively involving their local community and business sector. This program applies to destination managers working at local, </w:t>
      </w:r>
      <w:proofErr w:type="gramStart"/>
      <w:r w:rsidRPr="003B6A69">
        <w:rPr>
          <w:rFonts w:asciiTheme="minorHAnsi" w:eastAsiaTheme="minorHAnsi" w:hAnsiTheme="minorHAnsi" w:cstheme="minorHAnsi"/>
          <w:szCs w:val="20"/>
        </w:rPr>
        <w:t>regional</w:t>
      </w:r>
      <w:proofErr w:type="gramEnd"/>
      <w:r w:rsidRPr="003B6A69">
        <w:rPr>
          <w:rFonts w:asciiTheme="minorHAnsi" w:eastAsiaTheme="minorHAnsi" w:hAnsiTheme="minorHAnsi" w:cstheme="minorHAnsi"/>
          <w:szCs w:val="20"/>
        </w:rPr>
        <w:t xml:space="preserve"> and national levels, and to protected area managers. The program also prepares for GSTC-Accredited Certification and for pre-certification Awards for those who seek international recognition for sustainable destination management. Destination management, monitoring, </w:t>
      </w:r>
      <w:proofErr w:type="gramStart"/>
      <w:r w:rsidRPr="003B6A69">
        <w:rPr>
          <w:rFonts w:asciiTheme="minorHAnsi" w:eastAsiaTheme="minorHAnsi" w:hAnsiTheme="minorHAnsi" w:cstheme="minorHAnsi"/>
          <w:szCs w:val="20"/>
        </w:rPr>
        <w:t>training</w:t>
      </w:r>
      <w:proofErr w:type="gramEnd"/>
      <w:r w:rsidRPr="003B6A69">
        <w:rPr>
          <w:rFonts w:asciiTheme="minorHAnsi" w:eastAsiaTheme="minorHAnsi" w:hAnsiTheme="minorHAnsi" w:cstheme="minorHAnsi"/>
          <w:szCs w:val="20"/>
        </w:rPr>
        <w:t xml:space="preserve"> and support is developed on the basis of </w:t>
      </w:r>
      <w:r w:rsidRPr="003B6A69">
        <w:rPr>
          <w:rFonts w:asciiTheme="minorHAnsi" w:eastAsiaTheme="minorHAnsi" w:hAnsiTheme="minorHAnsi" w:cstheme="minorHAnsi"/>
          <w:i/>
          <w:iCs/>
          <w:szCs w:val="20"/>
        </w:rPr>
        <w:t xml:space="preserve">GSTC- </w:t>
      </w:r>
      <w:proofErr w:type="spellStart"/>
      <w:r w:rsidRPr="003B6A69">
        <w:rPr>
          <w:rFonts w:asciiTheme="minorHAnsi" w:eastAsiaTheme="minorHAnsi" w:hAnsiTheme="minorHAnsi" w:cstheme="minorHAnsi"/>
          <w:i/>
          <w:iCs/>
          <w:szCs w:val="20"/>
        </w:rPr>
        <w:t>Recognised</w:t>
      </w:r>
      <w:proofErr w:type="spellEnd"/>
      <w:r w:rsidRPr="003B6A69">
        <w:rPr>
          <w:rFonts w:asciiTheme="minorHAnsi" w:eastAsiaTheme="minorHAnsi" w:hAnsiTheme="minorHAnsi" w:cstheme="minorHAnsi"/>
          <w:i/>
          <w:iCs/>
          <w:szCs w:val="20"/>
        </w:rPr>
        <w:t xml:space="preserve"> </w:t>
      </w:r>
      <w:r w:rsidRPr="003B6A69">
        <w:rPr>
          <w:rFonts w:asciiTheme="minorHAnsi" w:eastAsiaTheme="minorHAnsi" w:hAnsiTheme="minorHAnsi" w:cstheme="minorHAnsi"/>
          <w:szCs w:val="20"/>
        </w:rPr>
        <w:t xml:space="preserve">Green Destinations Standard, as a set of guidelines supporting the UN SDGs. Green Destinations Awards </w:t>
      </w:r>
      <w:proofErr w:type="spellStart"/>
      <w:r w:rsidRPr="003B6A69">
        <w:rPr>
          <w:rFonts w:asciiTheme="minorHAnsi" w:eastAsiaTheme="minorHAnsi" w:hAnsiTheme="minorHAnsi" w:cstheme="minorHAnsi"/>
          <w:szCs w:val="20"/>
        </w:rPr>
        <w:t>recognise</w:t>
      </w:r>
      <w:proofErr w:type="spellEnd"/>
      <w:r w:rsidRPr="003B6A69">
        <w:rPr>
          <w:rFonts w:asciiTheme="minorHAnsi" w:eastAsiaTheme="minorHAnsi" w:hAnsiTheme="minorHAnsi" w:cstheme="minorHAnsi"/>
          <w:szCs w:val="20"/>
        </w:rPr>
        <w:t xml:space="preserve"> progress and political leadership. The </w:t>
      </w:r>
      <w:proofErr w:type="spellStart"/>
      <w:r w:rsidRPr="003B6A69">
        <w:rPr>
          <w:rFonts w:asciiTheme="minorHAnsi" w:eastAsiaTheme="minorHAnsi" w:hAnsiTheme="minorHAnsi" w:cstheme="minorHAnsi"/>
          <w:szCs w:val="20"/>
        </w:rPr>
        <w:t>QualityCoast</w:t>
      </w:r>
      <w:proofErr w:type="spellEnd"/>
      <w:r w:rsidRPr="003B6A69">
        <w:rPr>
          <w:rFonts w:asciiTheme="minorHAnsi" w:eastAsiaTheme="minorHAnsi" w:hAnsiTheme="minorHAnsi" w:cstheme="minorHAnsi"/>
          <w:szCs w:val="20"/>
        </w:rPr>
        <w:t xml:space="preserve"> Awards are specially designed for more urban destinations focusing on waterfront sustainability, and seaside and beach quality. GSTC-Accredited Certification as a Sustainable destination is the ultimate recognition for ambitious destinations.</w:t>
      </w:r>
    </w:p>
    <w:p w14:paraId="5E5E95C0" w14:textId="77777777" w:rsidR="008C4F26" w:rsidRPr="003B6A69" w:rsidRDefault="008C4F26" w:rsidP="000A12EC">
      <w:pPr>
        <w:shd w:val="clear" w:color="auto" w:fill="FFFFFF"/>
        <w:spacing w:after="120" w:line="259" w:lineRule="auto"/>
        <w:jc w:val="left"/>
        <w:rPr>
          <w:rFonts w:asciiTheme="minorHAnsi" w:eastAsia="Times New Roman" w:hAnsiTheme="minorHAnsi" w:cstheme="minorHAnsi"/>
          <w:szCs w:val="20"/>
        </w:rPr>
      </w:pPr>
      <w:r w:rsidRPr="003B6A69">
        <w:rPr>
          <w:rFonts w:asciiTheme="minorHAnsi" w:eastAsia="Times New Roman" w:hAnsiTheme="minorHAnsi" w:cstheme="minorHAnsi"/>
          <w:szCs w:val="20"/>
        </w:rPr>
        <w:t>Awards are based upon assessments by independent auditors and provide an agenda for improvement. The assessment cycle is two years; Awards and Certificates are presented at an annual Global Green Destinations Days (GGDD) or at international trade shows (ITB Berlin, FITUR Madrid).</w:t>
      </w:r>
      <w:r w:rsidRPr="003B6A69">
        <w:rPr>
          <w:rFonts w:asciiTheme="minorHAnsi" w:eastAsia="Times New Roman" w:hAnsiTheme="minorHAnsi" w:cstheme="minorHAnsi"/>
          <w:szCs w:val="20"/>
          <w:vertAlign w:val="superscript"/>
        </w:rPr>
        <w:footnoteReference w:id="55"/>
      </w:r>
      <w:r w:rsidRPr="003B6A69">
        <w:rPr>
          <w:rFonts w:asciiTheme="minorHAnsi" w:eastAsia="Times New Roman" w:hAnsiTheme="minorHAnsi" w:cstheme="minorHAnsi"/>
          <w:szCs w:val="20"/>
        </w:rPr>
        <w:t xml:space="preserve"> </w:t>
      </w:r>
    </w:p>
    <w:p w14:paraId="6DA3CB9A" w14:textId="77777777" w:rsidR="008C4F26" w:rsidRPr="003B6A69" w:rsidRDefault="008C4F26" w:rsidP="000A12EC">
      <w:pPr>
        <w:spacing w:after="120" w:line="259" w:lineRule="auto"/>
        <w:jc w:val="left"/>
        <w:rPr>
          <w:rFonts w:asciiTheme="minorHAnsi" w:eastAsiaTheme="minorHAnsi" w:hAnsiTheme="minorHAnsi" w:cstheme="minorHAnsi"/>
          <w:szCs w:val="20"/>
        </w:rPr>
      </w:pPr>
      <w:r w:rsidRPr="003B6A69">
        <w:rPr>
          <w:rFonts w:asciiTheme="minorHAnsi" w:eastAsiaTheme="minorHAnsi" w:hAnsiTheme="minorHAnsi" w:cstheme="minorHAnsi"/>
          <w:szCs w:val="20"/>
        </w:rPr>
        <w:t>Annual membership fees for destination developments start at 370</w:t>
      </w:r>
      <w:r w:rsidRPr="003B6A69">
        <w:rPr>
          <w:rFonts w:asciiTheme="minorHAnsi" w:eastAsia="Times New Roman" w:hAnsiTheme="minorHAnsi" w:cstheme="minorHAnsi"/>
          <w:color w:val="000000" w:themeColor="text1"/>
          <w:szCs w:val="20"/>
        </w:rPr>
        <w:t>€</w:t>
      </w:r>
      <w:r w:rsidRPr="003B6A69">
        <w:rPr>
          <w:rFonts w:asciiTheme="minorHAnsi" w:eastAsiaTheme="minorHAnsi" w:hAnsiTheme="minorHAnsi" w:cstheme="minorHAnsi"/>
          <w:szCs w:val="20"/>
        </w:rPr>
        <w:t>, for awards program at 1575</w:t>
      </w:r>
      <w:r w:rsidRPr="003B6A69">
        <w:rPr>
          <w:rFonts w:asciiTheme="minorHAnsi" w:eastAsia="Times New Roman" w:hAnsiTheme="minorHAnsi" w:cstheme="minorHAnsi"/>
          <w:color w:val="000000" w:themeColor="text1"/>
          <w:szCs w:val="20"/>
        </w:rPr>
        <w:t>€</w:t>
      </w:r>
      <w:r w:rsidRPr="003B6A69">
        <w:rPr>
          <w:rFonts w:asciiTheme="minorHAnsi" w:eastAsiaTheme="minorHAnsi" w:hAnsiTheme="minorHAnsi" w:cstheme="minorHAnsi"/>
          <w:szCs w:val="20"/>
        </w:rPr>
        <w:t xml:space="preserve"> and destination certification fees start at 5250</w:t>
      </w:r>
      <w:r w:rsidRPr="003B6A69">
        <w:rPr>
          <w:rFonts w:asciiTheme="minorHAnsi" w:eastAsia="Times New Roman" w:hAnsiTheme="minorHAnsi" w:cstheme="minorHAnsi"/>
          <w:color w:val="000000" w:themeColor="text1"/>
          <w:szCs w:val="20"/>
        </w:rPr>
        <w:t>€</w:t>
      </w:r>
      <w:r w:rsidRPr="003B6A69">
        <w:rPr>
          <w:rFonts w:asciiTheme="minorHAnsi" w:eastAsiaTheme="minorHAnsi" w:hAnsiTheme="minorHAnsi" w:cstheme="minorHAnsi"/>
          <w:szCs w:val="20"/>
        </w:rPr>
        <w:t>.</w:t>
      </w:r>
    </w:p>
    <w:p w14:paraId="3FC6BF84" w14:textId="77777777" w:rsidR="008C4F26" w:rsidRPr="003B6A69" w:rsidRDefault="008C4F26" w:rsidP="000A12EC">
      <w:pPr>
        <w:spacing w:after="120" w:line="259" w:lineRule="auto"/>
        <w:jc w:val="left"/>
        <w:rPr>
          <w:rFonts w:asciiTheme="minorHAnsi" w:eastAsia="Times New Roman" w:hAnsiTheme="minorHAnsi" w:cstheme="minorHAnsi"/>
          <w:szCs w:val="20"/>
        </w:rPr>
      </w:pPr>
      <w:r w:rsidRPr="003B6A69">
        <w:rPr>
          <w:rFonts w:asciiTheme="minorHAnsi" w:eastAsia="Times New Roman" w:hAnsiTheme="minorHAnsi" w:cstheme="minorHAnsi"/>
          <w:szCs w:val="20"/>
        </w:rPr>
        <w:t>EMAS</w:t>
      </w:r>
      <w:r w:rsidRPr="003B6A69">
        <w:rPr>
          <w:rFonts w:asciiTheme="minorHAnsi" w:eastAsia="Times New Roman" w:hAnsiTheme="minorHAnsi" w:cstheme="minorHAnsi"/>
          <w:szCs w:val="20"/>
          <w:vertAlign w:val="superscript"/>
        </w:rPr>
        <w:footnoteReference w:id="56"/>
      </w:r>
      <w:r w:rsidRPr="003B6A69">
        <w:rPr>
          <w:rFonts w:asciiTheme="minorHAnsi" w:eastAsia="Times New Roman" w:hAnsiTheme="minorHAnsi" w:cstheme="minorHAnsi"/>
          <w:szCs w:val="20"/>
        </w:rPr>
        <w:t xml:space="preserve"> is a voluntary tool available to any </w:t>
      </w:r>
      <w:proofErr w:type="spellStart"/>
      <w:r w:rsidRPr="003B6A69">
        <w:rPr>
          <w:rFonts w:asciiTheme="minorHAnsi" w:eastAsia="Times New Roman" w:hAnsiTheme="minorHAnsi" w:cstheme="minorHAnsi"/>
          <w:szCs w:val="20"/>
        </w:rPr>
        <w:t>organisation</w:t>
      </w:r>
      <w:proofErr w:type="spellEnd"/>
      <w:r w:rsidRPr="003B6A69">
        <w:rPr>
          <w:rFonts w:asciiTheme="minorHAnsi" w:eastAsia="Times New Roman" w:hAnsiTheme="minorHAnsi" w:cstheme="minorHAnsi"/>
          <w:szCs w:val="20"/>
        </w:rPr>
        <w:t xml:space="preserve"> operating in any economic sector within or outside the European Union that wants to: assume environmental and economic responsibility; improve its environmental performance; and communicate its environmental results to society and stakeholders in general. </w:t>
      </w:r>
      <w:proofErr w:type="spellStart"/>
      <w:r w:rsidRPr="003B6A69">
        <w:rPr>
          <w:rFonts w:asciiTheme="minorHAnsi" w:eastAsia="Times New Roman" w:hAnsiTheme="minorHAnsi" w:cstheme="minorHAnsi"/>
          <w:szCs w:val="20"/>
        </w:rPr>
        <w:t>Organisations</w:t>
      </w:r>
      <w:proofErr w:type="spellEnd"/>
      <w:r w:rsidRPr="003B6A69">
        <w:rPr>
          <w:rFonts w:asciiTheme="minorHAnsi" w:eastAsia="Times New Roman" w:hAnsiTheme="minorHAnsi" w:cstheme="minorHAnsi"/>
          <w:szCs w:val="20"/>
        </w:rPr>
        <w:t xml:space="preserve"> that register with EMAS </w:t>
      </w:r>
      <w:proofErr w:type="gramStart"/>
      <w:r w:rsidRPr="003B6A69">
        <w:rPr>
          <w:rFonts w:asciiTheme="minorHAnsi" w:eastAsia="Times New Roman" w:hAnsiTheme="minorHAnsi" w:cstheme="minorHAnsi"/>
          <w:szCs w:val="20"/>
        </w:rPr>
        <w:t>have to</w:t>
      </w:r>
      <w:proofErr w:type="gramEnd"/>
      <w:r w:rsidRPr="003B6A69">
        <w:rPr>
          <w:rFonts w:asciiTheme="minorHAnsi" w:eastAsia="Times New Roman" w:hAnsiTheme="minorHAnsi" w:cstheme="minorHAnsi"/>
          <w:szCs w:val="20"/>
        </w:rPr>
        <w:t xml:space="preserve">: prove compliance with environmental legislation; make a commitment to continually improving their environmental performance; show they have an open dialogue with all stakeholders; involve employees in improving the </w:t>
      </w:r>
      <w:proofErr w:type="spellStart"/>
      <w:r w:rsidRPr="003B6A69">
        <w:rPr>
          <w:rFonts w:asciiTheme="minorHAnsi" w:eastAsia="Times New Roman" w:hAnsiTheme="minorHAnsi" w:cstheme="minorHAnsi"/>
          <w:szCs w:val="20"/>
        </w:rPr>
        <w:t>organisation’s</w:t>
      </w:r>
      <w:proofErr w:type="spellEnd"/>
      <w:r w:rsidRPr="003B6A69">
        <w:rPr>
          <w:rFonts w:asciiTheme="minorHAnsi" w:eastAsia="Times New Roman" w:hAnsiTheme="minorHAnsi" w:cstheme="minorHAnsi"/>
          <w:szCs w:val="20"/>
        </w:rPr>
        <w:t xml:space="preserve"> environmental performance; and publish and update a validated EMAS environmental statement for external communication. Some further requirements </w:t>
      </w:r>
      <w:proofErr w:type="gramStart"/>
      <w:r w:rsidRPr="003B6A69">
        <w:rPr>
          <w:rFonts w:asciiTheme="minorHAnsi" w:eastAsia="Times New Roman" w:hAnsiTheme="minorHAnsi" w:cstheme="minorHAnsi"/>
          <w:szCs w:val="20"/>
        </w:rPr>
        <w:t>include:</w:t>
      </w:r>
      <w:proofErr w:type="gramEnd"/>
      <w:r w:rsidRPr="003B6A69">
        <w:rPr>
          <w:rFonts w:asciiTheme="minorHAnsi" w:eastAsia="Times New Roman" w:hAnsiTheme="minorHAnsi" w:cstheme="minorHAnsi"/>
          <w:szCs w:val="20"/>
        </w:rPr>
        <w:t xml:space="preserve"> conducting an environmental review (including the identification of all direct and indirect environmental aspects); and registering with a competent body after successful verification of their </w:t>
      </w:r>
      <w:proofErr w:type="spellStart"/>
      <w:r w:rsidRPr="003B6A69">
        <w:rPr>
          <w:rFonts w:asciiTheme="minorHAnsi" w:eastAsia="Times New Roman" w:hAnsiTheme="minorHAnsi" w:cstheme="minorHAnsi"/>
          <w:szCs w:val="20"/>
        </w:rPr>
        <w:t>organisation</w:t>
      </w:r>
      <w:proofErr w:type="spellEnd"/>
      <w:r w:rsidRPr="003B6A69">
        <w:rPr>
          <w:rFonts w:asciiTheme="minorHAnsi" w:eastAsia="Times New Roman" w:hAnsiTheme="minorHAnsi" w:cstheme="minorHAnsi"/>
          <w:szCs w:val="20"/>
        </w:rPr>
        <w:t xml:space="preserve">. </w:t>
      </w:r>
    </w:p>
    <w:p w14:paraId="46AE0C6F" w14:textId="77777777" w:rsidR="008C4F26" w:rsidRPr="003B6A69" w:rsidRDefault="008C4F26" w:rsidP="000A12EC">
      <w:pPr>
        <w:spacing w:after="120" w:line="259" w:lineRule="auto"/>
        <w:jc w:val="left"/>
        <w:rPr>
          <w:rFonts w:asciiTheme="minorHAnsi" w:eastAsia="Times New Roman" w:hAnsiTheme="minorHAnsi" w:cstheme="minorHAnsi"/>
          <w:szCs w:val="20"/>
        </w:rPr>
      </w:pPr>
      <w:proofErr w:type="spellStart"/>
      <w:r w:rsidRPr="003B6A69">
        <w:rPr>
          <w:rFonts w:asciiTheme="minorHAnsi" w:eastAsia="Times New Roman" w:hAnsiTheme="minorHAnsi" w:cstheme="minorHAnsi"/>
          <w:szCs w:val="20"/>
        </w:rPr>
        <w:t>Organisations</w:t>
      </w:r>
      <w:proofErr w:type="spellEnd"/>
      <w:r w:rsidRPr="003B6A69">
        <w:rPr>
          <w:rFonts w:asciiTheme="minorHAnsi" w:eastAsia="Times New Roman" w:hAnsiTheme="minorHAnsi" w:cstheme="minorHAnsi"/>
          <w:szCs w:val="20"/>
        </w:rPr>
        <w:t xml:space="preserve"> </w:t>
      </w:r>
      <w:proofErr w:type="gramStart"/>
      <w:r w:rsidRPr="003B6A69">
        <w:rPr>
          <w:rFonts w:asciiTheme="minorHAnsi" w:eastAsia="Times New Roman" w:hAnsiTheme="minorHAnsi" w:cstheme="minorHAnsi"/>
          <w:szCs w:val="20"/>
        </w:rPr>
        <w:t>have to</w:t>
      </w:r>
      <w:proofErr w:type="gramEnd"/>
      <w:r w:rsidRPr="003B6A69">
        <w:rPr>
          <w:rFonts w:asciiTheme="minorHAnsi" w:eastAsia="Times New Roman" w:hAnsiTheme="minorHAnsi" w:cstheme="minorHAnsi"/>
          <w:szCs w:val="20"/>
        </w:rPr>
        <w:t xml:space="preserve"> report on the core environmental performance indicators relevant to direct environmental aspects of the </w:t>
      </w:r>
      <w:proofErr w:type="spellStart"/>
      <w:r w:rsidRPr="003B6A69">
        <w:rPr>
          <w:rFonts w:asciiTheme="minorHAnsi" w:eastAsia="Times New Roman" w:hAnsiTheme="minorHAnsi" w:cstheme="minorHAnsi"/>
          <w:szCs w:val="20"/>
        </w:rPr>
        <w:t>organisation</w:t>
      </w:r>
      <w:proofErr w:type="spellEnd"/>
      <w:r w:rsidRPr="003B6A69">
        <w:rPr>
          <w:rFonts w:asciiTheme="minorHAnsi" w:eastAsia="Times New Roman" w:hAnsiTheme="minorHAnsi" w:cstheme="minorHAnsi"/>
          <w:szCs w:val="20"/>
        </w:rPr>
        <w:t xml:space="preserve">. They should also report on other performance indicators relevant to more specific environmental </w:t>
      </w:r>
      <w:r w:rsidRPr="003B6A69">
        <w:rPr>
          <w:rFonts w:asciiTheme="minorHAnsi" w:eastAsia="Times New Roman" w:hAnsiTheme="minorHAnsi" w:cstheme="minorHAnsi"/>
          <w:szCs w:val="20"/>
        </w:rPr>
        <w:lastRenderedPageBreak/>
        <w:t xml:space="preserve">aspects. Core indicators apply to all types of </w:t>
      </w:r>
      <w:proofErr w:type="spellStart"/>
      <w:r w:rsidRPr="003B6A69">
        <w:rPr>
          <w:rFonts w:asciiTheme="minorHAnsi" w:eastAsia="Times New Roman" w:hAnsiTheme="minorHAnsi" w:cstheme="minorHAnsi"/>
          <w:szCs w:val="20"/>
        </w:rPr>
        <w:t>organisations</w:t>
      </w:r>
      <w:proofErr w:type="spellEnd"/>
      <w:r w:rsidRPr="003B6A69">
        <w:rPr>
          <w:rFonts w:asciiTheme="minorHAnsi" w:eastAsia="Times New Roman" w:hAnsiTheme="minorHAnsi" w:cstheme="minorHAnsi"/>
          <w:szCs w:val="20"/>
        </w:rPr>
        <w:t xml:space="preserve">. They measure performance in the following key areas: Energy efficiency; Material efficiency; Water; Waste; Biodiversity; and Emissions. </w:t>
      </w:r>
    </w:p>
    <w:p w14:paraId="1E1FE43B" w14:textId="77777777" w:rsidR="008C4F26" w:rsidRPr="003B6A69" w:rsidRDefault="008C4F26" w:rsidP="000A12EC">
      <w:pPr>
        <w:spacing w:after="120" w:line="259" w:lineRule="auto"/>
        <w:jc w:val="left"/>
        <w:rPr>
          <w:rFonts w:asciiTheme="minorHAnsi" w:eastAsia="Times New Roman" w:hAnsiTheme="minorHAnsi" w:cstheme="minorHAnsi"/>
          <w:szCs w:val="20"/>
        </w:rPr>
      </w:pPr>
      <w:r w:rsidRPr="003B6A69">
        <w:rPr>
          <w:rFonts w:asciiTheme="minorHAnsi" w:eastAsia="Times New Roman" w:hAnsiTheme="minorHAnsi" w:cstheme="minorHAnsi"/>
          <w:szCs w:val="20"/>
        </w:rPr>
        <w:t>Annual fees vary based on the organization size and can be 10000</w:t>
      </w:r>
      <w:r w:rsidRPr="003B6A69">
        <w:rPr>
          <w:rFonts w:asciiTheme="minorHAnsi" w:eastAsia="Times New Roman" w:hAnsiTheme="minorHAnsi" w:cstheme="minorHAnsi"/>
          <w:color w:val="000000" w:themeColor="text1"/>
          <w:szCs w:val="20"/>
        </w:rPr>
        <w:t>€</w:t>
      </w:r>
      <w:r w:rsidRPr="003B6A69">
        <w:rPr>
          <w:rFonts w:asciiTheme="minorHAnsi" w:eastAsia="Times New Roman" w:hAnsiTheme="minorHAnsi" w:cstheme="minorHAnsi"/>
          <w:szCs w:val="20"/>
        </w:rPr>
        <w:t xml:space="preserve"> to 39000</w:t>
      </w:r>
      <w:r w:rsidRPr="003B6A69">
        <w:rPr>
          <w:rFonts w:asciiTheme="minorHAnsi" w:eastAsia="Times New Roman" w:hAnsiTheme="minorHAnsi" w:cstheme="minorHAnsi"/>
          <w:color w:val="000000" w:themeColor="text1"/>
          <w:szCs w:val="20"/>
        </w:rPr>
        <w:t>€.</w:t>
      </w:r>
      <w:r w:rsidRPr="003B6A69">
        <w:rPr>
          <w:rFonts w:asciiTheme="minorHAnsi" w:eastAsiaTheme="minorHAnsi" w:hAnsiTheme="minorHAnsi" w:cstheme="minorHAnsi"/>
          <w:szCs w:val="20"/>
          <w:vertAlign w:val="superscript"/>
        </w:rPr>
        <w:footnoteReference w:id="57"/>
      </w:r>
    </w:p>
    <w:p w14:paraId="4883601C" w14:textId="77777777" w:rsidR="008C4F26" w:rsidRPr="003B6A69" w:rsidRDefault="008C4F26" w:rsidP="008C4F26">
      <w:pPr>
        <w:spacing w:after="120" w:line="259" w:lineRule="auto"/>
        <w:rPr>
          <w:rFonts w:asciiTheme="minorHAnsi" w:eastAsiaTheme="minorHAnsi" w:hAnsiTheme="minorHAnsi" w:cstheme="minorHAnsi"/>
          <w:color w:val="000000" w:themeColor="text1"/>
          <w:szCs w:val="20"/>
        </w:rPr>
      </w:pPr>
      <w:r w:rsidRPr="003B6A69">
        <w:rPr>
          <w:rFonts w:asciiTheme="minorHAnsi" w:eastAsiaTheme="minorHAnsi" w:hAnsiTheme="minorHAnsi" w:cstheme="minorHAnsi"/>
          <w:b/>
          <w:bCs/>
          <w:szCs w:val="20"/>
        </w:rPr>
        <w:t>The EUROPARC Federation</w:t>
      </w:r>
      <w:r w:rsidRPr="003B6A69">
        <w:rPr>
          <w:rFonts w:asciiTheme="minorHAnsi" w:eastAsiaTheme="minorHAnsi" w:hAnsiTheme="minorHAnsi" w:cstheme="minorHAnsi"/>
          <w:szCs w:val="20"/>
          <w:vertAlign w:val="superscript"/>
        </w:rPr>
        <w:footnoteReference w:id="58"/>
      </w:r>
      <w:r w:rsidRPr="003B6A69">
        <w:rPr>
          <w:rFonts w:asciiTheme="minorHAnsi" w:eastAsiaTheme="minorHAnsi" w:hAnsiTheme="minorHAnsi" w:cstheme="minorHAnsi"/>
          <w:b/>
          <w:bCs/>
          <w:szCs w:val="20"/>
        </w:rPr>
        <w:t xml:space="preserve"> </w:t>
      </w:r>
      <w:r w:rsidRPr="003B6A69">
        <w:rPr>
          <w:rFonts w:asciiTheme="minorHAnsi" w:eastAsiaTheme="minorHAnsi" w:hAnsiTheme="minorHAnsi" w:cstheme="minorHAnsi"/>
          <w:szCs w:val="20"/>
        </w:rPr>
        <w:t xml:space="preserve">is the network for Europe’s natural and cultural heritage. It works, to improve the management of Protected Areas in Europe through international </w:t>
      </w:r>
      <w:r w:rsidRPr="003B6A69">
        <w:rPr>
          <w:rFonts w:asciiTheme="minorHAnsi" w:eastAsiaTheme="minorHAnsi" w:hAnsiTheme="minorHAnsi" w:cstheme="minorHAnsi"/>
          <w:color w:val="000000" w:themeColor="text1"/>
          <w:szCs w:val="20"/>
        </w:rPr>
        <w:t xml:space="preserve">cooperation, exchange of ideas and experience, and by influencing policy. </w:t>
      </w:r>
      <w:r w:rsidRPr="003B6A69">
        <w:rPr>
          <w:rFonts w:asciiTheme="minorHAnsi" w:eastAsiaTheme="minorHAnsi" w:hAnsiTheme="minorHAnsi" w:cstheme="minorHAnsi"/>
          <w:b/>
          <w:bCs/>
          <w:color w:val="000000" w:themeColor="text1"/>
          <w:szCs w:val="20"/>
        </w:rPr>
        <w:t>It is dedicated to practical nature conservation and sustainable development of Europe’s biodiversity, fostering holistic landscape approaches in its management.</w:t>
      </w:r>
    </w:p>
    <w:p w14:paraId="730AE03F" w14:textId="77777777" w:rsidR="008C4F26" w:rsidRPr="003B6A69" w:rsidRDefault="008C4F26" w:rsidP="008C4F26">
      <w:pPr>
        <w:shd w:val="clear" w:color="auto" w:fill="FFFFFF"/>
        <w:spacing w:after="120" w:line="259" w:lineRule="auto"/>
        <w:textAlignment w:val="baseline"/>
        <w:rPr>
          <w:rFonts w:asciiTheme="minorHAnsi" w:eastAsiaTheme="minorHAnsi" w:hAnsiTheme="minorHAnsi" w:cstheme="minorHAnsi"/>
          <w:color w:val="000000" w:themeColor="text1"/>
          <w:szCs w:val="20"/>
        </w:rPr>
      </w:pPr>
      <w:r w:rsidRPr="003B6A69">
        <w:rPr>
          <w:rFonts w:asciiTheme="minorHAnsi" w:eastAsiaTheme="minorHAnsi" w:hAnsiTheme="minorHAnsi" w:cstheme="minorHAnsi"/>
          <w:color w:val="000000" w:themeColor="text1"/>
          <w:szCs w:val="20"/>
        </w:rPr>
        <w:t xml:space="preserve">EUROPARC is the umbrella body for Protected Areas in Europe. The aims are to promote: the activities of </w:t>
      </w:r>
      <w:proofErr w:type="spellStart"/>
      <w:r w:rsidRPr="003B6A69">
        <w:rPr>
          <w:rFonts w:asciiTheme="minorHAnsi" w:eastAsiaTheme="minorHAnsi" w:hAnsiTheme="minorHAnsi" w:cstheme="minorHAnsi"/>
          <w:color w:val="000000" w:themeColor="text1"/>
          <w:szCs w:val="20"/>
        </w:rPr>
        <w:t>organisations</w:t>
      </w:r>
      <w:proofErr w:type="spellEnd"/>
      <w:r w:rsidRPr="003B6A69">
        <w:rPr>
          <w:rFonts w:asciiTheme="minorHAnsi" w:eastAsiaTheme="minorHAnsi" w:hAnsiTheme="minorHAnsi" w:cstheme="minorHAnsi"/>
          <w:color w:val="000000" w:themeColor="text1"/>
          <w:szCs w:val="20"/>
        </w:rPr>
        <w:t xml:space="preserve"> and individuals concerned with Protected Areas and their values and benefits; environmental awareness, education, learning and capacity building for Protected Areas across Europe; international co-operation, in particular by fostering multi- and trans-national partnerships; mutual support and assistance, in particular by the creation of networks, through exchange and understanding of ideas, skills and experience, as well as training regarding legislation, policy and practice relating to the </w:t>
      </w:r>
      <w:proofErr w:type="spellStart"/>
      <w:r w:rsidRPr="003B6A69">
        <w:rPr>
          <w:rFonts w:asciiTheme="minorHAnsi" w:eastAsiaTheme="minorHAnsi" w:hAnsiTheme="minorHAnsi" w:cstheme="minorHAnsi"/>
          <w:color w:val="000000" w:themeColor="text1"/>
          <w:szCs w:val="20"/>
        </w:rPr>
        <w:t>organisation</w:t>
      </w:r>
      <w:proofErr w:type="spellEnd"/>
      <w:r w:rsidRPr="003B6A69">
        <w:rPr>
          <w:rFonts w:asciiTheme="minorHAnsi" w:eastAsiaTheme="minorHAnsi" w:hAnsiTheme="minorHAnsi" w:cstheme="minorHAnsi"/>
          <w:color w:val="000000" w:themeColor="text1"/>
          <w:szCs w:val="20"/>
        </w:rPr>
        <w:t xml:space="preserve">, administration and management of Protected Areas; cooperation with and advocacy work towards the European Institutions, national governments, international and national non-governmental </w:t>
      </w:r>
      <w:proofErr w:type="spellStart"/>
      <w:r w:rsidRPr="003B6A69">
        <w:rPr>
          <w:rFonts w:asciiTheme="minorHAnsi" w:eastAsiaTheme="minorHAnsi" w:hAnsiTheme="minorHAnsi" w:cstheme="minorHAnsi"/>
          <w:color w:val="000000" w:themeColor="text1"/>
          <w:szCs w:val="20"/>
        </w:rPr>
        <w:t>organisations</w:t>
      </w:r>
      <w:proofErr w:type="spellEnd"/>
      <w:r w:rsidRPr="003B6A69">
        <w:rPr>
          <w:rFonts w:asciiTheme="minorHAnsi" w:eastAsiaTheme="minorHAnsi" w:hAnsiTheme="minorHAnsi" w:cstheme="minorHAnsi"/>
          <w:color w:val="000000" w:themeColor="text1"/>
          <w:szCs w:val="20"/>
        </w:rPr>
        <w:t xml:space="preserve"> and institutions in order to raise their concern and strengthen action for Protected Areas and to foster the aims and activities of the EUROPARC Federation; and understanding and sympathy for the interests of European Protected Areas amongst the wider public.</w:t>
      </w:r>
    </w:p>
    <w:p w14:paraId="0349B512" w14:textId="77777777" w:rsidR="008C4F26" w:rsidRPr="003B6A69" w:rsidRDefault="008C4F26" w:rsidP="008C4F26">
      <w:pPr>
        <w:shd w:val="clear" w:color="auto" w:fill="FFFFFF"/>
        <w:spacing w:after="120" w:line="259" w:lineRule="auto"/>
        <w:textAlignment w:val="baseline"/>
        <w:rPr>
          <w:rFonts w:asciiTheme="minorHAnsi" w:eastAsiaTheme="minorHAnsi" w:hAnsiTheme="minorHAnsi" w:cstheme="minorHAnsi"/>
          <w:color w:val="000000" w:themeColor="text1"/>
          <w:szCs w:val="20"/>
        </w:rPr>
      </w:pPr>
      <w:r w:rsidRPr="003B6A69">
        <w:rPr>
          <w:rFonts w:asciiTheme="minorHAnsi" w:eastAsiaTheme="minorHAnsi" w:hAnsiTheme="minorHAnsi" w:cstheme="minorHAnsi"/>
          <w:color w:val="000000" w:themeColor="text1"/>
          <w:szCs w:val="20"/>
        </w:rPr>
        <w:t xml:space="preserve">One can join EUROPARC either through projects or as a member. Member categories one can apply for are: </w:t>
      </w:r>
      <w:proofErr w:type="gramStart"/>
      <w:r w:rsidRPr="003B6A69">
        <w:rPr>
          <w:rFonts w:asciiTheme="minorHAnsi" w:eastAsiaTheme="minorHAnsi" w:hAnsiTheme="minorHAnsi" w:cstheme="minorHAnsi"/>
          <w:color w:val="000000" w:themeColor="text1"/>
          <w:szCs w:val="20"/>
        </w:rPr>
        <w:t>an</w:t>
      </w:r>
      <w:proofErr w:type="gramEnd"/>
      <w:r w:rsidRPr="003B6A69">
        <w:rPr>
          <w:rFonts w:asciiTheme="minorHAnsi" w:eastAsiaTheme="minorHAnsi" w:hAnsiTheme="minorHAnsi" w:cstheme="minorHAnsi"/>
          <w:color w:val="000000" w:themeColor="text1"/>
          <w:szCs w:val="20"/>
        </w:rPr>
        <w:t xml:space="preserve"> </w:t>
      </w:r>
      <w:proofErr w:type="spellStart"/>
      <w:r w:rsidRPr="003B6A69">
        <w:rPr>
          <w:rFonts w:asciiTheme="minorHAnsi" w:eastAsiaTheme="minorHAnsi" w:hAnsiTheme="minorHAnsi" w:cstheme="minorHAnsi"/>
          <w:color w:val="000000" w:themeColor="text1"/>
          <w:szCs w:val="20"/>
        </w:rPr>
        <w:t>Organisation</w:t>
      </w:r>
      <w:proofErr w:type="spellEnd"/>
      <w:r w:rsidRPr="003B6A69">
        <w:rPr>
          <w:rFonts w:asciiTheme="minorHAnsi" w:eastAsiaTheme="minorHAnsi" w:hAnsiTheme="minorHAnsi" w:cstheme="minorHAnsi"/>
          <w:color w:val="000000" w:themeColor="text1"/>
          <w:szCs w:val="20"/>
        </w:rPr>
        <w:t xml:space="preserve"> working at an international level, across 2 or more countries; </w:t>
      </w:r>
      <w:proofErr w:type="spellStart"/>
      <w:r w:rsidRPr="003B6A69">
        <w:rPr>
          <w:rFonts w:asciiTheme="minorHAnsi" w:eastAsiaTheme="minorHAnsi" w:hAnsiTheme="minorHAnsi" w:cstheme="minorHAnsi"/>
          <w:color w:val="000000" w:themeColor="text1"/>
          <w:szCs w:val="20"/>
        </w:rPr>
        <w:t>Organisations</w:t>
      </w:r>
      <w:proofErr w:type="spellEnd"/>
      <w:r w:rsidRPr="003B6A69">
        <w:rPr>
          <w:rFonts w:asciiTheme="minorHAnsi" w:eastAsiaTheme="minorHAnsi" w:hAnsiTheme="minorHAnsi" w:cstheme="minorHAnsi"/>
          <w:color w:val="000000" w:themeColor="text1"/>
          <w:szCs w:val="20"/>
        </w:rPr>
        <w:t xml:space="preserve"> working at a national or federal level within one country; </w:t>
      </w:r>
      <w:proofErr w:type="spellStart"/>
      <w:r w:rsidRPr="003B6A69">
        <w:rPr>
          <w:rFonts w:asciiTheme="minorHAnsi" w:eastAsiaTheme="minorHAnsi" w:hAnsiTheme="minorHAnsi" w:cstheme="minorHAnsi"/>
          <w:color w:val="000000" w:themeColor="text1"/>
          <w:szCs w:val="20"/>
        </w:rPr>
        <w:t>Organisations</w:t>
      </w:r>
      <w:proofErr w:type="spellEnd"/>
      <w:r w:rsidRPr="003B6A69">
        <w:rPr>
          <w:rFonts w:asciiTheme="minorHAnsi" w:eastAsiaTheme="minorHAnsi" w:hAnsiTheme="minorHAnsi" w:cstheme="minorHAnsi"/>
          <w:color w:val="000000" w:themeColor="text1"/>
          <w:szCs w:val="20"/>
        </w:rPr>
        <w:t xml:space="preserve"> working at a regional level within a country; </w:t>
      </w:r>
      <w:proofErr w:type="spellStart"/>
      <w:r w:rsidRPr="003B6A69">
        <w:rPr>
          <w:rFonts w:asciiTheme="minorHAnsi" w:eastAsiaTheme="minorHAnsi" w:hAnsiTheme="minorHAnsi" w:cstheme="minorHAnsi"/>
          <w:color w:val="000000" w:themeColor="text1"/>
          <w:szCs w:val="20"/>
        </w:rPr>
        <w:t>Organisations</w:t>
      </w:r>
      <w:proofErr w:type="spellEnd"/>
      <w:r w:rsidRPr="003B6A69">
        <w:rPr>
          <w:rFonts w:asciiTheme="minorHAnsi" w:eastAsiaTheme="minorHAnsi" w:hAnsiTheme="minorHAnsi" w:cstheme="minorHAnsi"/>
          <w:color w:val="000000" w:themeColor="text1"/>
          <w:szCs w:val="20"/>
        </w:rPr>
        <w:t xml:space="preserve"> working at a local level, sub-regional within a region or country; Parks and other Protected Areas; or Supporting </w:t>
      </w:r>
      <w:proofErr w:type="spellStart"/>
      <w:r w:rsidRPr="003B6A69">
        <w:rPr>
          <w:rFonts w:asciiTheme="minorHAnsi" w:eastAsiaTheme="minorHAnsi" w:hAnsiTheme="minorHAnsi" w:cstheme="minorHAnsi"/>
          <w:color w:val="000000" w:themeColor="text1"/>
          <w:szCs w:val="20"/>
        </w:rPr>
        <w:t>Organisations</w:t>
      </w:r>
      <w:proofErr w:type="spellEnd"/>
      <w:r w:rsidRPr="003B6A69">
        <w:rPr>
          <w:rFonts w:asciiTheme="minorHAnsi" w:eastAsiaTheme="minorHAnsi" w:hAnsiTheme="minorHAnsi" w:cstheme="minorHAnsi"/>
          <w:color w:val="000000" w:themeColor="text1"/>
          <w:szCs w:val="20"/>
        </w:rPr>
        <w:t>.</w:t>
      </w:r>
    </w:p>
    <w:p w14:paraId="3DB42178" w14:textId="77777777" w:rsidR="008C4F26" w:rsidRPr="003B6A69" w:rsidRDefault="008C4F26" w:rsidP="008C4F26">
      <w:pPr>
        <w:shd w:val="clear" w:color="auto" w:fill="FFFFFF"/>
        <w:spacing w:after="120" w:line="259" w:lineRule="auto"/>
        <w:textAlignment w:val="baseline"/>
        <w:rPr>
          <w:rFonts w:asciiTheme="minorHAnsi" w:eastAsiaTheme="minorHAnsi" w:hAnsiTheme="minorHAnsi" w:cstheme="minorHAnsi"/>
          <w:color w:val="000000" w:themeColor="text1"/>
          <w:szCs w:val="20"/>
        </w:rPr>
      </w:pPr>
      <w:r w:rsidRPr="003B6A69">
        <w:rPr>
          <w:rFonts w:asciiTheme="minorHAnsi" w:eastAsiaTheme="minorHAnsi" w:hAnsiTheme="minorHAnsi" w:cstheme="minorHAnsi"/>
          <w:color w:val="000000" w:themeColor="text1"/>
          <w:szCs w:val="20"/>
        </w:rPr>
        <w:t>Fees range between 60 and 660€ and depend on category and voting rights.</w:t>
      </w:r>
      <w:r w:rsidRPr="003B6A69">
        <w:rPr>
          <w:rFonts w:asciiTheme="minorHAnsi" w:eastAsiaTheme="minorHAnsi" w:hAnsiTheme="minorHAnsi" w:cstheme="minorHAnsi"/>
          <w:color w:val="000000" w:themeColor="text1"/>
          <w:szCs w:val="20"/>
          <w:vertAlign w:val="superscript"/>
        </w:rPr>
        <w:footnoteReference w:id="59"/>
      </w:r>
      <w:r w:rsidRPr="003B6A69">
        <w:rPr>
          <w:rFonts w:asciiTheme="minorHAnsi" w:eastAsiaTheme="minorHAnsi" w:hAnsiTheme="minorHAnsi" w:cstheme="minorHAnsi"/>
          <w:color w:val="000000" w:themeColor="text1"/>
          <w:szCs w:val="20"/>
        </w:rPr>
        <w:t xml:space="preserve"> </w:t>
      </w:r>
    </w:p>
    <w:p w14:paraId="4274DFB3" w14:textId="77777777" w:rsidR="008C4F26" w:rsidRPr="003B6A69" w:rsidRDefault="008C4F26" w:rsidP="008C4F26">
      <w:pPr>
        <w:shd w:val="clear" w:color="auto" w:fill="FFFFFF"/>
        <w:spacing w:after="120" w:line="259" w:lineRule="auto"/>
        <w:textAlignment w:val="baseline"/>
        <w:rPr>
          <w:rFonts w:asciiTheme="minorHAnsi" w:eastAsiaTheme="minorHAnsi" w:hAnsiTheme="minorHAnsi" w:cstheme="minorHAnsi"/>
          <w:color w:val="000000" w:themeColor="text1"/>
          <w:szCs w:val="20"/>
        </w:rPr>
      </w:pPr>
    </w:p>
    <w:p w14:paraId="18B69E1C" w14:textId="77777777" w:rsidR="008C4F26" w:rsidRPr="003B6A69" w:rsidRDefault="008C4F26" w:rsidP="008C4F26">
      <w:pPr>
        <w:spacing w:after="160" w:line="259" w:lineRule="auto"/>
        <w:jc w:val="left"/>
        <w:rPr>
          <w:rFonts w:asciiTheme="minorHAnsi" w:eastAsia="Times New Roman" w:hAnsiTheme="minorHAnsi" w:cstheme="minorBidi"/>
          <w:b/>
          <w:bCs/>
          <w:szCs w:val="20"/>
        </w:rPr>
      </w:pPr>
      <w:r w:rsidRPr="003B6A69">
        <w:rPr>
          <w:rFonts w:asciiTheme="minorHAnsi" w:eastAsiaTheme="minorHAnsi" w:hAnsiTheme="minorHAnsi" w:cstheme="minorBidi"/>
          <w:b/>
          <w:szCs w:val="20"/>
        </w:rPr>
        <w:t>Neighboring experience with voluntary eco-certification and verification mechanisms for hotels and tourism operators</w:t>
      </w:r>
    </w:p>
    <w:p w14:paraId="30DC67F9" w14:textId="77777777" w:rsidR="008C4F26" w:rsidRPr="003B6A69" w:rsidRDefault="008C4F26" w:rsidP="008C4F26">
      <w:pPr>
        <w:spacing w:after="120" w:line="259" w:lineRule="auto"/>
        <w:rPr>
          <w:rFonts w:asciiTheme="minorHAnsi" w:eastAsiaTheme="minorHAnsi" w:hAnsiTheme="minorHAnsi" w:cstheme="minorHAnsi"/>
          <w:szCs w:val="20"/>
        </w:rPr>
      </w:pPr>
      <w:r w:rsidRPr="003B6A69">
        <w:rPr>
          <w:rFonts w:asciiTheme="minorHAnsi" w:eastAsiaTheme="minorHAnsi" w:hAnsiTheme="minorHAnsi" w:cstheme="minorHAnsi"/>
          <w:b/>
          <w:bCs/>
          <w:i/>
          <w:iCs/>
          <w:szCs w:val="20"/>
        </w:rPr>
        <w:t>Croatia</w:t>
      </w:r>
      <w:r w:rsidRPr="003B6A69">
        <w:rPr>
          <w:rFonts w:asciiTheme="minorHAnsi" w:eastAsiaTheme="minorHAnsi" w:hAnsiTheme="minorHAnsi" w:cstheme="minorHAnsi"/>
          <w:szCs w:val="20"/>
          <w:vertAlign w:val="superscript"/>
        </w:rPr>
        <w:footnoteReference w:id="60"/>
      </w:r>
    </w:p>
    <w:p w14:paraId="128D8018" w14:textId="77777777" w:rsidR="008C4F26" w:rsidRPr="003B6A69" w:rsidRDefault="008C4F26" w:rsidP="008C4F26">
      <w:pPr>
        <w:spacing w:after="120" w:line="259" w:lineRule="auto"/>
        <w:rPr>
          <w:rFonts w:asciiTheme="minorHAnsi" w:eastAsiaTheme="minorHAnsi" w:hAnsiTheme="minorHAnsi" w:cstheme="minorHAnsi"/>
          <w:szCs w:val="20"/>
        </w:rPr>
      </w:pPr>
      <w:r w:rsidRPr="003B6A69">
        <w:rPr>
          <w:rFonts w:asciiTheme="minorHAnsi" w:eastAsiaTheme="minorHAnsi" w:hAnsiTheme="minorHAnsi" w:cstheme="minorHAnsi"/>
          <w:szCs w:val="20"/>
        </w:rPr>
        <w:t xml:space="preserve">In 2011, the Ministry of the Environment and Nature established the eco-label "Friend of the Environment" for hotels and campsites whose standards are in line with EU criteria "EU Ecolabel". As part of the pilot project, 10 hotels and 5 campsites received environmental certification in 2011. Already in 2013, standards were </w:t>
      </w:r>
      <w:proofErr w:type="gramStart"/>
      <w:r w:rsidRPr="003B6A69">
        <w:rPr>
          <w:rFonts w:asciiTheme="minorHAnsi" w:eastAsiaTheme="minorHAnsi" w:hAnsiTheme="minorHAnsi" w:cstheme="minorHAnsi"/>
          <w:szCs w:val="20"/>
        </w:rPr>
        <w:t>changed</w:t>
      </w:r>
      <w:proofErr w:type="gramEnd"/>
      <w:r w:rsidRPr="003B6A69">
        <w:rPr>
          <w:rFonts w:asciiTheme="minorHAnsi" w:eastAsiaTheme="minorHAnsi" w:hAnsiTheme="minorHAnsi" w:cstheme="minorHAnsi"/>
          <w:szCs w:val="20"/>
        </w:rPr>
        <w:t xml:space="preserve"> and the Ministry of Tourism invited hotels and camps in the Republic of Croatia to join the initiative in even greater numbers. Since being a member of the EU, Croatia has been implementing an EU eco-labeling program for all products and services placed on the EU market. </w:t>
      </w:r>
      <w:proofErr w:type="gramStart"/>
      <w:r w:rsidRPr="003B6A69">
        <w:rPr>
          <w:rFonts w:asciiTheme="minorHAnsi" w:eastAsiaTheme="minorHAnsi" w:hAnsiTheme="minorHAnsi" w:cstheme="minorHAnsi"/>
          <w:szCs w:val="20"/>
        </w:rPr>
        <w:t>In order to</w:t>
      </w:r>
      <w:proofErr w:type="gramEnd"/>
      <w:r w:rsidRPr="003B6A69">
        <w:rPr>
          <w:rFonts w:asciiTheme="minorHAnsi" w:eastAsiaTheme="minorHAnsi" w:hAnsiTheme="minorHAnsi" w:cstheme="minorHAnsi"/>
          <w:szCs w:val="20"/>
        </w:rPr>
        <w:t xml:space="preserve"> encourage Croatian manufacturers and providers of tourist accommodation, in 2015, the EPEEF sent a public invitation to co-finance the development of a reference report on EU Ecolabel. The EU Ecolabel hotel and camp benchmarks contain environmental parameters (consumption of resources, energy, biodiversity, </w:t>
      </w:r>
      <w:proofErr w:type="gramStart"/>
      <w:r w:rsidRPr="003B6A69">
        <w:rPr>
          <w:rFonts w:asciiTheme="minorHAnsi" w:eastAsiaTheme="minorHAnsi" w:hAnsiTheme="minorHAnsi" w:cstheme="minorHAnsi"/>
          <w:szCs w:val="20"/>
        </w:rPr>
        <w:t>waste</w:t>
      </w:r>
      <w:proofErr w:type="gramEnd"/>
      <w:r w:rsidRPr="003B6A69">
        <w:rPr>
          <w:rFonts w:asciiTheme="minorHAnsi" w:eastAsiaTheme="minorHAnsi" w:hAnsiTheme="minorHAnsi" w:cstheme="minorHAnsi"/>
          <w:szCs w:val="20"/>
        </w:rPr>
        <w:t xml:space="preserve"> and chemicals management) and social parameters in order to cooperate with the local community.</w:t>
      </w:r>
    </w:p>
    <w:p w14:paraId="5977DAE1" w14:textId="77777777" w:rsidR="008C4F26" w:rsidRPr="003B6A69" w:rsidRDefault="008C4F26" w:rsidP="008C4F26">
      <w:pPr>
        <w:spacing w:after="120" w:line="259" w:lineRule="auto"/>
        <w:rPr>
          <w:rFonts w:asciiTheme="minorHAnsi" w:eastAsiaTheme="minorHAnsi" w:hAnsiTheme="minorHAnsi" w:cstheme="minorHAnsi"/>
          <w:szCs w:val="20"/>
        </w:rPr>
      </w:pPr>
      <w:r w:rsidRPr="003B6A69">
        <w:rPr>
          <w:rFonts w:asciiTheme="minorHAnsi" w:eastAsiaTheme="minorHAnsi" w:hAnsiTheme="minorHAnsi" w:cstheme="minorHAnsi"/>
          <w:i/>
          <w:iCs/>
          <w:szCs w:val="20"/>
        </w:rPr>
        <w:t>Association of employers in the Croatian Hotel Industry (UPUHH</w:t>
      </w:r>
      <w:r w:rsidRPr="003B6A69">
        <w:rPr>
          <w:rFonts w:asciiTheme="minorHAnsi" w:eastAsiaTheme="minorHAnsi" w:hAnsiTheme="minorHAnsi" w:cstheme="minorHAnsi"/>
          <w:szCs w:val="20"/>
        </w:rPr>
        <w:t xml:space="preserve">) is very active in promoting the Sustainable Hotel Certificate by UPUHH, which was developed in 2013 with the support of the Ministry of Tourism. At one of the three certificate levels (basic, advanced, superior), 21 hotels were certified in 2014, and another 20 in 2015. The plan is to integrate and certify all UPUHH members by the end of 2018., of which there are almost 200 and make up about 80% in the Croatian hotel industry. </w:t>
      </w:r>
    </w:p>
    <w:p w14:paraId="6614D27C" w14:textId="77777777" w:rsidR="008C4F26" w:rsidRPr="003B6A69" w:rsidRDefault="008C4F26" w:rsidP="008C4F26">
      <w:pPr>
        <w:spacing w:after="120" w:line="259" w:lineRule="auto"/>
        <w:rPr>
          <w:rFonts w:asciiTheme="minorHAnsi" w:eastAsiaTheme="minorHAnsi" w:hAnsiTheme="minorHAnsi" w:cstheme="minorHAnsi"/>
          <w:szCs w:val="20"/>
        </w:rPr>
      </w:pPr>
      <w:r w:rsidRPr="003B6A69">
        <w:rPr>
          <w:rFonts w:asciiTheme="minorHAnsi" w:eastAsiaTheme="minorHAnsi" w:hAnsiTheme="minorHAnsi" w:cstheme="minorHAnsi"/>
          <w:szCs w:val="20"/>
        </w:rPr>
        <w:lastRenderedPageBreak/>
        <w:t>The Family and Small Hotels Association (OMH), with the support of the Ministry of Tourism, has developed a sustainable tourism certification scheme, "Eco Hotels", which follows the benchmark structure for the "EU Ecolabel" sign, but has been simplified to make it more effective in small and family-run hotels.</w:t>
      </w:r>
    </w:p>
    <w:p w14:paraId="47DBDCB4" w14:textId="77777777" w:rsidR="008C4F26" w:rsidRPr="003B6A69" w:rsidRDefault="008C4F26" w:rsidP="008C4F26">
      <w:pPr>
        <w:spacing w:after="120" w:line="259" w:lineRule="auto"/>
        <w:rPr>
          <w:rFonts w:asciiTheme="minorHAnsi" w:eastAsiaTheme="minorHAnsi" w:hAnsiTheme="minorHAnsi" w:cstheme="minorHAnsi"/>
          <w:szCs w:val="20"/>
        </w:rPr>
      </w:pPr>
      <w:r w:rsidRPr="003B6A69">
        <w:rPr>
          <w:rFonts w:asciiTheme="minorHAnsi" w:eastAsiaTheme="minorHAnsi" w:hAnsiTheme="minorHAnsi" w:cstheme="minorHAnsi"/>
          <w:szCs w:val="20"/>
        </w:rPr>
        <w:t xml:space="preserve">For </w:t>
      </w:r>
      <w:proofErr w:type="gramStart"/>
      <w:r w:rsidRPr="003B6A69">
        <w:rPr>
          <w:rFonts w:asciiTheme="minorHAnsi" w:eastAsiaTheme="minorHAnsi" w:hAnsiTheme="minorHAnsi" w:cstheme="minorHAnsi"/>
          <w:szCs w:val="20"/>
        </w:rPr>
        <w:t>a number of</w:t>
      </w:r>
      <w:proofErr w:type="gramEnd"/>
      <w:r w:rsidRPr="003B6A69">
        <w:rPr>
          <w:rFonts w:asciiTheme="minorHAnsi" w:eastAsiaTheme="minorHAnsi" w:hAnsiTheme="minorHAnsi" w:cstheme="minorHAnsi"/>
          <w:szCs w:val="20"/>
        </w:rPr>
        <w:t xml:space="preserve"> years, the association "Our Beautiful" has been awarding the Blue Flag certificate for beaches and marinas in Croatia. </w:t>
      </w:r>
    </w:p>
    <w:p w14:paraId="58AEB051" w14:textId="77777777" w:rsidR="008C4F26" w:rsidRPr="003B6A69" w:rsidRDefault="008C4F26" w:rsidP="008C4F26">
      <w:pPr>
        <w:spacing w:after="120" w:line="259" w:lineRule="auto"/>
        <w:rPr>
          <w:rFonts w:asciiTheme="minorHAnsi" w:eastAsiaTheme="minorHAnsi" w:hAnsiTheme="minorHAnsi" w:cstheme="minorHAnsi"/>
          <w:szCs w:val="20"/>
        </w:rPr>
      </w:pPr>
      <w:r w:rsidRPr="003B6A69">
        <w:rPr>
          <w:rFonts w:asciiTheme="minorHAnsi" w:eastAsiaTheme="minorHAnsi" w:hAnsiTheme="minorHAnsi" w:cstheme="minorHAnsi"/>
          <w:szCs w:val="20"/>
        </w:rPr>
        <w:t xml:space="preserve">As of 2013, </w:t>
      </w:r>
      <w:r w:rsidRPr="003B6A69">
        <w:rPr>
          <w:rFonts w:asciiTheme="minorHAnsi" w:eastAsiaTheme="minorHAnsi" w:hAnsiTheme="minorHAnsi" w:cstheme="minorHAnsi"/>
          <w:i/>
          <w:iCs/>
          <w:szCs w:val="20"/>
        </w:rPr>
        <w:t>the Association of Croatian Travel Agencies (UHPA)</w:t>
      </w:r>
      <w:r w:rsidRPr="003B6A69">
        <w:rPr>
          <w:rFonts w:asciiTheme="minorHAnsi" w:eastAsiaTheme="minorHAnsi" w:hAnsiTheme="minorHAnsi" w:cstheme="minorHAnsi"/>
          <w:szCs w:val="20"/>
        </w:rPr>
        <w:t xml:space="preserve"> has certified 13 travel agencies and about 100 managers under the </w:t>
      </w:r>
      <w:proofErr w:type="spellStart"/>
      <w:r w:rsidRPr="003B6A69">
        <w:rPr>
          <w:rFonts w:asciiTheme="minorHAnsi" w:eastAsiaTheme="minorHAnsi" w:hAnsiTheme="minorHAnsi" w:cstheme="minorHAnsi"/>
          <w:szCs w:val="20"/>
        </w:rPr>
        <w:t>Travellife</w:t>
      </w:r>
      <w:proofErr w:type="spellEnd"/>
      <w:r w:rsidRPr="003B6A69">
        <w:rPr>
          <w:rFonts w:asciiTheme="minorHAnsi" w:eastAsiaTheme="minorHAnsi" w:hAnsiTheme="minorHAnsi" w:cstheme="minorHAnsi"/>
          <w:szCs w:val="20"/>
        </w:rPr>
        <w:t xml:space="preserve"> Partner model as part of the EU Transfer Innovation project. </w:t>
      </w:r>
    </w:p>
    <w:p w14:paraId="40AF05D7" w14:textId="77777777" w:rsidR="008C4F26" w:rsidRPr="003B6A69" w:rsidRDefault="008C4F26" w:rsidP="008C4F26">
      <w:pPr>
        <w:spacing w:after="120" w:line="259" w:lineRule="auto"/>
        <w:rPr>
          <w:rFonts w:asciiTheme="minorHAnsi" w:eastAsiaTheme="minorHAnsi" w:hAnsiTheme="minorHAnsi" w:cstheme="minorHAnsi"/>
          <w:szCs w:val="20"/>
        </w:rPr>
      </w:pPr>
      <w:r w:rsidRPr="003B6A69">
        <w:rPr>
          <w:rFonts w:asciiTheme="minorHAnsi" w:eastAsiaTheme="minorHAnsi" w:hAnsiTheme="minorHAnsi" w:cstheme="minorHAnsi"/>
          <w:szCs w:val="20"/>
        </w:rPr>
        <w:t xml:space="preserve">Finally, given the extremely high proportion of "small renters" in the structure of accommodation capacities in tourism in the Republic of Croatia (over 60,000 registered), the </w:t>
      </w:r>
      <w:proofErr w:type="spellStart"/>
      <w:r w:rsidRPr="003B6A69">
        <w:rPr>
          <w:rFonts w:asciiTheme="minorHAnsi" w:eastAsiaTheme="minorHAnsi" w:hAnsiTheme="minorHAnsi" w:cstheme="minorHAnsi"/>
          <w:szCs w:val="20"/>
        </w:rPr>
        <w:t>Eko</w:t>
      </w:r>
      <w:proofErr w:type="spellEnd"/>
      <w:r w:rsidRPr="003B6A69">
        <w:rPr>
          <w:rFonts w:asciiTheme="minorHAnsi" w:eastAsiaTheme="minorHAnsi" w:hAnsiTheme="minorHAnsi" w:cstheme="minorHAnsi"/>
          <w:szCs w:val="20"/>
        </w:rPr>
        <w:t xml:space="preserve"> Partner initiative</w:t>
      </w:r>
      <w:r w:rsidRPr="003B6A69">
        <w:rPr>
          <w:rFonts w:asciiTheme="minorHAnsi" w:eastAsiaTheme="minorHAnsi" w:hAnsiTheme="minorHAnsi" w:cstheme="minorHAnsi"/>
          <w:szCs w:val="20"/>
          <w:vertAlign w:val="superscript"/>
        </w:rPr>
        <w:footnoteReference w:id="61"/>
      </w:r>
      <w:r w:rsidRPr="003B6A69">
        <w:rPr>
          <w:rFonts w:asciiTheme="minorHAnsi" w:eastAsiaTheme="minorHAnsi" w:hAnsiTheme="minorHAnsi" w:cstheme="minorHAnsi"/>
          <w:szCs w:val="20"/>
        </w:rPr>
        <w:t xml:space="preserve"> has focused on the greening of their tourist activity. The initiative is part of the project "Development of a program for environmentally responsible management of small tourist facilities in Croatia", funded through the EU PHARE 2006 program and co-financed by the Ministry of Tourism, conducted by the Green Sun and Green Istria associations with pilots in Istria and Dalmatia. </w:t>
      </w:r>
    </w:p>
    <w:p w14:paraId="157FF0F6" w14:textId="77777777" w:rsidR="008C4F26" w:rsidRPr="003B6A69" w:rsidRDefault="008C4F26" w:rsidP="008C4F26">
      <w:pPr>
        <w:spacing w:after="120" w:line="259" w:lineRule="auto"/>
        <w:rPr>
          <w:rFonts w:asciiTheme="minorHAnsi" w:eastAsiaTheme="minorHAnsi" w:hAnsiTheme="minorHAnsi" w:cstheme="minorHAnsi"/>
          <w:szCs w:val="20"/>
        </w:rPr>
      </w:pPr>
      <w:r w:rsidRPr="003B6A69">
        <w:rPr>
          <w:rFonts w:asciiTheme="minorHAnsi" w:eastAsiaTheme="minorHAnsi" w:hAnsiTheme="minorHAnsi" w:cstheme="minorHAnsi"/>
          <w:szCs w:val="20"/>
        </w:rPr>
        <w:t>Sustainable tourism in Croatia is mainly delegated to the regional offices. So, in Dalmatia since 2017, the Association for Nature, Environment and Sustainable Development Sun, with the support of the Ministry of Tourism, awards Dalmatia Green labels eco-friendly to private accommodations. Project “Greening” Dalmatian Tourism Offer is financed within the co-financing of programs and projects for professional associations in tourism and hospitality.</w:t>
      </w:r>
      <w:r w:rsidRPr="003B6A69">
        <w:rPr>
          <w:rFonts w:asciiTheme="minorHAnsi" w:eastAsiaTheme="minorHAnsi" w:hAnsiTheme="minorHAnsi" w:cstheme="minorHAnsi"/>
          <w:szCs w:val="20"/>
          <w:vertAlign w:val="superscript"/>
        </w:rPr>
        <w:footnoteReference w:id="62"/>
      </w:r>
      <w:r w:rsidRPr="003B6A69">
        <w:rPr>
          <w:rFonts w:asciiTheme="minorHAnsi" w:eastAsiaTheme="minorHAnsi" w:hAnsiTheme="minorHAnsi" w:cstheme="minorHAnsi"/>
          <w:szCs w:val="20"/>
        </w:rPr>
        <w:t xml:space="preserve"> </w:t>
      </w:r>
    </w:p>
    <w:p w14:paraId="684BB766" w14:textId="77777777" w:rsidR="008C4F26" w:rsidRPr="003B6A69" w:rsidRDefault="008C4F26" w:rsidP="008C4F26">
      <w:pPr>
        <w:spacing w:after="120" w:line="259" w:lineRule="auto"/>
        <w:rPr>
          <w:rFonts w:asciiTheme="minorHAnsi" w:eastAsiaTheme="minorHAnsi" w:hAnsiTheme="minorHAnsi" w:cstheme="minorHAnsi"/>
          <w:szCs w:val="20"/>
        </w:rPr>
      </w:pPr>
      <w:r w:rsidRPr="003B6A69">
        <w:rPr>
          <w:rFonts w:asciiTheme="minorHAnsi" w:eastAsiaTheme="minorHAnsi" w:hAnsiTheme="minorHAnsi" w:cstheme="minorHAnsi"/>
          <w:i/>
          <w:iCs/>
          <w:szCs w:val="20"/>
          <w:u w:val="single"/>
        </w:rPr>
        <w:t>Dalmatia Green</w:t>
      </w:r>
      <w:r w:rsidRPr="003B6A69">
        <w:rPr>
          <w:rFonts w:asciiTheme="minorHAnsi" w:eastAsiaTheme="minorHAnsi" w:hAnsiTheme="minorHAnsi" w:cstheme="minorHAnsi"/>
          <w:szCs w:val="20"/>
        </w:rPr>
        <w:t xml:space="preserve"> certificate is based on criteria which </w:t>
      </w:r>
      <w:proofErr w:type="gramStart"/>
      <w:r w:rsidRPr="003B6A69">
        <w:rPr>
          <w:rFonts w:asciiTheme="minorHAnsi" w:eastAsiaTheme="minorHAnsi" w:hAnsiTheme="minorHAnsi" w:cstheme="minorHAnsi"/>
          <w:szCs w:val="20"/>
        </w:rPr>
        <w:t>includes:</w:t>
      </w:r>
      <w:proofErr w:type="gramEnd"/>
      <w:r w:rsidRPr="003B6A69">
        <w:rPr>
          <w:rFonts w:asciiTheme="minorHAnsi" w:eastAsiaTheme="minorHAnsi" w:hAnsiTheme="minorHAnsi" w:cstheme="minorHAnsi"/>
          <w:szCs w:val="20"/>
        </w:rPr>
        <w:t xml:space="preserve"> water flow reduced, organic or local food, energy saving lights, waste recycling, ecological cleaning products, car-free accessibility, recovery and reuse of rainwater, green building, solar, thermal panels for hot water, renewable energy. </w:t>
      </w:r>
    </w:p>
    <w:p w14:paraId="3BC7C070" w14:textId="77777777" w:rsidR="008C4F26" w:rsidRPr="003B6A69" w:rsidRDefault="008C4F26" w:rsidP="008C4F26">
      <w:pPr>
        <w:spacing w:after="120" w:line="259" w:lineRule="auto"/>
        <w:rPr>
          <w:rFonts w:asciiTheme="minorHAnsi" w:eastAsiaTheme="minorHAnsi" w:hAnsiTheme="minorHAnsi" w:cstheme="minorHAnsi"/>
          <w:szCs w:val="20"/>
        </w:rPr>
      </w:pPr>
      <w:r w:rsidRPr="003B6A69">
        <w:rPr>
          <w:rFonts w:asciiTheme="minorHAnsi" w:eastAsiaTheme="minorHAnsi" w:hAnsiTheme="minorHAnsi" w:cstheme="minorHAnsi"/>
          <w:szCs w:val="20"/>
        </w:rPr>
        <w:t xml:space="preserve">The County of Istria awards </w:t>
      </w:r>
      <w:proofErr w:type="spellStart"/>
      <w:r w:rsidRPr="003B6A69">
        <w:rPr>
          <w:rFonts w:asciiTheme="minorHAnsi" w:eastAsiaTheme="minorHAnsi" w:hAnsiTheme="minorHAnsi" w:cstheme="minorHAnsi"/>
          <w:i/>
          <w:iCs/>
          <w:szCs w:val="20"/>
          <w:u w:val="single"/>
        </w:rPr>
        <w:t>EcoDomus</w:t>
      </w:r>
      <w:proofErr w:type="spellEnd"/>
      <w:r w:rsidRPr="003B6A69">
        <w:rPr>
          <w:rFonts w:asciiTheme="minorHAnsi" w:eastAsiaTheme="minorHAnsi" w:hAnsiTheme="minorHAnsi" w:cstheme="minorHAnsi"/>
          <w:szCs w:val="20"/>
        </w:rPr>
        <w:t xml:space="preserve"> labels since 2016 as part of its eco-accommodation certification. This is a continuation of the Bike &amp; Bed project, by which Istria wants to raise the quality and diversity of the tourist offer of small private renters.</w:t>
      </w:r>
    </w:p>
    <w:p w14:paraId="792E503E" w14:textId="77777777" w:rsidR="008C4F26" w:rsidRPr="003B6A69" w:rsidRDefault="008C4F26" w:rsidP="008C4F26">
      <w:pPr>
        <w:spacing w:after="120" w:line="259" w:lineRule="auto"/>
        <w:textAlignment w:val="baseline"/>
        <w:rPr>
          <w:rFonts w:asciiTheme="minorHAnsi" w:eastAsiaTheme="minorHAnsi" w:hAnsiTheme="minorHAnsi" w:cstheme="minorHAnsi"/>
          <w:szCs w:val="20"/>
        </w:rPr>
      </w:pPr>
      <w:proofErr w:type="spellStart"/>
      <w:r w:rsidRPr="003B6A69">
        <w:rPr>
          <w:rFonts w:asciiTheme="minorHAnsi" w:eastAsiaTheme="minorHAnsi" w:hAnsiTheme="minorHAnsi" w:cstheme="minorHAnsi"/>
          <w:szCs w:val="20"/>
        </w:rPr>
        <w:t>EcoDomus</w:t>
      </w:r>
      <w:proofErr w:type="spellEnd"/>
      <w:r w:rsidRPr="003B6A69">
        <w:rPr>
          <w:rFonts w:asciiTheme="minorHAnsi" w:eastAsiaTheme="minorHAnsi" w:hAnsiTheme="minorHAnsi" w:cstheme="minorHAnsi"/>
          <w:szCs w:val="20"/>
        </w:rPr>
        <w:t xml:space="preserve"> is a marking </w:t>
      </w:r>
      <w:proofErr w:type="spellStart"/>
      <w:r w:rsidRPr="003B6A69">
        <w:rPr>
          <w:rFonts w:asciiTheme="minorHAnsi" w:eastAsiaTheme="minorHAnsi" w:hAnsiTheme="minorHAnsi" w:cstheme="minorHAnsi"/>
          <w:szCs w:val="20"/>
        </w:rPr>
        <w:t>programme</w:t>
      </w:r>
      <w:proofErr w:type="spellEnd"/>
      <w:r w:rsidRPr="003B6A69">
        <w:rPr>
          <w:rFonts w:asciiTheme="minorHAnsi" w:eastAsiaTheme="minorHAnsi" w:hAnsiTheme="minorHAnsi" w:cstheme="minorHAnsi"/>
          <w:szCs w:val="20"/>
        </w:rPr>
        <w:t xml:space="preserve"> carried out by the Istrian Region Administrative Department for Tourism with the aim of increasing both social and environmental awareness in tourism. The </w:t>
      </w:r>
      <w:proofErr w:type="spellStart"/>
      <w:r w:rsidRPr="003B6A69">
        <w:rPr>
          <w:rFonts w:asciiTheme="minorHAnsi" w:eastAsiaTheme="minorHAnsi" w:hAnsiTheme="minorHAnsi" w:cstheme="minorHAnsi"/>
          <w:szCs w:val="20"/>
        </w:rPr>
        <w:t>programme</w:t>
      </w:r>
      <w:proofErr w:type="spellEnd"/>
      <w:r w:rsidRPr="003B6A69">
        <w:rPr>
          <w:rFonts w:asciiTheme="minorHAnsi" w:eastAsiaTheme="minorHAnsi" w:hAnsiTheme="minorHAnsi" w:cstheme="minorHAnsi"/>
          <w:szCs w:val="20"/>
        </w:rPr>
        <w:t xml:space="preserve"> is well in sync with the global sustainability goals and guarantees an overall environs and health safety. Facilities bearing the </w:t>
      </w:r>
      <w:proofErr w:type="spellStart"/>
      <w:r w:rsidRPr="003B6A69">
        <w:rPr>
          <w:rFonts w:asciiTheme="minorHAnsi" w:eastAsiaTheme="minorHAnsi" w:hAnsiTheme="minorHAnsi" w:cstheme="minorHAnsi"/>
          <w:szCs w:val="20"/>
        </w:rPr>
        <w:t>EcoDomus</w:t>
      </w:r>
      <w:proofErr w:type="spellEnd"/>
      <w:r w:rsidRPr="003B6A69">
        <w:rPr>
          <w:rFonts w:asciiTheme="minorHAnsi" w:eastAsiaTheme="minorHAnsi" w:hAnsiTheme="minorHAnsi" w:cstheme="minorHAnsi"/>
          <w:szCs w:val="20"/>
        </w:rPr>
        <w:t> mark have complied with at least 50 basic criteria within the 12 categories including Management and communication, Water, Waste, Interior and exterior, local Values, Hygiene, Energy, Noise and Light, Food and drink, Maintenance, cleaning and disinfection, Mobility and Social commitment categories score. Currently, the Eco Domus Certificate is proud to have 40 eco-friendly accommodations in Istria, which have successfully passed the certification process.</w:t>
      </w:r>
    </w:p>
    <w:p w14:paraId="00C94646" w14:textId="77777777" w:rsidR="008C4F26" w:rsidRPr="003B6A69" w:rsidRDefault="008C4F26" w:rsidP="008C4F26">
      <w:pPr>
        <w:spacing w:after="120" w:line="259" w:lineRule="auto"/>
        <w:rPr>
          <w:rFonts w:asciiTheme="minorHAnsi" w:eastAsiaTheme="minorHAnsi" w:hAnsiTheme="minorHAnsi" w:cstheme="minorHAnsi"/>
          <w:szCs w:val="20"/>
        </w:rPr>
      </w:pPr>
      <w:r w:rsidRPr="003B6A69">
        <w:rPr>
          <w:rFonts w:asciiTheme="minorHAnsi" w:eastAsiaTheme="minorHAnsi" w:hAnsiTheme="minorHAnsi" w:cstheme="minorHAnsi"/>
          <w:szCs w:val="20"/>
        </w:rPr>
        <w:t>The main objective of the program is the focus on sustainable tourism development in Istria and the development of Istria as a quality tourist destination, and the same is defined in the Master Plan for Tourism Development of Istria from 2015-2025.</w:t>
      </w:r>
    </w:p>
    <w:p w14:paraId="4499A6B3" w14:textId="77777777" w:rsidR="008C4F26" w:rsidRPr="003B6A69" w:rsidRDefault="008C4F26" w:rsidP="008C4F26">
      <w:pPr>
        <w:spacing w:after="120" w:line="259" w:lineRule="auto"/>
        <w:rPr>
          <w:rFonts w:asciiTheme="minorHAnsi" w:eastAsiaTheme="minorHAnsi" w:hAnsiTheme="minorHAnsi" w:cstheme="minorHAnsi"/>
          <w:szCs w:val="20"/>
        </w:rPr>
      </w:pPr>
      <w:r w:rsidRPr="003B6A69">
        <w:rPr>
          <w:rFonts w:asciiTheme="minorHAnsi" w:eastAsiaTheme="minorHAnsi" w:hAnsiTheme="minorHAnsi" w:cstheme="minorHAnsi"/>
          <w:szCs w:val="20"/>
        </w:rPr>
        <w:t xml:space="preserve">Croatia has participated in the preparation of the two “sustainable destinations” certification schemes: pilot studies were conducted for the </w:t>
      </w:r>
      <w:proofErr w:type="spellStart"/>
      <w:r w:rsidRPr="003B6A69">
        <w:rPr>
          <w:rFonts w:asciiTheme="minorHAnsi" w:eastAsiaTheme="minorHAnsi" w:hAnsiTheme="minorHAnsi" w:cstheme="minorHAnsi"/>
          <w:szCs w:val="20"/>
        </w:rPr>
        <w:t>Ugljan</w:t>
      </w:r>
      <w:proofErr w:type="spellEnd"/>
      <w:r w:rsidRPr="003B6A69">
        <w:rPr>
          <w:rFonts w:asciiTheme="minorHAnsi" w:eastAsiaTheme="minorHAnsi" w:hAnsiTheme="minorHAnsi" w:cstheme="minorHAnsi"/>
          <w:szCs w:val="20"/>
        </w:rPr>
        <w:t xml:space="preserve"> and </w:t>
      </w:r>
      <w:proofErr w:type="spellStart"/>
      <w:r w:rsidRPr="003B6A69">
        <w:rPr>
          <w:rFonts w:asciiTheme="minorHAnsi" w:eastAsiaTheme="minorHAnsi" w:hAnsiTheme="minorHAnsi" w:cstheme="minorHAnsi"/>
          <w:szCs w:val="20"/>
        </w:rPr>
        <w:t>Pašman</w:t>
      </w:r>
      <w:proofErr w:type="spellEnd"/>
      <w:r w:rsidRPr="003B6A69">
        <w:rPr>
          <w:rFonts w:asciiTheme="minorHAnsi" w:eastAsiaTheme="minorHAnsi" w:hAnsiTheme="minorHAnsi" w:cstheme="minorHAnsi"/>
          <w:szCs w:val="20"/>
        </w:rPr>
        <w:t xml:space="preserve"> islands in 2001 as part of UNWTO activities Indicators of Sustainability for Tourism Destinations.</w:t>
      </w:r>
    </w:p>
    <w:p w14:paraId="559CEE81" w14:textId="77777777" w:rsidR="008C4F26" w:rsidRPr="003B6A69" w:rsidRDefault="008C4F26" w:rsidP="008C4F26">
      <w:pPr>
        <w:spacing w:after="120" w:line="259" w:lineRule="auto"/>
        <w:rPr>
          <w:rFonts w:asciiTheme="minorHAnsi" w:eastAsiaTheme="minorHAnsi" w:hAnsiTheme="minorHAnsi" w:cstheme="minorHAnsi"/>
          <w:szCs w:val="20"/>
        </w:rPr>
      </w:pPr>
      <w:r w:rsidRPr="003B6A69">
        <w:rPr>
          <w:rFonts w:asciiTheme="minorHAnsi" w:eastAsiaTheme="minorHAnsi" w:hAnsiTheme="minorHAnsi" w:cstheme="minorHAnsi"/>
          <w:szCs w:val="20"/>
        </w:rPr>
        <w:t xml:space="preserve">Since 2006/2007 Croatia actively participates in the EU initiative to select the European Destination of Excellence (EDEN). Practice varies greatly between destinations, but there are also plenty of good examples, which are recognized as international best practice examples. </w:t>
      </w:r>
      <w:proofErr w:type="gramStart"/>
      <w:r w:rsidRPr="003B6A69">
        <w:rPr>
          <w:rFonts w:asciiTheme="minorHAnsi" w:eastAsiaTheme="minorHAnsi" w:hAnsiTheme="minorHAnsi" w:cstheme="minorHAnsi"/>
          <w:szCs w:val="20"/>
        </w:rPr>
        <w:t>e.g.</w:t>
      </w:r>
      <w:proofErr w:type="gramEnd"/>
      <w:r w:rsidRPr="003B6A69">
        <w:rPr>
          <w:rFonts w:asciiTheme="minorHAnsi" w:eastAsiaTheme="minorHAnsi" w:hAnsiTheme="minorHAnsi" w:cstheme="minorHAnsi"/>
          <w:szCs w:val="20"/>
        </w:rPr>
        <w:t xml:space="preserve"> the city of Mali </w:t>
      </w:r>
      <w:proofErr w:type="spellStart"/>
      <w:r w:rsidRPr="003B6A69">
        <w:rPr>
          <w:rFonts w:asciiTheme="minorHAnsi" w:eastAsiaTheme="minorHAnsi" w:hAnsiTheme="minorHAnsi" w:cstheme="minorHAnsi"/>
          <w:szCs w:val="20"/>
        </w:rPr>
        <w:t>Lošinj</w:t>
      </w:r>
      <w:proofErr w:type="spellEnd"/>
      <w:r w:rsidRPr="003B6A69">
        <w:rPr>
          <w:rFonts w:asciiTheme="minorHAnsi" w:eastAsiaTheme="minorHAnsi" w:hAnsiTheme="minorHAnsi" w:cstheme="minorHAnsi"/>
          <w:szCs w:val="20"/>
        </w:rPr>
        <w:t xml:space="preserve"> and its TZ received the 2012 </w:t>
      </w:r>
      <w:proofErr w:type="spellStart"/>
      <w:r w:rsidRPr="003B6A69">
        <w:rPr>
          <w:rFonts w:asciiTheme="minorHAnsi" w:eastAsiaTheme="minorHAnsi" w:hAnsiTheme="minorHAnsi" w:cstheme="minorHAnsi"/>
          <w:szCs w:val="20"/>
        </w:rPr>
        <w:t>Skål</w:t>
      </w:r>
      <w:proofErr w:type="spellEnd"/>
      <w:r w:rsidRPr="003B6A69">
        <w:rPr>
          <w:rFonts w:asciiTheme="minorHAnsi" w:eastAsiaTheme="minorHAnsi" w:hAnsiTheme="minorHAnsi" w:cstheme="minorHAnsi"/>
          <w:szCs w:val="20"/>
        </w:rPr>
        <w:t xml:space="preserve"> International Sustainable Development in Tourism Award, awarded by the </w:t>
      </w:r>
      <w:proofErr w:type="spellStart"/>
      <w:r w:rsidRPr="003B6A69">
        <w:rPr>
          <w:rFonts w:asciiTheme="minorHAnsi" w:eastAsiaTheme="minorHAnsi" w:hAnsiTheme="minorHAnsi" w:cstheme="minorHAnsi"/>
          <w:szCs w:val="20"/>
        </w:rPr>
        <w:t>Skål</w:t>
      </w:r>
      <w:proofErr w:type="spellEnd"/>
      <w:r w:rsidRPr="003B6A69">
        <w:rPr>
          <w:rFonts w:asciiTheme="minorHAnsi" w:eastAsiaTheme="minorHAnsi" w:hAnsiTheme="minorHAnsi" w:cstheme="minorHAnsi"/>
          <w:szCs w:val="20"/>
        </w:rPr>
        <w:t xml:space="preserve"> International Organization in collaboration with the UNWTO. The fact that Mali </w:t>
      </w:r>
      <w:proofErr w:type="spellStart"/>
      <w:r w:rsidRPr="003B6A69">
        <w:rPr>
          <w:rFonts w:asciiTheme="minorHAnsi" w:eastAsiaTheme="minorHAnsi" w:hAnsiTheme="minorHAnsi" w:cstheme="minorHAnsi"/>
          <w:szCs w:val="20"/>
        </w:rPr>
        <w:t>Lošinj</w:t>
      </w:r>
      <w:proofErr w:type="spellEnd"/>
      <w:r w:rsidRPr="003B6A69">
        <w:rPr>
          <w:rFonts w:asciiTheme="minorHAnsi" w:eastAsiaTheme="minorHAnsi" w:hAnsiTheme="minorHAnsi" w:cstheme="minorHAnsi"/>
          <w:szCs w:val="20"/>
        </w:rPr>
        <w:t xml:space="preserve"> is a good example of cooperation of stakeholders from different sectors at the local level (local government, TK, Blue World Institute, local providers of tourism and catering services ...) is a confirmation of the previously emphasized thesis of successful cooperation of all stakeholders at the local level a factor for success in the development of a sustainable, </w:t>
      </w:r>
      <w:proofErr w:type="gramStart"/>
      <w:r w:rsidRPr="003B6A69">
        <w:rPr>
          <w:rFonts w:asciiTheme="minorHAnsi" w:eastAsiaTheme="minorHAnsi" w:hAnsiTheme="minorHAnsi" w:cstheme="minorHAnsi"/>
          <w:szCs w:val="20"/>
        </w:rPr>
        <w:t>quality</w:t>
      </w:r>
      <w:proofErr w:type="gramEnd"/>
      <w:r w:rsidRPr="003B6A69">
        <w:rPr>
          <w:rFonts w:asciiTheme="minorHAnsi" w:eastAsiaTheme="minorHAnsi" w:hAnsiTheme="minorHAnsi" w:cstheme="minorHAnsi"/>
          <w:szCs w:val="20"/>
        </w:rPr>
        <w:t xml:space="preserve"> and competitive tourist destination.</w:t>
      </w:r>
    </w:p>
    <w:p w14:paraId="0076A921" w14:textId="77777777" w:rsidR="008C4F26" w:rsidRPr="003B6A69" w:rsidRDefault="008C4F26" w:rsidP="008C4F26">
      <w:pPr>
        <w:spacing w:after="120" w:line="259" w:lineRule="auto"/>
        <w:rPr>
          <w:rFonts w:asciiTheme="minorHAnsi" w:eastAsiaTheme="minorHAnsi" w:hAnsiTheme="minorHAnsi" w:cstheme="minorHAnsi"/>
          <w:szCs w:val="20"/>
        </w:rPr>
      </w:pPr>
      <w:r w:rsidRPr="003B6A69">
        <w:rPr>
          <w:rFonts w:asciiTheme="minorHAnsi" w:eastAsiaTheme="minorHAnsi" w:hAnsiTheme="minorHAnsi" w:cstheme="minorHAnsi"/>
          <w:szCs w:val="20"/>
        </w:rPr>
        <w:lastRenderedPageBreak/>
        <w:t>Increasingly and systematically, financial support is provided for greening tourism projects. A recent example of a public call from the Environmental and Energy Efficiency Fund to directly finance renewable energy projects in tourism (for FN collectors, thermal solar collectors, etc.) or the Public Green Line Call for Financing Electricity Operated within NP and PP illustrate well a trend in which: “Green” financing is implemented through cross-sectoral cooperation between tourism and the environment, in which Funding is not implemented for the general theme of "projects contributing to the environmental protection of tourism", but the available resources are directed to planned priority topics.</w:t>
      </w:r>
    </w:p>
    <w:p w14:paraId="6342F76E" w14:textId="77777777" w:rsidR="008C4F26" w:rsidRPr="003B6A69" w:rsidRDefault="008C4F26" w:rsidP="008C4F26">
      <w:pPr>
        <w:spacing w:after="120" w:line="259" w:lineRule="auto"/>
        <w:rPr>
          <w:rFonts w:asciiTheme="minorHAnsi" w:eastAsiaTheme="minorHAnsi" w:hAnsiTheme="minorHAnsi" w:cstheme="minorHAnsi"/>
          <w:szCs w:val="20"/>
        </w:rPr>
      </w:pPr>
      <w:r w:rsidRPr="003B6A69">
        <w:rPr>
          <w:rFonts w:asciiTheme="minorHAnsi" w:eastAsiaTheme="minorHAnsi" w:hAnsiTheme="minorHAnsi" w:cstheme="minorHAnsi"/>
          <w:szCs w:val="20"/>
        </w:rPr>
        <w:t xml:space="preserve">Tourism users can also apply to a range of co-financing programs by the EPEEF that do not relate exclusively to tourism (e.g. the program for the introduction of eco-management and independent assessment systems - EMAS, certification under the EN </w:t>
      </w:r>
      <w:proofErr w:type="spellStart"/>
      <w:r w:rsidRPr="003B6A69">
        <w:rPr>
          <w:rFonts w:asciiTheme="minorHAnsi" w:eastAsiaTheme="minorHAnsi" w:hAnsiTheme="minorHAnsi" w:cstheme="minorHAnsi"/>
          <w:szCs w:val="20"/>
        </w:rPr>
        <w:t>EN</w:t>
      </w:r>
      <w:proofErr w:type="spellEnd"/>
      <w:r w:rsidRPr="003B6A69">
        <w:rPr>
          <w:rFonts w:asciiTheme="minorHAnsi" w:eastAsiaTheme="minorHAnsi" w:hAnsiTheme="minorHAnsi" w:cstheme="minorHAnsi"/>
          <w:szCs w:val="20"/>
        </w:rPr>
        <w:t xml:space="preserve"> ISO 14001: 2009 standard for environmental management, the award of an environmental label " EU Ecolabel”, a greening program for transport by introducing electric and hybrid vehicles, through which tourist operators can make their destination fleet more sustainable and attractive).</w:t>
      </w:r>
    </w:p>
    <w:p w14:paraId="1B1B29C1" w14:textId="77777777" w:rsidR="008C4F26" w:rsidRPr="003B6A69" w:rsidRDefault="008C4F26" w:rsidP="008C4F26">
      <w:pPr>
        <w:spacing w:after="120" w:line="259" w:lineRule="auto"/>
        <w:rPr>
          <w:rFonts w:asciiTheme="minorHAnsi" w:eastAsiaTheme="minorHAnsi" w:hAnsiTheme="minorHAnsi" w:cstheme="minorHAnsi"/>
          <w:szCs w:val="20"/>
        </w:rPr>
      </w:pPr>
      <w:r w:rsidRPr="003B6A69">
        <w:rPr>
          <w:rFonts w:asciiTheme="minorHAnsi" w:eastAsiaTheme="minorHAnsi" w:hAnsiTheme="minorHAnsi" w:cstheme="minorHAnsi"/>
          <w:szCs w:val="20"/>
        </w:rPr>
        <w:t xml:space="preserve">Over the past ten years, </w:t>
      </w:r>
      <w:proofErr w:type="gramStart"/>
      <w:r w:rsidRPr="003B6A69">
        <w:rPr>
          <w:rFonts w:asciiTheme="minorHAnsi" w:eastAsiaTheme="minorHAnsi" w:hAnsiTheme="minorHAnsi" w:cstheme="minorHAnsi"/>
          <w:szCs w:val="20"/>
        </w:rPr>
        <w:t>a large number of</w:t>
      </w:r>
      <w:proofErr w:type="gramEnd"/>
      <w:r w:rsidRPr="003B6A69">
        <w:rPr>
          <w:rFonts w:asciiTheme="minorHAnsi" w:eastAsiaTheme="minorHAnsi" w:hAnsiTheme="minorHAnsi" w:cstheme="minorHAnsi"/>
          <w:szCs w:val="20"/>
        </w:rPr>
        <w:t xml:space="preserve"> projects have been financially supported through which valuable pilot activities have been implemented. In addition to the support already mentioned for the development of various green certificates, they are also a project for the development of green energy and sustainable management in tourist camps.</w:t>
      </w:r>
    </w:p>
    <w:p w14:paraId="7C1D9A8A" w14:textId="77777777" w:rsidR="008C4F26" w:rsidRPr="003B6A69" w:rsidRDefault="008C4F26" w:rsidP="008C4F26">
      <w:pPr>
        <w:spacing w:after="120" w:line="259" w:lineRule="auto"/>
        <w:rPr>
          <w:rFonts w:asciiTheme="minorHAnsi" w:eastAsiaTheme="minorHAnsi" w:hAnsiTheme="minorHAnsi" w:cstheme="minorHAnsi"/>
          <w:szCs w:val="20"/>
        </w:rPr>
      </w:pPr>
      <w:r w:rsidRPr="003B6A69">
        <w:rPr>
          <w:rFonts w:asciiTheme="minorHAnsi" w:eastAsiaTheme="minorHAnsi" w:hAnsiTheme="minorHAnsi" w:cstheme="minorHAnsi"/>
          <w:szCs w:val="20"/>
        </w:rPr>
        <w:t xml:space="preserve">Over the past ten years, </w:t>
      </w:r>
      <w:proofErr w:type="gramStart"/>
      <w:r w:rsidRPr="003B6A69">
        <w:rPr>
          <w:rFonts w:asciiTheme="minorHAnsi" w:eastAsiaTheme="minorHAnsi" w:hAnsiTheme="minorHAnsi" w:cstheme="minorHAnsi"/>
          <w:szCs w:val="20"/>
        </w:rPr>
        <w:t>a large number of</w:t>
      </w:r>
      <w:proofErr w:type="gramEnd"/>
      <w:r w:rsidRPr="003B6A69">
        <w:rPr>
          <w:rFonts w:asciiTheme="minorHAnsi" w:eastAsiaTheme="minorHAnsi" w:hAnsiTheme="minorHAnsi" w:cstheme="minorHAnsi"/>
          <w:szCs w:val="20"/>
        </w:rPr>
        <w:t xml:space="preserve"> cross-border projects have been funded through EU funds, with the participation of most counties (several of them and in a larger number of projects). All projects have always, according to the competition criteria, had a strong emphasis on the sustainability of the developed tourism offer.</w:t>
      </w:r>
    </w:p>
    <w:p w14:paraId="16BEA0A3" w14:textId="77777777" w:rsidR="008C4F26" w:rsidRPr="003B6A69" w:rsidRDefault="008C4F26" w:rsidP="008C4F26">
      <w:pPr>
        <w:spacing w:after="120" w:line="259" w:lineRule="auto"/>
        <w:rPr>
          <w:rFonts w:asciiTheme="minorHAnsi" w:eastAsiaTheme="minorHAnsi" w:hAnsiTheme="minorHAnsi" w:cstheme="minorHAnsi"/>
          <w:szCs w:val="20"/>
        </w:rPr>
      </w:pPr>
      <w:r w:rsidRPr="003B6A69">
        <w:rPr>
          <w:rFonts w:asciiTheme="minorHAnsi" w:eastAsiaTheme="minorHAnsi" w:hAnsiTheme="minorHAnsi" w:cstheme="minorHAnsi"/>
          <w:szCs w:val="20"/>
        </w:rPr>
        <w:t>Croatia has taken some useful measures in the application of its taxation policy (</w:t>
      </w:r>
      <w:proofErr w:type="gramStart"/>
      <w:r w:rsidRPr="003B6A69">
        <w:rPr>
          <w:rFonts w:asciiTheme="minorHAnsi" w:eastAsiaTheme="minorHAnsi" w:hAnsiTheme="minorHAnsi" w:cstheme="minorHAnsi"/>
          <w:szCs w:val="20"/>
        </w:rPr>
        <w:t>e.g.</w:t>
      </w:r>
      <w:proofErr w:type="gramEnd"/>
      <w:r w:rsidRPr="003B6A69">
        <w:rPr>
          <w:rFonts w:asciiTheme="minorHAnsi" w:eastAsiaTheme="minorHAnsi" w:hAnsiTheme="minorHAnsi" w:cstheme="minorHAnsi"/>
          <w:szCs w:val="20"/>
        </w:rPr>
        <w:t xml:space="preserve"> electric cars are excluded from special tax on road vehicles) that make a useful move towards green initiatives. The Government has established the Environmental Protection and Energy Efficiency Fund (EPEEF) to provide extrabudgetary sources for financing green initiatives and environmental protection projects. </w:t>
      </w:r>
    </w:p>
    <w:p w14:paraId="2A255479" w14:textId="77777777" w:rsidR="008C4F26" w:rsidRPr="003B6A69" w:rsidRDefault="008C4F26" w:rsidP="008C4F26">
      <w:pPr>
        <w:spacing w:after="120" w:line="259" w:lineRule="auto"/>
        <w:rPr>
          <w:rFonts w:asciiTheme="minorHAnsi" w:eastAsiaTheme="minorHAnsi" w:hAnsiTheme="minorHAnsi" w:cstheme="minorHAnsi"/>
          <w:b/>
          <w:bCs/>
          <w:szCs w:val="20"/>
          <w:u w:val="single"/>
        </w:rPr>
      </w:pPr>
      <w:r w:rsidRPr="003B6A69">
        <w:rPr>
          <w:rFonts w:asciiTheme="minorHAnsi" w:eastAsiaTheme="minorHAnsi" w:hAnsiTheme="minorHAnsi" w:cstheme="minorHAnsi"/>
          <w:b/>
          <w:bCs/>
          <w:i/>
          <w:iCs/>
          <w:szCs w:val="20"/>
        </w:rPr>
        <w:t>Slovenia</w:t>
      </w:r>
      <w:r w:rsidRPr="003B6A69">
        <w:rPr>
          <w:rFonts w:asciiTheme="minorHAnsi" w:eastAsiaTheme="minorHAnsi" w:hAnsiTheme="minorHAnsi" w:cstheme="minorHAnsi"/>
          <w:b/>
          <w:bCs/>
          <w:szCs w:val="20"/>
          <w:u w:val="single"/>
          <w:vertAlign w:val="superscript"/>
        </w:rPr>
        <w:footnoteReference w:id="63"/>
      </w:r>
    </w:p>
    <w:p w14:paraId="752675D4" w14:textId="77777777" w:rsidR="008C4F26" w:rsidRPr="003B6A69" w:rsidRDefault="008C4F26" w:rsidP="008C4F26">
      <w:pPr>
        <w:spacing w:after="120" w:line="259" w:lineRule="auto"/>
        <w:rPr>
          <w:rFonts w:asciiTheme="minorHAnsi" w:eastAsiaTheme="minorHAnsi" w:hAnsiTheme="minorHAnsi" w:cstheme="minorHAnsi"/>
          <w:szCs w:val="20"/>
        </w:rPr>
      </w:pPr>
      <w:r w:rsidRPr="003B6A69">
        <w:rPr>
          <w:rFonts w:asciiTheme="minorHAnsi" w:eastAsiaTheme="minorHAnsi" w:hAnsiTheme="minorHAnsi" w:cstheme="minorHAnsi"/>
          <w:b/>
          <w:bCs/>
          <w:szCs w:val="20"/>
        </w:rPr>
        <w:t>The Green Scheme of Slovenian Tourism</w:t>
      </w:r>
      <w:r w:rsidRPr="003B6A69">
        <w:rPr>
          <w:rFonts w:asciiTheme="minorHAnsi" w:eastAsiaTheme="minorHAnsi" w:hAnsiTheme="minorHAnsi" w:cstheme="minorHAnsi"/>
          <w:szCs w:val="20"/>
        </w:rPr>
        <w:t xml:space="preserve"> is a tool developed at the national level and a certification </w:t>
      </w:r>
      <w:proofErr w:type="spellStart"/>
      <w:r w:rsidRPr="003B6A69">
        <w:rPr>
          <w:rFonts w:asciiTheme="minorHAnsi" w:eastAsiaTheme="minorHAnsi" w:hAnsiTheme="minorHAnsi" w:cstheme="minorHAnsi"/>
          <w:szCs w:val="20"/>
        </w:rPr>
        <w:t>programme</w:t>
      </w:r>
      <w:proofErr w:type="spellEnd"/>
      <w:r w:rsidRPr="003B6A69">
        <w:rPr>
          <w:rFonts w:asciiTheme="minorHAnsi" w:eastAsiaTheme="minorHAnsi" w:hAnsiTheme="minorHAnsi" w:cstheme="minorHAnsi"/>
          <w:szCs w:val="20"/>
        </w:rPr>
        <w:t xml:space="preserve"> that carries out several tasks under the SLOVENIA GREEN umbrella brand:</w:t>
      </w:r>
    </w:p>
    <w:p w14:paraId="5F8337FB" w14:textId="77777777" w:rsidR="008C4F26" w:rsidRPr="003B6A69" w:rsidRDefault="008C4F26" w:rsidP="003C6B7B">
      <w:pPr>
        <w:numPr>
          <w:ilvl w:val="0"/>
          <w:numId w:val="35"/>
        </w:numPr>
        <w:spacing w:after="120" w:line="259" w:lineRule="auto"/>
        <w:ind w:left="426"/>
        <w:contextualSpacing/>
        <w:jc w:val="left"/>
        <w:rPr>
          <w:rFonts w:asciiTheme="minorHAnsi" w:eastAsiaTheme="minorHAnsi" w:hAnsiTheme="minorHAnsi" w:cstheme="minorHAnsi"/>
          <w:szCs w:val="20"/>
        </w:rPr>
      </w:pPr>
      <w:r w:rsidRPr="003B6A69">
        <w:rPr>
          <w:rFonts w:asciiTheme="minorHAnsi" w:eastAsiaTheme="minorHAnsi" w:hAnsiTheme="minorHAnsi" w:cstheme="minorHAnsi"/>
          <w:szCs w:val="20"/>
        </w:rPr>
        <w:t>brings together all efforts directed towards the sustainable development of tourism in Slovenia,</w:t>
      </w:r>
    </w:p>
    <w:p w14:paraId="48077CAA" w14:textId="77777777" w:rsidR="008C4F26" w:rsidRPr="003B6A69" w:rsidRDefault="008C4F26" w:rsidP="003C6B7B">
      <w:pPr>
        <w:numPr>
          <w:ilvl w:val="0"/>
          <w:numId w:val="35"/>
        </w:numPr>
        <w:spacing w:after="120" w:line="259" w:lineRule="auto"/>
        <w:ind w:left="426"/>
        <w:contextualSpacing/>
        <w:jc w:val="left"/>
        <w:rPr>
          <w:rFonts w:asciiTheme="minorHAnsi" w:eastAsiaTheme="minorHAnsi" w:hAnsiTheme="minorHAnsi" w:cstheme="minorHAnsi"/>
          <w:szCs w:val="20"/>
        </w:rPr>
      </w:pPr>
      <w:r w:rsidRPr="003B6A69">
        <w:rPr>
          <w:rFonts w:asciiTheme="minorHAnsi" w:eastAsiaTheme="minorHAnsi" w:hAnsiTheme="minorHAnsi" w:cstheme="minorHAnsi"/>
          <w:szCs w:val="20"/>
        </w:rPr>
        <w:t>offers tools to destinations and service providers that enable them to evaluate and improve their sustainability endeavors,</w:t>
      </w:r>
    </w:p>
    <w:p w14:paraId="62464F7C" w14:textId="77777777" w:rsidR="008C4F26" w:rsidRPr="003B6A69" w:rsidRDefault="008C4F26" w:rsidP="003C6B7B">
      <w:pPr>
        <w:numPr>
          <w:ilvl w:val="0"/>
          <w:numId w:val="35"/>
        </w:numPr>
        <w:spacing w:after="120" w:line="259" w:lineRule="auto"/>
        <w:ind w:left="426"/>
        <w:contextualSpacing/>
        <w:jc w:val="left"/>
        <w:rPr>
          <w:rFonts w:asciiTheme="minorHAnsi" w:eastAsiaTheme="minorHAnsi" w:hAnsiTheme="minorHAnsi" w:cstheme="minorHAnsi"/>
          <w:szCs w:val="20"/>
        </w:rPr>
      </w:pPr>
      <w:r w:rsidRPr="003B6A69">
        <w:rPr>
          <w:rFonts w:asciiTheme="minorHAnsi" w:eastAsiaTheme="minorHAnsi" w:hAnsiTheme="minorHAnsi" w:cstheme="minorHAnsi"/>
          <w:szCs w:val="20"/>
        </w:rPr>
        <w:t xml:space="preserve">promotes these green endeavors through the SLOVENIA GREEN brand. </w:t>
      </w:r>
    </w:p>
    <w:p w14:paraId="3E643E0F" w14:textId="77777777" w:rsidR="008C4F26" w:rsidRPr="003B6A69" w:rsidRDefault="008C4F26" w:rsidP="008C4F26">
      <w:pPr>
        <w:spacing w:after="120" w:line="259" w:lineRule="auto"/>
        <w:rPr>
          <w:rFonts w:asciiTheme="minorHAnsi" w:eastAsiaTheme="minorHAnsi" w:hAnsiTheme="minorHAnsi" w:cstheme="minorHAnsi"/>
          <w:szCs w:val="20"/>
        </w:rPr>
      </w:pPr>
      <w:r w:rsidRPr="003B6A69">
        <w:rPr>
          <w:rFonts w:asciiTheme="minorHAnsi" w:eastAsiaTheme="minorHAnsi" w:hAnsiTheme="minorHAnsi" w:cstheme="minorHAnsi"/>
          <w:szCs w:val="20"/>
        </w:rPr>
        <w:t xml:space="preserve">The scheme’s key strategic objective is to introduce sustainable models to Slovenian tourism, to both tourism service providers and destinations. All objectives of the strategic guidelines. The abbreviation GSST is used for the Green Scheme of Slovenian Tourism. </w:t>
      </w:r>
    </w:p>
    <w:p w14:paraId="26ADA283" w14:textId="77777777" w:rsidR="008C4F26" w:rsidRPr="003B6A69" w:rsidRDefault="008C4F26" w:rsidP="008C4F26">
      <w:pPr>
        <w:shd w:val="clear" w:color="auto" w:fill="FFFFFF"/>
        <w:spacing w:after="120" w:line="259" w:lineRule="auto"/>
        <w:rPr>
          <w:rFonts w:asciiTheme="minorHAnsi" w:eastAsiaTheme="minorHAnsi" w:hAnsiTheme="minorHAnsi" w:cstheme="minorHAnsi"/>
          <w:szCs w:val="20"/>
        </w:rPr>
      </w:pPr>
      <w:r w:rsidRPr="003B6A69">
        <w:rPr>
          <w:rFonts w:asciiTheme="minorHAnsi" w:eastAsiaTheme="minorHAnsi" w:hAnsiTheme="minorHAnsi" w:cstheme="minorHAnsi"/>
          <w:szCs w:val="20"/>
        </w:rPr>
        <w:t xml:space="preserve">It has a Manager (Slovenian Tourist Board) who actively manages and develops the scheme, offers educational support, </w:t>
      </w:r>
      <w:proofErr w:type="gramStart"/>
      <w:r w:rsidRPr="003B6A69">
        <w:rPr>
          <w:rFonts w:asciiTheme="minorHAnsi" w:eastAsiaTheme="minorHAnsi" w:hAnsiTheme="minorHAnsi" w:cstheme="minorHAnsi"/>
          <w:szCs w:val="20"/>
        </w:rPr>
        <w:t>and also</w:t>
      </w:r>
      <w:proofErr w:type="gramEnd"/>
      <w:r w:rsidRPr="003B6A69">
        <w:rPr>
          <w:rFonts w:asciiTheme="minorHAnsi" w:eastAsiaTheme="minorHAnsi" w:hAnsiTheme="minorHAnsi" w:cstheme="minorHAnsi"/>
          <w:szCs w:val="20"/>
        </w:rPr>
        <w:t xml:space="preserve"> establishes promotional channels in the international tourism market for the promotion of SLOVENIA GREEN destinations and service providers. </w:t>
      </w:r>
    </w:p>
    <w:p w14:paraId="6E4045FE" w14:textId="77777777" w:rsidR="008C4F26" w:rsidRPr="003B6A69" w:rsidRDefault="008C4F26" w:rsidP="008C4F26">
      <w:pPr>
        <w:shd w:val="clear" w:color="auto" w:fill="FFFFFF"/>
        <w:spacing w:after="120" w:line="259" w:lineRule="auto"/>
        <w:rPr>
          <w:rFonts w:asciiTheme="minorHAnsi" w:eastAsiaTheme="minorHAnsi" w:hAnsiTheme="minorHAnsi" w:cstheme="minorHAnsi"/>
          <w:szCs w:val="20"/>
        </w:rPr>
      </w:pPr>
      <w:r w:rsidRPr="003B6A69">
        <w:rPr>
          <w:rFonts w:asciiTheme="minorHAnsi" w:eastAsiaTheme="minorHAnsi" w:hAnsiTheme="minorHAnsi" w:cstheme="minorHAnsi"/>
          <w:szCs w:val="20"/>
        </w:rPr>
        <w:t xml:space="preserve">It has an Accredited Partner (Association for Sustainable Tourism </w:t>
      </w:r>
      <w:proofErr w:type="spellStart"/>
      <w:r w:rsidRPr="003B6A69">
        <w:rPr>
          <w:rFonts w:asciiTheme="minorHAnsi" w:eastAsiaTheme="minorHAnsi" w:hAnsiTheme="minorHAnsi" w:cstheme="minorHAnsi"/>
          <w:szCs w:val="20"/>
        </w:rPr>
        <w:t>GoodPlace</w:t>
      </w:r>
      <w:proofErr w:type="spellEnd"/>
      <w:r w:rsidRPr="003B6A69">
        <w:rPr>
          <w:rFonts w:asciiTheme="minorHAnsi" w:eastAsiaTheme="minorHAnsi" w:hAnsiTheme="minorHAnsi" w:cstheme="minorHAnsi"/>
          <w:szCs w:val="20"/>
        </w:rPr>
        <w:t xml:space="preserve">) who has a </w:t>
      </w:r>
      <w:proofErr w:type="spellStart"/>
      <w:r w:rsidRPr="003B6A69">
        <w:rPr>
          <w:rFonts w:asciiTheme="minorHAnsi" w:eastAsiaTheme="minorHAnsi" w:hAnsiTheme="minorHAnsi" w:cstheme="minorHAnsi"/>
          <w:szCs w:val="20"/>
        </w:rPr>
        <w:t>licence</w:t>
      </w:r>
      <w:proofErr w:type="spellEnd"/>
      <w:r w:rsidRPr="003B6A69">
        <w:rPr>
          <w:rFonts w:asciiTheme="minorHAnsi" w:eastAsiaTheme="minorHAnsi" w:hAnsiTheme="minorHAnsi" w:cstheme="minorHAnsi"/>
          <w:szCs w:val="20"/>
        </w:rPr>
        <w:t xml:space="preserve"> to make assessments using the Green Destinations Standard and is a Green Destinations partner. </w:t>
      </w:r>
    </w:p>
    <w:p w14:paraId="32CA0946" w14:textId="77777777" w:rsidR="008C4F26" w:rsidRPr="003B6A69" w:rsidRDefault="008C4F26" w:rsidP="008C4F26">
      <w:pPr>
        <w:spacing w:after="120" w:line="259" w:lineRule="auto"/>
        <w:rPr>
          <w:rFonts w:asciiTheme="minorHAnsi" w:eastAsiaTheme="minorHAnsi" w:hAnsiTheme="minorHAnsi" w:cstheme="minorHAnsi"/>
          <w:szCs w:val="20"/>
        </w:rPr>
      </w:pPr>
      <w:r w:rsidRPr="003B6A69">
        <w:rPr>
          <w:rFonts w:asciiTheme="minorHAnsi" w:eastAsiaTheme="minorHAnsi" w:hAnsiTheme="minorHAnsi" w:cstheme="minorHAnsi"/>
          <w:szCs w:val="20"/>
        </w:rPr>
        <w:t>The 5 characteristics of the CSST are</w:t>
      </w:r>
    </w:p>
    <w:p w14:paraId="0BD2A0C5" w14:textId="77777777" w:rsidR="008C4F26" w:rsidRPr="003B6A69" w:rsidRDefault="008C4F26" w:rsidP="003C6B7B">
      <w:pPr>
        <w:numPr>
          <w:ilvl w:val="0"/>
          <w:numId w:val="36"/>
        </w:numPr>
        <w:shd w:val="clear" w:color="auto" w:fill="FFFFFF"/>
        <w:spacing w:after="0" w:line="259" w:lineRule="auto"/>
        <w:ind w:left="425" w:hanging="357"/>
        <w:jc w:val="left"/>
        <w:rPr>
          <w:rFonts w:asciiTheme="minorHAnsi" w:eastAsiaTheme="minorHAnsi" w:hAnsiTheme="minorHAnsi" w:cstheme="minorHAnsi"/>
          <w:szCs w:val="20"/>
        </w:rPr>
      </w:pPr>
      <w:r w:rsidRPr="003B6A69">
        <w:rPr>
          <w:rFonts w:asciiTheme="minorHAnsi" w:eastAsiaTheme="minorHAnsi" w:hAnsiTheme="minorHAnsi" w:cstheme="minorHAnsi"/>
          <w:szCs w:val="20"/>
        </w:rPr>
        <w:t xml:space="preserve">A comprehensive and developmental approach </w:t>
      </w:r>
    </w:p>
    <w:p w14:paraId="2A6E4CFB" w14:textId="77777777" w:rsidR="008C4F26" w:rsidRPr="003B6A69" w:rsidRDefault="008C4F26" w:rsidP="003C6B7B">
      <w:pPr>
        <w:numPr>
          <w:ilvl w:val="0"/>
          <w:numId w:val="36"/>
        </w:numPr>
        <w:shd w:val="clear" w:color="auto" w:fill="FFFFFF"/>
        <w:spacing w:after="0" w:line="259" w:lineRule="auto"/>
        <w:ind w:left="425" w:hanging="357"/>
        <w:jc w:val="left"/>
        <w:rPr>
          <w:rFonts w:asciiTheme="minorHAnsi" w:eastAsiaTheme="minorHAnsi" w:hAnsiTheme="minorHAnsi" w:cstheme="minorHAnsi"/>
          <w:szCs w:val="20"/>
        </w:rPr>
      </w:pPr>
      <w:r w:rsidRPr="003B6A69">
        <w:rPr>
          <w:rFonts w:asciiTheme="minorHAnsi" w:eastAsiaTheme="minorHAnsi" w:hAnsiTheme="minorHAnsi" w:cstheme="minorHAnsi"/>
          <w:szCs w:val="20"/>
        </w:rPr>
        <w:t xml:space="preserve">Of a national character </w:t>
      </w:r>
    </w:p>
    <w:p w14:paraId="648C017D" w14:textId="77777777" w:rsidR="008C4F26" w:rsidRPr="003B6A69" w:rsidRDefault="008C4F26" w:rsidP="003C6B7B">
      <w:pPr>
        <w:numPr>
          <w:ilvl w:val="0"/>
          <w:numId w:val="36"/>
        </w:numPr>
        <w:shd w:val="clear" w:color="auto" w:fill="FFFFFF"/>
        <w:spacing w:after="0" w:line="259" w:lineRule="auto"/>
        <w:ind w:left="425" w:hanging="357"/>
        <w:jc w:val="left"/>
        <w:rPr>
          <w:rFonts w:asciiTheme="minorHAnsi" w:eastAsiaTheme="minorHAnsi" w:hAnsiTheme="minorHAnsi" w:cstheme="minorHAnsi"/>
          <w:szCs w:val="20"/>
        </w:rPr>
      </w:pPr>
      <w:r w:rsidRPr="003B6A69">
        <w:rPr>
          <w:rFonts w:asciiTheme="minorHAnsi" w:eastAsiaTheme="minorHAnsi" w:hAnsiTheme="minorHAnsi" w:cstheme="minorHAnsi"/>
          <w:szCs w:val="20"/>
        </w:rPr>
        <w:t xml:space="preserve">Internationally comparable </w:t>
      </w:r>
    </w:p>
    <w:p w14:paraId="6A21FD1D" w14:textId="77777777" w:rsidR="008C4F26" w:rsidRPr="003B6A69" w:rsidRDefault="008C4F26" w:rsidP="003C6B7B">
      <w:pPr>
        <w:numPr>
          <w:ilvl w:val="0"/>
          <w:numId w:val="36"/>
        </w:numPr>
        <w:shd w:val="clear" w:color="auto" w:fill="FFFFFF"/>
        <w:spacing w:after="0" w:line="259" w:lineRule="auto"/>
        <w:ind w:left="425" w:hanging="357"/>
        <w:jc w:val="left"/>
        <w:rPr>
          <w:rFonts w:asciiTheme="minorHAnsi" w:eastAsiaTheme="minorHAnsi" w:hAnsiTheme="minorHAnsi" w:cstheme="minorHAnsi"/>
          <w:szCs w:val="20"/>
        </w:rPr>
      </w:pPr>
      <w:r w:rsidRPr="003B6A69">
        <w:rPr>
          <w:rFonts w:asciiTheme="minorHAnsi" w:eastAsiaTheme="minorHAnsi" w:hAnsiTheme="minorHAnsi" w:cstheme="minorHAnsi"/>
          <w:szCs w:val="20"/>
        </w:rPr>
        <w:t xml:space="preserve">Based on global criteria (GDS) </w:t>
      </w:r>
    </w:p>
    <w:p w14:paraId="34F8202C" w14:textId="77777777" w:rsidR="008C4F26" w:rsidRPr="003B6A69" w:rsidRDefault="008C4F26" w:rsidP="003C6B7B">
      <w:pPr>
        <w:numPr>
          <w:ilvl w:val="0"/>
          <w:numId w:val="36"/>
        </w:numPr>
        <w:shd w:val="clear" w:color="auto" w:fill="FFFFFF"/>
        <w:spacing w:after="0" w:line="259" w:lineRule="auto"/>
        <w:ind w:left="425" w:hanging="357"/>
        <w:jc w:val="left"/>
        <w:rPr>
          <w:rFonts w:asciiTheme="minorHAnsi" w:eastAsiaTheme="minorHAnsi" w:hAnsiTheme="minorHAnsi" w:cstheme="minorHAnsi"/>
          <w:szCs w:val="20"/>
        </w:rPr>
      </w:pPr>
      <w:r w:rsidRPr="003B6A69">
        <w:rPr>
          <w:rFonts w:asciiTheme="minorHAnsi" w:eastAsiaTheme="minorHAnsi" w:hAnsiTheme="minorHAnsi" w:cstheme="minorHAnsi"/>
          <w:szCs w:val="20"/>
        </w:rPr>
        <w:t xml:space="preserve">A tool for positioning and promotion </w:t>
      </w:r>
    </w:p>
    <w:p w14:paraId="2DF6FB45" w14:textId="77777777" w:rsidR="008C4F26" w:rsidRPr="003B6A69" w:rsidRDefault="008C4F26" w:rsidP="008C4F26">
      <w:pPr>
        <w:shd w:val="clear" w:color="auto" w:fill="FFFFFF"/>
        <w:spacing w:before="120" w:after="120" w:line="259" w:lineRule="auto"/>
        <w:rPr>
          <w:rFonts w:asciiTheme="minorHAnsi" w:eastAsiaTheme="minorHAnsi" w:hAnsiTheme="minorHAnsi" w:cstheme="minorHAnsi"/>
          <w:szCs w:val="20"/>
        </w:rPr>
      </w:pPr>
      <w:r w:rsidRPr="003B6A69">
        <w:rPr>
          <w:rFonts w:asciiTheme="minorHAnsi" w:eastAsiaTheme="minorHAnsi" w:hAnsiTheme="minorHAnsi" w:cstheme="minorHAnsi"/>
          <w:szCs w:val="20"/>
        </w:rPr>
        <w:lastRenderedPageBreak/>
        <w:t xml:space="preserve">SLOVENIA GREEN is a certification </w:t>
      </w:r>
      <w:proofErr w:type="spellStart"/>
      <w:r w:rsidRPr="003B6A69">
        <w:rPr>
          <w:rFonts w:asciiTheme="minorHAnsi" w:eastAsiaTheme="minorHAnsi" w:hAnsiTheme="minorHAnsi" w:cstheme="minorHAnsi"/>
          <w:szCs w:val="20"/>
        </w:rPr>
        <w:t>programme</w:t>
      </w:r>
      <w:proofErr w:type="spellEnd"/>
      <w:r w:rsidRPr="003B6A69">
        <w:rPr>
          <w:rFonts w:asciiTheme="minorHAnsi" w:eastAsiaTheme="minorHAnsi" w:hAnsiTheme="minorHAnsi" w:cstheme="minorHAnsi"/>
          <w:szCs w:val="20"/>
        </w:rPr>
        <w:t xml:space="preserve"> and mark of quality used to indicate destinations’ compliance with requirements defined by the GSST. The brand can only be used by destinations and service providers who have joined the GSST and fulfil the requirements of obtaining the label. </w:t>
      </w:r>
    </w:p>
    <w:p w14:paraId="2FF886E5" w14:textId="0F823706" w:rsidR="008C4F26" w:rsidRPr="003B6A69" w:rsidRDefault="008C4F26" w:rsidP="000A12EC">
      <w:pPr>
        <w:spacing w:after="120" w:line="259" w:lineRule="auto"/>
        <w:rPr>
          <w:rFonts w:asciiTheme="minorHAnsi" w:eastAsiaTheme="minorHAnsi" w:hAnsiTheme="minorHAnsi" w:cstheme="minorHAnsi"/>
          <w:szCs w:val="20"/>
        </w:rPr>
      </w:pPr>
      <w:r w:rsidRPr="003B6A69">
        <w:rPr>
          <w:rFonts w:asciiTheme="minorHAnsi" w:eastAsiaTheme="minorHAnsi" w:hAnsiTheme="minorHAnsi" w:cstheme="minorHAnsi"/>
          <w:szCs w:val="20"/>
        </w:rPr>
        <w:t xml:space="preserve">The GSST is based on global criteria and is globally recognized and enables international comparison. By endorsing existing certification </w:t>
      </w:r>
      <w:proofErr w:type="spellStart"/>
      <w:r w:rsidRPr="003B6A69">
        <w:rPr>
          <w:rFonts w:asciiTheme="minorHAnsi" w:eastAsiaTheme="minorHAnsi" w:hAnsiTheme="minorHAnsi" w:cstheme="minorHAnsi"/>
          <w:szCs w:val="20"/>
        </w:rPr>
        <w:t>programmes</w:t>
      </w:r>
      <w:proofErr w:type="spellEnd"/>
      <w:r w:rsidRPr="003B6A69">
        <w:rPr>
          <w:rFonts w:asciiTheme="minorHAnsi" w:eastAsiaTheme="minorHAnsi" w:hAnsiTheme="minorHAnsi" w:cstheme="minorHAnsi"/>
          <w:szCs w:val="20"/>
        </w:rPr>
        <w:t xml:space="preserve"> (</w:t>
      </w:r>
      <w:proofErr w:type="spellStart"/>
      <w:r w:rsidR="00D50CE6">
        <w:fldChar w:fldCharType="begin"/>
      </w:r>
      <w:r w:rsidR="00D50CE6">
        <w:instrText xml:space="preserve"> HYPERLINK "https://sustainability-leaders.com/tag/travelife-interviews/" \t "_blank" </w:instrText>
      </w:r>
      <w:r w:rsidR="00D50CE6">
        <w:fldChar w:fldCharType="separate"/>
      </w:r>
      <w:r w:rsidRPr="003B6A69">
        <w:rPr>
          <w:rFonts w:asciiTheme="minorHAnsi" w:eastAsiaTheme="minorHAnsi" w:hAnsiTheme="minorHAnsi" w:cstheme="minorHAnsi"/>
          <w:szCs w:val="20"/>
        </w:rPr>
        <w:t>Travelife</w:t>
      </w:r>
      <w:proofErr w:type="spellEnd"/>
      <w:r w:rsidR="00D50CE6">
        <w:rPr>
          <w:rFonts w:asciiTheme="minorHAnsi" w:eastAsiaTheme="minorHAnsi" w:hAnsiTheme="minorHAnsi" w:cstheme="minorHAnsi"/>
          <w:szCs w:val="20"/>
        </w:rPr>
        <w:fldChar w:fldCharType="end"/>
      </w:r>
      <w:r w:rsidRPr="003B6A69">
        <w:rPr>
          <w:rFonts w:asciiTheme="minorHAnsi" w:eastAsiaTheme="minorHAnsi" w:hAnsiTheme="minorHAnsi" w:cstheme="minorHAnsi"/>
          <w:szCs w:val="20"/>
        </w:rPr>
        <w:t>, Green Globe, </w:t>
      </w:r>
      <w:hyperlink r:id="rId41" w:tgtFrame="_blank" w:history="1">
        <w:r w:rsidRPr="003B6A69">
          <w:rPr>
            <w:rFonts w:asciiTheme="minorHAnsi" w:eastAsiaTheme="minorHAnsi" w:hAnsiTheme="minorHAnsi" w:cstheme="minorHAnsi"/>
            <w:szCs w:val="20"/>
          </w:rPr>
          <w:t>Green Key</w:t>
        </w:r>
      </w:hyperlink>
      <w:r w:rsidRPr="003B6A69">
        <w:rPr>
          <w:rFonts w:asciiTheme="minorHAnsi" w:eastAsiaTheme="minorHAnsi" w:hAnsiTheme="minorHAnsi" w:cstheme="minorHAnsi"/>
          <w:szCs w:val="20"/>
        </w:rPr>
        <w:t>, EU Eco Label, </w:t>
      </w:r>
      <w:hyperlink r:id="rId42" w:tgtFrame="_blank" w:history="1">
        <w:r w:rsidRPr="003B6A69">
          <w:rPr>
            <w:rFonts w:asciiTheme="minorHAnsi" w:eastAsiaTheme="minorHAnsi" w:hAnsiTheme="minorHAnsi" w:cstheme="minorHAnsi"/>
            <w:szCs w:val="20"/>
          </w:rPr>
          <w:t>Bio Hotels</w:t>
        </w:r>
      </w:hyperlink>
      <w:r w:rsidRPr="003B6A69">
        <w:rPr>
          <w:rFonts w:asciiTheme="minorHAnsi" w:eastAsiaTheme="minorHAnsi" w:hAnsiTheme="minorHAnsi" w:cstheme="minorHAnsi"/>
          <w:szCs w:val="20"/>
        </w:rPr>
        <w:t> and EMAS), tourism businesses are free to choose the label that suits them best, content-wise and financially. On top of the international label they also get the </w:t>
      </w:r>
      <w:hyperlink r:id="rId43" w:tgtFrame="_blank" w:history="1">
        <w:r w:rsidRPr="003B6A69">
          <w:rPr>
            <w:rFonts w:asciiTheme="minorHAnsi" w:eastAsiaTheme="minorHAnsi" w:hAnsiTheme="minorHAnsi" w:cstheme="minorHAnsi"/>
            <w:szCs w:val="20"/>
          </w:rPr>
          <w:t>Slovenia Green</w:t>
        </w:r>
      </w:hyperlink>
      <w:r w:rsidR="000A12EC" w:rsidRPr="003B6A69">
        <w:rPr>
          <w:rFonts w:asciiTheme="minorHAnsi" w:eastAsiaTheme="minorHAnsi" w:hAnsiTheme="minorHAnsi" w:cstheme="minorHAnsi"/>
          <w:szCs w:val="20"/>
        </w:rPr>
        <w:t> </w:t>
      </w:r>
      <w:proofErr w:type="spellStart"/>
      <w:r w:rsidR="000A12EC" w:rsidRPr="003B6A69">
        <w:rPr>
          <w:rFonts w:asciiTheme="minorHAnsi" w:eastAsiaTheme="minorHAnsi" w:hAnsiTheme="minorHAnsi" w:cstheme="minorHAnsi"/>
          <w:szCs w:val="20"/>
        </w:rPr>
        <w:t>certificate.</w:t>
      </w:r>
      <w:r w:rsidRPr="003B6A69">
        <w:rPr>
          <w:rFonts w:asciiTheme="minorHAnsi" w:eastAsiaTheme="minorHAnsi" w:hAnsiTheme="minorHAnsi" w:cstheme="minorHAnsi"/>
          <w:szCs w:val="20"/>
        </w:rPr>
        <w:t>The</w:t>
      </w:r>
      <w:proofErr w:type="spellEnd"/>
      <w:r w:rsidRPr="003B6A69">
        <w:rPr>
          <w:rFonts w:asciiTheme="minorHAnsi" w:eastAsiaTheme="minorHAnsi" w:hAnsiTheme="minorHAnsi" w:cstheme="minorHAnsi"/>
          <w:szCs w:val="20"/>
        </w:rPr>
        <w:t xml:space="preserve"> cost of joining and membership in GSST, the sustainability assessment, and obtaining the Slovenia Green label for service providers is €150 + VAT. This is a lump sum that the service provider pays upon joining. </w:t>
      </w:r>
    </w:p>
    <w:p w14:paraId="6C5BBEA7" w14:textId="77777777" w:rsidR="008C4F26" w:rsidRPr="003B6A69" w:rsidRDefault="008C4F26" w:rsidP="008C4F26">
      <w:pPr>
        <w:spacing w:after="120" w:line="259" w:lineRule="auto"/>
        <w:rPr>
          <w:rFonts w:asciiTheme="minorHAnsi" w:eastAsiaTheme="minorHAnsi" w:hAnsiTheme="minorHAnsi" w:cstheme="minorHAnsi"/>
          <w:szCs w:val="20"/>
        </w:rPr>
      </w:pPr>
      <w:r w:rsidRPr="003B6A69">
        <w:rPr>
          <w:rFonts w:asciiTheme="minorHAnsi" w:eastAsiaTheme="minorHAnsi" w:hAnsiTheme="minorHAnsi" w:cstheme="minorHAnsi"/>
          <w:szCs w:val="20"/>
        </w:rPr>
        <w:t xml:space="preserve">The cost of joining and membership in GSST, the sustainability assessment, and obtaining the SLOVENIA GREEN label for destinations is €1,220 + VAT. The cost for cost for destinations the first and second year after joining the GSST is €200 + VAT. The destinations in the third year after joining the GSST and subsequently every three years after that (for re-assessment, grade renewal) is €920 + VAT. </w:t>
      </w:r>
    </w:p>
    <w:p w14:paraId="16AE071B" w14:textId="77777777" w:rsidR="008C4F26" w:rsidRPr="003B6A69" w:rsidRDefault="008C4F26" w:rsidP="008C4F26">
      <w:pPr>
        <w:spacing w:after="120" w:line="259" w:lineRule="auto"/>
        <w:rPr>
          <w:rFonts w:asciiTheme="minorHAnsi" w:eastAsiaTheme="minorHAnsi" w:hAnsiTheme="minorHAnsi" w:cstheme="minorHAnsi"/>
          <w:szCs w:val="20"/>
        </w:rPr>
      </w:pPr>
      <w:r w:rsidRPr="003B6A69">
        <w:rPr>
          <w:rFonts w:asciiTheme="minorHAnsi" w:eastAsiaTheme="minorHAnsi" w:hAnsiTheme="minorHAnsi" w:cstheme="minorHAnsi"/>
          <w:b/>
          <w:bCs/>
          <w:szCs w:val="20"/>
        </w:rPr>
        <w:t xml:space="preserve">In conclusion </w:t>
      </w:r>
      <w:r w:rsidRPr="003B6A69">
        <w:rPr>
          <w:rFonts w:asciiTheme="minorHAnsi" w:eastAsiaTheme="minorHAnsi" w:hAnsiTheme="minorHAnsi" w:cstheme="minorHAnsi"/>
          <w:szCs w:val="20"/>
        </w:rPr>
        <w:t xml:space="preserve">Croatian certification scheme has been mainly financed through EU projects and co-financing from their Ministry. Slovenian model rests on additional value that obtaining a certificate has for a hotel, </w:t>
      </w:r>
      <w:proofErr w:type="gramStart"/>
      <w:r w:rsidRPr="003B6A69">
        <w:rPr>
          <w:rFonts w:asciiTheme="minorHAnsi" w:eastAsiaTheme="minorHAnsi" w:hAnsiTheme="minorHAnsi" w:cstheme="minorHAnsi"/>
          <w:szCs w:val="20"/>
        </w:rPr>
        <w:t>destination</w:t>
      </w:r>
      <w:proofErr w:type="gramEnd"/>
      <w:r w:rsidRPr="003B6A69">
        <w:rPr>
          <w:rFonts w:asciiTheme="minorHAnsi" w:eastAsiaTheme="minorHAnsi" w:hAnsiTheme="minorHAnsi" w:cstheme="minorHAnsi"/>
          <w:szCs w:val="20"/>
        </w:rPr>
        <w:t xml:space="preserve"> or tour operator through numerous activities they do for their promotion within its borders but also internationally. Serbia is not so tourism driven country, and the information for their voluntary certification was found only on the websites of certification labels, but not within any official document of Republic of Serbia. </w:t>
      </w:r>
    </w:p>
    <w:p w14:paraId="2D5342CB" w14:textId="77777777" w:rsidR="008C4F26" w:rsidRPr="003B6A69" w:rsidRDefault="008C4F26" w:rsidP="008C4F26">
      <w:pPr>
        <w:spacing w:after="120" w:line="259" w:lineRule="auto"/>
        <w:rPr>
          <w:rFonts w:asciiTheme="minorHAnsi" w:eastAsiaTheme="minorHAnsi" w:hAnsiTheme="minorHAnsi" w:cstheme="minorHAnsi"/>
          <w:szCs w:val="20"/>
        </w:rPr>
      </w:pPr>
      <w:r w:rsidRPr="003B6A69">
        <w:rPr>
          <w:rFonts w:asciiTheme="minorHAnsi" w:eastAsiaTheme="minorHAnsi" w:hAnsiTheme="minorHAnsi" w:cstheme="minorHAnsi"/>
          <w:szCs w:val="20"/>
        </w:rPr>
        <w:t>From the two described experiences there are two possible roads when voluntary certification is in question:</w:t>
      </w:r>
    </w:p>
    <w:p w14:paraId="6E36311F" w14:textId="77777777" w:rsidR="008C4F26" w:rsidRPr="003B6A69" w:rsidRDefault="008C4F26" w:rsidP="003C6B7B">
      <w:pPr>
        <w:numPr>
          <w:ilvl w:val="0"/>
          <w:numId w:val="38"/>
        </w:numPr>
        <w:shd w:val="clear" w:color="auto" w:fill="FFFFFF"/>
        <w:spacing w:after="120" w:line="259" w:lineRule="auto"/>
        <w:ind w:left="426"/>
        <w:contextualSpacing/>
        <w:jc w:val="left"/>
        <w:rPr>
          <w:rFonts w:asciiTheme="minorHAnsi" w:eastAsiaTheme="minorHAnsi" w:hAnsiTheme="minorHAnsi" w:cstheme="minorHAnsi"/>
          <w:szCs w:val="20"/>
        </w:rPr>
      </w:pPr>
      <w:r w:rsidRPr="003B6A69">
        <w:rPr>
          <w:rFonts w:asciiTheme="minorHAnsi" w:eastAsiaTheme="minorHAnsi" w:hAnsiTheme="minorHAnsi" w:cstheme="minorHAnsi"/>
          <w:szCs w:val="20"/>
        </w:rPr>
        <w:t xml:space="preserve">through Regional Association which is based on the ideal and is a non-profit, financed from project to project, and based on Croatian model, which is less visible internationally but has domestic incentives. </w:t>
      </w:r>
    </w:p>
    <w:p w14:paraId="30076820" w14:textId="77777777" w:rsidR="008C4F26" w:rsidRPr="003B6A69" w:rsidRDefault="008C4F26" w:rsidP="003C6B7B">
      <w:pPr>
        <w:numPr>
          <w:ilvl w:val="0"/>
          <w:numId w:val="38"/>
        </w:numPr>
        <w:shd w:val="clear" w:color="auto" w:fill="FFFFFF"/>
        <w:spacing w:after="120" w:line="259" w:lineRule="auto"/>
        <w:ind w:left="426"/>
        <w:contextualSpacing/>
        <w:jc w:val="left"/>
        <w:rPr>
          <w:rFonts w:asciiTheme="minorHAnsi" w:eastAsiaTheme="minorHAnsi" w:hAnsiTheme="minorHAnsi" w:cstheme="minorHAnsi"/>
          <w:szCs w:val="20"/>
        </w:rPr>
      </w:pPr>
      <w:r w:rsidRPr="003B6A69">
        <w:rPr>
          <w:rFonts w:asciiTheme="minorHAnsi" w:eastAsiaTheme="minorHAnsi" w:hAnsiTheme="minorHAnsi" w:cstheme="minorHAnsi"/>
          <w:szCs w:val="20"/>
        </w:rPr>
        <w:t xml:space="preserve">through Regional Marketing Company which is profit oriented and works as Slovenian model. </w:t>
      </w:r>
    </w:p>
    <w:p w14:paraId="1185994E" w14:textId="77777777" w:rsidR="000A12EC" w:rsidRPr="003B6A69" w:rsidRDefault="000A12EC" w:rsidP="000A12EC">
      <w:pPr>
        <w:shd w:val="clear" w:color="auto" w:fill="FFFFFF"/>
        <w:spacing w:after="120" w:line="259" w:lineRule="auto"/>
        <w:jc w:val="left"/>
        <w:rPr>
          <w:rFonts w:asciiTheme="minorHAnsi" w:eastAsiaTheme="minorHAnsi" w:hAnsiTheme="minorHAnsi" w:cstheme="minorHAnsi"/>
          <w:szCs w:val="20"/>
        </w:rPr>
      </w:pPr>
    </w:p>
    <w:p w14:paraId="273262D3" w14:textId="77777777" w:rsidR="008C4F26" w:rsidRPr="003B6A69" w:rsidRDefault="008C4F26" w:rsidP="000A12EC">
      <w:pPr>
        <w:shd w:val="clear" w:color="auto" w:fill="FFFFFF"/>
        <w:spacing w:after="120" w:line="259" w:lineRule="auto"/>
        <w:jc w:val="left"/>
        <w:rPr>
          <w:rFonts w:asciiTheme="minorHAnsi" w:eastAsiaTheme="minorHAnsi" w:hAnsiTheme="minorHAnsi" w:cstheme="minorHAnsi"/>
          <w:szCs w:val="20"/>
        </w:rPr>
      </w:pPr>
      <w:r w:rsidRPr="003B6A69">
        <w:rPr>
          <w:rFonts w:asciiTheme="minorHAnsi" w:eastAsiaTheme="minorHAnsi" w:hAnsiTheme="minorHAnsi" w:cstheme="minorHAnsi"/>
          <w:szCs w:val="20"/>
        </w:rPr>
        <w:t>Financing and Incentives can come through:</w:t>
      </w:r>
    </w:p>
    <w:p w14:paraId="53061244" w14:textId="77777777" w:rsidR="008C4F26" w:rsidRPr="003B6A69" w:rsidRDefault="008C4F26" w:rsidP="003C6B7B">
      <w:pPr>
        <w:numPr>
          <w:ilvl w:val="0"/>
          <w:numId w:val="37"/>
        </w:numPr>
        <w:shd w:val="clear" w:color="auto" w:fill="FFFFFF"/>
        <w:spacing w:after="0" w:line="259" w:lineRule="auto"/>
        <w:ind w:left="425" w:hanging="357"/>
        <w:jc w:val="left"/>
        <w:rPr>
          <w:rFonts w:asciiTheme="minorHAnsi" w:eastAsiaTheme="minorHAnsi" w:hAnsiTheme="minorHAnsi" w:cstheme="minorHAnsi"/>
          <w:szCs w:val="20"/>
        </w:rPr>
      </w:pPr>
      <w:r w:rsidRPr="003B6A69">
        <w:rPr>
          <w:rFonts w:asciiTheme="minorHAnsi" w:eastAsiaTheme="minorHAnsi" w:hAnsiTheme="minorHAnsi" w:cstheme="minorHAnsi"/>
          <w:szCs w:val="20"/>
        </w:rPr>
        <w:t>Partner fees (</w:t>
      </w:r>
      <w:proofErr w:type="gramStart"/>
      <w:r w:rsidRPr="003B6A69">
        <w:rPr>
          <w:rFonts w:asciiTheme="minorHAnsi" w:eastAsiaTheme="minorHAnsi" w:hAnsiTheme="minorHAnsi" w:cstheme="minorHAnsi"/>
          <w:szCs w:val="20"/>
        </w:rPr>
        <w:t>i.e.</w:t>
      </w:r>
      <w:proofErr w:type="gramEnd"/>
      <w:r w:rsidRPr="003B6A69">
        <w:rPr>
          <w:rFonts w:asciiTheme="minorHAnsi" w:eastAsiaTheme="minorHAnsi" w:hAnsiTheme="minorHAnsi" w:cstheme="minorHAnsi"/>
          <w:szCs w:val="20"/>
        </w:rPr>
        <w:t xml:space="preserve"> from municipalities, companies, associations). </w:t>
      </w:r>
    </w:p>
    <w:p w14:paraId="2AF79DD6" w14:textId="77777777" w:rsidR="008C4F26" w:rsidRPr="003B6A69" w:rsidRDefault="008C4F26" w:rsidP="003C6B7B">
      <w:pPr>
        <w:numPr>
          <w:ilvl w:val="0"/>
          <w:numId w:val="37"/>
        </w:numPr>
        <w:shd w:val="clear" w:color="auto" w:fill="FFFFFF"/>
        <w:spacing w:after="0" w:line="259" w:lineRule="auto"/>
        <w:ind w:left="425" w:hanging="357"/>
        <w:jc w:val="left"/>
        <w:rPr>
          <w:rFonts w:asciiTheme="minorHAnsi" w:eastAsiaTheme="minorHAnsi" w:hAnsiTheme="minorHAnsi" w:cstheme="minorHAnsi"/>
          <w:szCs w:val="20"/>
        </w:rPr>
      </w:pPr>
      <w:r w:rsidRPr="003B6A69">
        <w:rPr>
          <w:rFonts w:asciiTheme="minorHAnsi" w:eastAsiaTheme="minorHAnsi" w:hAnsiTheme="minorHAnsi" w:cstheme="minorHAnsi"/>
          <w:szCs w:val="20"/>
        </w:rPr>
        <w:t>Sponsoring (</w:t>
      </w:r>
      <w:proofErr w:type="gramStart"/>
      <w:r w:rsidRPr="003B6A69">
        <w:rPr>
          <w:rFonts w:asciiTheme="minorHAnsi" w:eastAsiaTheme="minorHAnsi" w:hAnsiTheme="minorHAnsi" w:cstheme="minorHAnsi"/>
          <w:szCs w:val="20"/>
        </w:rPr>
        <w:t>i.e.</w:t>
      </w:r>
      <w:proofErr w:type="gramEnd"/>
      <w:r w:rsidRPr="003B6A69">
        <w:rPr>
          <w:rFonts w:asciiTheme="minorHAnsi" w:eastAsiaTheme="minorHAnsi" w:hAnsiTheme="minorHAnsi" w:cstheme="minorHAnsi"/>
          <w:szCs w:val="20"/>
        </w:rPr>
        <w:t xml:space="preserve"> from banks, local companies, citizens, associations). </w:t>
      </w:r>
    </w:p>
    <w:p w14:paraId="786EDA21" w14:textId="77777777" w:rsidR="008C4F26" w:rsidRPr="003B6A69" w:rsidRDefault="008C4F26" w:rsidP="003C6B7B">
      <w:pPr>
        <w:numPr>
          <w:ilvl w:val="0"/>
          <w:numId w:val="37"/>
        </w:numPr>
        <w:shd w:val="clear" w:color="auto" w:fill="FFFFFF"/>
        <w:spacing w:after="0" w:line="259" w:lineRule="auto"/>
        <w:ind w:left="425" w:hanging="357"/>
        <w:jc w:val="left"/>
        <w:rPr>
          <w:rFonts w:asciiTheme="minorHAnsi" w:eastAsiaTheme="minorHAnsi" w:hAnsiTheme="minorHAnsi" w:cstheme="minorHAnsi"/>
          <w:szCs w:val="20"/>
        </w:rPr>
      </w:pPr>
      <w:r w:rsidRPr="003B6A69">
        <w:rPr>
          <w:rFonts w:asciiTheme="minorHAnsi" w:eastAsiaTheme="minorHAnsi" w:hAnsiTheme="minorHAnsi" w:cstheme="minorHAnsi"/>
          <w:szCs w:val="20"/>
        </w:rPr>
        <w:t>Funding (</w:t>
      </w:r>
      <w:proofErr w:type="gramStart"/>
      <w:r w:rsidRPr="003B6A69">
        <w:rPr>
          <w:rFonts w:asciiTheme="minorHAnsi" w:eastAsiaTheme="minorHAnsi" w:hAnsiTheme="minorHAnsi" w:cstheme="minorHAnsi"/>
          <w:szCs w:val="20"/>
        </w:rPr>
        <w:t>i.e.</w:t>
      </w:r>
      <w:proofErr w:type="gramEnd"/>
      <w:r w:rsidRPr="003B6A69">
        <w:rPr>
          <w:rFonts w:asciiTheme="minorHAnsi" w:eastAsiaTheme="minorHAnsi" w:hAnsiTheme="minorHAnsi" w:cstheme="minorHAnsi"/>
          <w:szCs w:val="20"/>
        </w:rPr>
        <w:t xml:space="preserve"> from EU (LEADER, ESF, EFRE, ELER), national governments). </w:t>
      </w:r>
    </w:p>
    <w:p w14:paraId="4FB31774" w14:textId="77777777" w:rsidR="008C4F26" w:rsidRPr="003B6A69" w:rsidRDefault="008C4F26" w:rsidP="003C6B7B">
      <w:pPr>
        <w:numPr>
          <w:ilvl w:val="0"/>
          <w:numId w:val="37"/>
        </w:numPr>
        <w:shd w:val="clear" w:color="auto" w:fill="FFFFFF"/>
        <w:spacing w:after="0" w:line="259" w:lineRule="auto"/>
        <w:ind w:left="425" w:hanging="357"/>
        <w:jc w:val="left"/>
        <w:rPr>
          <w:rFonts w:asciiTheme="minorHAnsi" w:eastAsiaTheme="minorHAnsi" w:hAnsiTheme="minorHAnsi" w:cstheme="minorHAnsi"/>
          <w:szCs w:val="20"/>
        </w:rPr>
      </w:pPr>
      <w:r w:rsidRPr="003B6A69">
        <w:rPr>
          <w:rFonts w:asciiTheme="minorHAnsi" w:eastAsiaTheme="minorHAnsi" w:hAnsiTheme="minorHAnsi" w:cstheme="minorHAnsi"/>
          <w:szCs w:val="20"/>
        </w:rPr>
        <w:t xml:space="preserve">Fund (clients, also to create customer-interest and loyalty). </w:t>
      </w:r>
    </w:p>
    <w:p w14:paraId="24979389" w14:textId="77777777" w:rsidR="008C4F26" w:rsidRPr="003B6A69" w:rsidRDefault="008C4F26" w:rsidP="003C6B7B">
      <w:pPr>
        <w:numPr>
          <w:ilvl w:val="0"/>
          <w:numId w:val="37"/>
        </w:numPr>
        <w:shd w:val="clear" w:color="auto" w:fill="FFFFFF"/>
        <w:spacing w:after="0" w:line="259" w:lineRule="auto"/>
        <w:ind w:left="425" w:hanging="357"/>
        <w:jc w:val="left"/>
        <w:rPr>
          <w:rFonts w:asciiTheme="minorHAnsi" w:eastAsiaTheme="minorHAnsi" w:hAnsiTheme="minorHAnsi" w:cstheme="minorHAnsi"/>
          <w:szCs w:val="20"/>
        </w:rPr>
      </w:pPr>
      <w:r w:rsidRPr="003B6A69">
        <w:rPr>
          <w:rFonts w:asciiTheme="minorHAnsi" w:eastAsiaTheme="minorHAnsi" w:hAnsiTheme="minorHAnsi" w:cstheme="minorHAnsi"/>
          <w:szCs w:val="20"/>
        </w:rPr>
        <w:t xml:space="preserve">Membership fees of producers and processors. </w:t>
      </w:r>
    </w:p>
    <w:p w14:paraId="6603B2CD" w14:textId="77777777" w:rsidR="008C4F26" w:rsidRPr="003B6A69" w:rsidRDefault="008C4F26" w:rsidP="003C6B7B">
      <w:pPr>
        <w:numPr>
          <w:ilvl w:val="0"/>
          <w:numId w:val="37"/>
        </w:numPr>
        <w:shd w:val="clear" w:color="auto" w:fill="FFFFFF"/>
        <w:spacing w:after="0" w:line="259" w:lineRule="auto"/>
        <w:ind w:left="425" w:hanging="357"/>
        <w:jc w:val="left"/>
        <w:rPr>
          <w:rFonts w:asciiTheme="minorHAnsi" w:eastAsiaTheme="minorHAnsi" w:hAnsiTheme="minorHAnsi" w:cstheme="minorHAnsi"/>
          <w:szCs w:val="20"/>
        </w:rPr>
      </w:pPr>
      <w:r w:rsidRPr="003B6A69">
        <w:rPr>
          <w:rFonts w:asciiTheme="minorHAnsi" w:eastAsiaTheme="minorHAnsi" w:hAnsiTheme="minorHAnsi" w:cstheme="minorHAnsi"/>
          <w:szCs w:val="20"/>
        </w:rPr>
        <w:t xml:space="preserve">User fees for logos (could be included in membership fees). </w:t>
      </w:r>
    </w:p>
    <w:p w14:paraId="36EF5FFA" w14:textId="77777777" w:rsidR="008C4F26" w:rsidRPr="003B6A69" w:rsidRDefault="008C4F26" w:rsidP="003C6B7B">
      <w:pPr>
        <w:numPr>
          <w:ilvl w:val="0"/>
          <w:numId w:val="37"/>
        </w:numPr>
        <w:shd w:val="clear" w:color="auto" w:fill="FFFFFF"/>
        <w:spacing w:after="0" w:line="259" w:lineRule="auto"/>
        <w:ind w:left="425" w:hanging="357"/>
        <w:jc w:val="left"/>
        <w:rPr>
          <w:rFonts w:asciiTheme="minorHAnsi" w:eastAsiaTheme="minorHAnsi" w:hAnsiTheme="minorHAnsi" w:cstheme="minorHAnsi"/>
          <w:szCs w:val="20"/>
        </w:rPr>
      </w:pPr>
      <w:r w:rsidRPr="003B6A69">
        <w:rPr>
          <w:rFonts w:asciiTheme="minorHAnsi" w:eastAsiaTheme="minorHAnsi" w:hAnsiTheme="minorHAnsi" w:cstheme="minorHAnsi"/>
          <w:szCs w:val="20"/>
        </w:rPr>
        <w:t xml:space="preserve">Marketing fees (could be included in membership fees). </w:t>
      </w:r>
    </w:p>
    <w:p w14:paraId="1841DD2E" w14:textId="77777777" w:rsidR="008C4F26" w:rsidRPr="003B6A69" w:rsidRDefault="008C4F26" w:rsidP="003C6B7B">
      <w:pPr>
        <w:numPr>
          <w:ilvl w:val="0"/>
          <w:numId w:val="37"/>
        </w:numPr>
        <w:shd w:val="clear" w:color="auto" w:fill="FFFFFF"/>
        <w:spacing w:after="0" w:line="259" w:lineRule="auto"/>
        <w:ind w:left="425" w:hanging="357"/>
        <w:jc w:val="left"/>
        <w:rPr>
          <w:rFonts w:asciiTheme="minorHAnsi" w:eastAsiaTheme="minorHAnsi" w:hAnsiTheme="minorHAnsi" w:cstheme="minorHAnsi"/>
          <w:szCs w:val="20"/>
        </w:rPr>
      </w:pPr>
      <w:r w:rsidRPr="003B6A69">
        <w:rPr>
          <w:rFonts w:asciiTheme="minorHAnsi" w:eastAsiaTheme="minorHAnsi" w:hAnsiTheme="minorHAnsi" w:cstheme="minorHAnsi"/>
          <w:szCs w:val="20"/>
        </w:rPr>
        <w:t xml:space="preserve">Fees for quality control (could be included in membership fees). </w:t>
      </w:r>
    </w:p>
    <w:p w14:paraId="31CEDBA5" w14:textId="77777777" w:rsidR="008C4F26" w:rsidRPr="003B6A69" w:rsidRDefault="008C4F26" w:rsidP="003C6B7B">
      <w:pPr>
        <w:numPr>
          <w:ilvl w:val="0"/>
          <w:numId w:val="37"/>
        </w:numPr>
        <w:shd w:val="clear" w:color="auto" w:fill="FFFFFF"/>
        <w:spacing w:after="0" w:line="259" w:lineRule="auto"/>
        <w:ind w:left="425" w:hanging="357"/>
        <w:jc w:val="left"/>
        <w:rPr>
          <w:rFonts w:asciiTheme="minorHAnsi" w:eastAsiaTheme="minorHAnsi" w:hAnsiTheme="minorHAnsi" w:cstheme="minorHAnsi"/>
          <w:szCs w:val="20"/>
        </w:rPr>
      </w:pPr>
      <w:r w:rsidRPr="003B6A69">
        <w:rPr>
          <w:rFonts w:asciiTheme="minorHAnsi" w:eastAsiaTheme="minorHAnsi" w:hAnsiTheme="minorHAnsi" w:cstheme="minorHAnsi"/>
          <w:szCs w:val="20"/>
        </w:rPr>
        <w:t xml:space="preserve">Fees depending on the amount of turnover. </w:t>
      </w:r>
    </w:p>
    <w:p w14:paraId="67CD09AD" w14:textId="77777777" w:rsidR="008C4F26" w:rsidRPr="003B6A69" w:rsidRDefault="008C4F26" w:rsidP="003C6B7B">
      <w:pPr>
        <w:numPr>
          <w:ilvl w:val="0"/>
          <w:numId w:val="37"/>
        </w:numPr>
        <w:shd w:val="clear" w:color="auto" w:fill="FFFFFF"/>
        <w:spacing w:after="0" w:line="259" w:lineRule="auto"/>
        <w:ind w:left="425" w:hanging="357"/>
        <w:jc w:val="left"/>
        <w:rPr>
          <w:rFonts w:asciiTheme="minorHAnsi" w:eastAsiaTheme="minorHAnsi" w:hAnsiTheme="minorHAnsi" w:cstheme="minorHAnsi"/>
          <w:szCs w:val="20"/>
        </w:rPr>
      </w:pPr>
      <w:r w:rsidRPr="003B6A69">
        <w:rPr>
          <w:rFonts w:asciiTheme="minorHAnsi" w:eastAsiaTheme="minorHAnsi" w:hAnsiTheme="minorHAnsi" w:cstheme="minorHAnsi"/>
          <w:szCs w:val="20"/>
        </w:rPr>
        <w:t xml:space="preserve">Trade margin from trading the products of producers and processors to clients. </w:t>
      </w:r>
    </w:p>
    <w:p w14:paraId="3FF92FA7" w14:textId="77777777" w:rsidR="008C4F26" w:rsidRPr="003B6A69" w:rsidRDefault="008C4F26" w:rsidP="008C4F26">
      <w:pPr>
        <w:spacing w:after="160" w:line="259" w:lineRule="auto"/>
        <w:jc w:val="left"/>
        <w:rPr>
          <w:rFonts w:asciiTheme="minorHAnsi" w:eastAsiaTheme="minorHAnsi" w:hAnsiTheme="minorHAnsi" w:cstheme="minorBidi"/>
          <w:b/>
          <w:szCs w:val="20"/>
        </w:rPr>
      </w:pPr>
    </w:p>
    <w:p w14:paraId="55A5F288" w14:textId="77777777" w:rsidR="008C4F26" w:rsidRPr="003B6A69" w:rsidRDefault="008C4F26" w:rsidP="008C4F26">
      <w:pPr>
        <w:spacing w:after="160" w:line="259" w:lineRule="auto"/>
        <w:jc w:val="left"/>
        <w:rPr>
          <w:rFonts w:asciiTheme="minorHAnsi" w:eastAsiaTheme="minorHAnsi" w:hAnsiTheme="minorHAnsi" w:cstheme="minorBidi"/>
          <w:b/>
          <w:szCs w:val="20"/>
        </w:rPr>
      </w:pPr>
      <w:r w:rsidRPr="003B6A69">
        <w:rPr>
          <w:rFonts w:asciiTheme="minorHAnsi" w:eastAsiaTheme="minorHAnsi" w:hAnsiTheme="minorHAnsi" w:cstheme="minorBidi"/>
          <w:b/>
          <w:szCs w:val="20"/>
        </w:rPr>
        <w:t>Montenegro: eco-certification baseline</w:t>
      </w:r>
    </w:p>
    <w:p w14:paraId="5A563594" w14:textId="77777777" w:rsidR="008C4F26" w:rsidRPr="003B6A69" w:rsidRDefault="008C4F26" w:rsidP="008C4F26">
      <w:pPr>
        <w:spacing w:after="120" w:line="259" w:lineRule="auto"/>
        <w:rPr>
          <w:rFonts w:asciiTheme="minorHAnsi" w:eastAsiaTheme="minorHAnsi" w:hAnsiTheme="minorHAnsi" w:cstheme="minorHAnsi"/>
          <w:szCs w:val="20"/>
        </w:rPr>
      </w:pPr>
      <w:r w:rsidRPr="003B6A69">
        <w:rPr>
          <w:rFonts w:asciiTheme="minorHAnsi" w:eastAsiaTheme="minorHAnsi" w:hAnsiTheme="minorHAnsi" w:cstheme="minorHAnsi"/>
          <w:szCs w:val="20"/>
        </w:rPr>
        <w:t xml:space="preserve">During the summer of 2015, as a part of UNDP project “Towards Carbon Neutral Tourism in Montenegro”, a field survey was conducted to estimate the level of low-carbon tourism development, its current level, and potentials for further development. The survey involved three target groups: (1) relevant central and local authorities </w:t>
      </w:r>
      <w:proofErr w:type="gramStart"/>
      <w:r w:rsidRPr="003B6A69">
        <w:rPr>
          <w:rFonts w:asciiTheme="minorHAnsi" w:eastAsiaTheme="minorHAnsi" w:hAnsiTheme="minorHAnsi" w:cstheme="minorHAnsi"/>
          <w:szCs w:val="20"/>
        </w:rPr>
        <w:t>in the area of</w:t>
      </w:r>
      <w:proofErr w:type="gramEnd"/>
      <w:r w:rsidRPr="003B6A69">
        <w:rPr>
          <w:rFonts w:asciiTheme="minorHAnsi" w:eastAsiaTheme="minorHAnsi" w:hAnsiTheme="minorHAnsi" w:cstheme="minorHAnsi"/>
          <w:szCs w:val="20"/>
        </w:rPr>
        <w:t xml:space="preserve"> tourism and environmental protection; (2) travel and tourism sector businesses; and (3) visiting tourists. With the awareness of relevant public institutions for the need of eco-labeling schemes, together with the results of the survey, there arose an intention to </w:t>
      </w:r>
      <w:proofErr w:type="gramStart"/>
      <w:r w:rsidRPr="003B6A69">
        <w:rPr>
          <w:rFonts w:asciiTheme="minorHAnsi" w:eastAsiaTheme="minorHAnsi" w:hAnsiTheme="minorHAnsi" w:cstheme="minorHAnsi"/>
          <w:szCs w:val="20"/>
        </w:rPr>
        <w:t>provide assistance to</w:t>
      </w:r>
      <w:proofErr w:type="gramEnd"/>
      <w:r w:rsidRPr="003B6A69">
        <w:rPr>
          <w:rFonts w:asciiTheme="minorHAnsi" w:eastAsiaTheme="minorHAnsi" w:hAnsiTheme="minorHAnsi" w:cstheme="minorHAnsi"/>
          <w:szCs w:val="20"/>
        </w:rPr>
        <w:t xml:space="preserve"> the travel and tourism sector in applying eco labeling in their tourism offerings.</w:t>
      </w:r>
      <w:r w:rsidRPr="003B6A69">
        <w:rPr>
          <w:rFonts w:asciiTheme="minorHAnsi" w:eastAsiaTheme="minorHAnsi" w:hAnsiTheme="minorHAnsi" w:cstheme="minorHAnsi"/>
          <w:szCs w:val="20"/>
          <w:vertAlign w:val="superscript"/>
        </w:rPr>
        <w:footnoteReference w:id="64"/>
      </w:r>
    </w:p>
    <w:p w14:paraId="3852575E" w14:textId="77777777" w:rsidR="008C4F26" w:rsidRPr="003B6A69" w:rsidRDefault="008C4F26" w:rsidP="008C4F26">
      <w:pPr>
        <w:spacing w:after="120" w:line="259" w:lineRule="auto"/>
        <w:rPr>
          <w:rFonts w:asciiTheme="minorHAnsi" w:eastAsiaTheme="minorHAnsi" w:hAnsiTheme="minorHAnsi" w:cstheme="minorHAnsi"/>
          <w:szCs w:val="20"/>
        </w:rPr>
      </w:pPr>
      <w:r w:rsidRPr="003B6A69">
        <w:rPr>
          <w:rFonts w:asciiTheme="minorHAnsi" w:eastAsiaTheme="minorHAnsi" w:hAnsiTheme="minorHAnsi" w:cstheme="minorHAnsi"/>
          <w:szCs w:val="20"/>
        </w:rPr>
        <w:lastRenderedPageBreak/>
        <w:t>Most of the tourist business entities surveyed at the time (89%) agreed with the statement that ecotourism will be important in the future, as well as 81% of them agreeing with the statement that climate change has a significant impact on the tourism sector development. More than two-thirds (68.7%) of tourism business entities, did not apply any environmental standards scheme nor had certified accommodation units. However, more than half (58%) of them were, at the time, willing to pay for eco-certification. Tourism industry representatives (66%) are interested in learning more about eco-certification in Montenegro, as well as being further informed about climate change and tourism in the future (75%).</w:t>
      </w:r>
      <w:r w:rsidRPr="003B6A69">
        <w:rPr>
          <w:rFonts w:asciiTheme="minorHAnsi" w:eastAsiaTheme="minorHAnsi" w:hAnsiTheme="minorHAnsi" w:cstheme="minorHAnsi"/>
          <w:szCs w:val="20"/>
          <w:vertAlign w:val="superscript"/>
        </w:rPr>
        <w:footnoteReference w:id="65"/>
      </w:r>
      <w:r w:rsidRPr="003B6A69">
        <w:rPr>
          <w:rFonts w:asciiTheme="minorHAnsi" w:eastAsiaTheme="minorHAnsi" w:hAnsiTheme="minorHAnsi" w:cstheme="minorHAnsi"/>
          <w:szCs w:val="20"/>
        </w:rPr>
        <w:t xml:space="preserve"> </w:t>
      </w:r>
    </w:p>
    <w:p w14:paraId="49EE7A81" w14:textId="77777777" w:rsidR="008C4F26" w:rsidRPr="003B6A69" w:rsidRDefault="008C4F26" w:rsidP="003C6B7B">
      <w:pPr>
        <w:numPr>
          <w:ilvl w:val="0"/>
          <w:numId w:val="20"/>
        </w:numPr>
        <w:spacing w:after="120" w:line="259" w:lineRule="auto"/>
        <w:ind w:left="0" w:firstLine="0"/>
        <w:jc w:val="left"/>
        <w:rPr>
          <w:rFonts w:asciiTheme="minorHAnsi" w:eastAsia="Times New Roman" w:hAnsiTheme="minorHAnsi" w:cstheme="minorHAnsi"/>
          <w:color w:val="0A0A0A"/>
          <w:spacing w:val="4"/>
          <w:szCs w:val="20"/>
        </w:rPr>
      </w:pPr>
      <w:r w:rsidRPr="003B6A69">
        <w:rPr>
          <w:rFonts w:asciiTheme="minorHAnsi" w:eastAsia="Times New Roman" w:hAnsiTheme="minorHAnsi" w:cstheme="minorHAnsi"/>
          <w:color w:val="0A0A0A"/>
          <w:spacing w:val="4"/>
          <w:szCs w:val="20"/>
        </w:rPr>
        <w:t>The Ministry of Sustainable Development of Montenegro and the UNDP, through the innovative GEF-</w:t>
      </w:r>
      <w:r w:rsidRPr="003B6A69">
        <w:rPr>
          <w:rFonts w:asciiTheme="minorHAnsi" w:eastAsia="Times New Roman" w:hAnsiTheme="minorHAnsi" w:cstheme="minorHAnsi"/>
          <w:color w:val="000000" w:themeColor="text1"/>
          <w:spacing w:val="4"/>
          <w:szCs w:val="20"/>
        </w:rPr>
        <w:t>funded project </w:t>
      </w:r>
      <w:hyperlink r:id="rId44" w:history="1">
        <w:r w:rsidRPr="003B6A69">
          <w:rPr>
            <w:rFonts w:asciiTheme="minorHAnsi" w:eastAsia="Times New Roman" w:hAnsiTheme="minorHAnsi" w:cstheme="minorHAnsi"/>
            <w:color w:val="000000" w:themeColor="text1"/>
            <w:spacing w:val="4"/>
            <w:szCs w:val="20"/>
            <w:u w:val="single"/>
          </w:rPr>
          <w:t>Towards Carbon Neutral Tourism in Montenegro</w:t>
        </w:r>
      </w:hyperlink>
      <w:r w:rsidRPr="003B6A69">
        <w:rPr>
          <w:rFonts w:asciiTheme="minorHAnsi" w:eastAsia="Times New Roman" w:hAnsiTheme="minorHAnsi" w:cstheme="minorHAnsi"/>
          <w:color w:val="000000" w:themeColor="text1"/>
          <w:spacing w:val="4"/>
          <w:szCs w:val="20"/>
        </w:rPr>
        <w:t xml:space="preserve">, have </w:t>
      </w:r>
      <w:r w:rsidRPr="003B6A69">
        <w:rPr>
          <w:rFonts w:asciiTheme="minorHAnsi" w:eastAsia="Times New Roman" w:hAnsiTheme="minorHAnsi" w:cstheme="minorHAnsi"/>
          <w:color w:val="0A0A0A"/>
          <w:spacing w:val="4"/>
          <w:szCs w:val="20"/>
        </w:rPr>
        <w:t>identified ways to help the country’s transition towards carbon neutral travel by encouraging sustainability and innovation in tourism. Among other things, support was granted to 21 hotels introducing green certification, thus reducing CO</w:t>
      </w:r>
      <w:r w:rsidRPr="003B6A69">
        <w:rPr>
          <w:rFonts w:asciiTheme="minorHAnsi" w:eastAsia="Times New Roman" w:hAnsiTheme="minorHAnsi" w:cstheme="minorHAnsi"/>
          <w:color w:val="0A0A0A"/>
          <w:spacing w:val="4"/>
          <w:szCs w:val="20"/>
          <w:vertAlign w:val="subscript"/>
        </w:rPr>
        <w:t>2</w:t>
      </w:r>
      <w:r w:rsidRPr="003B6A69">
        <w:rPr>
          <w:rFonts w:asciiTheme="minorHAnsi" w:eastAsia="Times New Roman" w:hAnsiTheme="minorHAnsi" w:cstheme="minorHAnsi"/>
          <w:color w:val="0A0A0A"/>
          <w:spacing w:val="4"/>
          <w:szCs w:val="20"/>
        </w:rPr>
        <w:t xml:space="preserve"> </w:t>
      </w:r>
      <w:proofErr w:type="gramStart"/>
      <w:r w:rsidRPr="003B6A69">
        <w:rPr>
          <w:rFonts w:asciiTheme="minorHAnsi" w:eastAsia="Times New Roman" w:hAnsiTheme="minorHAnsi" w:cstheme="minorHAnsi"/>
          <w:color w:val="0A0A0A"/>
          <w:spacing w:val="4"/>
          <w:szCs w:val="20"/>
        </w:rPr>
        <w:t>emissions</w:t>
      </w:r>
      <w:proofErr w:type="gramEnd"/>
      <w:r w:rsidRPr="003B6A69">
        <w:rPr>
          <w:rFonts w:asciiTheme="minorHAnsi" w:eastAsia="Times New Roman" w:hAnsiTheme="minorHAnsi" w:cstheme="minorHAnsi"/>
          <w:color w:val="0A0A0A"/>
          <w:spacing w:val="4"/>
          <w:szCs w:val="20"/>
        </w:rPr>
        <w:t xml:space="preserve"> and helping raise awareness on nature protection and climate change. The project helped establishment of the Eco </w:t>
      </w:r>
      <w:proofErr w:type="gramStart"/>
      <w:r w:rsidRPr="003B6A69">
        <w:rPr>
          <w:rFonts w:asciiTheme="minorHAnsi" w:eastAsia="Times New Roman" w:hAnsiTheme="minorHAnsi" w:cstheme="minorHAnsi"/>
          <w:color w:val="0A0A0A"/>
          <w:spacing w:val="4"/>
          <w:szCs w:val="20"/>
        </w:rPr>
        <w:t>Fund  as</w:t>
      </w:r>
      <w:proofErr w:type="gramEnd"/>
      <w:r w:rsidRPr="003B6A69">
        <w:rPr>
          <w:rFonts w:asciiTheme="minorHAnsi" w:eastAsia="Times New Roman" w:hAnsiTheme="minorHAnsi" w:cstheme="minorHAnsi"/>
          <w:color w:val="0A0A0A"/>
          <w:spacing w:val="4"/>
          <w:szCs w:val="20"/>
        </w:rPr>
        <w:t xml:space="preserve"> a state-owned legal entity that would be financed under a “polluter pays” principle and support implementation of sustainable projects.</w:t>
      </w:r>
      <w:r w:rsidRPr="003B6A69">
        <w:rPr>
          <w:rFonts w:asciiTheme="minorHAnsi" w:eastAsia="Times New Roman" w:hAnsiTheme="minorHAnsi" w:cstheme="minorHAnsi"/>
          <w:color w:val="0A0A0A"/>
          <w:spacing w:val="4"/>
          <w:szCs w:val="20"/>
          <w:vertAlign w:val="superscript"/>
        </w:rPr>
        <w:footnoteReference w:id="66"/>
      </w:r>
    </w:p>
    <w:p w14:paraId="5CDE7A08" w14:textId="77777777" w:rsidR="008C4F26" w:rsidRPr="003B6A69" w:rsidRDefault="008C4F26" w:rsidP="003C6B7B">
      <w:pPr>
        <w:numPr>
          <w:ilvl w:val="0"/>
          <w:numId w:val="20"/>
        </w:numPr>
        <w:spacing w:after="120" w:line="259" w:lineRule="auto"/>
        <w:ind w:left="0" w:firstLine="0"/>
        <w:jc w:val="left"/>
        <w:rPr>
          <w:rFonts w:asciiTheme="minorHAnsi" w:eastAsia="Times New Roman" w:hAnsiTheme="minorHAnsi" w:cstheme="minorHAnsi"/>
          <w:color w:val="0A0A0A"/>
          <w:spacing w:val="4"/>
          <w:szCs w:val="20"/>
        </w:rPr>
      </w:pPr>
      <w:r w:rsidRPr="003B6A69">
        <w:rPr>
          <w:rFonts w:asciiTheme="minorHAnsi" w:eastAsia="Times New Roman" w:hAnsiTheme="minorHAnsi" w:cstheme="minorHAnsi"/>
          <w:color w:val="0A0A0A"/>
          <w:spacing w:val="4"/>
          <w:szCs w:val="20"/>
        </w:rPr>
        <w:t xml:space="preserve">Objectives of this project promoted the country’s transition towards low carbon travel &amp; tourism, thus enhancing Montenegro’s green reputation in the global market; maximizing the efficient use of energy and greenfield investments in tourism; supporting development of low carbon spatial planning and sustainable transport solutions; and introducing carbon offset schemes and other innovative financial mechanisms to compensate for residual emissions, and to generate additional revenues for climate mitigation and adaptation actions in tourism. Activities included introduction of environmental certification for accommodation facilities’ upgrading of service quality and fostering resource efficiency. The expected result was for thirty hotels (30) to be awarded EU Eco Label and </w:t>
      </w:r>
      <w:proofErr w:type="spellStart"/>
      <w:r w:rsidRPr="003B6A69">
        <w:rPr>
          <w:rFonts w:asciiTheme="minorHAnsi" w:eastAsia="Times New Roman" w:hAnsiTheme="minorHAnsi" w:cstheme="minorHAnsi"/>
          <w:color w:val="0A0A0A"/>
          <w:spacing w:val="4"/>
          <w:szCs w:val="20"/>
        </w:rPr>
        <w:t>Travelife</w:t>
      </w:r>
      <w:proofErr w:type="spellEnd"/>
      <w:r w:rsidRPr="003B6A69">
        <w:rPr>
          <w:rFonts w:asciiTheme="minorHAnsi" w:eastAsia="Times New Roman" w:hAnsiTheme="minorHAnsi" w:cstheme="minorHAnsi"/>
          <w:color w:val="0A0A0A"/>
          <w:spacing w:val="4"/>
          <w:szCs w:val="20"/>
        </w:rPr>
        <w:t xml:space="preserve"> certificates by the end of 2019.</w:t>
      </w:r>
      <w:r w:rsidRPr="003B6A69">
        <w:rPr>
          <w:rFonts w:asciiTheme="minorHAnsi" w:eastAsia="Times New Roman" w:hAnsiTheme="minorHAnsi" w:cstheme="minorHAnsi"/>
          <w:color w:val="0A0A0A"/>
          <w:spacing w:val="4"/>
          <w:szCs w:val="20"/>
          <w:vertAlign w:val="superscript"/>
        </w:rPr>
        <w:footnoteReference w:id="67"/>
      </w:r>
    </w:p>
    <w:p w14:paraId="5DFC7692" w14:textId="77777777" w:rsidR="008C4F26" w:rsidRPr="003B6A69" w:rsidRDefault="008C4F26" w:rsidP="008C4F26">
      <w:pPr>
        <w:spacing w:after="120" w:line="259" w:lineRule="auto"/>
        <w:rPr>
          <w:rFonts w:asciiTheme="minorHAnsi" w:eastAsiaTheme="minorHAnsi" w:hAnsiTheme="minorHAnsi" w:cstheme="minorHAnsi"/>
          <w:color w:val="0A0A0A"/>
          <w:spacing w:val="4"/>
          <w:szCs w:val="20"/>
        </w:rPr>
      </w:pPr>
      <w:r w:rsidRPr="003B6A69">
        <w:rPr>
          <w:rFonts w:asciiTheme="minorHAnsi" w:eastAsiaTheme="minorHAnsi" w:hAnsiTheme="minorHAnsi" w:cstheme="minorHAnsi"/>
          <w:color w:val="0A0A0A"/>
          <w:spacing w:val="4"/>
          <w:szCs w:val="20"/>
        </w:rPr>
        <w:t xml:space="preserve">The adoption of eco-certification standards was supposed to provide positive effects for both supply and demand sides for the Montenegrin tourism industry. On the supply side, eco-certification was supposed to improve the efficiency of resource management in operations of all elements, such as energy, water, employee management, waste, cleaning as well as disinfection materials. At the same time, on </w:t>
      </w:r>
      <w:proofErr w:type="spellStart"/>
      <w:r w:rsidRPr="003B6A69">
        <w:rPr>
          <w:rFonts w:asciiTheme="minorHAnsi" w:eastAsiaTheme="minorHAnsi" w:hAnsiTheme="minorHAnsi" w:cstheme="minorHAnsi"/>
          <w:color w:val="0A0A0A"/>
          <w:spacing w:val="4"/>
          <w:szCs w:val="20"/>
        </w:rPr>
        <w:t>thedemand</w:t>
      </w:r>
      <w:proofErr w:type="spellEnd"/>
      <w:r w:rsidRPr="003B6A69">
        <w:rPr>
          <w:rFonts w:asciiTheme="minorHAnsi" w:eastAsiaTheme="minorHAnsi" w:hAnsiTheme="minorHAnsi" w:cstheme="minorHAnsi"/>
          <w:color w:val="0A0A0A"/>
          <w:spacing w:val="4"/>
          <w:szCs w:val="20"/>
        </w:rPr>
        <w:t xml:space="preserve"> side, according to best practices, potential consumers are willing to pay up to 40% more for services of eco-certified units, since their principal benefit is in added value.</w:t>
      </w:r>
      <w:r w:rsidRPr="003B6A69">
        <w:rPr>
          <w:rFonts w:asciiTheme="minorHAnsi" w:eastAsiaTheme="minorHAnsi" w:hAnsiTheme="minorHAnsi" w:cstheme="minorHAnsi"/>
          <w:color w:val="0A0A0A"/>
          <w:spacing w:val="4"/>
          <w:szCs w:val="20"/>
          <w:vertAlign w:val="superscript"/>
        </w:rPr>
        <w:footnoteReference w:id="68"/>
      </w:r>
      <w:r w:rsidRPr="003B6A69">
        <w:rPr>
          <w:rFonts w:asciiTheme="minorHAnsi" w:eastAsiaTheme="minorHAnsi" w:hAnsiTheme="minorHAnsi" w:cstheme="minorHAnsi"/>
          <w:color w:val="0A0A0A"/>
          <w:spacing w:val="4"/>
          <w:szCs w:val="20"/>
        </w:rPr>
        <w:t xml:space="preserve"> </w:t>
      </w:r>
    </w:p>
    <w:p w14:paraId="395DADEF" w14:textId="77777777" w:rsidR="008C4F26" w:rsidRPr="003B6A69" w:rsidRDefault="008C4F26" w:rsidP="008C4F26">
      <w:pPr>
        <w:spacing w:after="160" w:line="259" w:lineRule="auto"/>
        <w:jc w:val="center"/>
        <w:rPr>
          <w:rFonts w:asciiTheme="minorHAnsi" w:eastAsiaTheme="minorHAnsi" w:hAnsiTheme="minorHAnsi" w:cstheme="minorHAnsi"/>
          <w:i/>
          <w:iCs/>
          <w:szCs w:val="20"/>
        </w:rPr>
      </w:pPr>
      <w:r w:rsidRPr="003B6A69">
        <w:rPr>
          <w:rFonts w:asciiTheme="minorHAnsi" w:eastAsiaTheme="minorHAnsi" w:hAnsiTheme="minorHAnsi" w:cstheme="minorHAnsi"/>
          <w:i/>
          <w:iCs/>
          <w:szCs w:val="20"/>
        </w:rPr>
        <w:t>Table 2. Eco-tourism certifications in Montenegro in 2020</w:t>
      </w:r>
    </w:p>
    <w:tbl>
      <w:tblPr>
        <w:tblStyle w:val="TableGrid7"/>
        <w:tblW w:w="0" w:type="auto"/>
        <w:jc w:val="center"/>
        <w:tblLook w:val="04A0" w:firstRow="1" w:lastRow="0" w:firstColumn="1" w:lastColumn="0" w:noHBand="0" w:noVBand="1"/>
      </w:tblPr>
      <w:tblGrid>
        <w:gridCol w:w="2198"/>
        <w:gridCol w:w="1754"/>
      </w:tblGrid>
      <w:tr w:rsidR="008C4F26" w:rsidRPr="003B6A69" w14:paraId="40A808F9" w14:textId="77777777" w:rsidTr="008C4F26">
        <w:trPr>
          <w:jc w:val="center"/>
        </w:trPr>
        <w:tc>
          <w:tcPr>
            <w:tcW w:w="2198" w:type="dxa"/>
          </w:tcPr>
          <w:p w14:paraId="59E67D11" w14:textId="77777777" w:rsidR="008C4F26" w:rsidRPr="003B6A69" w:rsidRDefault="008C4F26" w:rsidP="008C4F26">
            <w:pPr>
              <w:spacing w:after="0"/>
              <w:jc w:val="left"/>
              <w:rPr>
                <w:rFonts w:asciiTheme="minorHAnsi" w:hAnsiTheme="minorHAnsi" w:cstheme="minorHAnsi"/>
                <w:szCs w:val="20"/>
              </w:rPr>
            </w:pPr>
          </w:p>
        </w:tc>
        <w:tc>
          <w:tcPr>
            <w:tcW w:w="1754" w:type="dxa"/>
          </w:tcPr>
          <w:p w14:paraId="7A58EDCF" w14:textId="77777777" w:rsidR="008C4F26" w:rsidRPr="003B6A69" w:rsidRDefault="008C4F26" w:rsidP="008C4F26">
            <w:pPr>
              <w:spacing w:after="0"/>
              <w:jc w:val="left"/>
              <w:rPr>
                <w:rFonts w:asciiTheme="minorHAnsi" w:hAnsiTheme="minorHAnsi" w:cstheme="minorHAnsi"/>
                <w:szCs w:val="20"/>
              </w:rPr>
            </w:pPr>
            <w:r w:rsidRPr="003B6A69">
              <w:rPr>
                <w:rFonts w:asciiTheme="minorHAnsi" w:hAnsiTheme="minorHAnsi" w:cstheme="minorHAnsi"/>
                <w:szCs w:val="20"/>
              </w:rPr>
              <w:t>Montenegro</w:t>
            </w:r>
          </w:p>
        </w:tc>
      </w:tr>
      <w:tr w:rsidR="008C4F26" w:rsidRPr="003B6A69" w14:paraId="13201B84" w14:textId="77777777" w:rsidTr="008C4F26">
        <w:trPr>
          <w:jc w:val="center"/>
        </w:trPr>
        <w:tc>
          <w:tcPr>
            <w:tcW w:w="2198" w:type="dxa"/>
          </w:tcPr>
          <w:p w14:paraId="096D0C28" w14:textId="77777777" w:rsidR="008C4F26" w:rsidRPr="003B6A69" w:rsidRDefault="008C4F26" w:rsidP="008C4F26">
            <w:pPr>
              <w:spacing w:after="0"/>
              <w:jc w:val="left"/>
              <w:rPr>
                <w:rFonts w:asciiTheme="minorHAnsi" w:hAnsiTheme="minorHAnsi" w:cstheme="minorHAnsi"/>
                <w:szCs w:val="20"/>
              </w:rPr>
            </w:pPr>
            <w:r w:rsidRPr="003B6A69">
              <w:rPr>
                <w:rFonts w:asciiTheme="minorHAnsi" w:hAnsiTheme="minorHAnsi" w:cstheme="minorHAnsi"/>
                <w:szCs w:val="20"/>
              </w:rPr>
              <w:t>EU Ecolabel</w:t>
            </w:r>
            <w:r w:rsidRPr="003B6A69">
              <w:rPr>
                <w:rFonts w:asciiTheme="minorHAnsi" w:hAnsiTheme="minorHAnsi" w:cstheme="minorHAnsi"/>
                <w:szCs w:val="20"/>
                <w:vertAlign w:val="superscript"/>
              </w:rPr>
              <w:footnoteReference w:id="69"/>
            </w:r>
          </w:p>
        </w:tc>
        <w:tc>
          <w:tcPr>
            <w:tcW w:w="1754" w:type="dxa"/>
          </w:tcPr>
          <w:p w14:paraId="377809E3" w14:textId="77777777" w:rsidR="008C4F26" w:rsidRPr="003B6A69" w:rsidRDefault="008C4F26" w:rsidP="008C4F26">
            <w:pPr>
              <w:spacing w:after="0"/>
              <w:jc w:val="center"/>
              <w:rPr>
                <w:rFonts w:asciiTheme="minorHAnsi" w:hAnsiTheme="minorHAnsi" w:cstheme="minorHAnsi"/>
                <w:szCs w:val="20"/>
              </w:rPr>
            </w:pPr>
            <w:r w:rsidRPr="003B6A69">
              <w:rPr>
                <w:rFonts w:asciiTheme="minorHAnsi" w:hAnsiTheme="minorHAnsi" w:cstheme="minorHAnsi"/>
                <w:szCs w:val="20"/>
              </w:rPr>
              <w:t>15</w:t>
            </w:r>
          </w:p>
        </w:tc>
      </w:tr>
      <w:tr w:rsidR="008C4F26" w:rsidRPr="003B6A69" w14:paraId="3BAC4709" w14:textId="77777777" w:rsidTr="008C4F26">
        <w:trPr>
          <w:jc w:val="center"/>
        </w:trPr>
        <w:tc>
          <w:tcPr>
            <w:tcW w:w="2198" w:type="dxa"/>
          </w:tcPr>
          <w:p w14:paraId="51CC4675" w14:textId="77777777" w:rsidR="008C4F26" w:rsidRPr="003B6A69" w:rsidRDefault="008C4F26" w:rsidP="008C4F26">
            <w:pPr>
              <w:spacing w:after="0"/>
              <w:jc w:val="left"/>
              <w:rPr>
                <w:rFonts w:asciiTheme="minorHAnsi" w:hAnsiTheme="minorHAnsi" w:cstheme="minorHAnsi"/>
                <w:szCs w:val="20"/>
              </w:rPr>
            </w:pPr>
            <w:proofErr w:type="spellStart"/>
            <w:r w:rsidRPr="003B6A69">
              <w:rPr>
                <w:rFonts w:asciiTheme="minorHAnsi" w:hAnsiTheme="minorHAnsi" w:cstheme="minorHAnsi"/>
                <w:szCs w:val="20"/>
              </w:rPr>
              <w:t>Travelife</w:t>
            </w:r>
            <w:proofErr w:type="spellEnd"/>
          </w:p>
        </w:tc>
        <w:tc>
          <w:tcPr>
            <w:tcW w:w="1754" w:type="dxa"/>
          </w:tcPr>
          <w:p w14:paraId="24B7D67D" w14:textId="77777777" w:rsidR="008C4F26" w:rsidRPr="003B6A69" w:rsidRDefault="008C4F26" w:rsidP="008C4F26">
            <w:pPr>
              <w:spacing w:after="0"/>
              <w:jc w:val="center"/>
              <w:rPr>
                <w:rFonts w:asciiTheme="minorHAnsi" w:hAnsiTheme="minorHAnsi" w:cstheme="minorHAnsi"/>
                <w:szCs w:val="20"/>
              </w:rPr>
            </w:pPr>
            <w:r w:rsidRPr="003B6A69">
              <w:rPr>
                <w:rFonts w:asciiTheme="minorHAnsi" w:hAnsiTheme="minorHAnsi" w:cstheme="minorHAnsi"/>
                <w:szCs w:val="20"/>
              </w:rPr>
              <w:t>1</w:t>
            </w:r>
          </w:p>
        </w:tc>
      </w:tr>
      <w:tr w:rsidR="008C4F26" w:rsidRPr="003B6A69" w14:paraId="25BDCACD" w14:textId="77777777" w:rsidTr="008C4F26">
        <w:trPr>
          <w:jc w:val="center"/>
        </w:trPr>
        <w:tc>
          <w:tcPr>
            <w:tcW w:w="2198" w:type="dxa"/>
          </w:tcPr>
          <w:p w14:paraId="5B2E0500" w14:textId="77777777" w:rsidR="008C4F26" w:rsidRPr="003B6A69" w:rsidRDefault="008C4F26" w:rsidP="008C4F26">
            <w:pPr>
              <w:spacing w:after="0"/>
              <w:jc w:val="left"/>
              <w:rPr>
                <w:rFonts w:asciiTheme="minorHAnsi" w:hAnsiTheme="minorHAnsi" w:cstheme="minorHAnsi"/>
                <w:szCs w:val="20"/>
              </w:rPr>
            </w:pPr>
            <w:r w:rsidRPr="003B6A69">
              <w:rPr>
                <w:rFonts w:asciiTheme="minorHAnsi" w:hAnsiTheme="minorHAnsi" w:cstheme="minorHAnsi"/>
                <w:szCs w:val="20"/>
              </w:rPr>
              <w:t>Green Key</w:t>
            </w:r>
          </w:p>
        </w:tc>
        <w:tc>
          <w:tcPr>
            <w:tcW w:w="1754" w:type="dxa"/>
          </w:tcPr>
          <w:p w14:paraId="0F82BDF3" w14:textId="77777777" w:rsidR="008C4F26" w:rsidRPr="003B6A69" w:rsidRDefault="008C4F26" w:rsidP="008C4F26">
            <w:pPr>
              <w:spacing w:after="0"/>
              <w:jc w:val="center"/>
              <w:rPr>
                <w:rFonts w:asciiTheme="minorHAnsi" w:hAnsiTheme="minorHAnsi" w:cstheme="minorHAnsi"/>
                <w:szCs w:val="20"/>
              </w:rPr>
            </w:pPr>
            <w:r w:rsidRPr="003B6A69">
              <w:rPr>
                <w:rFonts w:asciiTheme="minorHAnsi" w:hAnsiTheme="minorHAnsi" w:cstheme="minorHAnsi"/>
                <w:szCs w:val="20"/>
              </w:rPr>
              <w:t>1</w:t>
            </w:r>
          </w:p>
        </w:tc>
      </w:tr>
      <w:tr w:rsidR="008C4F26" w:rsidRPr="003B6A69" w14:paraId="6554D064" w14:textId="77777777" w:rsidTr="008C4F26">
        <w:trPr>
          <w:jc w:val="center"/>
        </w:trPr>
        <w:tc>
          <w:tcPr>
            <w:tcW w:w="2198" w:type="dxa"/>
          </w:tcPr>
          <w:p w14:paraId="7D19E4CC" w14:textId="77777777" w:rsidR="008C4F26" w:rsidRPr="003B6A69" w:rsidRDefault="008C4F26" w:rsidP="008C4F26">
            <w:pPr>
              <w:spacing w:after="0"/>
              <w:jc w:val="left"/>
              <w:rPr>
                <w:rFonts w:asciiTheme="minorHAnsi" w:hAnsiTheme="minorHAnsi" w:cstheme="minorHAnsi"/>
                <w:szCs w:val="20"/>
              </w:rPr>
            </w:pPr>
            <w:proofErr w:type="spellStart"/>
            <w:r w:rsidRPr="003B6A69">
              <w:rPr>
                <w:rFonts w:asciiTheme="minorHAnsi" w:hAnsiTheme="minorHAnsi" w:cstheme="minorHAnsi"/>
                <w:szCs w:val="20"/>
              </w:rPr>
              <w:t>TourCert</w:t>
            </w:r>
            <w:proofErr w:type="spellEnd"/>
            <w:r w:rsidRPr="003B6A69">
              <w:rPr>
                <w:rFonts w:asciiTheme="minorHAnsi" w:hAnsiTheme="minorHAnsi" w:cstheme="minorHAnsi"/>
                <w:szCs w:val="20"/>
                <w:vertAlign w:val="superscript"/>
              </w:rPr>
              <w:footnoteReference w:id="70"/>
            </w:r>
          </w:p>
        </w:tc>
        <w:tc>
          <w:tcPr>
            <w:tcW w:w="1754" w:type="dxa"/>
          </w:tcPr>
          <w:p w14:paraId="656B6D81" w14:textId="77777777" w:rsidR="008C4F26" w:rsidRPr="003B6A69" w:rsidRDefault="008C4F26" w:rsidP="008C4F26">
            <w:pPr>
              <w:spacing w:after="0"/>
              <w:jc w:val="center"/>
              <w:rPr>
                <w:rFonts w:asciiTheme="minorHAnsi" w:hAnsiTheme="minorHAnsi" w:cstheme="minorHAnsi"/>
                <w:szCs w:val="20"/>
              </w:rPr>
            </w:pPr>
            <w:r w:rsidRPr="003B6A69">
              <w:rPr>
                <w:rFonts w:asciiTheme="minorHAnsi" w:hAnsiTheme="minorHAnsi" w:cstheme="minorHAnsi"/>
                <w:szCs w:val="20"/>
              </w:rPr>
              <w:t>1</w:t>
            </w:r>
          </w:p>
        </w:tc>
      </w:tr>
      <w:tr w:rsidR="008C4F26" w:rsidRPr="003B6A69" w14:paraId="14CA19A4" w14:textId="77777777" w:rsidTr="008C4F26">
        <w:trPr>
          <w:jc w:val="center"/>
        </w:trPr>
        <w:tc>
          <w:tcPr>
            <w:tcW w:w="2198" w:type="dxa"/>
          </w:tcPr>
          <w:p w14:paraId="01CB8711" w14:textId="77777777" w:rsidR="008C4F26" w:rsidRPr="003B6A69" w:rsidRDefault="008C4F26" w:rsidP="008C4F26">
            <w:pPr>
              <w:spacing w:after="0"/>
              <w:jc w:val="left"/>
              <w:rPr>
                <w:rFonts w:asciiTheme="minorHAnsi" w:hAnsiTheme="minorHAnsi" w:cstheme="minorHAnsi"/>
                <w:szCs w:val="20"/>
              </w:rPr>
            </w:pPr>
            <w:r w:rsidRPr="003B6A69">
              <w:rPr>
                <w:rFonts w:asciiTheme="minorHAnsi" w:hAnsiTheme="minorHAnsi" w:cstheme="minorHAnsi"/>
                <w:szCs w:val="20"/>
              </w:rPr>
              <w:t>Blue Flag</w:t>
            </w:r>
            <w:r w:rsidRPr="003B6A69">
              <w:rPr>
                <w:rFonts w:asciiTheme="minorHAnsi" w:hAnsiTheme="minorHAnsi" w:cstheme="minorHAnsi"/>
                <w:szCs w:val="20"/>
                <w:vertAlign w:val="superscript"/>
              </w:rPr>
              <w:footnoteReference w:id="71"/>
            </w:r>
          </w:p>
        </w:tc>
        <w:tc>
          <w:tcPr>
            <w:tcW w:w="1754" w:type="dxa"/>
          </w:tcPr>
          <w:p w14:paraId="78093884" w14:textId="77777777" w:rsidR="008C4F26" w:rsidRPr="003B6A69" w:rsidRDefault="008C4F26" w:rsidP="008C4F26">
            <w:pPr>
              <w:spacing w:after="0"/>
              <w:jc w:val="center"/>
              <w:rPr>
                <w:rFonts w:asciiTheme="minorHAnsi" w:hAnsiTheme="minorHAnsi" w:cstheme="minorHAnsi"/>
                <w:szCs w:val="20"/>
              </w:rPr>
            </w:pPr>
            <w:r w:rsidRPr="003B6A69">
              <w:rPr>
                <w:rFonts w:asciiTheme="minorHAnsi" w:hAnsiTheme="minorHAnsi" w:cstheme="minorHAnsi"/>
                <w:szCs w:val="20"/>
              </w:rPr>
              <w:t>33</w:t>
            </w:r>
          </w:p>
        </w:tc>
      </w:tr>
    </w:tbl>
    <w:p w14:paraId="4D56FAAF" w14:textId="77777777" w:rsidR="000A12EC" w:rsidRPr="003B6A69" w:rsidRDefault="000A12EC" w:rsidP="008C4F26">
      <w:pPr>
        <w:spacing w:after="120" w:line="259" w:lineRule="auto"/>
        <w:jc w:val="left"/>
        <w:rPr>
          <w:rFonts w:asciiTheme="minorHAnsi" w:eastAsiaTheme="minorHAnsi" w:hAnsiTheme="minorHAnsi" w:cstheme="minorHAnsi"/>
          <w:szCs w:val="20"/>
        </w:rPr>
      </w:pPr>
    </w:p>
    <w:p w14:paraId="31A4AFF6" w14:textId="77777777" w:rsidR="008C4F26" w:rsidRPr="003B6A69" w:rsidRDefault="008C4F26" w:rsidP="008C4F26">
      <w:pPr>
        <w:spacing w:after="120" w:line="259" w:lineRule="auto"/>
        <w:jc w:val="left"/>
        <w:rPr>
          <w:rFonts w:asciiTheme="minorHAnsi" w:eastAsiaTheme="minorHAnsi" w:hAnsiTheme="minorHAnsi" w:cstheme="minorHAnsi"/>
          <w:color w:val="0A0A0A"/>
          <w:spacing w:val="4"/>
          <w:szCs w:val="20"/>
        </w:rPr>
      </w:pPr>
      <w:r w:rsidRPr="003B6A69">
        <w:rPr>
          <w:rFonts w:asciiTheme="minorHAnsi" w:eastAsiaTheme="minorHAnsi" w:hAnsiTheme="minorHAnsi" w:cstheme="minorHAnsi"/>
          <w:color w:val="0A0A0A"/>
          <w:spacing w:val="4"/>
          <w:szCs w:val="20"/>
        </w:rPr>
        <w:t xml:space="preserve">UNDP project “Towards Carbon Neutral Tourism in Montenegro” confirmed the relevance of the introduction of </w:t>
      </w:r>
      <w:proofErr w:type="spellStart"/>
      <w:r w:rsidRPr="003B6A69">
        <w:rPr>
          <w:rFonts w:asciiTheme="minorHAnsi" w:eastAsiaTheme="minorHAnsi" w:hAnsiTheme="minorHAnsi" w:cstheme="minorHAnsi"/>
          <w:color w:val="0A0A0A"/>
          <w:spacing w:val="4"/>
          <w:szCs w:val="20"/>
        </w:rPr>
        <w:t>Travelife</w:t>
      </w:r>
      <w:proofErr w:type="spellEnd"/>
      <w:r w:rsidRPr="003B6A69">
        <w:rPr>
          <w:rFonts w:asciiTheme="minorHAnsi" w:eastAsiaTheme="minorHAnsi" w:hAnsiTheme="minorHAnsi" w:cstheme="minorHAnsi"/>
          <w:color w:val="0A0A0A"/>
          <w:spacing w:val="4"/>
          <w:szCs w:val="20"/>
        </w:rPr>
        <w:t xml:space="preserve"> and EU Eco Label certification schemes in Montenegro.</w:t>
      </w:r>
    </w:p>
    <w:p w14:paraId="15FF4111" w14:textId="77777777" w:rsidR="008C4F26" w:rsidRPr="003B6A69" w:rsidRDefault="00127DDC" w:rsidP="008C4F26">
      <w:pPr>
        <w:spacing w:after="120" w:line="259" w:lineRule="auto"/>
        <w:rPr>
          <w:rFonts w:asciiTheme="minorHAnsi" w:eastAsiaTheme="minorHAnsi" w:hAnsiTheme="minorHAnsi" w:cstheme="minorHAnsi"/>
          <w:color w:val="0A0A0A"/>
          <w:spacing w:val="4"/>
          <w:szCs w:val="20"/>
        </w:rPr>
      </w:pPr>
      <w:hyperlink r:id="rId45" w:history="1">
        <w:proofErr w:type="spellStart"/>
        <w:r w:rsidR="008C4F26" w:rsidRPr="003B6A69">
          <w:rPr>
            <w:rFonts w:asciiTheme="minorHAnsi" w:eastAsiaTheme="minorHAnsi" w:hAnsiTheme="minorHAnsi" w:cstheme="minorHAnsi"/>
            <w:color w:val="0A0A0A"/>
            <w:spacing w:val="4"/>
            <w:szCs w:val="20"/>
          </w:rPr>
          <w:t>Travelife</w:t>
        </w:r>
        <w:proofErr w:type="spellEnd"/>
        <w:r w:rsidR="008C4F26" w:rsidRPr="003B6A69">
          <w:rPr>
            <w:rFonts w:asciiTheme="minorHAnsi" w:eastAsiaTheme="minorHAnsi" w:hAnsiTheme="minorHAnsi" w:cstheme="minorHAnsi"/>
            <w:color w:val="0A0A0A"/>
            <w:spacing w:val="4"/>
            <w:szCs w:val="20"/>
          </w:rPr>
          <w:t> </w:t>
        </w:r>
      </w:hyperlink>
      <w:r w:rsidR="008C4F26" w:rsidRPr="003B6A69">
        <w:rPr>
          <w:rFonts w:asciiTheme="minorHAnsi" w:eastAsiaTheme="minorHAnsi" w:hAnsiTheme="minorHAnsi" w:cstheme="minorHAnsi"/>
          <w:color w:val="0A0A0A"/>
          <w:spacing w:val="4"/>
          <w:szCs w:val="20"/>
        </w:rPr>
        <w:t xml:space="preserve">as a leading training, management and certification initiative for tourism companies is committed to reach sustainability. The criteria for reaching the certificate are divided into 4 thematic groups: a) general management; b) </w:t>
      </w:r>
      <w:r w:rsidR="008C4F26" w:rsidRPr="003B6A69">
        <w:rPr>
          <w:rFonts w:asciiTheme="minorHAnsi" w:eastAsiaTheme="minorHAnsi" w:hAnsiTheme="minorHAnsi" w:cstheme="minorHAnsi"/>
          <w:color w:val="0A0A0A"/>
          <w:spacing w:val="4"/>
          <w:szCs w:val="20"/>
        </w:rPr>
        <w:lastRenderedPageBreak/>
        <w:t xml:space="preserve">environmental protection; c) labor rights, human right and cooperation with local communities and d) conditions in the supply chain (vendors and guest). The </w:t>
      </w:r>
      <w:proofErr w:type="spellStart"/>
      <w:r w:rsidR="008C4F26" w:rsidRPr="003B6A69">
        <w:rPr>
          <w:rFonts w:asciiTheme="minorHAnsi" w:eastAsiaTheme="minorHAnsi" w:hAnsiTheme="minorHAnsi" w:cstheme="minorHAnsi"/>
          <w:color w:val="0A0A0A"/>
          <w:spacing w:val="4"/>
          <w:szCs w:val="20"/>
        </w:rPr>
        <w:t>Travelife</w:t>
      </w:r>
      <w:proofErr w:type="spellEnd"/>
      <w:r w:rsidR="008C4F26" w:rsidRPr="003B6A69">
        <w:rPr>
          <w:rFonts w:asciiTheme="minorHAnsi" w:eastAsiaTheme="minorHAnsi" w:hAnsiTheme="minorHAnsi" w:cstheme="minorHAnsi"/>
          <w:color w:val="0A0A0A"/>
          <w:spacing w:val="4"/>
          <w:szCs w:val="20"/>
        </w:rPr>
        <w:t xml:space="preserve"> Checklists include several questions related to wildlife protection; specifically, the accommodations are requested to confirm that they meet international regulations and codes of practice related to taking, using, trading, </w:t>
      </w:r>
      <w:proofErr w:type="gramStart"/>
      <w:r w:rsidR="008C4F26" w:rsidRPr="003B6A69">
        <w:rPr>
          <w:rFonts w:asciiTheme="minorHAnsi" w:eastAsiaTheme="minorHAnsi" w:hAnsiTheme="minorHAnsi" w:cstheme="minorHAnsi"/>
          <w:color w:val="0A0A0A"/>
          <w:spacing w:val="4"/>
          <w:szCs w:val="20"/>
        </w:rPr>
        <w:t>keeping</w:t>
      </w:r>
      <w:proofErr w:type="gramEnd"/>
      <w:r w:rsidR="008C4F26" w:rsidRPr="003B6A69">
        <w:rPr>
          <w:rFonts w:asciiTheme="minorHAnsi" w:eastAsiaTheme="minorHAnsi" w:hAnsiTheme="minorHAnsi" w:cstheme="minorHAnsi"/>
          <w:color w:val="0A0A0A"/>
          <w:spacing w:val="4"/>
          <w:szCs w:val="20"/>
        </w:rPr>
        <w:t xml:space="preserve"> or exhibiting wildlife species, and informing guests of the relevant wildlife regulations. In 2020 only one travel agency registered in Montenegro has a </w:t>
      </w:r>
      <w:proofErr w:type="spellStart"/>
      <w:r w:rsidR="008C4F26" w:rsidRPr="003B6A69">
        <w:rPr>
          <w:rFonts w:asciiTheme="minorHAnsi" w:eastAsiaTheme="minorHAnsi" w:hAnsiTheme="minorHAnsi" w:cstheme="minorHAnsi"/>
          <w:color w:val="0A0A0A"/>
          <w:spacing w:val="4"/>
          <w:szCs w:val="20"/>
        </w:rPr>
        <w:t>Travelife</w:t>
      </w:r>
      <w:proofErr w:type="spellEnd"/>
      <w:r w:rsidR="008C4F26" w:rsidRPr="003B6A69">
        <w:rPr>
          <w:rFonts w:asciiTheme="minorHAnsi" w:eastAsiaTheme="minorHAnsi" w:hAnsiTheme="minorHAnsi" w:cstheme="minorHAnsi"/>
          <w:color w:val="0A0A0A"/>
          <w:spacing w:val="4"/>
          <w:szCs w:val="20"/>
        </w:rPr>
        <w:t xml:space="preserve"> certificate based on the </w:t>
      </w:r>
      <w:proofErr w:type="spellStart"/>
      <w:r w:rsidR="008C4F26" w:rsidRPr="003B6A69">
        <w:rPr>
          <w:rFonts w:asciiTheme="minorHAnsi" w:eastAsiaTheme="minorHAnsi" w:hAnsiTheme="minorHAnsi" w:cstheme="minorHAnsi"/>
          <w:color w:val="0A0A0A"/>
          <w:spacing w:val="4"/>
          <w:szCs w:val="20"/>
        </w:rPr>
        <w:t>Travelife</w:t>
      </w:r>
      <w:proofErr w:type="spellEnd"/>
      <w:r w:rsidR="008C4F26" w:rsidRPr="003B6A69">
        <w:rPr>
          <w:rFonts w:asciiTheme="minorHAnsi" w:eastAsiaTheme="minorHAnsi" w:hAnsiTheme="minorHAnsi" w:cstheme="minorHAnsi"/>
          <w:color w:val="0A0A0A"/>
          <w:spacing w:val="4"/>
          <w:szCs w:val="20"/>
        </w:rPr>
        <w:t xml:space="preserve"> website information. </w:t>
      </w:r>
    </w:p>
    <w:p w14:paraId="7C6FF4B3" w14:textId="77777777" w:rsidR="008C4F26" w:rsidRPr="003B6A69" w:rsidRDefault="00127DDC" w:rsidP="008C4F26">
      <w:pPr>
        <w:spacing w:after="120" w:line="259" w:lineRule="auto"/>
        <w:rPr>
          <w:rFonts w:asciiTheme="minorHAnsi" w:eastAsiaTheme="minorHAnsi" w:hAnsiTheme="minorHAnsi" w:cstheme="minorHAnsi"/>
          <w:color w:val="0A0A0A"/>
          <w:spacing w:val="4"/>
          <w:szCs w:val="20"/>
        </w:rPr>
      </w:pPr>
      <w:hyperlink r:id="rId46" w:history="1">
        <w:r w:rsidR="008C4F26" w:rsidRPr="003B6A69">
          <w:rPr>
            <w:rFonts w:asciiTheme="minorHAnsi" w:eastAsiaTheme="minorHAnsi" w:hAnsiTheme="minorHAnsi" w:cstheme="minorHAnsi"/>
            <w:color w:val="0A0A0A"/>
            <w:spacing w:val="4"/>
            <w:szCs w:val="20"/>
          </w:rPr>
          <w:t>EU Ecolabel</w:t>
        </w:r>
      </w:hyperlink>
      <w:r w:rsidR="008C4F26" w:rsidRPr="003B6A69">
        <w:rPr>
          <w:rFonts w:asciiTheme="minorHAnsi" w:eastAsiaTheme="minorHAnsi" w:hAnsiTheme="minorHAnsi" w:cstheme="minorHAnsi"/>
          <w:color w:val="0A0A0A"/>
          <w:spacing w:val="4"/>
          <w:szCs w:val="20"/>
        </w:rPr>
        <w:t> is considered as Europe's official environmental label. This scheme was established in 1992 by an EU Regulation, with more than 500 accommodations across Europe having this green stamp. It aims at helping users and tourists to easily identify products and services which are less damaging to the environment. </w:t>
      </w:r>
    </w:p>
    <w:p w14:paraId="6E0B7AD3" w14:textId="77777777" w:rsidR="008C4F26" w:rsidRPr="003B6A69" w:rsidRDefault="008C4F26" w:rsidP="008C4F26">
      <w:pPr>
        <w:spacing w:after="120" w:line="259" w:lineRule="auto"/>
        <w:rPr>
          <w:rFonts w:asciiTheme="minorHAnsi" w:eastAsiaTheme="minorHAnsi" w:hAnsiTheme="minorHAnsi" w:cstheme="minorHAnsi"/>
          <w:color w:val="0A0A0A"/>
          <w:spacing w:val="4"/>
          <w:szCs w:val="20"/>
        </w:rPr>
      </w:pPr>
      <w:r w:rsidRPr="003B6A69">
        <w:rPr>
          <w:rFonts w:asciiTheme="minorHAnsi" w:eastAsiaTheme="minorHAnsi" w:hAnsiTheme="minorHAnsi" w:cstheme="minorHAnsi"/>
          <w:color w:val="0A0A0A"/>
          <w:spacing w:val="4"/>
          <w:szCs w:val="20"/>
        </w:rPr>
        <w:t xml:space="preserve">Putting the EU Ecolabel on a tourist accommodation means that it has the following assets: a) limited energy consumption; b) limited water consumption; c) reduced waste production; d) preferred use of renewable resources; and e) promoting environmental education and communication with employees, </w:t>
      </w:r>
      <w:proofErr w:type="gramStart"/>
      <w:r w:rsidRPr="003B6A69">
        <w:rPr>
          <w:rFonts w:asciiTheme="minorHAnsi" w:eastAsiaTheme="minorHAnsi" w:hAnsiTheme="minorHAnsi" w:cstheme="minorHAnsi"/>
          <w:color w:val="0A0A0A"/>
          <w:spacing w:val="4"/>
          <w:szCs w:val="20"/>
        </w:rPr>
        <w:t>guests</w:t>
      </w:r>
      <w:proofErr w:type="gramEnd"/>
      <w:r w:rsidRPr="003B6A69">
        <w:rPr>
          <w:rFonts w:asciiTheme="minorHAnsi" w:eastAsiaTheme="minorHAnsi" w:hAnsiTheme="minorHAnsi" w:cstheme="minorHAnsi"/>
          <w:color w:val="0A0A0A"/>
          <w:spacing w:val="4"/>
          <w:szCs w:val="20"/>
        </w:rPr>
        <w:t xml:space="preserve"> and partners.</w:t>
      </w:r>
    </w:p>
    <w:p w14:paraId="4973DDF9" w14:textId="77777777" w:rsidR="008C4F26" w:rsidRPr="003B6A69" w:rsidRDefault="008C4F26" w:rsidP="008C4F26">
      <w:pPr>
        <w:spacing w:after="120" w:line="259" w:lineRule="auto"/>
        <w:rPr>
          <w:rFonts w:asciiTheme="minorHAnsi" w:eastAsiaTheme="minorHAnsi" w:hAnsiTheme="minorHAnsi" w:cstheme="minorHAnsi"/>
          <w:color w:val="0A0A0A"/>
          <w:spacing w:val="4"/>
          <w:szCs w:val="20"/>
        </w:rPr>
      </w:pPr>
      <w:r w:rsidRPr="003B6A69">
        <w:rPr>
          <w:rFonts w:asciiTheme="minorHAnsi" w:eastAsiaTheme="minorHAnsi" w:hAnsiTheme="minorHAnsi" w:cstheme="minorHAnsi"/>
          <w:color w:val="0A0A0A"/>
          <w:spacing w:val="4"/>
          <w:szCs w:val="20"/>
        </w:rPr>
        <w:t>EU Eco Label is appropriate for smaller accommodations and campsites, which practice individual and online booking. </w:t>
      </w:r>
    </w:p>
    <w:p w14:paraId="7D1773E4" w14:textId="77777777" w:rsidR="008C4F26" w:rsidRPr="003B6A69" w:rsidRDefault="008C4F26" w:rsidP="008C4F26">
      <w:pPr>
        <w:spacing w:after="120" w:line="259" w:lineRule="auto"/>
        <w:rPr>
          <w:rFonts w:asciiTheme="minorHAnsi" w:eastAsiaTheme="minorHAnsi" w:hAnsiTheme="minorHAnsi" w:cstheme="minorHAnsi"/>
          <w:szCs w:val="20"/>
        </w:rPr>
      </w:pPr>
      <w:r w:rsidRPr="003B6A69">
        <w:rPr>
          <w:rFonts w:asciiTheme="minorHAnsi" w:eastAsiaTheme="minorHAnsi" w:hAnsiTheme="minorHAnsi" w:cstheme="minorHAnsi"/>
          <w:szCs w:val="20"/>
        </w:rPr>
        <w:t xml:space="preserve">Although at the beginning of the </w:t>
      </w:r>
      <w:r w:rsidRPr="003B6A69">
        <w:rPr>
          <w:rFonts w:asciiTheme="minorHAnsi" w:eastAsiaTheme="minorHAnsi" w:hAnsiTheme="minorHAnsi" w:cstheme="minorHAnsi"/>
          <w:color w:val="0A0A0A"/>
          <w:spacing w:val="4"/>
          <w:szCs w:val="20"/>
        </w:rPr>
        <w:t xml:space="preserve">UNDP project “Towards Carbon Neutral Tourism in Montenegro” we had seen around 20 hotels having the EU </w:t>
      </w:r>
      <w:proofErr w:type="spellStart"/>
      <w:r w:rsidRPr="003B6A69">
        <w:rPr>
          <w:rFonts w:asciiTheme="minorHAnsi" w:eastAsiaTheme="minorHAnsi" w:hAnsiTheme="minorHAnsi" w:cstheme="minorHAnsi"/>
          <w:color w:val="0A0A0A"/>
          <w:spacing w:val="4"/>
          <w:szCs w:val="20"/>
        </w:rPr>
        <w:t>Ecolable</w:t>
      </w:r>
      <w:proofErr w:type="spellEnd"/>
      <w:r w:rsidRPr="003B6A69">
        <w:rPr>
          <w:rFonts w:asciiTheme="minorHAnsi" w:eastAsiaTheme="minorHAnsi" w:hAnsiTheme="minorHAnsi" w:cstheme="minorHAnsi"/>
          <w:color w:val="0A0A0A"/>
          <w:spacing w:val="4"/>
          <w:szCs w:val="20"/>
        </w:rPr>
        <w:t xml:space="preserve"> certificate, in 2020, based on the information from their official website, only</w:t>
      </w:r>
      <w:r w:rsidRPr="003B6A69">
        <w:rPr>
          <w:rFonts w:asciiTheme="minorHAnsi" w:eastAsiaTheme="minorHAnsi" w:hAnsiTheme="minorHAnsi" w:cstheme="minorHAnsi"/>
          <w:szCs w:val="20"/>
        </w:rPr>
        <w:t xml:space="preserve"> 15 hotels and apartments registered in Montenegro are currently having the "EU Ecolabel". </w:t>
      </w:r>
    </w:p>
    <w:p w14:paraId="07C5FB40" w14:textId="77777777" w:rsidR="008C4F26" w:rsidRPr="003B6A69" w:rsidRDefault="008C4F26" w:rsidP="008C4F26">
      <w:pPr>
        <w:spacing w:after="120" w:line="259" w:lineRule="auto"/>
        <w:rPr>
          <w:rFonts w:asciiTheme="minorHAnsi" w:eastAsiaTheme="minorHAnsi" w:hAnsiTheme="minorHAnsi" w:cstheme="minorHAnsi"/>
          <w:szCs w:val="20"/>
        </w:rPr>
      </w:pPr>
      <w:r w:rsidRPr="003B6A69">
        <w:rPr>
          <w:rFonts w:asciiTheme="minorHAnsi" w:eastAsiaTheme="minorHAnsi" w:hAnsiTheme="minorHAnsi" w:cstheme="minorHAnsi"/>
          <w:szCs w:val="20"/>
        </w:rPr>
        <w:t>The National Tourism Organization of Montenegro and the Ministry of Sustainable Development and Tourism provide funding for the introduction of eco-certificates, "</w:t>
      </w:r>
      <w:proofErr w:type="spellStart"/>
      <w:r w:rsidRPr="003B6A69">
        <w:rPr>
          <w:rFonts w:asciiTheme="minorHAnsi" w:eastAsiaTheme="minorHAnsi" w:hAnsiTheme="minorHAnsi" w:cstheme="minorHAnsi"/>
          <w:szCs w:val="20"/>
        </w:rPr>
        <w:t>Travelife</w:t>
      </w:r>
      <w:proofErr w:type="spellEnd"/>
      <w:r w:rsidRPr="003B6A69">
        <w:rPr>
          <w:rFonts w:asciiTheme="minorHAnsi" w:eastAsiaTheme="minorHAnsi" w:hAnsiTheme="minorHAnsi" w:cstheme="minorHAnsi"/>
          <w:szCs w:val="20"/>
        </w:rPr>
        <w:t xml:space="preserve">" for tour operators and travel agencies and "EU Ecolabel" for hotels and apartments, in partnership with the UNDP Office, with the support of the Low Carbon Tourism Development project. </w:t>
      </w:r>
    </w:p>
    <w:p w14:paraId="51447ED2" w14:textId="77777777" w:rsidR="008C4F26" w:rsidRPr="003B6A69" w:rsidRDefault="008C4F26" w:rsidP="008C4F26">
      <w:pPr>
        <w:spacing w:after="120" w:line="259" w:lineRule="auto"/>
        <w:rPr>
          <w:rFonts w:asciiTheme="minorHAnsi" w:eastAsiaTheme="minorHAnsi" w:hAnsiTheme="minorHAnsi" w:cstheme="minorHAnsi"/>
          <w:szCs w:val="20"/>
        </w:rPr>
      </w:pPr>
      <w:r w:rsidRPr="003B6A69">
        <w:rPr>
          <w:rFonts w:asciiTheme="minorHAnsi" w:eastAsiaTheme="minorHAnsi" w:hAnsiTheme="minorHAnsi" w:cstheme="minorHAnsi"/>
          <w:szCs w:val="20"/>
        </w:rPr>
        <w:t xml:space="preserve">The Ministry of Sustainable Development and Tourism offered the following services to the tourism accommodation sector: (1) Advisory services to the managers and responsible staff of the tourism accommodations </w:t>
      </w:r>
      <w:proofErr w:type="gramStart"/>
      <w:r w:rsidRPr="003B6A69">
        <w:rPr>
          <w:rFonts w:asciiTheme="minorHAnsi" w:eastAsiaTheme="minorHAnsi" w:hAnsiTheme="minorHAnsi" w:cstheme="minorHAnsi"/>
          <w:szCs w:val="20"/>
        </w:rPr>
        <w:t>in order to</w:t>
      </w:r>
      <w:proofErr w:type="gramEnd"/>
      <w:r w:rsidRPr="003B6A69">
        <w:rPr>
          <w:rFonts w:asciiTheme="minorHAnsi" w:eastAsiaTheme="minorHAnsi" w:hAnsiTheme="minorHAnsi" w:cstheme="minorHAnsi"/>
          <w:szCs w:val="20"/>
        </w:rPr>
        <w:t xml:space="preserve"> align with the listed certificate criteria; including technical visits, provision of forms and templates and best practices. (2) Co-financing certification costs through low carbon tourism project financed by GEF and implemented by UNDP, through earmarked funds for auditing costs, while certified facilities have the obligation to pay annual membership fees (2 years for </w:t>
      </w:r>
      <w:proofErr w:type="spellStart"/>
      <w:r w:rsidRPr="003B6A69">
        <w:rPr>
          <w:rFonts w:asciiTheme="minorHAnsi" w:eastAsiaTheme="minorHAnsi" w:hAnsiTheme="minorHAnsi" w:cstheme="minorHAnsi"/>
          <w:szCs w:val="20"/>
        </w:rPr>
        <w:t>Travelife</w:t>
      </w:r>
      <w:proofErr w:type="spellEnd"/>
      <w:r w:rsidRPr="003B6A69">
        <w:rPr>
          <w:rFonts w:asciiTheme="minorHAnsi" w:eastAsiaTheme="minorHAnsi" w:hAnsiTheme="minorHAnsi" w:cstheme="minorHAnsi"/>
          <w:szCs w:val="20"/>
        </w:rPr>
        <w:t xml:space="preserve"> and up to 5 years for the EU Eco-label certificate), thus encouraging the certification </w:t>
      </w:r>
      <w:proofErr w:type="spellStart"/>
      <w:r w:rsidRPr="003B6A69">
        <w:rPr>
          <w:rFonts w:asciiTheme="minorHAnsi" w:eastAsiaTheme="minorHAnsi" w:hAnsiTheme="minorHAnsi" w:cstheme="minorHAnsi"/>
          <w:szCs w:val="20"/>
        </w:rPr>
        <w:t>programme</w:t>
      </w:r>
      <w:proofErr w:type="spellEnd"/>
      <w:r w:rsidRPr="003B6A69">
        <w:rPr>
          <w:rFonts w:asciiTheme="minorHAnsi" w:eastAsiaTheme="minorHAnsi" w:hAnsiTheme="minorHAnsi" w:cstheme="minorHAnsi"/>
          <w:szCs w:val="20"/>
        </w:rPr>
        <w:t>. (3) Marketing and promotional support through local and national tourism promotional entities, events, and traditional and social media. </w:t>
      </w:r>
    </w:p>
    <w:p w14:paraId="4BC21D73" w14:textId="77777777" w:rsidR="008C4F26" w:rsidRPr="003B6A69" w:rsidRDefault="008C4F26" w:rsidP="008C4F26">
      <w:pPr>
        <w:spacing w:after="120" w:line="259" w:lineRule="auto"/>
        <w:rPr>
          <w:rFonts w:asciiTheme="minorHAnsi" w:eastAsiaTheme="minorHAnsi" w:hAnsiTheme="minorHAnsi" w:cstheme="minorHAnsi"/>
          <w:color w:val="000000" w:themeColor="text1"/>
          <w:szCs w:val="20"/>
        </w:rPr>
      </w:pPr>
      <w:r w:rsidRPr="003B6A69">
        <w:rPr>
          <w:rFonts w:asciiTheme="minorHAnsi" w:eastAsiaTheme="minorHAnsi" w:hAnsiTheme="minorHAnsi" w:cstheme="minorHAnsi"/>
          <w:color w:val="000000" w:themeColor="text1"/>
          <w:szCs w:val="20"/>
        </w:rPr>
        <w:t xml:space="preserve">Besides the two certification schemes supported by the Ministry of Sustainable Development and Tourism, two companies have both obtained Green Key and </w:t>
      </w:r>
      <w:proofErr w:type="spellStart"/>
      <w:r w:rsidRPr="003B6A69">
        <w:rPr>
          <w:rFonts w:asciiTheme="minorHAnsi" w:eastAsiaTheme="minorHAnsi" w:hAnsiTheme="minorHAnsi" w:cstheme="minorHAnsi"/>
          <w:color w:val="000000" w:themeColor="text1"/>
          <w:szCs w:val="20"/>
        </w:rPr>
        <w:t>TourCert</w:t>
      </w:r>
      <w:proofErr w:type="spellEnd"/>
      <w:r w:rsidRPr="003B6A69">
        <w:rPr>
          <w:rFonts w:asciiTheme="minorHAnsi" w:eastAsiaTheme="minorHAnsi" w:hAnsiTheme="minorHAnsi" w:cstheme="minorHAnsi"/>
          <w:color w:val="000000" w:themeColor="text1"/>
          <w:szCs w:val="20"/>
        </w:rPr>
        <w:t xml:space="preserve"> certification. </w:t>
      </w:r>
    </w:p>
    <w:p w14:paraId="70F0927A" w14:textId="77777777" w:rsidR="008C4F26" w:rsidRPr="003B6A69" w:rsidRDefault="008C4F26" w:rsidP="008C4F26">
      <w:pPr>
        <w:shd w:val="clear" w:color="auto" w:fill="FFFFFF"/>
        <w:spacing w:after="120" w:line="259" w:lineRule="auto"/>
        <w:rPr>
          <w:rFonts w:asciiTheme="minorHAnsi" w:eastAsiaTheme="minorHAnsi" w:hAnsiTheme="minorHAnsi" w:cstheme="minorBidi"/>
          <w:color w:val="000000" w:themeColor="text1"/>
          <w:szCs w:val="20"/>
        </w:rPr>
      </w:pPr>
      <w:r w:rsidRPr="003B6A69">
        <w:rPr>
          <w:rFonts w:asciiTheme="minorHAnsi" w:eastAsiaTheme="minorHAnsi" w:hAnsiTheme="minorHAnsi" w:cstheme="minorHAnsi"/>
          <w:color w:val="000000" w:themeColor="text1"/>
          <w:szCs w:val="20"/>
        </w:rPr>
        <w:t xml:space="preserve">One tourism operator has obtained </w:t>
      </w:r>
      <w:proofErr w:type="spellStart"/>
      <w:r w:rsidRPr="003B6A69">
        <w:rPr>
          <w:rFonts w:asciiTheme="minorHAnsi" w:eastAsiaTheme="minorHAnsi" w:hAnsiTheme="minorHAnsi" w:cstheme="minorHAnsi"/>
          <w:color w:val="000000" w:themeColor="text1"/>
          <w:szCs w:val="20"/>
        </w:rPr>
        <w:t>TourCert</w:t>
      </w:r>
      <w:proofErr w:type="spellEnd"/>
      <w:r w:rsidRPr="003B6A69">
        <w:rPr>
          <w:rFonts w:asciiTheme="minorHAnsi" w:eastAsiaTheme="minorHAnsi" w:hAnsiTheme="minorHAnsi" w:cstheme="minorHAnsi"/>
          <w:color w:val="000000" w:themeColor="text1"/>
          <w:szCs w:val="20"/>
        </w:rPr>
        <w:t xml:space="preserve"> certificate which is based on the assessment of core indicators: return on sales, turnover per available room, CO2 per night, percentage of recycled paper, residual waste per overnight stay, water consumption per night, guest satisfaction index, employee satisfaction index, proportion of sustainable products and proportion of certified suppliers. This certification does not include extensive criteria on BD preservation. </w:t>
      </w:r>
    </w:p>
    <w:p w14:paraId="58303A05" w14:textId="77777777" w:rsidR="008C4F26" w:rsidRPr="003B6A69" w:rsidRDefault="008C4F26" w:rsidP="008C4F26">
      <w:pPr>
        <w:spacing w:after="120" w:line="259" w:lineRule="auto"/>
        <w:rPr>
          <w:rFonts w:asciiTheme="minorHAnsi" w:eastAsiaTheme="minorHAnsi" w:hAnsiTheme="minorHAnsi" w:cstheme="minorHAnsi"/>
          <w:color w:val="000000" w:themeColor="text1"/>
          <w:szCs w:val="20"/>
        </w:rPr>
      </w:pPr>
      <w:r w:rsidRPr="003B6A69">
        <w:rPr>
          <w:rFonts w:asciiTheme="minorHAnsi" w:eastAsiaTheme="minorHAnsi" w:hAnsiTheme="minorHAnsi" w:cstheme="minorHAnsi"/>
          <w:color w:val="000000" w:themeColor="text1"/>
          <w:szCs w:val="20"/>
        </w:rPr>
        <w:t xml:space="preserve">One hotel in </w:t>
      </w:r>
      <w:proofErr w:type="spellStart"/>
      <w:r w:rsidRPr="003B6A69">
        <w:rPr>
          <w:rFonts w:asciiTheme="minorHAnsi" w:eastAsiaTheme="minorHAnsi" w:hAnsiTheme="minorHAnsi" w:cstheme="minorHAnsi"/>
          <w:color w:val="000000" w:themeColor="text1"/>
          <w:szCs w:val="20"/>
        </w:rPr>
        <w:t>Tivat</w:t>
      </w:r>
      <w:proofErr w:type="spellEnd"/>
      <w:r w:rsidRPr="003B6A69">
        <w:rPr>
          <w:rFonts w:asciiTheme="minorHAnsi" w:eastAsiaTheme="minorHAnsi" w:hAnsiTheme="minorHAnsi" w:cstheme="minorHAnsi"/>
          <w:color w:val="000000" w:themeColor="text1"/>
          <w:szCs w:val="20"/>
        </w:rPr>
        <w:t xml:space="preserve"> had obtained a “</w:t>
      </w:r>
      <w:r w:rsidRPr="003B6A69">
        <w:rPr>
          <w:rFonts w:asciiTheme="minorHAnsi" w:eastAsiaTheme="minorHAnsi" w:hAnsiTheme="minorHAnsi" w:cstheme="minorHAnsi"/>
          <w:bCs/>
          <w:color w:val="000000" w:themeColor="text1"/>
          <w:szCs w:val="20"/>
        </w:rPr>
        <w:t>Green Key”</w:t>
      </w:r>
      <w:r w:rsidRPr="003B6A69">
        <w:rPr>
          <w:rFonts w:asciiTheme="minorHAnsi" w:eastAsiaTheme="minorHAnsi" w:hAnsiTheme="minorHAnsi" w:cstheme="minorHAnsi"/>
          <w:color w:val="000000" w:themeColor="text1"/>
          <w:szCs w:val="20"/>
        </w:rPr>
        <w:t xml:space="preserve"> certificate in 2017. Green Key is an international ecolabel for tourism facilities. Green Key is provided for hotels, hostels, small accommodations, campsites, </w:t>
      </w:r>
      <w:proofErr w:type="gramStart"/>
      <w:r w:rsidRPr="003B6A69">
        <w:rPr>
          <w:rFonts w:asciiTheme="minorHAnsi" w:eastAsiaTheme="minorHAnsi" w:hAnsiTheme="minorHAnsi" w:cstheme="minorHAnsi"/>
          <w:color w:val="000000" w:themeColor="text1"/>
          <w:szCs w:val="20"/>
        </w:rPr>
        <w:t>restaurants</w:t>
      </w:r>
      <w:proofErr w:type="gramEnd"/>
      <w:r w:rsidRPr="003B6A69">
        <w:rPr>
          <w:rFonts w:asciiTheme="minorHAnsi" w:eastAsiaTheme="minorHAnsi" w:hAnsiTheme="minorHAnsi" w:cstheme="minorHAnsi"/>
          <w:color w:val="000000" w:themeColor="text1"/>
          <w:szCs w:val="20"/>
        </w:rPr>
        <w:t xml:space="preserve"> and attractions. The Green Key criteria consists of </w:t>
      </w:r>
      <w:proofErr w:type="gramStart"/>
      <w:r w:rsidRPr="003B6A69">
        <w:rPr>
          <w:rFonts w:asciiTheme="minorHAnsi" w:eastAsiaTheme="minorHAnsi" w:hAnsiTheme="minorHAnsi" w:cstheme="minorHAnsi"/>
          <w:color w:val="000000" w:themeColor="text1"/>
          <w:szCs w:val="20"/>
        </w:rPr>
        <w:t>a number of</w:t>
      </w:r>
      <w:proofErr w:type="gramEnd"/>
      <w:r w:rsidRPr="003B6A69">
        <w:rPr>
          <w:rFonts w:asciiTheme="minorHAnsi" w:eastAsiaTheme="minorHAnsi" w:hAnsiTheme="minorHAnsi" w:cstheme="minorHAnsi"/>
          <w:color w:val="000000" w:themeColor="text1"/>
          <w:szCs w:val="20"/>
        </w:rPr>
        <w:t xml:space="preserve"> international criteria (either obligatory or guideline criteria) that are the baseline criteria in all countries. In countries with national operators, it is possible to add or strengthen the criteria to adjust to national legislation, infrastructure, </w:t>
      </w:r>
      <w:proofErr w:type="gramStart"/>
      <w:r w:rsidRPr="003B6A69">
        <w:rPr>
          <w:rFonts w:asciiTheme="minorHAnsi" w:eastAsiaTheme="minorHAnsi" w:hAnsiTheme="minorHAnsi" w:cstheme="minorHAnsi"/>
          <w:color w:val="000000" w:themeColor="text1"/>
          <w:szCs w:val="20"/>
        </w:rPr>
        <w:t>climate</w:t>
      </w:r>
      <w:proofErr w:type="gramEnd"/>
      <w:r w:rsidRPr="003B6A69">
        <w:rPr>
          <w:rFonts w:asciiTheme="minorHAnsi" w:eastAsiaTheme="minorHAnsi" w:hAnsiTheme="minorHAnsi" w:cstheme="minorHAnsi"/>
          <w:color w:val="000000" w:themeColor="text1"/>
          <w:szCs w:val="20"/>
        </w:rPr>
        <w:t xml:space="preserve"> and culture. The criteria focus on environmental management with technical demands as well as involvement with guests, staff, </w:t>
      </w:r>
      <w:proofErr w:type="gramStart"/>
      <w:r w:rsidRPr="003B6A69">
        <w:rPr>
          <w:rFonts w:asciiTheme="minorHAnsi" w:eastAsiaTheme="minorHAnsi" w:hAnsiTheme="minorHAnsi" w:cstheme="minorHAnsi"/>
          <w:color w:val="000000" w:themeColor="text1"/>
          <w:szCs w:val="20"/>
        </w:rPr>
        <w:t>suppliers</w:t>
      </w:r>
      <w:proofErr w:type="gramEnd"/>
      <w:r w:rsidRPr="003B6A69">
        <w:rPr>
          <w:rFonts w:asciiTheme="minorHAnsi" w:eastAsiaTheme="minorHAnsi" w:hAnsiTheme="minorHAnsi" w:cstheme="minorHAnsi"/>
          <w:color w:val="000000" w:themeColor="text1"/>
          <w:szCs w:val="20"/>
        </w:rPr>
        <w:t xml:space="preserve"> and the surrounding community. Some of the fields covered </w:t>
      </w:r>
      <w:proofErr w:type="gramStart"/>
      <w:r w:rsidRPr="003B6A69">
        <w:rPr>
          <w:rFonts w:asciiTheme="minorHAnsi" w:eastAsiaTheme="minorHAnsi" w:hAnsiTheme="minorHAnsi" w:cstheme="minorHAnsi"/>
          <w:color w:val="000000" w:themeColor="text1"/>
          <w:szCs w:val="20"/>
        </w:rPr>
        <w:t>are:</w:t>
      </w:r>
      <w:proofErr w:type="gramEnd"/>
      <w:r w:rsidRPr="003B6A69">
        <w:rPr>
          <w:rFonts w:asciiTheme="minorHAnsi" w:eastAsiaTheme="minorHAnsi" w:hAnsiTheme="minorHAnsi" w:cstheme="minorHAnsi"/>
          <w:color w:val="000000" w:themeColor="text1"/>
          <w:szCs w:val="20"/>
        </w:rPr>
        <w:t xml:space="preserve"> environmental management, water, waste and energy saving, involvement and awareness of guests and staff, management of food and beverage, open spaces, etc. </w:t>
      </w:r>
    </w:p>
    <w:p w14:paraId="4D2EBAA4" w14:textId="77777777" w:rsidR="008C4F26" w:rsidRPr="003B6A69" w:rsidRDefault="008C4F26" w:rsidP="008C4F26">
      <w:pPr>
        <w:spacing w:after="120" w:line="259" w:lineRule="auto"/>
        <w:rPr>
          <w:rFonts w:asciiTheme="minorHAnsi" w:eastAsiaTheme="minorHAnsi" w:hAnsiTheme="minorHAnsi" w:cstheme="minorHAnsi"/>
          <w:color w:val="000000" w:themeColor="text1"/>
          <w:szCs w:val="20"/>
        </w:rPr>
      </w:pPr>
      <w:r w:rsidRPr="003B6A69">
        <w:rPr>
          <w:rFonts w:asciiTheme="minorHAnsi" w:eastAsiaTheme="minorHAnsi" w:hAnsiTheme="minorHAnsi" w:cstheme="minorHAnsi"/>
          <w:color w:val="000000" w:themeColor="text1"/>
          <w:szCs w:val="20"/>
        </w:rPr>
        <w:t>The biodiversity concerns are reflected in the Green Key certification for hotels</w:t>
      </w:r>
      <w:r w:rsidRPr="003B6A69">
        <w:rPr>
          <w:rFonts w:asciiTheme="minorHAnsi" w:eastAsiaTheme="minorHAnsi" w:hAnsiTheme="minorHAnsi" w:cstheme="minorHAnsi"/>
          <w:color w:val="000000" w:themeColor="text1"/>
          <w:szCs w:val="20"/>
          <w:vertAlign w:val="superscript"/>
        </w:rPr>
        <w:footnoteReference w:id="72"/>
      </w:r>
      <w:r w:rsidRPr="003B6A69">
        <w:rPr>
          <w:rFonts w:asciiTheme="minorHAnsi" w:eastAsiaTheme="minorHAnsi" w:hAnsiTheme="minorHAnsi" w:cstheme="minorHAnsi"/>
          <w:color w:val="000000" w:themeColor="text1"/>
          <w:szCs w:val="20"/>
        </w:rPr>
        <w:t xml:space="preserve"> through </w:t>
      </w:r>
      <w:proofErr w:type="gramStart"/>
      <w:r w:rsidRPr="003B6A69">
        <w:rPr>
          <w:rFonts w:asciiTheme="minorHAnsi" w:eastAsiaTheme="minorHAnsi" w:hAnsiTheme="minorHAnsi" w:cstheme="minorHAnsi"/>
          <w:color w:val="000000" w:themeColor="text1"/>
          <w:szCs w:val="20"/>
        </w:rPr>
        <w:t>a number of</w:t>
      </w:r>
      <w:proofErr w:type="gramEnd"/>
      <w:r w:rsidRPr="003B6A69">
        <w:rPr>
          <w:rFonts w:asciiTheme="minorHAnsi" w:eastAsiaTheme="minorHAnsi" w:hAnsiTheme="minorHAnsi" w:cstheme="minorHAnsi"/>
          <w:color w:val="000000" w:themeColor="text1"/>
          <w:szCs w:val="20"/>
        </w:rPr>
        <w:t xml:space="preserve"> specific compliance standards and indicators. The CSR criteria for the accommodations include direct references to the nature values and </w:t>
      </w:r>
      <w:r w:rsidRPr="003B6A69">
        <w:rPr>
          <w:rFonts w:asciiTheme="minorHAnsi" w:eastAsiaTheme="minorHAnsi" w:hAnsiTheme="minorHAnsi" w:cstheme="minorHAnsi"/>
          <w:color w:val="000000" w:themeColor="text1"/>
          <w:szCs w:val="20"/>
        </w:rPr>
        <w:lastRenderedPageBreak/>
        <w:t xml:space="preserve">ecosystems. In case the tourism accommodation </w:t>
      </w:r>
      <w:proofErr w:type="gramStart"/>
      <w:r w:rsidRPr="003B6A69">
        <w:rPr>
          <w:rFonts w:asciiTheme="minorHAnsi" w:eastAsiaTheme="minorHAnsi" w:hAnsiTheme="minorHAnsi" w:cstheme="minorHAnsi"/>
          <w:color w:val="000000" w:themeColor="text1"/>
          <w:szCs w:val="20"/>
        </w:rPr>
        <w:t>is located in</w:t>
      </w:r>
      <w:proofErr w:type="gramEnd"/>
      <w:r w:rsidRPr="003B6A69">
        <w:rPr>
          <w:rFonts w:asciiTheme="minorHAnsi" w:eastAsiaTheme="minorHAnsi" w:hAnsiTheme="minorHAnsi" w:cstheme="minorHAnsi"/>
          <w:color w:val="000000" w:themeColor="text1"/>
          <w:szCs w:val="20"/>
        </w:rPr>
        <w:t xml:space="preserve"> or near a sensitive or protected area, it should be aware and respectful of the legislation and regulations regarding tourism activities within the sensitive or protected area. The accommodation ensures that activities in connection with the management of the establishment do not have significant negative effects on natural ecosystems and wildlife. Any disturbance of natural ecosystems is </w:t>
      </w:r>
      <w:proofErr w:type="spellStart"/>
      <w:r w:rsidRPr="003B6A69">
        <w:rPr>
          <w:rFonts w:asciiTheme="minorHAnsi" w:eastAsiaTheme="minorHAnsi" w:hAnsiTheme="minorHAnsi" w:cstheme="minorHAnsi"/>
          <w:color w:val="000000" w:themeColor="text1"/>
          <w:szCs w:val="20"/>
        </w:rPr>
        <w:t>minimised</w:t>
      </w:r>
      <w:proofErr w:type="spellEnd"/>
      <w:r w:rsidRPr="003B6A69">
        <w:rPr>
          <w:rFonts w:asciiTheme="minorHAnsi" w:eastAsiaTheme="minorHAnsi" w:hAnsiTheme="minorHAnsi" w:cstheme="minorHAnsi"/>
          <w:color w:val="000000" w:themeColor="text1"/>
          <w:szCs w:val="20"/>
        </w:rPr>
        <w:t>, rehabilitated, and a compensatory contribution made to conservation management. This also includes practices to reduce pollution from noise, light, runoff, erosion, ozone-depleting compounds, and air, water, and soil contamination.</w:t>
      </w:r>
    </w:p>
    <w:p w14:paraId="14BB03D7" w14:textId="77777777" w:rsidR="008C4F26" w:rsidRPr="003B6A69" w:rsidRDefault="008C4F26" w:rsidP="008C4F26">
      <w:pPr>
        <w:autoSpaceDE w:val="0"/>
        <w:autoSpaceDN w:val="0"/>
        <w:adjustRightInd w:val="0"/>
        <w:spacing w:after="120"/>
        <w:rPr>
          <w:rFonts w:asciiTheme="minorHAnsi" w:eastAsia="Calibri" w:hAnsiTheme="minorHAnsi" w:cstheme="minorHAnsi"/>
          <w:color w:val="000000" w:themeColor="text1"/>
          <w:szCs w:val="20"/>
        </w:rPr>
      </w:pPr>
      <w:r w:rsidRPr="003B6A69">
        <w:rPr>
          <w:rFonts w:asciiTheme="minorHAnsi" w:eastAsia="Calibri" w:hAnsiTheme="minorHAnsi" w:cstheme="minorHAnsi"/>
          <w:color w:val="000000" w:themeColor="text1"/>
          <w:szCs w:val="20"/>
        </w:rPr>
        <w:t>The siting, design and construction of buildings and infrastructure should comply with local zoning and protected or heritage area requirements. It should take account of the capacity and integrity of the natural and cultural heritage surroundings in siting, design, impact assessment and land rights and acquisition. The accommodation management is expected to identify and follow the local development codes and relevant management guidelines.</w:t>
      </w:r>
    </w:p>
    <w:p w14:paraId="658F15E9" w14:textId="77777777" w:rsidR="008C4F26" w:rsidRPr="003B6A69" w:rsidRDefault="008C4F26" w:rsidP="008C4F26">
      <w:pPr>
        <w:spacing w:after="120" w:line="259" w:lineRule="auto"/>
        <w:rPr>
          <w:rFonts w:asciiTheme="minorHAnsi" w:eastAsiaTheme="minorHAnsi" w:hAnsiTheme="minorHAnsi" w:cstheme="minorHAnsi"/>
          <w:color w:val="000000" w:themeColor="text1"/>
          <w:szCs w:val="20"/>
        </w:rPr>
      </w:pPr>
      <w:r w:rsidRPr="003B6A69">
        <w:rPr>
          <w:rFonts w:asciiTheme="minorHAnsi" w:eastAsiaTheme="minorHAnsi" w:hAnsiTheme="minorHAnsi" w:cstheme="minorHAnsi"/>
          <w:color w:val="000000" w:themeColor="text1"/>
          <w:szCs w:val="20"/>
        </w:rPr>
        <w:t xml:space="preserve">There is a specific section in the CSR policies regarding wildlife: species of wild animals are not to be acquired, bred nor held captive, except for properly regulated activities applied by those </w:t>
      </w:r>
      <w:proofErr w:type="spellStart"/>
      <w:r w:rsidRPr="003B6A69">
        <w:rPr>
          <w:rFonts w:asciiTheme="minorHAnsi" w:eastAsiaTheme="minorHAnsi" w:hAnsiTheme="minorHAnsi" w:cstheme="minorHAnsi"/>
          <w:color w:val="000000" w:themeColor="text1"/>
          <w:szCs w:val="20"/>
        </w:rPr>
        <w:t>authorised</w:t>
      </w:r>
      <w:proofErr w:type="spellEnd"/>
      <w:r w:rsidRPr="003B6A69">
        <w:rPr>
          <w:rFonts w:asciiTheme="minorHAnsi" w:eastAsiaTheme="minorHAnsi" w:hAnsiTheme="minorHAnsi" w:cstheme="minorHAnsi"/>
          <w:color w:val="000000" w:themeColor="text1"/>
          <w:szCs w:val="20"/>
        </w:rPr>
        <w:t xml:space="preserve"> and suitably equipped to house and care for them. Housing, </w:t>
      </w:r>
      <w:proofErr w:type="gramStart"/>
      <w:r w:rsidRPr="003B6A69">
        <w:rPr>
          <w:rFonts w:asciiTheme="minorHAnsi" w:eastAsiaTheme="minorHAnsi" w:hAnsiTheme="minorHAnsi" w:cstheme="minorHAnsi"/>
          <w:color w:val="000000" w:themeColor="text1"/>
          <w:szCs w:val="20"/>
        </w:rPr>
        <w:t>care</w:t>
      </w:r>
      <w:proofErr w:type="gramEnd"/>
      <w:r w:rsidRPr="003B6A69">
        <w:rPr>
          <w:rFonts w:asciiTheme="minorHAnsi" w:eastAsiaTheme="minorHAnsi" w:hAnsiTheme="minorHAnsi" w:cstheme="minorHAnsi"/>
          <w:color w:val="000000" w:themeColor="text1"/>
          <w:szCs w:val="20"/>
        </w:rPr>
        <w:t xml:space="preserve"> and handling of all wild and domestic animals must meet the highest standards of animal welfare. Interactions with free-roaming wildlife </w:t>
      </w:r>
      <w:proofErr w:type="spellStart"/>
      <w:r w:rsidRPr="003B6A69">
        <w:rPr>
          <w:rFonts w:asciiTheme="minorHAnsi" w:eastAsiaTheme="minorHAnsi" w:hAnsiTheme="minorHAnsi" w:cstheme="minorHAnsi"/>
          <w:color w:val="000000" w:themeColor="text1"/>
          <w:szCs w:val="20"/>
        </w:rPr>
        <w:t>organised</w:t>
      </w:r>
      <w:proofErr w:type="spellEnd"/>
      <w:r w:rsidRPr="003B6A69">
        <w:rPr>
          <w:rFonts w:asciiTheme="minorHAnsi" w:eastAsiaTheme="minorHAnsi" w:hAnsiTheme="minorHAnsi" w:cstheme="minorHAnsi"/>
          <w:color w:val="000000" w:themeColor="text1"/>
          <w:szCs w:val="20"/>
        </w:rPr>
        <w:t xml:space="preserve"> by the establishment need to be non-invasive and responsibly managed to avoid adverse effects on the animals concerned </w:t>
      </w:r>
      <w:proofErr w:type="gramStart"/>
      <w:r w:rsidRPr="003B6A69">
        <w:rPr>
          <w:rFonts w:asciiTheme="minorHAnsi" w:eastAsiaTheme="minorHAnsi" w:hAnsiTheme="minorHAnsi" w:cstheme="minorHAnsi"/>
          <w:color w:val="000000" w:themeColor="text1"/>
          <w:szCs w:val="20"/>
        </w:rPr>
        <w:t>and on the viability</w:t>
      </w:r>
      <w:proofErr w:type="gramEnd"/>
      <w:r w:rsidRPr="003B6A69">
        <w:rPr>
          <w:rFonts w:asciiTheme="minorHAnsi" w:eastAsiaTheme="minorHAnsi" w:hAnsiTheme="minorHAnsi" w:cstheme="minorHAnsi"/>
          <w:color w:val="000000" w:themeColor="text1"/>
          <w:szCs w:val="20"/>
        </w:rPr>
        <w:t xml:space="preserve"> and </w:t>
      </w:r>
      <w:proofErr w:type="spellStart"/>
      <w:r w:rsidRPr="003B6A69">
        <w:rPr>
          <w:rFonts w:asciiTheme="minorHAnsi" w:eastAsiaTheme="minorHAnsi" w:hAnsiTheme="minorHAnsi" w:cstheme="minorHAnsi"/>
          <w:color w:val="000000" w:themeColor="text1"/>
          <w:szCs w:val="20"/>
        </w:rPr>
        <w:t>behaviour</w:t>
      </w:r>
      <w:proofErr w:type="spellEnd"/>
      <w:r w:rsidRPr="003B6A69">
        <w:rPr>
          <w:rFonts w:asciiTheme="minorHAnsi" w:eastAsiaTheme="minorHAnsi" w:hAnsiTheme="minorHAnsi" w:cstheme="minorHAnsi"/>
          <w:color w:val="000000" w:themeColor="text1"/>
          <w:szCs w:val="20"/>
        </w:rPr>
        <w:t xml:space="preserve"> of populations in the wild (taking the cumulative impact into account).</w:t>
      </w:r>
    </w:p>
    <w:p w14:paraId="3D487E6F" w14:textId="77777777" w:rsidR="008C4F26" w:rsidRPr="003B6A69" w:rsidRDefault="008C4F26" w:rsidP="008C4F26">
      <w:pPr>
        <w:autoSpaceDE w:val="0"/>
        <w:autoSpaceDN w:val="0"/>
        <w:adjustRightInd w:val="0"/>
        <w:spacing w:after="120"/>
        <w:rPr>
          <w:rFonts w:asciiTheme="minorHAnsi" w:eastAsia="Calibri" w:hAnsiTheme="minorHAnsi" w:cstheme="minorHAnsi"/>
          <w:color w:val="000000" w:themeColor="text1"/>
          <w:szCs w:val="20"/>
        </w:rPr>
      </w:pPr>
      <w:r w:rsidRPr="003B6A69">
        <w:rPr>
          <w:rFonts w:asciiTheme="minorHAnsi" w:eastAsia="Calibri" w:hAnsiTheme="minorHAnsi" w:cstheme="minorHAnsi"/>
          <w:color w:val="000000" w:themeColor="text1"/>
          <w:szCs w:val="20"/>
        </w:rPr>
        <w:t xml:space="preserve">For the management of green areas, the accommodations are required not to use chemical </w:t>
      </w:r>
      <w:proofErr w:type="spellStart"/>
      <w:r w:rsidRPr="003B6A69">
        <w:rPr>
          <w:rFonts w:asciiTheme="minorHAnsi" w:eastAsia="Calibri" w:hAnsiTheme="minorHAnsi" w:cstheme="minorHAnsi"/>
          <w:color w:val="000000" w:themeColor="text1"/>
          <w:szCs w:val="20"/>
        </w:rPr>
        <w:t>fertilisers</w:t>
      </w:r>
      <w:proofErr w:type="spellEnd"/>
      <w:r w:rsidRPr="003B6A69">
        <w:rPr>
          <w:rFonts w:asciiTheme="minorHAnsi" w:eastAsia="Calibri" w:hAnsiTheme="minorHAnsi" w:cstheme="minorHAnsi"/>
          <w:color w:val="000000" w:themeColor="text1"/>
          <w:szCs w:val="20"/>
        </w:rPr>
        <w:t xml:space="preserve"> and pesticides; if pesticides and </w:t>
      </w:r>
      <w:proofErr w:type="spellStart"/>
      <w:r w:rsidRPr="003B6A69">
        <w:rPr>
          <w:rFonts w:asciiTheme="minorHAnsi" w:eastAsia="Calibri" w:hAnsiTheme="minorHAnsi" w:cstheme="minorHAnsi"/>
          <w:color w:val="000000" w:themeColor="text1"/>
          <w:szCs w:val="20"/>
        </w:rPr>
        <w:t>fertilisers</w:t>
      </w:r>
      <w:proofErr w:type="spellEnd"/>
      <w:r w:rsidRPr="003B6A69">
        <w:rPr>
          <w:rFonts w:asciiTheme="minorHAnsi" w:eastAsia="Calibri" w:hAnsiTheme="minorHAnsi" w:cstheme="minorHAnsi"/>
          <w:color w:val="000000" w:themeColor="text1"/>
          <w:szCs w:val="20"/>
        </w:rPr>
        <w:t xml:space="preserve"> are needed, organic or natural equivalents should be used. The accommodation management is expected to ensure the planting of native species in the design of new green areas. If there are invasive species such as weeds, animals, or pathogens present on the premises, the management plan for the area should include information on how to control their spread and preferably eradicate them.</w:t>
      </w:r>
    </w:p>
    <w:p w14:paraId="21274CA8" w14:textId="77777777" w:rsidR="008C4F26" w:rsidRPr="003B6A69" w:rsidRDefault="008C4F26" w:rsidP="008C4F26">
      <w:pPr>
        <w:spacing w:after="120" w:line="259" w:lineRule="auto"/>
        <w:rPr>
          <w:rFonts w:asciiTheme="minorHAnsi" w:eastAsiaTheme="minorHAnsi" w:hAnsiTheme="minorHAnsi" w:cstheme="minorHAnsi"/>
          <w:color w:val="000000" w:themeColor="text1"/>
          <w:szCs w:val="20"/>
        </w:rPr>
      </w:pPr>
      <w:r w:rsidRPr="003B6A69">
        <w:rPr>
          <w:rFonts w:asciiTheme="minorHAnsi" w:eastAsiaTheme="minorHAnsi" w:hAnsiTheme="minorHAnsi" w:cstheme="minorHAnsi"/>
          <w:color w:val="000000" w:themeColor="text1"/>
          <w:szCs w:val="20"/>
        </w:rPr>
        <w:t xml:space="preserve">As Montenegro is a country with a beautiful coast it is very important to note the Blue Flag </w:t>
      </w:r>
      <w:proofErr w:type="spellStart"/>
      <w:r w:rsidRPr="003B6A69">
        <w:rPr>
          <w:rFonts w:asciiTheme="minorHAnsi" w:eastAsiaTheme="minorHAnsi" w:hAnsiTheme="minorHAnsi" w:cstheme="minorHAnsi"/>
          <w:color w:val="000000" w:themeColor="text1"/>
          <w:szCs w:val="20"/>
        </w:rPr>
        <w:t>programme</w:t>
      </w:r>
      <w:proofErr w:type="spellEnd"/>
      <w:r w:rsidRPr="003B6A69">
        <w:rPr>
          <w:rFonts w:asciiTheme="minorHAnsi" w:eastAsiaTheme="minorHAnsi" w:hAnsiTheme="minorHAnsi" w:cstheme="minorHAnsi"/>
          <w:color w:val="000000" w:themeColor="text1"/>
          <w:szCs w:val="20"/>
        </w:rPr>
        <w:t xml:space="preserve">. In 2019, 30 beaches in Montenegro received this international environmental sign of recognition: "Blue Flag". This prize is awarded annually to the best beaches from around the world, which have high quality water and excellent conditions for recreation. The leader in the number of beaches awarded the Blue Flag was the </w:t>
      </w:r>
      <w:proofErr w:type="spellStart"/>
      <w:r w:rsidRPr="003B6A69">
        <w:rPr>
          <w:rFonts w:asciiTheme="minorHAnsi" w:eastAsiaTheme="minorHAnsi" w:hAnsiTheme="minorHAnsi" w:cstheme="minorHAnsi"/>
          <w:color w:val="000000" w:themeColor="text1"/>
          <w:szCs w:val="20"/>
        </w:rPr>
        <w:t>Budva</w:t>
      </w:r>
      <w:proofErr w:type="spellEnd"/>
      <w:r w:rsidRPr="003B6A69">
        <w:rPr>
          <w:rFonts w:asciiTheme="minorHAnsi" w:eastAsiaTheme="minorHAnsi" w:hAnsiTheme="minorHAnsi" w:cstheme="minorHAnsi"/>
          <w:color w:val="000000" w:themeColor="text1"/>
          <w:szCs w:val="20"/>
        </w:rPr>
        <w:t xml:space="preserve"> Riviera with 16 beaches (3 more than a year earlier). The beaches of Sirena, </w:t>
      </w:r>
      <w:proofErr w:type="spellStart"/>
      <w:r w:rsidRPr="003B6A69">
        <w:rPr>
          <w:rFonts w:asciiTheme="minorHAnsi" w:eastAsiaTheme="minorHAnsi" w:hAnsiTheme="minorHAnsi" w:cstheme="minorHAnsi"/>
          <w:color w:val="000000" w:themeColor="text1"/>
          <w:szCs w:val="20"/>
        </w:rPr>
        <w:t>Svetionik</w:t>
      </w:r>
      <w:proofErr w:type="spellEnd"/>
      <w:r w:rsidRPr="003B6A69">
        <w:rPr>
          <w:rFonts w:asciiTheme="minorHAnsi" w:eastAsiaTheme="minorHAnsi" w:hAnsiTheme="minorHAnsi" w:cstheme="minorHAnsi"/>
          <w:color w:val="000000" w:themeColor="text1"/>
          <w:szCs w:val="20"/>
        </w:rPr>
        <w:t xml:space="preserve">, S &amp; I Beach Life, </w:t>
      </w:r>
      <w:proofErr w:type="spellStart"/>
      <w:r w:rsidRPr="003B6A69">
        <w:rPr>
          <w:rFonts w:asciiTheme="minorHAnsi" w:eastAsiaTheme="minorHAnsi" w:hAnsiTheme="minorHAnsi" w:cstheme="minorHAnsi"/>
          <w:color w:val="000000" w:themeColor="text1"/>
          <w:szCs w:val="20"/>
        </w:rPr>
        <w:t>Escallera</w:t>
      </w:r>
      <w:proofErr w:type="spellEnd"/>
      <w:r w:rsidRPr="003B6A69">
        <w:rPr>
          <w:rFonts w:asciiTheme="minorHAnsi" w:eastAsiaTheme="minorHAnsi" w:hAnsiTheme="minorHAnsi" w:cstheme="minorHAnsi"/>
          <w:color w:val="000000" w:themeColor="text1"/>
          <w:szCs w:val="20"/>
        </w:rPr>
        <w:t>, Blue Beach and Poseidon have become recipients of the international sign of environmental recognition of Blue Flag. In the Ulcinj Riviera, located in the southern resort area of Montenegro, 10 beaches received the Blue Flag. In the past year, three beaches of the Bar Riviera received the Blue Flag international award: “Center” and “</w:t>
      </w:r>
      <w:proofErr w:type="spellStart"/>
      <w:r w:rsidRPr="003B6A69">
        <w:rPr>
          <w:rFonts w:asciiTheme="minorHAnsi" w:eastAsiaTheme="minorHAnsi" w:hAnsiTheme="minorHAnsi" w:cstheme="minorHAnsi"/>
          <w:color w:val="000000" w:themeColor="text1"/>
          <w:szCs w:val="20"/>
        </w:rPr>
        <w:t>Korali</w:t>
      </w:r>
      <w:proofErr w:type="spellEnd"/>
      <w:r w:rsidRPr="003B6A69">
        <w:rPr>
          <w:rFonts w:asciiTheme="minorHAnsi" w:eastAsiaTheme="minorHAnsi" w:hAnsiTheme="minorHAnsi" w:cstheme="minorHAnsi"/>
          <w:color w:val="000000" w:themeColor="text1"/>
          <w:szCs w:val="20"/>
        </w:rPr>
        <w:t xml:space="preserve">” in </w:t>
      </w:r>
      <w:proofErr w:type="spellStart"/>
      <w:r w:rsidRPr="003B6A69">
        <w:rPr>
          <w:rFonts w:asciiTheme="minorHAnsi" w:eastAsiaTheme="minorHAnsi" w:hAnsiTheme="minorHAnsi" w:cstheme="minorHAnsi"/>
          <w:color w:val="000000" w:themeColor="text1"/>
          <w:szCs w:val="20"/>
        </w:rPr>
        <w:t>Sutomore</w:t>
      </w:r>
      <w:proofErr w:type="spellEnd"/>
      <w:r w:rsidRPr="003B6A69">
        <w:rPr>
          <w:rFonts w:asciiTheme="minorHAnsi" w:eastAsiaTheme="minorHAnsi" w:hAnsiTheme="minorHAnsi" w:cstheme="minorHAnsi"/>
          <w:color w:val="000000" w:themeColor="text1"/>
          <w:szCs w:val="20"/>
        </w:rPr>
        <w:t xml:space="preserve">, </w:t>
      </w:r>
      <w:proofErr w:type="gramStart"/>
      <w:r w:rsidRPr="003B6A69">
        <w:rPr>
          <w:rFonts w:asciiTheme="minorHAnsi" w:eastAsiaTheme="minorHAnsi" w:hAnsiTheme="minorHAnsi" w:cstheme="minorHAnsi"/>
          <w:color w:val="000000" w:themeColor="text1"/>
          <w:szCs w:val="20"/>
        </w:rPr>
        <w:t>and also</w:t>
      </w:r>
      <w:proofErr w:type="gramEnd"/>
      <w:r w:rsidRPr="003B6A69">
        <w:rPr>
          <w:rFonts w:asciiTheme="minorHAnsi" w:eastAsiaTheme="minorHAnsi" w:hAnsiTheme="minorHAnsi" w:cstheme="minorHAnsi"/>
          <w:color w:val="000000" w:themeColor="text1"/>
          <w:szCs w:val="20"/>
        </w:rPr>
        <w:t xml:space="preserve"> “Paradiso” (Paradiso) in </w:t>
      </w:r>
      <w:proofErr w:type="spellStart"/>
      <w:r w:rsidRPr="003B6A69">
        <w:rPr>
          <w:rFonts w:asciiTheme="minorHAnsi" w:eastAsiaTheme="minorHAnsi" w:hAnsiTheme="minorHAnsi" w:cstheme="minorHAnsi"/>
          <w:color w:val="000000" w:themeColor="text1"/>
          <w:szCs w:val="20"/>
        </w:rPr>
        <w:t>Uteha</w:t>
      </w:r>
      <w:proofErr w:type="spellEnd"/>
      <w:r w:rsidRPr="003B6A69">
        <w:rPr>
          <w:rFonts w:asciiTheme="minorHAnsi" w:eastAsiaTheme="minorHAnsi" w:hAnsiTheme="minorHAnsi" w:cstheme="minorHAnsi"/>
          <w:color w:val="000000" w:themeColor="text1"/>
          <w:szCs w:val="20"/>
        </w:rPr>
        <w:t xml:space="preserve">. In </w:t>
      </w:r>
      <w:proofErr w:type="spellStart"/>
      <w:r w:rsidRPr="003B6A69">
        <w:rPr>
          <w:rFonts w:asciiTheme="minorHAnsi" w:eastAsiaTheme="minorHAnsi" w:hAnsiTheme="minorHAnsi" w:cstheme="minorHAnsi"/>
          <w:color w:val="000000" w:themeColor="text1"/>
          <w:szCs w:val="20"/>
        </w:rPr>
        <w:t>Tivat</w:t>
      </w:r>
      <w:proofErr w:type="spellEnd"/>
      <w:r w:rsidRPr="003B6A69">
        <w:rPr>
          <w:rFonts w:asciiTheme="minorHAnsi" w:eastAsiaTheme="minorHAnsi" w:hAnsiTheme="minorHAnsi" w:cstheme="minorHAnsi"/>
          <w:color w:val="000000" w:themeColor="text1"/>
          <w:szCs w:val="20"/>
        </w:rPr>
        <w:t xml:space="preserve"> Riviera, the international quality mark has been assigned to two beaches: </w:t>
      </w:r>
      <w:proofErr w:type="spellStart"/>
      <w:r w:rsidRPr="003B6A69">
        <w:rPr>
          <w:rFonts w:asciiTheme="minorHAnsi" w:eastAsiaTheme="minorHAnsi" w:hAnsiTheme="minorHAnsi" w:cstheme="minorHAnsi"/>
          <w:color w:val="000000" w:themeColor="text1"/>
          <w:szCs w:val="20"/>
        </w:rPr>
        <w:t>Plavi</w:t>
      </w:r>
      <w:proofErr w:type="spellEnd"/>
      <w:r w:rsidRPr="003B6A69">
        <w:rPr>
          <w:rFonts w:asciiTheme="minorHAnsi" w:eastAsiaTheme="minorHAnsi" w:hAnsiTheme="minorHAnsi" w:cstheme="minorHAnsi"/>
          <w:color w:val="000000" w:themeColor="text1"/>
          <w:szCs w:val="20"/>
        </w:rPr>
        <w:t xml:space="preserve"> </w:t>
      </w:r>
      <w:proofErr w:type="spellStart"/>
      <w:r w:rsidRPr="003B6A69">
        <w:rPr>
          <w:rFonts w:asciiTheme="minorHAnsi" w:eastAsiaTheme="minorHAnsi" w:hAnsiTheme="minorHAnsi" w:cstheme="minorHAnsi"/>
          <w:color w:val="000000" w:themeColor="text1"/>
          <w:szCs w:val="20"/>
        </w:rPr>
        <w:t>horizonti</w:t>
      </w:r>
      <w:proofErr w:type="spellEnd"/>
      <w:r w:rsidRPr="003B6A69">
        <w:rPr>
          <w:rFonts w:asciiTheme="minorHAnsi" w:eastAsiaTheme="minorHAnsi" w:hAnsiTheme="minorHAnsi" w:cstheme="minorHAnsi"/>
          <w:color w:val="000000" w:themeColor="text1"/>
          <w:szCs w:val="20"/>
        </w:rPr>
        <w:t xml:space="preserve"> on the </w:t>
      </w:r>
      <w:proofErr w:type="spellStart"/>
      <w:r w:rsidRPr="003B6A69">
        <w:rPr>
          <w:rFonts w:asciiTheme="minorHAnsi" w:eastAsiaTheme="minorHAnsi" w:hAnsiTheme="minorHAnsi" w:cstheme="minorHAnsi"/>
          <w:color w:val="000000" w:themeColor="text1"/>
          <w:szCs w:val="20"/>
        </w:rPr>
        <w:t>Lustica</w:t>
      </w:r>
      <w:proofErr w:type="spellEnd"/>
      <w:r w:rsidRPr="003B6A69">
        <w:rPr>
          <w:rFonts w:asciiTheme="minorHAnsi" w:eastAsiaTheme="minorHAnsi" w:hAnsiTheme="minorHAnsi" w:cstheme="minorHAnsi"/>
          <w:color w:val="000000" w:themeColor="text1"/>
          <w:szCs w:val="20"/>
        </w:rPr>
        <w:t xml:space="preserve"> peninsula and </w:t>
      </w:r>
      <w:proofErr w:type="spellStart"/>
      <w:r w:rsidRPr="003B6A69">
        <w:rPr>
          <w:rFonts w:asciiTheme="minorHAnsi" w:eastAsiaTheme="minorHAnsi" w:hAnsiTheme="minorHAnsi" w:cstheme="minorHAnsi"/>
          <w:color w:val="000000" w:themeColor="text1"/>
          <w:szCs w:val="20"/>
        </w:rPr>
        <w:t>Kalardovo</w:t>
      </w:r>
      <w:proofErr w:type="spellEnd"/>
      <w:r w:rsidRPr="003B6A69">
        <w:rPr>
          <w:rFonts w:asciiTheme="minorHAnsi" w:eastAsiaTheme="minorHAnsi" w:hAnsiTheme="minorHAnsi" w:cstheme="minorHAnsi"/>
          <w:color w:val="000000" w:themeColor="text1"/>
          <w:szCs w:val="20"/>
        </w:rPr>
        <w:t xml:space="preserve"> near the island of Flowers. In the municipality of </w:t>
      </w:r>
      <w:proofErr w:type="spellStart"/>
      <w:r w:rsidRPr="003B6A69">
        <w:rPr>
          <w:rFonts w:asciiTheme="minorHAnsi" w:eastAsiaTheme="minorHAnsi" w:hAnsiTheme="minorHAnsi" w:cstheme="minorHAnsi"/>
          <w:color w:val="000000" w:themeColor="text1"/>
          <w:szCs w:val="20"/>
        </w:rPr>
        <w:t>Herceg</w:t>
      </w:r>
      <w:proofErr w:type="spellEnd"/>
      <w:r w:rsidRPr="003B6A69">
        <w:rPr>
          <w:rFonts w:asciiTheme="minorHAnsi" w:eastAsiaTheme="minorHAnsi" w:hAnsiTheme="minorHAnsi" w:cstheme="minorHAnsi"/>
          <w:color w:val="000000" w:themeColor="text1"/>
          <w:szCs w:val="20"/>
        </w:rPr>
        <w:t xml:space="preserve"> Novi, the Blue Flag will fly only on one beach - “</w:t>
      </w:r>
      <w:proofErr w:type="spellStart"/>
      <w:r w:rsidRPr="003B6A69">
        <w:rPr>
          <w:rFonts w:asciiTheme="minorHAnsi" w:eastAsiaTheme="minorHAnsi" w:hAnsiTheme="minorHAnsi" w:cstheme="minorHAnsi"/>
          <w:color w:val="000000" w:themeColor="text1"/>
          <w:szCs w:val="20"/>
        </w:rPr>
        <w:t>Dobrec</w:t>
      </w:r>
      <w:proofErr w:type="spellEnd"/>
      <w:r w:rsidRPr="003B6A69">
        <w:rPr>
          <w:rFonts w:asciiTheme="minorHAnsi" w:eastAsiaTheme="minorHAnsi" w:hAnsiTheme="minorHAnsi" w:cstheme="minorHAnsi"/>
          <w:color w:val="000000" w:themeColor="text1"/>
          <w:szCs w:val="20"/>
        </w:rPr>
        <w:t xml:space="preserve">” in the same-named bay on the </w:t>
      </w:r>
      <w:proofErr w:type="spellStart"/>
      <w:r w:rsidRPr="003B6A69">
        <w:rPr>
          <w:rFonts w:asciiTheme="minorHAnsi" w:eastAsiaTheme="minorHAnsi" w:hAnsiTheme="minorHAnsi" w:cstheme="minorHAnsi"/>
          <w:color w:val="000000" w:themeColor="text1"/>
          <w:szCs w:val="20"/>
        </w:rPr>
        <w:t>Lustica</w:t>
      </w:r>
      <w:proofErr w:type="spellEnd"/>
      <w:r w:rsidRPr="003B6A69">
        <w:rPr>
          <w:rFonts w:asciiTheme="minorHAnsi" w:eastAsiaTheme="minorHAnsi" w:hAnsiTheme="minorHAnsi" w:cstheme="minorHAnsi"/>
          <w:color w:val="000000" w:themeColor="text1"/>
          <w:szCs w:val="20"/>
        </w:rPr>
        <w:t xml:space="preserve"> peninsula. It is worth noting that the Blue Flag has been awarded to the beaches of Montenegro since 2003, when the local non-governmental organization </w:t>
      </w:r>
      <w:proofErr w:type="spellStart"/>
      <w:r w:rsidRPr="003B6A69">
        <w:rPr>
          <w:rFonts w:asciiTheme="minorHAnsi" w:eastAsiaTheme="minorHAnsi" w:hAnsiTheme="minorHAnsi" w:cstheme="minorHAnsi"/>
          <w:color w:val="000000" w:themeColor="text1"/>
          <w:szCs w:val="20"/>
        </w:rPr>
        <w:t>Ecom</w:t>
      </w:r>
      <w:proofErr w:type="spellEnd"/>
      <w:r w:rsidRPr="003B6A69">
        <w:rPr>
          <w:rFonts w:asciiTheme="minorHAnsi" w:eastAsiaTheme="minorHAnsi" w:hAnsiTheme="minorHAnsi" w:cstheme="minorHAnsi"/>
          <w:color w:val="000000" w:themeColor="text1"/>
          <w:szCs w:val="20"/>
        </w:rPr>
        <w:t xml:space="preserve"> became a member of the Foundation for Environmental Education (FEE). In recent years, Montenegro has actively landscaped beaches, swimming areas and recreation areas along the entire coast of the country.</w:t>
      </w:r>
      <w:r w:rsidRPr="003B6A69">
        <w:rPr>
          <w:rFonts w:asciiTheme="minorHAnsi" w:eastAsiaTheme="minorHAnsi" w:hAnsiTheme="minorHAnsi" w:cstheme="minorHAnsi"/>
          <w:color w:val="000000" w:themeColor="text1"/>
          <w:szCs w:val="20"/>
          <w:vertAlign w:val="superscript"/>
        </w:rPr>
        <w:footnoteReference w:id="73"/>
      </w:r>
      <w:r w:rsidRPr="003B6A69">
        <w:rPr>
          <w:rFonts w:asciiTheme="minorHAnsi" w:eastAsiaTheme="minorHAnsi" w:hAnsiTheme="minorHAnsi" w:cstheme="minorHAnsi"/>
          <w:color w:val="000000" w:themeColor="text1"/>
          <w:szCs w:val="20"/>
        </w:rPr>
        <w:t xml:space="preserve"> </w:t>
      </w:r>
    </w:p>
    <w:p w14:paraId="7BB484D2" w14:textId="77777777" w:rsidR="008C4F26" w:rsidRPr="003B6A69" w:rsidRDefault="008C4F26" w:rsidP="008C4F26">
      <w:pPr>
        <w:spacing w:before="120" w:after="120" w:line="259" w:lineRule="auto"/>
        <w:rPr>
          <w:rFonts w:asciiTheme="minorHAnsi" w:eastAsiaTheme="minorHAnsi" w:hAnsiTheme="minorHAnsi" w:cstheme="minorHAnsi"/>
          <w:color w:val="000000" w:themeColor="text1"/>
          <w:szCs w:val="20"/>
        </w:rPr>
      </w:pPr>
      <w:r w:rsidRPr="003B6A69">
        <w:rPr>
          <w:rFonts w:asciiTheme="minorHAnsi" w:eastAsiaTheme="minorHAnsi" w:hAnsiTheme="minorHAnsi" w:cstheme="minorHAnsi"/>
          <w:color w:val="000000" w:themeColor="text1"/>
          <w:szCs w:val="20"/>
        </w:rPr>
        <w:t xml:space="preserve">Blue Flag stakeholders, through the promotion of sustainable tourism and sustainable environmental activities, develop </w:t>
      </w:r>
      <w:proofErr w:type="spellStart"/>
      <w:r w:rsidRPr="003B6A69">
        <w:rPr>
          <w:rFonts w:asciiTheme="minorHAnsi" w:eastAsiaTheme="minorHAnsi" w:hAnsiTheme="minorHAnsi" w:cstheme="minorHAnsi"/>
          <w:color w:val="000000" w:themeColor="text1"/>
          <w:szCs w:val="20"/>
        </w:rPr>
        <w:t>programmes</w:t>
      </w:r>
      <w:proofErr w:type="spellEnd"/>
      <w:r w:rsidRPr="003B6A69">
        <w:rPr>
          <w:rFonts w:asciiTheme="minorHAnsi" w:eastAsiaTheme="minorHAnsi" w:hAnsiTheme="minorHAnsi" w:cstheme="minorHAnsi"/>
          <w:color w:val="000000" w:themeColor="text1"/>
          <w:szCs w:val="20"/>
        </w:rPr>
        <w:t xml:space="preserve"> for biodiversity conservation of the coastal marine area, especially protecting endangered species.</w:t>
      </w:r>
    </w:p>
    <w:p w14:paraId="57586A8B" w14:textId="77777777" w:rsidR="008C4F26" w:rsidRPr="003B6A69" w:rsidRDefault="008C4F26" w:rsidP="008C4F26">
      <w:pPr>
        <w:spacing w:before="120" w:after="120" w:line="259" w:lineRule="auto"/>
        <w:rPr>
          <w:rFonts w:asciiTheme="minorHAnsi" w:eastAsiaTheme="minorHAnsi" w:hAnsiTheme="minorHAnsi" w:cstheme="minorHAnsi"/>
          <w:color w:val="000000" w:themeColor="text1"/>
          <w:szCs w:val="20"/>
        </w:rPr>
      </w:pPr>
      <w:r w:rsidRPr="003B6A69">
        <w:rPr>
          <w:rFonts w:asciiTheme="minorHAnsi" w:eastAsiaTheme="minorHAnsi" w:hAnsiTheme="minorHAnsi" w:cstheme="minorHAnsi"/>
          <w:color w:val="000000" w:themeColor="text1"/>
          <w:szCs w:val="20"/>
        </w:rPr>
        <w:t xml:space="preserve">Blue Flag emphasizes the importance of protecting species to maintain equilibrium conditions in the oceans, especially coral </w:t>
      </w:r>
      <w:proofErr w:type="gramStart"/>
      <w:r w:rsidRPr="003B6A69">
        <w:rPr>
          <w:rFonts w:asciiTheme="minorHAnsi" w:eastAsiaTheme="minorHAnsi" w:hAnsiTheme="minorHAnsi" w:cstheme="minorHAnsi"/>
          <w:color w:val="000000" w:themeColor="text1"/>
          <w:szCs w:val="20"/>
        </w:rPr>
        <w:t>reefs</w:t>
      </w:r>
      <w:proofErr w:type="gramEnd"/>
      <w:r w:rsidRPr="003B6A69">
        <w:rPr>
          <w:rFonts w:asciiTheme="minorHAnsi" w:eastAsiaTheme="minorHAnsi" w:hAnsiTheme="minorHAnsi" w:cstheme="minorHAnsi"/>
          <w:color w:val="000000" w:themeColor="text1"/>
          <w:szCs w:val="20"/>
        </w:rPr>
        <w:t xml:space="preserve"> and beaches. The </w:t>
      </w:r>
      <w:proofErr w:type="spellStart"/>
      <w:r w:rsidRPr="003B6A69">
        <w:rPr>
          <w:rFonts w:asciiTheme="minorHAnsi" w:eastAsiaTheme="minorHAnsi" w:hAnsiTheme="minorHAnsi" w:cstheme="minorHAnsi"/>
          <w:color w:val="000000" w:themeColor="text1"/>
          <w:szCs w:val="20"/>
        </w:rPr>
        <w:t>programme</w:t>
      </w:r>
      <w:proofErr w:type="spellEnd"/>
      <w:r w:rsidRPr="003B6A69">
        <w:rPr>
          <w:rFonts w:asciiTheme="minorHAnsi" w:eastAsiaTheme="minorHAnsi" w:hAnsiTheme="minorHAnsi" w:cstheme="minorHAnsi"/>
          <w:color w:val="000000" w:themeColor="text1"/>
          <w:szCs w:val="20"/>
        </w:rPr>
        <w:t xml:space="preserve"> </w:t>
      </w:r>
      <w:proofErr w:type="gramStart"/>
      <w:r w:rsidRPr="003B6A69">
        <w:rPr>
          <w:rFonts w:asciiTheme="minorHAnsi" w:eastAsiaTheme="minorHAnsi" w:hAnsiTheme="minorHAnsi" w:cstheme="minorHAnsi"/>
          <w:color w:val="000000" w:themeColor="text1"/>
          <w:szCs w:val="20"/>
        </w:rPr>
        <w:t>encompasses also</w:t>
      </w:r>
      <w:proofErr w:type="gramEnd"/>
      <w:r w:rsidRPr="003B6A69">
        <w:rPr>
          <w:rFonts w:asciiTheme="minorHAnsi" w:eastAsiaTheme="minorHAnsi" w:hAnsiTheme="minorHAnsi" w:cstheme="minorHAnsi"/>
          <w:color w:val="000000" w:themeColor="text1"/>
          <w:szCs w:val="20"/>
        </w:rPr>
        <w:t xml:space="preserve"> the sustainable use of the terrestrial ecosystem through nature and recreation, encouraging, for example, sustainable harvesting practices. It supports birdlife conservation while providing minimalist facilities for bird watching.</w:t>
      </w:r>
    </w:p>
    <w:p w14:paraId="75FC32E1" w14:textId="77777777" w:rsidR="008C4F26" w:rsidRPr="003B6A69" w:rsidRDefault="008C4F26" w:rsidP="008C4F26">
      <w:pPr>
        <w:spacing w:after="120" w:line="259" w:lineRule="auto"/>
        <w:rPr>
          <w:rFonts w:asciiTheme="minorHAnsi" w:eastAsiaTheme="minorHAnsi" w:hAnsiTheme="minorHAnsi" w:cstheme="minorHAnsi"/>
          <w:szCs w:val="20"/>
        </w:rPr>
      </w:pPr>
      <w:r w:rsidRPr="003B6A69">
        <w:rPr>
          <w:rFonts w:asciiTheme="minorHAnsi" w:eastAsiaTheme="minorHAnsi" w:hAnsiTheme="minorHAnsi" w:cstheme="minorHAnsi"/>
          <w:szCs w:val="20"/>
        </w:rPr>
        <w:t xml:space="preserve">While an initial survey in 2015 showed 58% of business owners willing to pay for eco-certification, 5 years later the evidence is that momentum for the certification scheme has not caught on. One of the reasons may be insufficient knowledge on the opportunities these schemes bring for businesses, especially from the commercial perspective. Another reason might be annual payment fees which are quite high for some certifications and memberships. A suggestion would be to do a survey </w:t>
      </w:r>
      <w:r w:rsidRPr="003B6A69">
        <w:rPr>
          <w:rFonts w:asciiTheme="minorHAnsi" w:eastAsiaTheme="minorHAnsi" w:hAnsiTheme="minorHAnsi" w:cstheme="minorHAnsi"/>
          <w:szCs w:val="20"/>
        </w:rPr>
        <w:lastRenderedPageBreak/>
        <w:t xml:space="preserve">on eco certification schemes in tourism with specific attention being placed on the BD dimension. From the conversations with some stakeholders over the past few years, the general feeling is that the main limitations to applying for a certification is the lack of understanding of the opportunities these labels bring. For an average size company, obtaining certification is seen as an additional burden to the management to comply with the standards, and a burden on the finances to pay annual membership fees and audit fees, as the management is not aware of the wider benefits certification would bring to them. </w:t>
      </w:r>
    </w:p>
    <w:p w14:paraId="6738E084" w14:textId="77777777" w:rsidR="008C4F26" w:rsidRPr="003B6A69" w:rsidRDefault="008C4F26" w:rsidP="008C4F26">
      <w:pPr>
        <w:spacing w:after="120" w:line="259" w:lineRule="auto"/>
        <w:rPr>
          <w:rFonts w:asciiTheme="minorHAnsi" w:eastAsiaTheme="minorHAnsi" w:hAnsiTheme="minorHAnsi" w:cstheme="minorHAnsi"/>
          <w:szCs w:val="20"/>
        </w:rPr>
      </w:pPr>
      <w:r w:rsidRPr="003B6A69">
        <w:rPr>
          <w:rFonts w:asciiTheme="minorHAnsi" w:eastAsiaTheme="minorHAnsi" w:hAnsiTheme="minorHAnsi" w:cstheme="minorHAnsi"/>
          <w:szCs w:val="20"/>
        </w:rPr>
        <w:t xml:space="preserve">Montenegro is just waking up to the BD and the benefits that it brings along with its different standards and criteria. </w:t>
      </w:r>
      <w:proofErr w:type="gramStart"/>
      <w:r w:rsidRPr="003B6A69">
        <w:rPr>
          <w:rFonts w:asciiTheme="minorHAnsi" w:eastAsiaTheme="minorHAnsi" w:hAnsiTheme="minorHAnsi" w:cstheme="minorHAnsi"/>
          <w:szCs w:val="20"/>
        </w:rPr>
        <w:t>As long as</w:t>
      </w:r>
      <w:proofErr w:type="gramEnd"/>
      <w:r w:rsidRPr="003B6A69">
        <w:rPr>
          <w:rFonts w:asciiTheme="minorHAnsi" w:eastAsiaTheme="minorHAnsi" w:hAnsiTheme="minorHAnsi" w:cstheme="minorHAnsi"/>
          <w:szCs w:val="20"/>
        </w:rPr>
        <w:t xml:space="preserve"> these schemes are voluntary and without tangible incentives, the number of companies involved will remain small, as the owners live from season to season.  If one had asked them last year, they would have had one answer: they had an interest to invest in certification at some point, but not that year because of a bad season where there were many rainy days. And, if one asks them again this year, they </w:t>
      </w:r>
      <w:proofErr w:type="gramStart"/>
      <w:r w:rsidRPr="003B6A69">
        <w:rPr>
          <w:rFonts w:asciiTheme="minorHAnsi" w:eastAsiaTheme="minorHAnsi" w:hAnsiTheme="minorHAnsi" w:cstheme="minorHAnsi"/>
          <w:szCs w:val="20"/>
        </w:rPr>
        <w:t>would</w:t>
      </w:r>
      <w:proofErr w:type="gramEnd"/>
      <w:r w:rsidRPr="003B6A69">
        <w:rPr>
          <w:rFonts w:asciiTheme="minorHAnsi" w:eastAsiaTheme="minorHAnsi" w:hAnsiTheme="minorHAnsi" w:cstheme="minorHAnsi"/>
          <w:szCs w:val="20"/>
        </w:rPr>
        <w:t xml:space="preserve"> say it is another bad season, this time due to Covid19. So, it is very important to raise awareness on the benefits, to educate them and where possible, include obligatory or incentivized certification. For instance, offering project financing in tourism to those companies that already have certification could be a great incentive.</w:t>
      </w:r>
    </w:p>
    <w:p w14:paraId="0C0A0EAF" w14:textId="1C91D2F1" w:rsidR="008C4F26" w:rsidRPr="003B6A69" w:rsidRDefault="008C4F26" w:rsidP="008C4F26">
      <w:pPr>
        <w:spacing w:after="160" w:line="259" w:lineRule="auto"/>
        <w:jc w:val="left"/>
        <w:rPr>
          <w:rFonts w:asciiTheme="minorHAnsi" w:eastAsiaTheme="minorHAnsi" w:hAnsiTheme="minorHAnsi" w:cstheme="minorBidi"/>
          <w:b/>
          <w:szCs w:val="20"/>
        </w:rPr>
      </w:pPr>
      <w:r w:rsidRPr="003B6A69">
        <w:rPr>
          <w:rFonts w:asciiTheme="minorHAnsi" w:eastAsiaTheme="minorHAnsi" w:hAnsiTheme="minorHAnsi" w:cstheme="minorBidi"/>
          <w:b/>
          <w:szCs w:val="20"/>
        </w:rPr>
        <w:t>P</w:t>
      </w:r>
      <w:r w:rsidR="000A12EC" w:rsidRPr="003B6A69">
        <w:rPr>
          <w:rFonts w:asciiTheme="minorHAnsi" w:eastAsiaTheme="minorHAnsi" w:hAnsiTheme="minorHAnsi" w:cstheme="minorBidi"/>
          <w:b/>
          <w:szCs w:val="20"/>
        </w:rPr>
        <w:t>ossible</w:t>
      </w:r>
      <w:r w:rsidRPr="003B6A69">
        <w:rPr>
          <w:rFonts w:asciiTheme="minorHAnsi" w:eastAsiaTheme="minorHAnsi" w:hAnsiTheme="minorHAnsi" w:cstheme="minorBidi"/>
          <w:b/>
          <w:szCs w:val="20"/>
        </w:rPr>
        <w:t xml:space="preserve"> interventions </w:t>
      </w:r>
    </w:p>
    <w:p w14:paraId="78E2042C" w14:textId="77777777" w:rsidR="008C4F26" w:rsidRPr="003B6A69" w:rsidRDefault="008C4F26" w:rsidP="008C4F26">
      <w:pPr>
        <w:autoSpaceDE w:val="0"/>
        <w:autoSpaceDN w:val="0"/>
        <w:adjustRightInd w:val="0"/>
        <w:spacing w:after="120"/>
        <w:rPr>
          <w:rFonts w:asciiTheme="minorHAnsi" w:eastAsia="Calibri" w:hAnsiTheme="minorHAnsi" w:cstheme="minorHAnsi"/>
          <w:color w:val="000000"/>
          <w:szCs w:val="20"/>
        </w:rPr>
      </w:pPr>
      <w:r w:rsidRPr="003B6A69">
        <w:rPr>
          <w:rFonts w:asciiTheme="minorHAnsi" w:eastAsia="Calibri" w:hAnsiTheme="minorHAnsi" w:cstheme="minorHAnsi"/>
          <w:b/>
          <w:bCs/>
          <w:color w:val="000000"/>
          <w:szCs w:val="20"/>
        </w:rPr>
        <w:t>Destination Plans</w:t>
      </w:r>
      <w:r w:rsidRPr="003B6A69">
        <w:rPr>
          <w:rFonts w:asciiTheme="minorHAnsi" w:eastAsia="Calibri" w:hAnsiTheme="minorHAnsi" w:cstheme="minorHAnsi"/>
          <w:color w:val="000000"/>
          <w:szCs w:val="20"/>
        </w:rPr>
        <w:t xml:space="preserve"> (also known as </w:t>
      </w:r>
      <w:r w:rsidRPr="003B6A69">
        <w:rPr>
          <w:rFonts w:asciiTheme="minorHAnsi" w:eastAsia="Calibri" w:hAnsiTheme="minorHAnsi" w:cstheme="minorHAnsi"/>
          <w:b/>
          <w:bCs/>
          <w:color w:val="000000"/>
          <w:szCs w:val="20"/>
        </w:rPr>
        <w:t>Master Plans</w:t>
      </w:r>
      <w:r w:rsidRPr="003B6A69">
        <w:rPr>
          <w:rFonts w:asciiTheme="minorHAnsi" w:eastAsia="Calibri" w:hAnsiTheme="minorHAnsi" w:cstheme="minorHAnsi"/>
          <w:color w:val="000000"/>
          <w:szCs w:val="20"/>
        </w:rPr>
        <w:t xml:space="preserve">) are usually site- or destination-specific and describe a future state and process to achieve a desired vision. As priorities identified in a destination plan vary over time, it must be treated as a living document. Destination Plans include the following elements: an inventory of attractions, equipment, and other factors affecting a destination; an examination of the circumstances that mold and influence future development; a strategic analysis of bottlenecks, strengths, weaknesses, threats and opportunities in relation to the destination’s competition; an examination of market trends and resident needs/expectations; an assessment of the status and future needs in human resources and </w:t>
      </w:r>
      <w:proofErr w:type="spellStart"/>
      <w:r w:rsidRPr="003B6A69">
        <w:rPr>
          <w:rFonts w:asciiTheme="minorHAnsi" w:eastAsia="Calibri" w:hAnsiTheme="minorHAnsi" w:cstheme="minorHAnsi"/>
          <w:color w:val="000000"/>
          <w:szCs w:val="20"/>
        </w:rPr>
        <w:t>labour</w:t>
      </w:r>
      <w:proofErr w:type="spellEnd"/>
      <w:r w:rsidRPr="003B6A69">
        <w:rPr>
          <w:rFonts w:asciiTheme="minorHAnsi" w:eastAsia="Calibri" w:hAnsiTheme="minorHAnsi" w:cstheme="minorHAnsi"/>
          <w:color w:val="000000"/>
          <w:szCs w:val="20"/>
        </w:rPr>
        <w:t xml:space="preserve"> at all levels; proposed design and architectural guidelines for desired future development (defining priorities in terms of sites and investment attraction, building requirements and design principles, scale of development and definition of tourism hubs, infrastructure requirements, and products and marketing plans); an assessment of all existing and potential social, economic and environmental impacts from tourism, and mitigation and outreach strategies; and consideration of payback mechanisms for maintenance (or restoration) of ecosystem services. This is closest to the Slovenian example of operation. </w:t>
      </w:r>
    </w:p>
    <w:p w14:paraId="11C6F975" w14:textId="77777777" w:rsidR="008C4F26" w:rsidRPr="003B6A69" w:rsidRDefault="008C4F26" w:rsidP="008C4F26">
      <w:pPr>
        <w:spacing w:after="120" w:line="259" w:lineRule="auto"/>
        <w:rPr>
          <w:rFonts w:asciiTheme="minorHAnsi" w:eastAsiaTheme="minorHAnsi" w:hAnsiTheme="minorHAnsi" w:cstheme="minorHAnsi"/>
          <w:szCs w:val="20"/>
        </w:rPr>
      </w:pPr>
      <w:r w:rsidRPr="003B6A69">
        <w:rPr>
          <w:rFonts w:asciiTheme="minorHAnsi" w:eastAsiaTheme="minorHAnsi" w:hAnsiTheme="minorHAnsi" w:cstheme="minorHAnsi"/>
          <w:b/>
          <w:bCs/>
          <w:color w:val="000000" w:themeColor="text1"/>
          <w:szCs w:val="20"/>
        </w:rPr>
        <w:t xml:space="preserve">Certification </w:t>
      </w:r>
      <w:r w:rsidRPr="003B6A69">
        <w:rPr>
          <w:rFonts w:asciiTheme="minorHAnsi" w:eastAsiaTheme="minorHAnsi" w:hAnsiTheme="minorHAnsi" w:cstheme="minorHAnsi"/>
          <w:szCs w:val="20"/>
        </w:rPr>
        <w:t xml:space="preserve">The most successful certification schemes bring three kinds of advantages to prospective clients: marketing value to the consumers (brand recognition), preferential treatment by other businesses along the supply chain (right of first refusal, pre-requisites for suppliers), and management benefits (the process leading to certification trains and motivates the company team). When a government or a destination management body wishes to adopt voluntary codes of conduct or standards, they have the option of adhering to existing sets of guidelines, </w:t>
      </w:r>
      <w:proofErr w:type="gramStart"/>
      <w:r w:rsidRPr="003B6A69">
        <w:rPr>
          <w:rFonts w:asciiTheme="minorHAnsi" w:eastAsiaTheme="minorHAnsi" w:hAnsiTheme="minorHAnsi" w:cstheme="minorHAnsi"/>
          <w:szCs w:val="20"/>
        </w:rPr>
        <w:t>ecolabels</w:t>
      </w:r>
      <w:proofErr w:type="gramEnd"/>
      <w:r w:rsidRPr="003B6A69">
        <w:rPr>
          <w:rFonts w:asciiTheme="minorHAnsi" w:eastAsiaTheme="minorHAnsi" w:hAnsiTheme="minorHAnsi" w:cstheme="minorHAnsi"/>
          <w:szCs w:val="20"/>
        </w:rPr>
        <w:t xml:space="preserve"> and certification criteria (which Montenegro has already done), or developing new criteria based on their own conditions and expectations. Investment in existing standards is more worthwhile if that brand is recognized by key consumers or business-to-business decision makers. An existing label may not necessarily be easily applied to local circumstances, however, and may require payment of licensing fees to the brand holder. One approach can be developing certification for BD tourism based on the CBD criteria but </w:t>
      </w:r>
      <w:proofErr w:type="gramStart"/>
      <w:r w:rsidRPr="003B6A69">
        <w:rPr>
          <w:rFonts w:asciiTheme="minorHAnsi" w:eastAsiaTheme="minorHAnsi" w:hAnsiTheme="minorHAnsi" w:cstheme="minorHAnsi"/>
          <w:szCs w:val="20"/>
        </w:rPr>
        <w:t>taking into account</w:t>
      </w:r>
      <w:proofErr w:type="gramEnd"/>
      <w:r w:rsidRPr="003B6A69">
        <w:rPr>
          <w:rFonts w:asciiTheme="minorHAnsi" w:eastAsiaTheme="minorHAnsi" w:hAnsiTheme="minorHAnsi" w:cstheme="minorHAnsi"/>
          <w:szCs w:val="20"/>
        </w:rPr>
        <w:t xml:space="preserve"> specifically the Montenegrin environment. Effectiveness of these standards would rely directly on the body that establishes them within MSDT and would allow for additional marketing opportunities for both businesses and Montenegro as a destination. </w:t>
      </w:r>
    </w:p>
    <w:p w14:paraId="195CBF85" w14:textId="77777777" w:rsidR="008C4F26" w:rsidRPr="003B6A69" w:rsidRDefault="008C4F26" w:rsidP="008C4F26">
      <w:pPr>
        <w:spacing w:after="120" w:line="259" w:lineRule="auto"/>
        <w:rPr>
          <w:rFonts w:asciiTheme="minorHAnsi" w:eastAsiaTheme="minorHAnsi" w:hAnsiTheme="minorHAnsi" w:cstheme="minorHAnsi"/>
          <w:szCs w:val="20"/>
        </w:rPr>
      </w:pPr>
      <w:r w:rsidRPr="003B6A69">
        <w:rPr>
          <w:rFonts w:asciiTheme="minorHAnsi" w:eastAsiaTheme="minorHAnsi" w:hAnsiTheme="minorHAnsi" w:cstheme="minorHAnsi"/>
          <w:b/>
          <w:bCs/>
          <w:szCs w:val="20"/>
        </w:rPr>
        <w:t xml:space="preserve">Awards </w:t>
      </w:r>
      <w:r w:rsidRPr="003B6A69">
        <w:rPr>
          <w:rFonts w:asciiTheme="minorHAnsi" w:eastAsiaTheme="minorHAnsi" w:hAnsiTheme="minorHAnsi" w:cstheme="minorHAnsi"/>
          <w:szCs w:val="20"/>
        </w:rPr>
        <w:t xml:space="preserve">for sustainable tourism help identify benchmarks and recognize leadership. Basically, laws and norms define the minimum acceptable standards, certification schemes and incentives encourage </w:t>
      </w:r>
      <w:proofErr w:type="gramStart"/>
      <w:r w:rsidRPr="003B6A69">
        <w:rPr>
          <w:rFonts w:asciiTheme="minorHAnsi" w:eastAsiaTheme="minorHAnsi" w:hAnsiTheme="minorHAnsi" w:cstheme="minorHAnsi"/>
          <w:szCs w:val="20"/>
        </w:rPr>
        <w:t>the majority of</w:t>
      </w:r>
      <w:proofErr w:type="gramEnd"/>
      <w:r w:rsidRPr="003B6A69">
        <w:rPr>
          <w:rFonts w:asciiTheme="minorHAnsi" w:eastAsiaTheme="minorHAnsi" w:hAnsiTheme="minorHAnsi" w:cstheme="minorHAnsi"/>
          <w:szCs w:val="20"/>
        </w:rPr>
        <w:t xml:space="preserve"> players to attain higher levels of sustainability, while awards highlight the best practices of champions and pioneers. These benchmarks can evolve as more players are able to satisfy more demanding standards. A further way of </w:t>
      </w:r>
      <w:proofErr w:type="spellStart"/>
      <w:r w:rsidRPr="003B6A69">
        <w:rPr>
          <w:rFonts w:asciiTheme="minorHAnsi" w:eastAsiaTheme="minorHAnsi" w:hAnsiTheme="minorHAnsi" w:cstheme="minorHAnsi"/>
          <w:szCs w:val="20"/>
        </w:rPr>
        <w:t>recognising</w:t>
      </w:r>
      <w:proofErr w:type="spellEnd"/>
      <w:r w:rsidRPr="003B6A69">
        <w:rPr>
          <w:rFonts w:asciiTheme="minorHAnsi" w:eastAsiaTheme="minorHAnsi" w:hAnsiTheme="minorHAnsi" w:cstheme="minorHAnsi"/>
          <w:szCs w:val="20"/>
        </w:rPr>
        <w:t xml:space="preserve"> good practice in sustainability amongst tourism businesses or initiatives is through award schemes. The possibility of winning an award can act as an incentive but the greatest benefit from the schemes probably comes from raising awareness of sustainability issues, such as biodiversity impacts, and promoting good practice as an encouragement and guide to others. Sustainable tourism award schemes are run on a global level by various agencies and international tourism companies and </w:t>
      </w:r>
      <w:proofErr w:type="gramStart"/>
      <w:r w:rsidRPr="003B6A69">
        <w:rPr>
          <w:rFonts w:asciiTheme="minorHAnsi" w:eastAsiaTheme="minorHAnsi" w:hAnsiTheme="minorHAnsi" w:cstheme="minorHAnsi"/>
          <w:szCs w:val="20"/>
        </w:rPr>
        <w:t>a number of</w:t>
      </w:r>
      <w:proofErr w:type="gramEnd"/>
      <w:r w:rsidRPr="003B6A69">
        <w:rPr>
          <w:rFonts w:asciiTheme="minorHAnsi" w:eastAsiaTheme="minorHAnsi" w:hAnsiTheme="minorHAnsi" w:cstheme="minorHAnsi"/>
          <w:szCs w:val="20"/>
        </w:rPr>
        <w:t xml:space="preserve"> individual countries have their own schemes. </w:t>
      </w:r>
      <w:proofErr w:type="gramStart"/>
      <w:r w:rsidRPr="003B6A69">
        <w:rPr>
          <w:rFonts w:asciiTheme="minorHAnsi" w:eastAsiaTheme="minorHAnsi" w:hAnsiTheme="minorHAnsi" w:cstheme="minorHAnsi"/>
          <w:szCs w:val="20"/>
        </w:rPr>
        <w:t>The majority of</w:t>
      </w:r>
      <w:proofErr w:type="gramEnd"/>
      <w:r w:rsidRPr="003B6A69">
        <w:rPr>
          <w:rFonts w:asciiTheme="minorHAnsi" w:eastAsiaTheme="minorHAnsi" w:hAnsiTheme="minorHAnsi" w:cstheme="minorHAnsi"/>
          <w:szCs w:val="20"/>
        </w:rPr>
        <w:t xml:space="preserve"> them are associated with relevant international tourism fairs. </w:t>
      </w:r>
    </w:p>
    <w:p w14:paraId="162C05C5" w14:textId="77777777" w:rsidR="008C4F26" w:rsidRPr="003B6A69" w:rsidRDefault="008C4F26" w:rsidP="008C4F26">
      <w:pPr>
        <w:autoSpaceDE w:val="0"/>
        <w:autoSpaceDN w:val="0"/>
        <w:adjustRightInd w:val="0"/>
        <w:spacing w:after="120"/>
        <w:rPr>
          <w:rFonts w:asciiTheme="minorHAnsi" w:eastAsia="Calibri" w:hAnsiTheme="minorHAnsi" w:cstheme="minorHAnsi"/>
          <w:color w:val="000000"/>
          <w:szCs w:val="20"/>
        </w:rPr>
      </w:pPr>
      <w:r w:rsidRPr="003B6A69">
        <w:rPr>
          <w:rFonts w:asciiTheme="minorHAnsi" w:eastAsia="Calibri" w:hAnsiTheme="minorHAnsi" w:cstheme="minorHAnsi"/>
          <w:b/>
          <w:bCs/>
          <w:color w:val="000000" w:themeColor="text1"/>
          <w:szCs w:val="20"/>
        </w:rPr>
        <w:lastRenderedPageBreak/>
        <w:t xml:space="preserve">Investment </w:t>
      </w:r>
      <w:proofErr w:type="gramStart"/>
      <w:r w:rsidRPr="003B6A69">
        <w:rPr>
          <w:rFonts w:asciiTheme="minorHAnsi" w:eastAsia="Calibri" w:hAnsiTheme="minorHAnsi" w:cstheme="minorHAnsi"/>
          <w:b/>
          <w:bCs/>
          <w:color w:val="000000" w:themeColor="text1"/>
          <w:szCs w:val="20"/>
        </w:rPr>
        <w:t xml:space="preserve">promotion  </w:t>
      </w:r>
      <w:r w:rsidRPr="003B6A69">
        <w:rPr>
          <w:rFonts w:asciiTheme="minorHAnsi" w:eastAsia="Calibri" w:hAnsiTheme="minorHAnsi" w:cstheme="minorHAnsi"/>
          <w:color w:val="000000"/>
          <w:szCs w:val="20"/>
        </w:rPr>
        <w:t>In</w:t>
      </w:r>
      <w:proofErr w:type="gramEnd"/>
      <w:r w:rsidRPr="003B6A69">
        <w:rPr>
          <w:rFonts w:asciiTheme="minorHAnsi" w:eastAsia="Calibri" w:hAnsiTheme="minorHAnsi" w:cstheme="minorHAnsi"/>
          <w:color w:val="000000"/>
          <w:szCs w:val="20"/>
        </w:rPr>
        <w:t xml:space="preserve"> many developing destinations, governments set up “one-stop shops” for investment promotion designed to attract the “right” investor (i.e. one with long-term investment return expectations, local involvement, is integrated with the local economy, and who is sustainability-minded). The efficiency of these one-stop shop </w:t>
      </w:r>
      <w:proofErr w:type="spellStart"/>
      <w:r w:rsidRPr="003B6A69">
        <w:rPr>
          <w:rFonts w:asciiTheme="minorHAnsi" w:eastAsia="Calibri" w:hAnsiTheme="minorHAnsi" w:cstheme="minorHAnsi"/>
          <w:color w:val="000000"/>
          <w:szCs w:val="20"/>
        </w:rPr>
        <w:t>programmes</w:t>
      </w:r>
      <w:proofErr w:type="spellEnd"/>
      <w:r w:rsidRPr="003B6A69">
        <w:rPr>
          <w:rFonts w:asciiTheme="minorHAnsi" w:eastAsia="Calibri" w:hAnsiTheme="minorHAnsi" w:cstheme="minorHAnsi"/>
          <w:color w:val="000000"/>
          <w:szCs w:val="20"/>
        </w:rPr>
        <w:t xml:space="preserve"> is linked to their capacity to coordinate with the various agencies which have a legal mandate to regulate investments. Very often they succeed solely by providing consistent and timely information to prospective investors and helping to avoid some of the disincentives to investment (bureaucracy, overlaps between legal mandates, misinformation and even corruption) that plague some developing destinations. </w:t>
      </w:r>
    </w:p>
    <w:p w14:paraId="31E60FBD" w14:textId="77777777" w:rsidR="008C4F26" w:rsidRPr="003B6A69" w:rsidRDefault="008C4F26" w:rsidP="008C4F26">
      <w:pPr>
        <w:autoSpaceDE w:val="0"/>
        <w:autoSpaceDN w:val="0"/>
        <w:adjustRightInd w:val="0"/>
        <w:spacing w:after="120"/>
        <w:rPr>
          <w:rFonts w:asciiTheme="minorHAnsi" w:eastAsia="Calibri" w:hAnsiTheme="minorHAnsi" w:cstheme="minorHAnsi"/>
          <w:color w:val="000000"/>
          <w:szCs w:val="20"/>
        </w:rPr>
      </w:pPr>
      <w:r w:rsidRPr="003B6A69">
        <w:rPr>
          <w:rFonts w:asciiTheme="minorHAnsi" w:eastAsia="Calibri" w:hAnsiTheme="minorHAnsi" w:cstheme="minorHAnsi"/>
          <w:b/>
          <w:bCs/>
          <w:color w:val="000000" w:themeColor="text1"/>
          <w:szCs w:val="20"/>
        </w:rPr>
        <w:t>User / Entrance fees and charges</w:t>
      </w:r>
      <w:r w:rsidRPr="003B6A69">
        <w:rPr>
          <w:rFonts w:asciiTheme="minorHAnsi" w:eastAsia="Calibri" w:hAnsiTheme="minorHAnsi" w:cstheme="minorHAnsi"/>
          <w:b/>
          <w:bCs/>
          <w:i/>
          <w:iCs/>
          <w:color w:val="000000" w:themeColor="text1"/>
          <w:szCs w:val="20"/>
        </w:rPr>
        <w:t xml:space="preserve"> </w:t>
      </w:r>
      <w:r w:rsidRPr="003B6A69">
        <w:rPr>
          <w:rFonts w:asciiTheme="minorHAnsi" w:eastAsia="Calibri" w:hAnsiTheme="minorHAnsi" w:cstheme="minorHAnsi"/>
          <w:color w:val="000000"/>
          <w:szCs w:val="20"/>
        </w:rPr>
        <w:t xml:space="preserve">User fees are an excellent opportunity to benefit </w:t>
      </w:r>
      <w:proofErr w:type="gramStart"/>
      <w:r w:rsidRPr="003B6A69">
        <w:rPr>
          <w:rFonts w:asciiTheme="minorHAnsi" w:eastAsia="Calibri" w:hAnsiTheme="minorHAnsi" w:cstheme="minorHAnsi"/>
          <w:color w:val="000000"/>
          <w:szCs w:val="20"/>
        </w:rPr>
        <w:t>conservation, because</w:t>
      </w:r>
      <w:proofErr w:type="gramEnd"/>
      <w:r w:rsidRPr="003B6A69">
        <w:rPr>
          <w:rFonts w:asciiTheme="minorHAnsi" w:eastAsia="Calibri" w:hAnsiTheme="minorHAnsi" w:cstheme="minorHAnsi"/>
          <w:color w:val="000000"/>
          <w:szCs w:val="20"/>
        </w:rPr>
        <w:t xml:space="preserve"> they can be applied to control visitation to sensitive natural areas, assist in financing nature conservation, and may also support community projects. According to the “user-</w:t>
      </w:r>
      <w:proofErr w:type="spellStart"/>
      <w:proofErr w:type="gramStart"/>
      <w:r w:rsidRPr="003B6A69">
        <w:rPr>
          <w:rFonts w:asciiTheme="minorHAnsi" w:eastAsia="Calibri" w:hAnsiTheme="minorHAnsi" w:cstheme="minorHAnsi"/>
          <w:color w:val="000000"/>
          <w:szCs w:val="20"/>
        </w:rPr>
        <w:t>pays”principle</w:t>
      </w:r>
      <w:proofErr w:type="spellEnd"/>
      <w:proofErr w:type="gramEnd"/>
      <w:r w:rsidRPr="003B6A69">
        <w:rPr>
          <w:rFonts w:asciiTheme="minorHAnsi" w:eastAsia="Calibri" w:hAnsiTheme="minorHAnsi" w:cstheme="minorHAnsi"/>
          <w:color w:val="000000"/>
          <w:szCs w:val="20"/>
        </w:rPr>
        <w:t xml:space="preserve">, user fees are considered as a fair way to collect revenues for protecting biodiversity (compared to taxes, for example). There is generally a high acceptance of user fees if they are allocated for necessary costs at the site where charges are collected, and not directed back into national government budgets to be used for other purposes. Environmental charges can however backfire in the tourism sector. Problems include whether the collecting agency has a legal mandate that is accepted by all, and whether it has the capacity to manage the resources in a transparent manner that leads to improvements in tourists’ experiences from the destination. </w:t>
      </w:r>
    </w:p>
    <w:p w14:paraId="61F68FD6" w14:textId="77777777" w:rsidR="008C4F26" w:rsidRPr="003B6A69" w:rsidRDefault="008C4F26" w:rsidP="008C4F26">
      <w:pPr>
        <w:autoSpaceDE w:val="0"/>
        <w:autoSpaceDN w:val="0"/>
        <w:adjustRightInd w:val="0"/>
        <w:spacing w:after="120"/>
        <w:rPr>
          <w:rFonts w:asciiTheme="minorHAnsi" w:eastAsia="Calibri" w:hAnsiTheme="minorHAnsi" w:cstheme="minorHAnsi"/>
          <w:color w:val="000000"/>
          <w:szCs w:val="20"/>
        </w:rPr>
      </w:pPr>
      <w:r w:rsidRPr="003B6A69">
        <w:rPr>
          <w:rFonts w:asciiTheme="minorHAnsi" w:eastAsia="Calibri" w:hAnsiTheme="minorHAnsi" w:cstheme="minorHAnsi"/>
          <w:b/>
          <w:bCs/>
          <w:color w:val="000000" w:themeColor="text1"/>
          <w:szCs w:val="20"/>
        </w:rPr>
        <w:t>Concession systems</w:t>
      </w:r>
      <w:r w:rsidRPr="003B6A69">
        <w:rPr>
          <w:rFonts w:asciiTheme="minorHAnsi" w:eastAsia="Calibri" w:hAnsiTheme="minorHAnsi" w:cstheme="minorHAnsi"/>
          <w:b/>
          <w:bCs/>
          <w:i/>
          <w:iCs/>
          <w:color w:val="000000" w:themeColor="text1"/>
          <w:szCs w:val="20"/>
        </w:rPr>
        <w:t xml:space="preserve"> </w:t>
      </w:r>
      <w:r w:rsidRPr="003B6A69">
        <w:rPr>
          <w:rFonts w:asciiTheme="minorHAnsi" w:eastAsia="Calibri" w:hAnsiTheme="minorHAnsi" w:cstheme="minorHAnsi"/>
          <w:color w:val="000000"/>
          <w:szCs w:val="20"/>
        </w:rPr>
        <w:t>for tourism operations in protected areas and public land is another option.</w:t>
      </w:r>
      <w:r w:rsidRPr="003B6A69">
        <w:rPr>
          <w:rFonts w:asciiTheme="minorHAnsi" w:eastAsia="Calibri" w:hAnsiTheme="minorHAnsi" w:cstheme="minorHAnsi"/>
          <w:b/>
          <w:bCs/>
          <w:i/>
          <w:iCs/>
          <w:color w:val="993200"/>
          <w:szCs w:val="20"/>
        </w:rPr>
        <w:t xml:space="preserve"> </w:t>
      </w:r>
      <w:r w:rsidRPr="003B6A69">
        <w:rPr>
          <w:rFonts w:asciiTheme="minorHAnsi" w:eastAsia="Calibri" w:hAnsiTheme="minorHAnsi" w:cstheme="minorHAnsi"/>
          <w:color w:val="000000"/>
          <w:szCs w:val="20"/>
        </w:rPr>
        <w:t xml:space="preserve">The institutional capacity of a park agency to engage with the tourism sector in the policy and design phase of a concession, and to manage its implementation, determines its ultimate success. Concession systems need to consider how to facilitate and promote investment capacity and interest of the private sector, and how to address problems that will inevitably follow, such as quality control, responsibilities in cases of contract breeches, damage control and reimbursement of investments needed to comply with regulations. </w:t>
      </w:r>
    </w:p>
    <w:p w14:paraId="4AF8FE33" w14:textId="77777777" w:rsidR="008C4F26" w:rsidRPr="003B6A69" w:rsidRDefault="008C4F26" w:rsidP="008C4F26">
      <w:pPr>
        <w:autoSpaceDE w:val="0"/>
        <w:autoSpaceDN w:val="0"/>
        <w:adjustRightInd w:val="0"/>
        <w:spacing w:after="0"/>
        <w:rPr>
          <w:rFonts w:asciiTheme="minorHAnsi" w:eastAsia="Calibri" w:hAnsiTheme="minorHAnsi" w:cstheme="minorHAnsi"/>
          <w:color w:val="000000"/>
          <w:szCs w:val="20"/>
        </w:rPr>
      </w:pPr>
      <w:r w:rsidRPr="003B6A69">
        <w:rPr>
          <w:rFonts w:asciiTheme="minorHAnsi" w:eastAsia="Calibri" w:hAnsiTheme="minorHAnsi" w:cstheme="minorHAnsi"/>
          <w:b/>
          <w:bCs/>
          <w:color w:val="000000" w:themeColor="text1"/>
          <w:szCs w:val="20"/>
        </w:rPr>
        <w:t>Other mechanisms</w:t>
      </w:r>
      <w:r w:rsidRPr="003B6A69">
        <w:rPr>
          <w:rFonts w:asciiTheme="minorHAnsi" w:eastAsia="Calibri" w:hAnsiTheme="minorHAnsi" w:cstheme="minorHAnsi"/>
          <w:b/>
          <w:bCs/>
          <w:i/>
          <w:iCs/>
          <w:color w:val="000000" w:themeColor="text1"/>
          <w:szCs w:val="20"/>
        </w:rPr>
        <w:t xml:space="preserve"> </w:t>
      </w:r>
      <w:r w:rsidRPr="003B6A69">
        <w:rPr>
          <w:rFonts w:asciiTheme="minorHAnsi" w:eastAsia="Calibri" w:hAnsiTheme="minorHAnsi" w:cstheme="minorHAnsi"/>
          <w:color w:val="000000"/>
          <w:szCs w:val="20"/>
        </w:rPr>
        <w:t xml:space="preserve">A sample of other economic and financial instruments include: </w:t>
      </w:r>
    </w:p>
    <w:p w14:paraId="4D3CD53A" w14:textId="77777777" w:rsidR="008C4F26" w:rsidRPr="003B6A69" w:rsidRDefault="008C4F26" w:rsidP="003C6B7B">
      <w:pPr>
        <w:numPr>
          <w:ilvl w:val="0"/>
          <w:numId w:val="39"/>
        </w:numPr>
        <w:autoSpaceDE w:val="0"/>
        <w:autoSpaceDN w:val="0"/>
        <w:adjustRightInd w:val="0"/>
        <w:spacing w:after="0" w:line="259" w:lineRule="auto"/>
        <w:jc w:val="left"/>
        <w:rPr>
          <w:rFonts w:asciiTheme="minorHAnsi" w:eastAsia="Calibri" w:hAnsiTheme="minorHAnsi" w:cstheme="minorHAnsi"/>
          <w:color w:val="000000"/>
          <w:szCs w:val="20"/>
        </w:rPr>
      </w:pPr>
      <w:r w:rsidRPr="003B6A69">
        <w:rPr>
          <w:rFonts w:asciiTheme="minorHAnsi" w:eastAsia="Calibri" w:hAnsiTheme="minorHAnsi" w:cstheme="minorHAnsi"/>
          <w:color w:val="000000"/>
          <w:szCs w:val="20"/>
        </w:rPr>
        <w:t>Merchandising / Marketing of local products: This can support the operation of commercial activities by local communities (</w:t>
      </w:r>
      <w:proofErr w:type="gramStart"/>
      <w:r w:rsidRPr="003B6A69">
        <w:rPr>
          <w:rFonts w:asciiTheme="minorHAnsi" w:eastAsia="Calibri" w:hAnsiTheme="minorHAnsi" w:cstheme="minorHAnsi"/>
          <w:color w:val="000000"/>
          <w:szCs w:val="20"/>
        </w:rPr>
        <w:t>e.g.</w:t>
      </w:r>
      <w:proofErr w:type="gramEnd"/>
      <w:r w:rsidRPr="003B6A69">
        <w:rPr>
          <w:rFonts w:asciiTheme="minorHAnsi" w:eastAsia="Calibri" w:hAnsiTheme="minorHAnsi" w:cstheme="minorHAnsi"/>
          <w:color w:val="000000"/>
          <w:szCs w:val="20"/>
        </w:rPr>
        <w:t xml:space="preserve"> marketing local water from local sources, certificates of origin for craft products) thus providing income; </w:t>
      </w:r>
    </w:p>
    <w:p w14:paraId="31CCDEB9" w14:textId="77777777" w:rsidR="008C4F26" w:rsidRPr="003B6A69" w:rsidRDefault="008C4F26" w:rsidP="003C6B7B">
      <w:pPr>
        <w:numPr>
          <w:ilvl w:val="0"/>
          <w:numId w:val="39"/>
        </w:numPr>
        <w:autoSpaceDE w:val="0"/>
        <w:autoSpaceDN w:val="0"/>
        <w:adjustRightInd w:val="0"/>
        <w:spacing w:after="0" w:line="259" w:lineRule="auto"/>
        <w:jc w:val="left"/>
        <w:rPr>
          <w:rFonts w:asciiTheme="minorHAnsi" w:eastAsia="Calibri" w:hAnsiTheme="minorHAnsi" w:cstheme="minorHAnsi"/>
          <w:color w:val="000000"/>
          <w:szCs w:val="20"/>
        </w:rPr>
      </w:pPr>
      <w:r w:rsidRPr="003B6A69">
        <w:rPr>
          <w:rFonts w:asciiTheme="minorHAnsi" w:eastAsia="Calibri" w:hAnsiTheme="minorHAnsi" w:cstheme="minorHAnsi"/>
          <w:color w:val="000000"/>
          <w:szCs w:val="20"/>
        </w:rPr>
        <w:t>Carbon-offset schemes can also contribute to biodiversity protection as they compensate for carbon emissions caused by tourism operations by investing in carbon offset projects (</w:t>
      </w:r>
      <w:proofErr w:type="gramStart"/>
      <w:r w:rsidRPr="003B6A69">
        <w:rPr>
          <w:rFonts w:asciiTheme="minorHAnsi" w:eastAsia="Calibri" w:hAnsiTheme="minorHAnsi" w:cstheme="minorHAnsi"/>
          <w:color w:val="000000"/>
          <w:szCs w:val="20"/>
        </w:rPr>
        <w:t>e.g.</w:t>
      </w:r>
      <w:proofErr w:type="gramEnd"/>
      <w:r w:rsidRPr="003B6A69">
        <w:rPr>
          <w:rFonts w:asciiTheme="minorHAnsi" w:eastAsia="Calibri" w:hAnsiTheme="minorHAnsi" w:cstheme="minorHAnsi"/>
          <w:color w:val="000000"/>
          <w:szCs w:val="20"/>
        </w:rPr>
        <w:t xml:space="preserve"> forest conservation projects by Conservation International, see CI </w:t>
      </w:r>
      <w:proofErr w:type="spellStart"/>
      <w:r w:rsidRPr="003B6A69">
        <w:rPr>
          <w:rFonts w:asciiTheme="minorHAnsi" w:eastAsia="Calibri" w:hAnsiTheme="minorHAnsi" w:cstheme="minorHAnsi"/>
          <w:color w:val="000000"/>
          <w:szCs w:val="20"/>
        </w:rPr>
        <w:t>n.d.b</w:t>
      </w:r>
      <w:proofErr w:type="spellEnd"/>
      <w:r w:rsidRPr="003B6A69">
        <w:rPr>
          <w:rFonts w:asciiTheme="minorHAnsi" w:eastAsia="Calibri" w:hAnsiTheme="minorHAnsi" w:cstheme="minorHAnsi"/>
          <w:color w:val="000000"/>
          <w:szCs w:val="20"/>
        </w:rPr>
        <w:t xml:space="preserve">); </w:t>
      </w:r>
    </w:p>
    <w:p w14:paraId="1B893215" w14:textId="77777777" w:rsidR="008C4F26" w:rsidRPr="003B6A69" w:rsidRDefault="008C4F26" w:rsidP="003C6B7B">
      <w:pPr>
        <w:numPr>
          <w:ilvl w:val="0"/>
          <w:numId w:val="39"/>
        </w:numPr>
        <w:autoSpaceDE w:val="0"/>
        <w:autoSpaceDN w:val="0"/>
        <w:adjustRightInd w:val="0"/>
        <w:spacing w:after="0" w:line="259" w:lineRule="auto"/>
        <w:jc w:val="left"/>
        <w:rPr>
          <w:rFonts w:asciiTheme="minorHAnsi" w:eastAsia="Calibri" w:hAnsiTheme="minorHAnsi" w:cstheme="minorHAnsi"/>
          <w:color w:val="000000"/>
          <w:szCs w:val="20"/>
        </w:rPr>
      </w:pPr>
      <w:r w:rsidRPr="003B6A69">
        <w:rPr>
          <w:rFonts w:asciiTheme="minorHAnsi" w:eastAsia="Calibri" w:hAnsiTheme="minorHAnsi" w:cstheme="minorHAnsi"/>
          <w:color w:val="000000"/>
          <w:szCs w:val="20"/>
        </w:rPr>
        <w:t xml:space="preserve">Individual and corporate donations to support conservation </w:t>
      </w:r>
      <w:proofErr w:type="gramStart"/>
      <w:r w:rsidRPr="003B6A69">
        <w:rPr>
          <w:rFonts w:asciiTheme="minorHAnsi" w:eastAsia="Calibri" w:hAnsiTheme="minorHAnsi" w:cstheme="minorHAnsi"/>
          <w:color w:val="000000"/>
          <w:szCs w:val="20"/>
        </w:rPr>
        <w:t>activities;</w:t>
      </w:r>
      <w:proofErr w:type="gramEnd"/>
    </w:p>
    <w:p w14:paraId="7952FF0E" w14:textId="77777777" w:rsidR="008C4F26" w:rsidRPr="003B6A69" w:rsidRDefault="008C4F26" w:rsidP="003C6B7B">
      <w:pPr>
        <w:numPr>
          <w:ilvl w:val="0"/>
          <w:numId w:val="39"/>
        </w:numPr>
        <w:autoSpaceDE w:val="0"/>
        <w:autoSpaceDN w:val="0"/>
        <w:adjustRightInd w:val="0"/>
        <w:spacing w:after="0" w:line="259" w:lineRule="auto"/>
        <w:jc w:val="left"/>
        <w:rPr>
          <w:rFonts w:asciiTheme="minorHAnsi" w:eastAsia="Calibri" w:hAnsiTheme="minorHAnsi" w:cstheme="minorHAnsi"/>
          <w:color w:val="000000"/>
          <w:szCs w:val="20"/>
        </w:rPr>
      </w:pPr>
      <w:r w:rsidRPr="003B6A69">
        <w:rPr>
          <w:rFonts w:asciiTheme="minorHAnsi" w:eastAsia="Calibri" w:hAnsiTheme="minorHAnsi" w:cstheme="minorHAnsi"/>
          <w:color w:val="000000"/>
          <w:szCs w:val="20"/>
        </w:rPr>
        <w:t>Incentives for sustainable tourism (</w:t>
      </w:r>
      <w:proofErr w:type="gramStart"/>
      <w:r w:rsidRPr="003B6A69">
        <w:rPr>
          <w:rFonts w:asciiTheme="minorHAnsi" w:eastAsia="Calibri" w:hAnsiTheme="minorHAnsi" w:cstheme="minorHAnsi"/>
          <w:color w:val="000000"/>
          <w:szCs w:val="20"/>
        </w:rPr>
        <w:t>e.g.</w:t>
      </w:r>
      <w:proofErr w:type="gramEnd"/>
      <w:r w:rsidRPr="003B6A69">
        <w:rPr>
          <w:rFonts w:asciiTheme="minorHAnsi" w:eastAsia="Calibri" w:hAnsiTheme="minorHAnsi" w:cstheme="minorHAnsi"/>
          <w:color w:val="000000"/>
          <w:szCs w:val="20"/>
        </w:rPr>
        <w:t xml:space="preserve"> tax incentives, waivers of import taxes or rebates on sustainable technologies not locally available); </w:t>
      </w:r>
    </w:p>
    <w:p w14:paraId="000FBB78" w14:textId="77777777" w:rsidR="008C4F26" w:rsidRPr="003B6A69" w:rsidRDefault="008C4F26" w:rsidP="003C6B7B">
      <w:pPr>
        <w:numPr>
          <w:ilvl w:val="0"/>
          <w:numId w:val="39"/>
        </w:numPr>
        <w:autoSpaceDE w:val="0"/>
        <w:autoSpaceDN w:val="0"/>
        <w:adjustRightInd w:val="0"/>
        <w:spacing w:after="0" w:line="259" w:lineRule="auto"/>
        <w:jc w:val="left"/>
        <w:rPr>
          <w:rFonts w:asciiTheme="minorHAnsi" w:eastAsia="Calibri" w:hAnsiTheme="minorHAnsi" w:cstheme="minorHAnsi"/>
          <w:color w:val="000000"/>
          <w:szCs w:val="20"/>
        </w:rPr>
      </w:pPr>
      <w:r w:rsidRPr="003B6A69">
        <w:rPr>
          <w:rFonts w:asciiTheme="minorHAnsi" w:eastAsia="Calibri" w:hAnsiTheme="minorHAnsi" w:cstheme="minorHAnsi"/>
          <w:color w:val="000000"/>
          <w:szCs w:val="20"/>
        </w:rPr>
        <w:t xml:space="preserve">Implementing or modifying taxes, charges and fees to redirect tourism </w:t>
      </w:r>
      <w:proofErr w:type="gramStart"/>
      <w:r w:rsidRPr="003B6A69">
        <w:rPr>
          <w:rFonts w:asciiTheme="minorHAnsi" w:eastAsia="Calibri" w:hAnsiTheme="minorHAnsi" w:cstheme="minorHAnsi"/>
          <w:color w:val="000000"/>
          <w:szCs w:val="20"/>
        </w:rPr>
        <w:t>flows;</w:t>
      </w:r>
      <w:proofErr w:type="gramEnd"/>
      <w:r w:rsidRPr="003B6A69">
        <w:rPr>
          <w:rFonts w:asciiTheme="minorHAnsi" w:eastAsia="Calibri" w:hAnsiTheme="minorHAnsi" w:cstheme="minorHAnsi"/>
          <w:color w:val="000000"/>
          <w:szCs w:val="20"/>
        </w:rPr>
        <w:t xml:space="preserve"> </w:t>
      </w:r>
    </w:p>
    <w:p w14:paraId="769795F9" w14:textId="77777777" w:rsidR="008C4F26" w:rsidRPr="003B6A69" w:rsidRDefault="008C4F26" w:rsidP="003C6B7B">
      <w:pPr>
        <w:numPr>
          <w:ilvl w:val="0"/>
          <w:numId w:val="39"/>
        </w:numPr>
        <w:autoSpaceDE w:val="0"/>
        <w:autoSpaceDN w:val="0"/>
        <w:adjustRightInd w:val="0"/>
        <w:spacing w:after="0" w:line="259" w:lineRule="auto"/>
        <w:jc w:val="left"/>
        <w:rPr>
          <w:rFonts w:asciiTheme="minorHAnsi" w:eastAsia="Calibri" w:hAnsiTheme="minorHAnsi" w:cstheme="minorHAnsi"/>
          <w:color w:val="000000"/>
          <w:szCs w:val="20"/>
        </w:rPr>
      </w:pPr>
      <w:r w:rsidRPr="003B6A69">
        <w:rPr>
          <w:rFonts w:asciiTheme="minorHAnsi" w:eastAsia="Calibri" w:hAnsiTheme="minorHAnsi" w:cstheme="minorHAnsi"/>
          <w:color w:val="000000"/>
          <w:szCs w:val="20"/>
        </w:rPr>
        <w:t>Provision of appropriate visitor impact management infrastructure; and</w:t>
      </w:r>
    </w:p>
    <w:p w14:paraId="3061782E" w14:textId="77777777" w:rsidR="008C4F26" w:rsidRPr="003B6A69" w:rsidRDefault="008C4F26" w:rsidP="003C6B7B">
      <w:pPr>
        <w:numPr>
          <w:ilvl w:val="0"/>
          <w:numId w:val="39"/>
        </w:numPr>
        <w:autoSpaceDE w:val="0"/>
        <w:autoSpaceDN w:val="0"/>
        <w:adjustRightInd w:val="0"/>
        <w:spacing w:after="0" w:line="259" w:lineRule="auto"/>
        <w:jc w:val="left"/>
        <w:rPr>
          <w:rFonts w:asciiTheme="minorHAnsi" w:eastAsia="Calibri" w:hAnsiTheme="minorHAnsi" w:cstheme="minorHAnsi"/>
          <w:color w:val="000000"/>
          <w:szCs w:val="20"/>
        </w:rPr>
      </w:pPr>
      <w:r w:rsidRPr="003B6A69">
        <w:rPr>
          <w:rFonts w:asciiTheme="minorHAnsi" w:eastAsia="Calibri" w:hAnsiTheme="minorHAnsi" w:cstheme="minorHAnsi"/>
          <w:color w:val="000000"/>
          <w:szCs w:val="20"/>
        </w:rPr>
        <w:t xml:space="preserve">Public support for voluntary environmental reporting, guidelines / codes of conduct. </w:t>
      </w:r>
    </w:p>
    <w:p w14:paraId="264C549B" w14:textId="77777777" w:rsidR="008C4F26" w:rsidRPr="003B6A69" w:rsidRDefault="008C4F26" w:rsidP="008C4F26">
      <w:pPr>
        <w:autoSpaceDE w:val="0"/>
        <w:autoSpaceDN w:val="0"/>
        <w:adjustRightInd w:val="0"/>
        <w:spacing w:before="120" w:after="120"/>
        <w:rPr>
          <w:rFonts w:asciiTheme="minorHAnsi" w:eastAsia="Calibri" w:hAnsiTheme="minorHAnsi" w:cstheme="minorHAnsi"/>
          <w:color w:val="000000"/>
          <w:szCs w:val="20"/>
        </w:rPr>
      </w:pPr>
      <w:r w:rsidRPr="003B6A69">
        <w:rPr>
          <w:rFonts w:asciiTheme="minorHAnsi" w:eastAsia="Calibri" w:hAnsiTheme="minorHAnsi" w:cstheme="minorHAnsi"/>
          <w:color w:val="000000"/>
          <w:szCs w:val="20"/>
        </w:rPr>
        <w:t xml:space="preserve">Through capacity-building, governments can influence the operation of tourism businesses towards sustainability and cleaner production. Practitioners in developing countries indicate that in cases where governments are not capable of setting up capacity building systems, NGOs often play this role. Capacity building may include: </w:t>
      </w:r>
    </w:p>
    <w:p w14:paraId="59567441" w14:textId="77777777" w:rsidR="008C4F26" w:rsidRPr="003B6A69" w:rsidRDefault="008C4F26" w:rsidP="003C6B7B">
      <w:pPr>
        <w:numPr>
          <w:ilvl w:val="0"/>
          <w:numId w:val="40"/>
        </w:numPr>
        <w:autoSpaceDE w:val="0"/>
        <w:autoSpaceDN w:val="0"/>
        <w:adjustRightInd w:val="0"/>
        <w:spacing w:after="0" w:line="259" w:lineRule="auto"/>
        <w:jc w:val="left"/>
        <w:rPr>
          <w:rFonts w:asciiTheme="minorHAnsi" w:eastAsia="Calibri" w:hAnsiTheme="minorHAnsi" w:cstheme="minorHAnsi"/>
          <w:color w:val="000000"/>
          <w:szCs w:val="20"/>
        </w:rPr>
      </w:pPr>
      <w:r w:rsidRPr="003B6A69">
        <w:rPr>
          <w:rFonts w:asciiTheme="minorHAnsi" w:eastAsia="Calibri" w:hAnsiTheme="minorHAnsi" w:cstheme="minorHAnsi"/>
          <w:color w:val="000000"/>
          <w:szCs w:val="20"/>
        </w:rPr>
        <w:t xml:space="preserve">Networks of specialists, distance education tools, web-based information portals, and virtual conferences and </w:t>
      </w:r>
      <w:proofErr w:type="gramStart"/>
      <w:r w:rsidRPr="003B6A69">
        <w:rPr>
          <w:rFonts w:asciiTheme="minorHAnsi" w:eastAsia="Calibri" w:hAnsiTheme="minorHAnsi" w:cstheme="minorHAnsi"/>
          <w:color w:val="000000"/>
          <w:szCs w:val="20"/>
        </w:rPr>
        <w:t>webinars;</w:t>
      </w:r>
      <w:proofErr w:type="gramEnd"/>
      <w:r w:rsidRPr="003B6A69">
        <w:rPr>
          <w:rFonts w:asciiTheme="minorHAnsi" w:eastAsia="Calibri" w:hAnsiTheme="minorHAnsi" w:cstheme="minorHAnsi"/>
          <w:color w:val="000000"/>
          <w:szCs w:val="20"/>
        </w:rPr>
        <w:t xml:space="preserve"> </w:t>
      </w:r>
    </w:p>
    <w:p w14:paraId="64B6D96C" w14:textId="77777777" w:rsidR="008C4F26" w:rsidRPr="003B6A69" w:rsidRDefault="008C4F26" w:rsidP="003C6B7B">
      <w:pPr>
        <w:numPr>
          <w:ilvl w:val="0"/>
          <w:numId w:val="40"/>
        </w:numPr>
        <w:autoSpaceDE w:val="0"/>
        <w:autoSpaceDN w:val="0"/>
        <w:adjustRightInd w:val="0"/>
        <w:spacing w:after="0" w:line="259" w:lineRule="auto"/>
        <w:jc w:val="left"/>
        <w:rPr>
          <w:rFonts w:asciiTheme="minorHAnsi" w:eastAsia="Calibri" w:hAnsiTheme="minorHAnsi" w:cstheme="minorHAnsi"/>
          <w:color w:val="000000"/>
          <w:szCs w:val="20"/>
        </w:rPr>
      </w:pPr>
      <w:r w:rsidRPr="003B6A69">
        <w:rPr>
          <w:rFonts w:asciiTheme="minorHAnsi" w:eastAsia="Calibri" w:hAnsiTheme="minorHAnsi" w:cstheme="minorHAnsi"/>
          <w:color w:val="000000"/>
          <w:szCs w:val="20"/>
        </w:rPr>
        <w:t xml:space="preserve">Establishment of destination management and marketing organizations with a social and environmental </w:t>
      </w:r>
      <w:proofErr w:type="gramStart"/>
      <w:r w:rsidRPr="003B6A69">
        <w:rPr>
          <w:rFonts w:asciiTheme="minorHAnsi" w:eastAsia="Calibri" w:hAnsiTheme="minorHAnsi" w:cstheme="minorHAnsi"/>
          <w:color w:val="000000"/>
          <w:szCs w:val="20"/>
        </w:rPr>
        <w:t>focus;</w:t>
      </w:r>
      <w:proofErr w:type="gramEnd"/>
      <w:r w:rsidRPr="003B6A69">
        <w:rPr>
          <w:rFonts w:asciiTheme="minorHAnsi" w:eastAsia="Calibri" w:hAnsiTheme="minorHAnsi" w:cstheme="minorHAnsi"/>
          <w:color w:val="000000"/>
          <w:szCs w:val="20"/>
        </w:rPr>
        <w:t xml:space="preserve"> </w:t>
      </w:r>
    </w:p>
    <w:p w14:paraId="55BFEF15" w14:textId="77777777" w:rsidR="008C4F26" w:rsidRPr="003B6A69" w:rsidRDefault="008C4F26" w:rsidP="003C6B7B">
      <w:pPr>
        <w:numPr>
          <w:ilvl w:val="0"/>
          <w:numId w:val="40"/>
        </w:numPr>
        <w:autoSpaceDE w:val="0"/>
        <w:autoSpaceDN w:val="0"/>
        <w:adjustRightInd w:val="0"/>
        <w:spacing w:after="0" w:line="259" w:lineRule="auto"/>
        <w:jc w:val="left"/>
        <w:rPr>
          <w:rFonts w:asciiTheme="minorHAnsi" w:eastAsia="Calibri" w:hAnsiTheme="minorHAnsi" w:cstheme="minorHAnsi"/>
          <w:color w:val="000000"/>
          <w:szCs w:val="20"/>
        </w:rPr>
      </w:pPr>
      <w:r w:rsidRPr="003B6A69">
        <w:rPr>
          <w:rFonts w:asciiTheme="minorHAnsi" w:eastAsia="Calibri" w:hAnsiTheme="minorHAnsi" w:cstheme="minorHAnsi"/>
          <w:color w:val="000000"/>
          <w:szCs w:val="20"/>
        </w:rPr>
        <w:t xml:space="preserve">Development of a standard curriculum on sustainable tourism, to be included in official guidelines for training/education </w:t>
      </w:r>
      <w:proofErr w:type="gramStart"/>
      <w:r w:rsidRPr="003B6A69">
        <w:rPr>
          <w:rFonts w:asciiTheme="minorHAnsi" w:eastAsia="Calibri" w:hAnsiTheme="minorHAnsi" w:cstheme="minorHAnsi"/>
          <w:color w:val="000000"/>
          <w:szCs w:val="20"/>
        </w:rPr>
        <w:t>institutions;</w:t>
      </w:r>
      <w:proofErr w:type="gramEnd"/>
      <w:r w:rsidRPr="003B6A69">
        <w:rPr>
          <w:rFonts w:asciiTheme="minorHAnsi" w:eastAsia="Calibri" w:hAnsiTheme="minorHAnsi" w:cstheme="minorHAnsi"/>
          <w:color w:val="000000"/>
          <w:szCs w:val="20"/>
        </w:rPr>
        <w:t xml:space="preserve"> </w:t>
      </w:r>
    </w:p>
    <w:p w14:paraId="3F43D338" w14:textId="77777777" w:rsidR="008C4F26" w:rsidRPr="003B6A69" w:rsidRDefault="008C4F26" w:rsidP="003C6B7B">
      <w:pPr>
        <w:numPr>
          <w:ilvl w:val="0"/>
          <w:numId w:val="40"/>
        </w:numPr>
        <w:autoSpaceDE w:val="0"/>
        <w:autoSpaceDN w:val="0"/>
        <w:adjustRightInd w:val="0"/>
        <w:spacing w:after="0" w:line="259" w:lineRule="auto"/>
        <w:jc w:val="left"/>
        <w:rPr>
          <w:rFonts w:asciiTheme="minorHAnsi" w:eastAsia="Calibri" w:hAnsiTheme="minorHAnsi" w:cstheme="minorHAnsi"/>
          <w:color w:val="000000"/>
          <w:szCs w:val="20"/>
        </w:rPr>
      </w:pPr>
      <w:r w:rsidRPr="003B6A69">
        <w:rPr>
          <w:rFonts w:asciiTheme="minorHAnsi" w:eastAsia="Calibri" w:hAnsiTheme="minorHAnsi" w:cstheme="minorHAnsi"/>
          <w:color w:val="000000"/>
          <w:szCs w:val="20"/>
        </w:rPr>
        <w:t xml:space="preserve">Establishment of Public-Private-Partnerships and tourism trade </w:t>
      </w:r>
      <w:proofErr w:type="gramStart"/>
      <w:r w:rsidRPr="003B6A69">
        <w:rPr>
          <w:rFonts w:asciiTheme="minorHAnsi" w:eastAsia="Calibri" w:hAnsiTheme="minorHAnsi" w:cstheme="minorHAnsi"/>
          <w:color w:val="000000"/>
          <w:szCs w:val="20"/>
        </w:rPr>
        <w:t>associations;</w:t>
      </w:r>
      <w:proofErr w:type="gramEnd"/>
      <w:r w:rsidRPr="003B6A69">
        <w:rPr>
          <w:rFonts w:asciiTheme="minorHAnsi" w:eastAsia="Calibri" w:hAnsiTheme="minorHAnsi" w:cstheme="minorHAnsi"/>
          <w:color w:val="000000"/>
          <w:szCs w:val="20"/>
        </w:rPr>
        <w:t xml:space="preserve"> </w:t>
      </w:r>
    </w:p>
    <w:p w14:paraId="280AD5F9" w14:textId="77777777" w:rsidR="008C4F26" w:rsidRPr="003B6A69" w:rsidRDefault="008C4F26" w:rsidP="003C6B7B">
      <w:pPr>
        <w:numPr>
          <w:ilvl w:val="0"/>
          <w:numId w:val="40"/>
        </w:numPr>
        <w:autoSpaceDE w:val="0"/>
        <w:autoSpaceDN w:val="0"/>
        <w:adjustRightInd w:val="0"/>
        <w:spacing w:after="0" w:line="259" w:lineRule="auto"/>
        <w:jc w:val="left"/>
        <w:rPr>
          <w:rFonts w:asciiTheme="minorHAnsi" w:eastAsia="Calibri" w:hAnsiTheme="minorHAnsi" w:cstheme="minorHAnsi"/>
          <w:color w:val="000000"/>
          <w:szCs w:val="20"/>
        </w:rPr>
      </w:pPr>
      <w:r w:rsidRPr="003B6A69">
        <w:rPr>
          <w:rFonts w:asciiTheme="minorHAnsi" w:eastAsia="Calibri" w:hAnsiTheme="minorHAnsi" w:cstheme="minorHAnsi"/>
          <w:color w:val="000000"/>
          <w:szCs w:val="20"/>
        </w:rPr>
        <w:t>Support for development of voluntary codes – such as the Global Sustainable Tourism Criteria (GSTC n.d.); and</w:t>
      </w:r>
    </w:p>
    <w:p w14:paraId="42BF8800" w14:textId="77777777" w:rsidR="008C4F26" w:rsidRPr="003B6A69" w:rsidRDefault="008C4F26" w:rsidP="003C6B7B">
      <w:pPr>
        <w:numPr>
          <w:ilvl w:val="0"/>
          <w:numId w:val="40"/>
        </w:numPr>
        <w:autoSpaceDE w:val="0"/>
        <w:autoSpaceDN w:val="0"/>
        <w:adjustRightInd w:val="0"/>
        <w:spacing w:after="0" w:line="259" w:lineRule="auto"/>
        <w:jc w:val="left"/>
        <w:rPr>
          <w:rFonts w:asciiTheme="minorHAnsi" w:eastAsia="Calibri" w:hAnsiTheme="minorHAnsi" w:cstheme="minorHAnsi"/>
          <w:color w:val="000000"/>
          <w:szCs w:val="20"/>
        </w:rPr>
      </w:pPr>
      <w:r w:rsidRPr="003B6A69">
        <w:rPr>
          <w:rFonts w:asciiTheme="minorHAnsi" w:eastAsia="Calibri" w:hAnsiTheme="minorHAnsi" w:cstheme="minorHAnsi"/>
          <w:color w:val="000000"/>
          <w:szCs w:val="20"/>
        </w:rPr>
        <w:t xml:space="preserve">Professional development tools for small and medium enterprises, particularly business incubators for critical sustainable facilities and services, special credit lines, and marketing support (trade fairs, websites, and awards). </w:t>
      </w:r>
    </w:p>
    <w:p w14:paraId="48D139F9" w14:textId="77777777" w:rsidR="008C4F26" w:rsidRPr="003B6A69" w:rsidRDefault="008C4F26" w:rsidP="008C4F26">
      <w:pPr>
        <w:spacing w:before="120" w:after="120" w:line="259" w:lineRule="auto"/>
        <w:rPr>
          <w:rFonts w:asciiTheme="minorHAnsi" w:eastAsiaTheme="minorHAnsi" w:hAnsiTheme="minorHAnsi" w:cstheme="minorHAnsi"/>
          <w:szCs w:val="20"/>
        </w:rPr>
      </w:pPr>
      <w:r w:rsidRPr="003B6A69">
        <w:rPr>
          <w:rFonts w:asciiTheme="minorHAnsi" w:eastAsiaTheme="minorHAnsi" w:hAnsiTheme="minorHAnsi" w:cstheme="minorHAnsi"/>
          <w:szCs w:val="20"/>
        </w:rPr>
        <w:t xml:space="preserve">Strategies for capacity building on sustainability differ for each sub-segment of the tourism industry. </w:t>
      </w:r>
      <w:proofErr w:type="gramStart"/>
      <w:r w:rsidRPr="003B6A69">
        <w:rPr>
          <w:rFonts w:asciiTheme="minorHAnsi" w:eastAsiaTheme="minorHAnsi" w:hAnsiTheme="minorHAnsi" w:cstheme="minorHAnsi"/>
          <w:szCs w:val="20"/>
        </w:rPr>
        <w:t>The majority of</w:t>
      </w:r>
      <w:proofErr w:type="gramEnd"/>
      <w:r w:rsidRPr="003B6A69">
        <w:rPr>
          <w:rFonts w:asciiTheme="minorHAnsi" w:eastAsiaTheme="minorHAnsi" w:hAnsiTheme="minorHAnsi" w:cstheme="minorHAnsi"/>
          <w:szCs w:val="20"/>
        </w:rPr>
        <w:t xml:space="preserve"> jobs in tourism are offered by micro, small and medium enterprises (SMEs). Sustainable tourism capacity building for SMEs is a challenge given their heterogeneous nature (</w:t>
      </w:r>
      <w:proofErr w:type="gramStart"/>
      <w:r w:rsidRPr="003B6A69">
        <w:rPr>
          <w:rFonts w:asciiTheme="minorHAnsi" w:eastAsiaTheme="minorHAnsi" w:hAnsiTheme="minorHAnsi" w:cstheme="minorHAnsi"/>
          <w:szCs w:val="20"/>
        </w:rPr>
        <w:t>i.e.</w:t>
      </w:r>
      <w:proofErr w:type="gramEnd"/>
      <w:r w:rsidRPr="003B6A69">
        <w:rPr>
          <w:rFonts w:asciiTheme="minorHAnsi" w:eastAsiaTheme="minorHAnsi" w:hAnsiTheme="minorHAnsi" w:cstheme="minorHAnsi"/>
          <w:szCs w:val="20"/>
        </w:rPr>
        <w:t xml:space="preserve"> variability in business structures), and their survivorship (generally, the </w:t>
      </w:r>
      <w:r w:rsidRPr="003B6A69">
        <w:rPr>
          <w:rFonts w:asciiTheme="minorHAnsi" w:eastAsiaTheme="minorHAnsi" w:hAnsiTheme="minorHAnsi" w:cstheme="minorHAnsi"/>
          <w:szCs w:val="20"/>
        </w:rPr>
        <w:lastRenderedPageBreak/>
        <w:t xml:space="preserve">majority of SMEs do not survive 2 years), which demands constant re-training. With the larger corporate resort and hotel management chains and operating companies, decision making is concentrated with investors and top executives, and the language of sustainability </w:t>
      </w:r>
      <w:proofErr w:type="gramStart"/>
      <w:r w:rsidRPr="003B6A69">
        <w:rPr>
          <w:rFonts w:asciiTheme="minorHAnsi" w:eastAsiaTheme="minorHAnsi" w:hAnsiTheme="minorHAnsi" w:cstheme="minorHAnsi"/>
          <w:szCs w:val="20"/>
        </w:rPr>
        <w:t>has to</w:t>
      </w:r>
      <w:proofErr w:type="gramEnd"/>
      <w:r w:rsidRPr="003B6A69">
        <w:rPr>
          <w:rFonts w:asciiTheme="minorHAnsi" w:eastAsiaTheme="minorHAnsi" w:hAnsiTheme="minorHAnsi" w:cstheme="minorHAnsi"/>
          <w:szCs w:val="20"/>
        </w:rPr>
        <w:t xml:space="preserve"> be carefully integrated into their business plans. Capacity building is often more readily available with this </w:t>
      </w:r>
      <w:proofErr w:type="gramStart"/>
      <w:r w:rsidRPr="003B6A69">
        <w:rPr>
          <w:rFonts w:asciiTheme="minorHAnsi" w:eastAsiaTheme="minorHAnsi" w:hAnsiTheme="minorHAnsi" w:cstheme="minorHAnsi"/>
          <w:szCs w:val="20"/>
        </w:rPr>
        <w:t>large scale</w:t>
      </w:r>
      <w:proofErr w:type="gramEnd"/>
      <w:r w:rsidRPr="003B6A69">
        <w:rPr>
          <w:rFonts w:asciiTheme="minorHAnsi" w:eastAsiaTheme="minorHAnsi" w:hAnsiTheme="minorHAnsi" w:cstheme="minorHAnsi"/>
          <w:szCs w:val="20"/>
        </w:rPr>
        <w:t xml:space="preserve"> segment of the industry (e.g. environmental management systems, human resources policies and training budgets), procedures are more uniform (i.e. approaches on sustainability are easier to take up to scale), and benefits are relatively easy to measure (e.g. savings in resource use, motivation of employees, and jobs generated).</w:t>
      </w:r>
    </w:p>
    <w:p w14:paraId="1DA9D45C" w14:textId="77777777" w:rsidR="008C4F26" w:rsidRPr="003B6A69" w:rsidRDefault="008C4F26" w:rsidP="008C4F26">
      <w:pPr>
        <w:autoSpaceDE w:val="0"/>
        <w:autoSpaceDN w:val="0"/>
        <w:adjustRightInd w:val="0"/>
        <w:spacing w:after="120"/>
        <w:rPr>
          <w:rFonts w:asciiTheme="minorHAnsi" w:eastAsia="Calibri" w:hAnsiTheme="minorHAnsi" w:cstheme="minorHAnsi"/>
          <w:color w:val="000000"/>
          <w:szCs w:val="20"/>
        </w:rPr>
      </w:pPr>
      <w:r w:rsidRPr="003B6A69">
        <w:rPr>
          <w:rFonts w:asciiTheme="minorHAnsi" w:eastAsia="Calibri" w:hAnsiTheme="minorHAnsi" w:cstheme="minorHAnsi"/>
          <w:b/>
          <w:bCs/>
          <w:color w:val="000000"/>
          <w:szCs w:val="20"/>
        </w:rPr>
        <w:t xml:space="preserve">Training </w:t>
      </w:r>
      <w:proofErr w:type="spellStart"/>
      <w:r w:rsidRPr="003B6A69">
        <w:rPr>
          <w:rFonts w:asciiTheme="minorHAnsi" w:eastAsia="Calibri" w:hAnsiTheme="minorHAnsi" w:cstheme="minorHAnsi"/>
          <w:b/>
          <w:bCs/>
          <w:color w:val="000000"/>
          <w:szCs w:val="20"/>
        </w:rPr>
        <w:t>programmes</w:t>
      </w:r>
      <w:proofErr w:type="spellEnd"/>
      <w:r w:rsidRPr="003B6A69">
        <w:rPr>
          <w:rFonts w:asciiTheme="minorHAnsi" w:eastAsia="Calibri" w:hAnsiTheme="minorHAnsi" w:cstheme="minorHAnsi"/>
          <w:color w:val="000000"/>
          <w:szCs w:val="20"/>
        </w:rPr>
        <w:t xml:space="preserve"> Educating businesses on the opportunities and benefits brought by certification and label schemes are important </w:t>
      </w:r>
      <w:proofErr w:type="gramStart"/>
      <w:r w:rsidRPr="003B6A69">
        <w:rPr>
          <w:rFonts w:asciiTheme="minorHAnsi" w:eastAsia="Calibri" w:hAnsiTheme="minorHAnsi" w:cstheme="minorHAnsi"/>
          <w:color w:val="000000"/>
          <w:szCs w:val="20"/>
        </w:rPr>
        <w:t>in order to</w:t>
      </w:r>
      <w:proofErr w:type="gramEnd"/>
      <w:r w:rsidRPr="003B6A69">
        <w:rPr>
          <w:rFonts w:asciiTheme="minorHAnsi" w:eastAsia="Calibri" w:hAnsiTheme="minorHAnsi" w:cstheme="minorHAnsi"/>
          <w:color w:val="000000"/>
          <w:szCs w:val="20"/>
        </w:rPr>
        <w:t xml:space="preserve"> raise BD awareness and steer the general public in the direction of sustainable tourism in the long run. When </w:t>
      </w:r>
      <w:proofErr w:type="spellStart"/>
      <w:r w:rsidRPr="003B6A69">
        <w:rPr>
          <w:rFonts w:asciiTheme="minorHAnsi" w:eastAsia="Calibri" w:hAnsiTheme="minorHAnsi" w:cstheme="minorHAnsi"/>
          <w:color w:val="000000"/>
          <w:szCs w:val="20"/>
        </w:rPr>
        <w:t>organising</w:t>
      </w:r>
      <w:proofErr w:type="spellEnd"/>
      <w:r w:rsidRPr="003B6A69">
        <w:rPr>
          <w:rFonts w:asciiTheme="minorHAnsi" w:eastAsia="Calibri" w:hAnsiTheme="minorHAnsi" w:cstheme="minorHAnsi"/>
          <w:color w:val="000000"/>
          <w:szCs w:val="20"/>
        </w:rPr>
        <w:t xml:space="preserve"> educational / training </w:t>
      </w:r>
      <w:proofErr w:type="spellStart"/>
      <w:r w:rsidRPr="003B6A69">
        <w:rPr>
          <w:rFonts w:asciiTheme="minorHAnsi" w:eastAsia="Calibri" w:hAnsiTheme="minorHAnsi" w:cstheme="minorHAnsi"/>
          <w:color w:val="000000"/>
          <w:szCs w:val="20"/>
        </w:rPr>
        <w:t>programmes</w:t>
      </w:r>
      <w:proofErr w:type="spellEnd"/>
      <w:r w:rsidRPr="003B6A69">
        <w:rPr>
          <w:rFonts w:asciiTheme="minorHAnsi" w:eastAsia="Calibri" w:hAnsiTheme="minorHAnsi" w:cstheme="minorHAnsi"/>
          <w:color w:val="000000"/>
          <w:szCs w:val="20"/>
        </w:rPr>
        <w:t xml:space="preserve">, some of the following suggestions may help to improve outcomes: </w:t>
      </w:r>
    </w:p>
    <w:p w14:paraId="17448B2A" w14:textId="77777777" w:rsidR="008C4F26" w:rsidRPr="003B6A69" w:rsidRDefault="008C4F26" w:rsidP="003C6B7B">
      <w:pPr>
        <w:numPr>
          <w:ilvl w:val="1"/>
          <w:numId w:val="37"/>
        </w:numPr>
        <w:autoSpaceDE w:val="0"/>
        <w:autoSpaceDN w:val="0"/>
        <w:adjustRightInd w:val="0"/>
        <w:spacing w:after="0" w:line="259" w:lineRule="auto"/>
        <w:ind w:left="426"/>
        <w:jc w:val="left"/>
        <w:rPr>
          <w:rFonts w:asciiTheme="minorHAnsi" w:eastAsia="Calibri" w:hAnsiTheme="minorHAnsi" w:cstheme="minorHAnsi"/>
          <w:color w:val="000000"/>
          <w:szCs w:val="20"/>
        </w:rPr>
      </w:pPr>
      <w:r w:rsidRPr="003B6A69">
        <w:rPr>
          <w:rFonts w:asciiTheme="minorHAnsi" w:eastAsia="Calibri" w:hAnsiTheme="minorHAnsi" w:cstheme="minorHAnsi"/>
          <w:color w:val="000000"/>
          <w:szCs w:val="20"/>
        </w:rPr>
        <w:t xml:space="preserve">Ensure a balanced composition of stakeholders, including public and private players. </w:t>
      </w:r>
    </w:p>
    <w:p w14:paraId="3B9B9782" w14:textId="77777777" w:rsidR="008C4F26" w:rsidRPr="003B6A69" w:rsidRDefault="008C4F26" w:rsidP="003C6B7B">
      <w:pPr>
        <w:numPr>
          <w:ilvl w:val="1"/>
          <w:numId w:val="37"/>
        </w:numPr>
        <w:autoSpaceDE w:val="0"/>
        <w:autoSpaceDN w:val="0"/>
        <w:adjustRightInd w:val="0"/>
        <w:spacing w:after="0" w:line="259" w:lineRule="auto"/>
        <w:ind w:left="426"/>
        <w:jc w:val="left"/>
        <w:rPr>
          <w:rFonts w:asciiTheme="minorHAnsi" w:eastAsia="Calibri" w:hAnsiTheme="minorHAnsi" w:cstheme="minorHAnsi"/>
          <w:color w:val="000000"/>
          <w:szCs w:val="20"/>
        </w:rPr>
      </w:pPr>
      <w:r w:rsidRPr="003B6A69">
        <w:rPr>
          <w:rFonts w:asciiTheme="minorHAnsi" w:eastAsia="Calibri" w:hAnsiTheme="minorHAnsi" w:cstheme="minorHAnsi"/>
          <w:color w:val="000000"/>
          <w:szCs w:val="20"/>
        </w:rPr>
        <w:t>Train-the-</w:t>
      </w:r>
      <w:proofErr w:type="gramStart"/>
      <w:r w:rsidRPr="003B6A69">
        <w:rPr>
          <w:rFonts w:asciiTheme="minorHAnsi" w:eastAsia="Calibri" w:hAnsiTheme="minorHAnsi" w:cstheme="minorHAnsi"/>
          <w:color w:val="000000"/>
          <w:szCs w:val="20"/>
        </w:rPr>
        <w:t>trainers</w:t>
      </w:r>
      <w:proofErr w:type="gramEnd"/>
      <w:r w:rsidRPr="003B6A69">
        <w:rPr>
          <w:rFonts w:asciiTheme="minorHAnsi" w:eastAsia="Calibri" w:hAnsiTheme="minorHAnsi" w:cstheme="minorHAnsi"/>
          <w:color w:val="000000"/>
          <w:szCs w:val="20"/>
        </w:rPr>
        <w:t xml:space="preserve"> strategies can often ensure that a critical mass of experts and experience is made available on a larger scale. </w:t>
      </w:r>
    </w:p>
    <w:p w14:paraId="5B103A7B" w14:textId="77777777" w:rsidR="008C4F26" w:rsidRPr="003B6A69" w:rsidRDefault="008C4F26" w:rsidP="003C6B7B">
      <w:pPr>
        <w:numPr>
          <w:ilvl w:val="1"/>
          <w:numId w:val="37"/>
        </w:numPr>
        <w:autoSpaceDE w:val="0"/>
        <w:autoSpaceDN w:val="0"/>
        <w:adjustRightInd w:val="0"/>
        <w:spacing w:after="0" w:line="259" w:lineRule="auto"/>
        <w:ind w:left="426"/>
        <w:jc w:val="left"/>
        <w:rPr>
          <w:rFonts w:asciiTheme="minorHAnsi" w:eastAsia="Calibri" w:hAnsiTheme="minorHAnsi" w:cstheme="minorHAnsi"/>
          <w:color w:val="000000"/>
          <w:szCs w:val="20"/>
        </w:rPr>
      </w:pPr>
      <w:r w:rsidRPr="003B6A69">
        <w:rPr>
          <w:rFonts w:asciiTheme="minorHAnsi" w:eastAsia="Calibri" w:hAnsiTheme="minorHAnsi" w:cstheme="minorHAnsi"/>
          <w:color w:val="000000"/>
          <w:szCs w:val="20"/>
        </w:rPr>
        <w:t xml:space="preserve">A “hands-on” approach should be used to explain the concepts and principles of sustainable tourism development. Whenever possible, trainers should use local examples and case studies, employ learning </w:t>
      </w:r>
      <w:proofErr w:type="gramStart"/>
      <w:r w:rsidRPr="003B6A69">
        <w:rPr>
          <w:rFonts w:asciiTheme="minorHAnsi" w:eastAsia="Calibri" w:hAnsiTheme="minorHAnsi" w:cstheme="minorHAnsi"/>
          <w:color w:val="000000"/>
          <w:szCs w:val="20"/>
        </w:rPr>
        <w:t>field-trips</w:t>
      </w:r>
      <w:proofErr w:type="gramEnd"/>
      <w:r w:rsidRPr="003B6A69">
        <w:rPr>
          <w:rFonts w:asciiTheme="minorHAnsi" w:eastAsia="Calibri" w:hAnsiTheme="minorHAnsi" w:cstheme="minorHAnsi"/>
          <w:color w:val="000000"/>
          <w:szCs w:val="20"/>
        </w:rPr>
        <w:t xml:space="preserve">, involve local experts, and include face-to-face meetings with both local and national tourism players to help foster information exchange. </w:t>
      </w:r>
    </w:p>
    <w:p w14:paraId="18A05BE0" w14:textId="77777777" w:rsidR="008C4F26" w:rsidRPr="003B6A69" w:rsidRDefault="008C4F26" w:rsidP="003C6B7B">
      <w:pPr>
        <w:numPr>
          <w:ilvl w:val="1"/>
          <w:numId w:val="37"/>
        </w:numPr>
        <w:spacing w:after="0" w:line="259" w:lineRule="auto"/>
        <w:ind w:left="426"/>
        <w:contextualSpacing/>
        <w:jc w:val="left"/>
        <w:rPr>
          <w:rFonts w:asciiTheme="minorHAnsi" w:eastAsiaTheme="minorHAnsi" w:hAnsiTheme="minorHAnsi" w:cstheme="minorHAnsi"/>
          <w:szCs w:val="20"/>
        </w:rPr>
      </w:pPr>
      <w:r w:rsidRPr="003B6A69">
        <w:rPr>
          <w:rFonts w:asciiTheme="minorHAnsi" w:eastAsiaTheme="minorHAnsi" w:hAnsiTheme="minorHAnsi" w:cstheme="minorHAnsi"/>
          <w:szCs w:val="20"/>
        </w:rPr>
        <w:t xml:space="preserve">When planning training </w:t>
      </w:r>
      <w:proofErr w:type="spellStart"/>
      <w:r w:rsidRPr="003B6A69">
        <w:rPr>
          <w:rFonts w:asciiTheme="minorHAnsi" w:eastAsiaTheme="minorHAnsi" w:hAnsiTheme="minorHAnsi" w:cstheme="minorHAnsi"/>
          <w:szCs w:val="20"/>
        </w:rPr>
        <w:t>programmes</w:t>
      </w:r>
      <w:proofErr w:type="spellEnd"/>
      <w:r w:rsidRPr="003B6A69">
        <w:rPr>
          <w:rFonts w:asciiTheme="minorHAnsi" w:eastAsiaTheme="minorHAnsi" w:hAnsiTheme="minorHAnsi" w:cstheme="minorHAnsi"/>
          <w:szCs w:val="20"/>
        </w:rPr>
        <w:t xml:space="preserve">, the cultural norms and values of trainees should be considered. Successful training carefully considers the background, motivations, circumstances, capacities and expectations of participants, peers, </w:t>
      </w:r>
      <w:proofErr w:type="gramStart"/>
      <w:r w:rsidRPr="003B6A69">
        <w:rPr>
          <w:rFonts w:asciiTheme="minorHAnsi" w:eastAsiaTheme="minorHAnsi" w:hAnsiTheme="minorHAnsi" w:cstheme="minorHAnsi"/>
          <w:szCs w:val="20"/>
        </w:rPr>
        <w:t>supervisors</w:t>
      </w:r>
      <w:proofErr w:type="gramEnd"/>
      <w:r w:rsidRPr="003B6A69">
        <w:rPr>
          <w:rFonts w:asciiTheme="minorHAnsi" w:eastAsiaTheme="minorHAnsi" w:hAnsiTheme="minorHAnsi" w:cstheme="minorHAnsi"/>
          <w:szCs w:val="20"/>
        </w:rPr>
        <w:t xml:space="preserve"> and institutions. </w:t>
      </w:r>
    </w:p>
    <w:p w14:paraId="5AF15606" w14:textId="77777777" w:rsidR="008C4F26" w:rsidRPr="003B6A69" w:rsidRDefault="008C4F26" w:rsidP="003C6B7B">
      <w:pPr>
        <w:numPr>
          <w:ilvl w:val="1"/>
          <w:numId w:val="37"/>
        </w:numPr>
        <w:autoSpaceDE w:val="0"/>
        <w:autoSpaceDN w:val="0"/>
        <w:adjustRightInd w:val="0"/>
        <w:spacing w:after="0" w:line="259" w:lineRule="auto"/>
        <w:ind w:left="426"/>
        <w:jc w:val="left"/>
        <w:rPr>
          <w:rFonts w:asciiTheme="minorHAnsi" w:eastAsia="Calibri" w:hAnsiTheme="minorHAnsi" w:cstheme="minorHAnsi"/>
          <w:color w:val="000000"/>
          <w:szCs w:val="20"/>
        </w:rPr>
      </w:pPr>
      <w:r w:rsidRPr="003B6A69">
        <w:rPr>
          <w:rFonts w:asciiTheme="minorHAnsi" w:eastAsia="Calibri" w:hAnsiTheme="minorHAnsi" w:cstheme="minorHAnsi"/>
          <w:color w:val="000000"/>
          <w:szCs w:val="20"/>
        </w:rPr>
        <w:t xml:space="preserve">Problems often appear after a training session (and not before)! Training needs to be complemented with coaching, individual technical support, and demonstration models. </w:t>
      </w:r>
    </w:p>
    <w:p w14:paraId="777E001D" w14:textId="77777777" w:rsidR="008C4F26" w:rsidRPr="003B6A69" w:rsidRDefault="008C4F26" w:rsidP="003C6B7B">
      <w:pPr>
        <w:numPr>
          <w:ilvl w:val="1"/>
          <w:numId w:val="37"/>
        </w:numPr>
        <w:autoSpaceDE w:val="0"/>
        <w:autoSpaceDN w:val="0"/>
        <w:adjustRightInd w:val="0"/>
        <w:spacing w:after="0" w:line="259" w:lineRule="auto"/>
        <w:ind w:left="426"/>
        <w:jc w:val="left"/>
        <w:rPr>
          <w:rFonts w:asciiTheme="minorHAnsi" w:eastAsia="Calibri" w:hAnsiTheme="minorHAnsi" w:cstheme="minorHAnsi"/>
          <w:color w:val="000000"/>
          <w:szCs w:val="20"/>
        </w:rPr>
      </w:pPr>
      <w:r w:rsidRPr="003B6A69">
        <w:rPr>
          <w:rFonts w:asciiTheme="minorHAnsi" w:eastAsia="Calibri" w:hAnsiTheme="minorHAnsi" w:cstheme="minorHAnsi"/>
          <w:color w:val="000000"/>
          <w:szCs w:val="20"/>
        </w:rPr>
        <w:t xml:space="preserve">Tourism specialists are often not experienced trainers. Training / educational specialists should therefore be involved in the development of training materials and organization of a training </w:t>
      </w:r>
      <w:proofErr w:type="spellStart"/>
      <w:r w:rsidRPr="003B6A69">
        <w:rPr>
          <w:rFonts w:asciiTheme="minorHAnsi" w:eastAsia="Calibri" w:hAnsiTheme="minorHAnsi" w:cstheme="minorHAnsi"/>
          <w:color w:val="000000"/>
          <w:szCs w:val="20"/>
        </w:rPr>
        <w:t>programme</w:t>
      </w:r>
      <w:proofErr w:type="spellEnd"/>
      <w:r w:rsidRPr="003B6A69">
        <w:rPr>
          <w:rFonts w:asciiTheme="minorHAnsi" w:eastAsia="Calibri" w:hAnsiTheme="minorHAnsi" w:cstheme="minorHAnsi"/>
          <w:color w:val="000000"/>
          <w:szCs w:val="20"/>
        </w:rPr>
        <w:t xml:space="preserve">. Trained facilitators and presenters, as well as communication specialists, need to be part of the team. </w:t>
      </w:r>
    </w:p>
    <w:p w14:paraId="37D753DE" w14:textId="77777777" w:rsidR="008C4F26" w:rsidRPr="003B6A69" w:rsidRDefault="008C4F26" w:rsidP="003C6B7B">
      <w:pPr>
        <w:numPr>
          <w:ilvl w:val="1"/>
          <w:numId w:val="37"/>
        </w:numPr>
        <w:autoSpaceDE w:val="0"/>
        <w:autoSpaceDN w:val="0"/>
        <w:adjustRightInd w:val="0"/>
        <w:spacing w:after="0" w:line="259" w:lineRule="auto"/>
        <w:ind w:left="426"/>
        <w:jc w:val="left"/>
        <w:rPr>
          <w:rFonts w:asciiTheme="minorHAnsi" w:eastAsia="Calibri" w:hAnsiTheme="minorHAnsi" w:cstheme="minorHAnsi"/>
          <w:color w:val="000000"/>
          <w:szCs w:val="20"/>
        </w:rPr>
      </w:pPr>
      <w:r w:rsidRPr="003B6A69">
        <w:rPr>
          <w:rFonts w:asciiTheme="minorHAnsi" w:eastAsia="Calibri" w:hAnsiTheme="minorHAnsi" w:cstheme="minorHAnsi"/>
          <w:color w:val="000000"/>
          <w:szCs w:val="20"/>
        </w:rPr>
        <w:t xml:space="preserve">Training is lost if it is not part of a broader capacity building / development / empowerment effort that allows participants to use acquired skills. There is often a gap between an existing situation and future planned status – people who are trained do not use the techniques and contents of the training, not only because they may not yet possess the skills, but also due to other institutional and systemic constraints. </w:t>
      </w:r>
    </w:p>
    <w:p w14:paraId="5AB944E3" w14:textId="77777777" w:rsidR="008C4F26" w:rsidRPr="003B6A69" w:rsidRDefault="008C4F26" w:rsidP="003C6B7B">
      <w:pPr>
        <w:numPr>
          <w:ilvl w:val="1"/>
          <w:numId w:val="37"/>
        </w:numPr>
        <w:spacing w:after="0" w:line="259" w:lineRule="auto"/>
        <w:ind w:left="426"/>
        <w:contextualSpacing/>
        <w:jc w:val="left"/>
        <w:rPr>
          <w:rFonts w:asciiTheme="minorHAnsi" w:eastAsiaTheme="minorHAnsi" w:hAnsiTheme="minorHAnsi" w:cstheme="minorHAnsi"/>
          <w:szCs w:val="20"/>
        </w:rPr>
      </w:pPr>
      <w:r w:rsidRPr="003B6A69">
        <w:rPr>
          <w:rFonts w:asciiTheme="minorHAnsi" w:eastAsiaTheme="minorHAnsi" w:hAnsiTheme="minorHAnsi" w:cstheme="minorHAnsi"/>
          <w:szCs w:val="20"/>
        </w:rPr>
        <w:t>In order for training to be effective, a need has to be identified (</w:t>
      </w:r>
      <w:proofErr w:type="gramStart"/>
      <w:r w:rsidRPr="003B6A69">
        <w:rPr>
          <w:rFonts w:asciiTheme="minorHAnsi" w:eastAsiaTheme="minorHAnsi" w:hAnsiTheme="minorHAnsi" w:cstheme="minorHAnsi"/>
          <w:szCs w:val="20"/>
        </w:rPr>
        <w:t>i.e.</w:t>
      </w:r>
      <w:proofErr w:type="gramEnd"/>
      <w:r w:rsidRPr="003B6A69">
        <w:rPr>
          <w:rFonts w:asciiTheme="minorHAnsi" w:eastAsiaTheme="minorHAnsi" w:hAnsiTheme="minorHAnsi" w:cstheme="minorHAnsi"/>
          <w:szCs w:val="20"/>
        </w:rPr>
        <w:t xml:space="preserve"> the training should respond to a real need as perceived by local players), stakeholders need to be organized (and possibly empowered) prior to training, and a multi-stakeholder framework or governance structure may need to be set up to organize the training, to follow up on it, and to ensure that participants actually use the skills and knowledge they acquire. In governments, it is essential to involve all relevant ministries and agencies, not only in environment but also tourism/economy, education, foreign affairs, planning, regional </w:t>
      </w:r>
      <w:proofErr w:type="gramStart"/>
      <w:r w:rsidRPr="003B6A69">
        <w:rPr>
          <w:rFonts w:asciiTheme="minorHAnsi" w:eastAsiaTheme="minorHAnsi" w:hAnsiTheme="minorHAnsi" w:cstheme="minorHAnsi"/>
          <w:szCs w:val="20"/>
        </w:rPr>
        <w:t>affairs</w:t>
      </w:r>
      <w:proofErr w:type="gramEnd"/>
      <w:r w:rsidRPr="003B6A69">
        <w:rPr>
          <w:rFonts w:asciiTheme="minorHAnsi" w:eastAsiaTheme="minorHAnsi" w:hAnsiTheme="minorHAnsi" w:cstheme="minorHAnsi"/>
          <w:szCs w:val="20"/>
        </w:rPr>
        <w:t xml:space="preserve"> and finance/budgeting. At times, it may be important to institutionalize these multi-stakeholder and inter-institutional boards, so that initiatives can survive beyond short political mandates and/or circumstances. Local ownership of the training process, and of its content development, as well as the explicit support of top management, are critical for training </w:t>
      </w:r>
      <w:proofErr w:type="spellStart"/>
      <w:r w:rsidRPr="003B6A69">
        <w:rPr>
          <w:rFonts w:asciiTheme="minorHAnsi" w:eastAsiaTheme="minorHAnsi" w:hAnsiTheme="minorHAnsi" w:cstheme="minorHAnsi"/>
          <w:szCs w:val="20"/>
        </w:rPr>
        <w:t>programmes</w:t>
      </w:r>
      <w:proofErr w:type="spellEnd"/>
      <w:r w:rsidRPr="003B6A69">
        <w:rPr>
          <w:rFonts w:asciiTheme="minorHAnsi" w:eastAsiaTheme="minorHAnsi" w:hAnsiTheme="minorHAnsi" w:cstheme="minorHAnsi"/>
          <w:szCs w:val="20"/>
        </w:rPr>
        <w:t xml:space="preserve"> to leave lasting results.</w:t>
      </w:r>
    </w:p>
    <w:p w14:paraId="2DA499CC" w14:textId="77777777" w:rsidR="008C4F26" w:rsidRPr="003B6A69" w:rsidRDefault="008C4F26" w:rsidP="008C4F26">
      <w:pPr>
        <w:rPr>
          <w:rFonts w:asciiTheme="minorHAnsi" w:hAnsiTheme="minorHAnsi"/>
          <w:szCs w:val="20"/>
        </w:rPr>
      </w:pPr>
    </w:p>
    <w:p w14:paraId="1EACFE7A" w14:textId="77777777" w:rsidR="008C4F26" w:rsidRPr="003B6A69" w:rsidRDefault="008C4F26" w:rsidP="008C4F26">
      <w:pPr>
        <w:spacing w:after="160" w:line="259" w:lineRule="auto"/>
        <w:jc w:val="left"/>
        <w:rPr>
          <w:rFonts w:asciiTheme="minorHAnsi" w:eastAsiaTheme="minorHAnsi" w:hAnsiTheme="minorHAnsi" w:cstheme="minorHAnsi"/>
          <w:color w:val="000000" w:themeColor="text1"/>
          <w:szCs w:val="20"/>
        </w:rPr>
      </w:pPr>
    </w:p>
    <w:p w14:paraId="6DAB6037" w14:textId="77777777" w:rsidR="008C4F26" w:rsidRPr="003B6A69" w:rsidRDefault="008C4F26" w:rsidP="008C4F26">
      <w:pPr>
        <w:spacing w:after="160" w:line="259" w:lineRule="auto"/>
        <w:jc w:val="left"/>
        <w:rPr>
          <w:rFonts w:asciiTheme="minorHAnsi" w:eastAsiaTheme="majorEastAsia" w:hAnsiTheme="minorHAnsi" w:cstheme="majorBidi"/>
          <w:b/>
          <w:sz w:val="22"/>
          <w:szCs w:val="22"/>
          <w:lang w:val="en-GB"/>
        </w:rPr>
      </w:pPr>
      <w:r w:rsidRPr="003B6A69">
        <w:rPr>
          <w:rFonts w:asciiTheme="minorHAnsi" w:eastAsiaTheme="minorHAnsi" w:hAnsiTheme="minorHAnsi" w:cstheme="minorBidi"/>
          <w:b/>
          <w:sz w:val="22"/>
          <w:szCs w:val="22"/>
          <w:lang w:val="en-GB"/>
        </w:rPr>
        <w:br w:type="page"/>
      </w:r>
    </w:p>
    <w:p w14:paraId="62970C46" w14:textId="39197F2B" w:rsidR="008C4F26" w:rsidRPr="003B6A69" w:rsidRDefault="008C4F26" w:rsidP="00904420">
      <w:pPr>
        <w:pStyle w:val="Heading2"/>
        <w:rPr>
          <w:lang w:val="en-GB"/>
        </w:rPr>
      </w:pPr>
      <w:bookmarkStart w:id="105" w:name="_Annex_3:_Forestry"/>
      <w:bookmarkStart w:id="106" w:name="_Annex_3._Carrying"/>
      <w:bookmarkStart w:id="107" w:name="_Annex_23._Carrying"/>
      <w:bookmarkStart w:id="108" w:name="_Annex_22._Carrying"/>
      <w:bookmarkStart w:id="109" w:name="_Annex_17._Carrying"/>
      <w:bookmarkStart w:id="110" w:name="_Toc82018290"/>
      <w:bookmarkEnd w:id="105"/>
      <w:bookmarkEnd w:id="106"/>
      <w:bookmarkEnd w:id="107"/>
      <w:bookmarkEnd w:id="108"/>
      <w:bookmarkEnd w:id="109"/>
      <w:r w:rsidRPr="003B6A69">
        <w:rPr>
          <w:lang w:val="en-GB"/>
        </w:rPr>
        <w:lastRenderedPageBreak/>
        <w:t xml:space="preserve">Annex </w:t>
      </w:r>
      <w:r w:rsidR="006C1C66" w:rsidRPr="003B6A69">
        <w:rPr>
          <w:lang w:val="en-GB"/>
        </w:rPr>
        <w:t>17</w:t>
      </w:r>
      <w:r w:rsidRPr="003B6A69">
        <w:rPr>
          <w:lang w:val="en-GB"/>
        </w:rPr>
        <w:t xml:space="preserve">. Carrying capacity assessment for </w:t>
      </w:r>
      <w:proofErr w:type="spellStart"/>
      <w:r w:rsidRPr="003B6A69">
        <w:rPr>
          <w:lang w:val="en-GB"/>
        </w:rPr>
        <w:t>Durmitor</w:t>
      </w:r>
      <w:proofErr w:type="spellEnd"/>
      <w:r w:rsidRPr="003B6A69">
        <w:rPr>
          <w:lang w:val="en-GB"/>
        </w:rPr>
        <w:t xml:space="preserve"> NP: background and rationale</w:t>
      </w:r>
      <w:bookmarkEnd w:id="110"/>
      <w:r w:rsidRPr="003B6A69">
        <w:rPr>
          <w:lang w:val="en-GB"/>
        </w:rPr>
        <w:t xml:space="preserve"> </w:t>
      </w:r>
    </w:p>
    <w:p w14:paraId="57BEC1A7" w14:textId="77777777" w:rsidR="008C4F26" w:rsidRPr="003B6A69" w:rsidRDefault="008C4F26" w:rsidP="00904420">
      <w:pPr>
        <w:rPr>
          <w:lang w:val="en-GB"/>
        </w:rPr>
      </w:pPr>
      <w:r w:rsidRPr="003B6A69">
        <w:rPr>
          <w:lang w:val="en-GB"/>
        </w:rPr>
        <w:t>In general, there is limited experience with the application of carrying capacity</w:t>
      </w:r>
      <w:r w:rsidRPr="003B6A69">
        <w:rPr>
          <w:vertAlign w:val="superscript"/>
          <w:lang w:val="en-GB"/>
        </w:rPr>
        <w:footnoteReference w:id="74"/>
      </w:r>
      <w:r w:rsidRPr="003B6A69">
        <w:rPr>
          <w:lang w:val="en-GB"/>
        </w:rPr>
        <w:t xml:space="preserve"> in the management of tourist destinations across European countries. This probably reflects the ambiguities involved with the concept and/or the difficulties in its operationalization.  However, the basic element of the concept: the need for a limit -a threshold -in the tourist activity is present in one way or the other. </w:t>
      </w:r>
    </w:p>
    <w:p w14:paraId="4C1816E8" w14:textId="77777777" w:rsidR="008C4F26" w:rsidRPr="003B6A69" w:rsidRDefault="008C4F26" w:rsidP="00904420">
      <w:pPr>
        <w:rPr>
          <w:lang w:val="en-GB"/>
        </w:rPr>
      </w:pPr>
      <w:r w:rsidRPr="003B6A69">
        <w:rPr>
          <w:lang w:val="en-GB"/>
        </w:rPr>
        <w:t xml:space="preserve">In considering carrying capacity the three components are assigned different weights (or importance) in different destinations. These differences stem from the type (characteristics/particularities) of the place, the type(s) of tourism present and the tourism/environment interface. The three are interrelated to some extent. </w:t>
      </w:r>
    </w:p>
    <w:p w14:paraId="5333AA0E" w14:textId="77777777" w:rsidR="008C4F26" w:rsidRPr="003B6A69" w:rsidRDefault="008C4F26" w:rsidP="00904420">
      <w:pPr>
        <w:rPr>
          <w:lang w:val="en-GB"/>
        </w:rPr>
      </w:pPr>
      <w:r w:rsidRPr="003B6A69">
        <w:rPr>
          <w:lang w:val="en-GB"/>
        </w:rPr>
        <w:t xml:space="preserve">-The characteristics of the locality provide the basic structure for the development of tourism. These can be evidenced in terms of local resources, the vulnerability of local natural ecosystems, population size, economic structure, </w:t>
      </w:r>
      <w:proofErr w:type="gramStart"/>
      <w:r w:rsidRPr="003B6A69">
        <w:rPr>
          <w:lang w:val="en-GB"/>
        </w:rPr>
        <w:t>culture</w:t>
      </w:r>
      <w:proofErr w:type="gramEnd"/>
      <w:r w:rsidRPr="003B6A69">
        <w:rPr>
          <w:lang w:val="en-GB"/>
        </w:rPr>
        <w:t xml:space="preserve"> and local heritage, etc. To some extent the characteristics of a locality determine its resilience to pressures from tourism. The size, the structure and dynamism of the local society, culture and economy can be significant factors which influence the local ability to cope with pressures and impacts from tourism </w:t>
      </w:r>
    </w:p>
    <w:p w14:paraId="000FCAE2" w14:textId="77777777" w:rsidR="008C4F26" w:rsidRPr="003B6A69" w:rsidRDefault="008C4F26" w:rsidP="00904420">
      <w:pPr>
        <w:rPr>
          <w:lang w:val="en-GB"/>
        </w:rPr>
      </w:pPr>
      <w:r w:rsidRPr="003B6A69">
        <w:rPr>
          <w:lang w:val="en-GB"/>
        </w:rPr>
        <w:t xml:space="preserve">-The type of tourism determines the basic characteristics of tourist behaviour –to some extent- and condition the tourist/local community, tourism/local </w:t>
      </w:r>
      <w:proofErr w:type="gramStart"/>
      <w:r w:rsidRPr="003B6A69">
        <w:rPr>
          <w:lang w:val="en-GB"/>
        </w:rPr>
        <w:t>economy</w:t>
      </w:r>
      <w:proofErr w:type="gramEnd"/>
      <w:r w:rsidRPr="003B6A69">
        <w:rPr>
          <w:lang w:val="en-GB"/>
        </w:rPr>
        <w:t xml:space="preserve"> and tourist development/environmental quality relationships. The type of tourism can be expressed in terms of the motive(s) for visiting a place, the mode of mobility and transport, the frequency-length of stay- and activity range of tourists, etc. In this context it is important to consider differences among types of tourists in terms of expectations, attitudes and behaviour as </w:t>
      </w:r>
      <w:proofErr w:type="gramStart"/>
      <w:r w:rsidRPr="003B6A69">
        <w:rPr>
          <w:lang w:val="en-GB"/>
        </w:rPr>
        <w:t>these condition</w:t>
      </w:r>
      <w:proofErr w:type="gramEnd"/>
      <w:r w:rsidRPr="003B6A69">
        <w:rPr>
          <w:lang w:val="en-GB"/>
        </w:rPr>
        <w:t xml:space="preserve"> the pressures and impacts of tourism on a place. </w:t>
      </w:r>
    </w:p>
    <w:p w14:paraId="78E6F3E0" w14:textId="77777777" w:rsidR="008C4F26" w:rsidRPr="003B6A69" w:rsidRDefault="008C4F26" w:rsidP="00904420">
      <w:pPr>
        <w:rPr>
          <w:lang w:val="en-GB"/>
        </w:rPr>
      </w:pPr>
      <w:r w:rsidRPr="003B6A69">
        <w:rPr>
          <w:lang w:val="en-GB"/>
        </w:rPr>
        <w:t xml:space="preserve">-The tourism/environment interface is a composite of the previous two factors mainly in the form and type of tourist development (spatial patterns), the phase in a life-cycle context of the destination, the level of organizational and technological systems employed, the management regime, etc. The tourism/environment interface is expressed in terms of constraints evolving either from the impacts of tourism on the environment or from the degradation of the environment on tourism. </w:t>
      </w:r>
    </w:p>
    <w:p w14:paraId="4F26C5EC" w14:textId="77777777" w:rsidR="008C4F26" w:rsidRPr="003B6A69" w:rsidRDefault="008C4F26" w:rsidP="00904420">
      <w:pPr>
        <w:rPr>
          <w:u w:val="single"/>
          <w:lang w:val="en-GB"/>
        </w:rPr>
      </w:pPr>
      <w:r w:rsidRPr="003B6A69">
        <w:rPr>
          <w:lang w:val="en-GB"/>
        </w:rPr>
        <w:t xml:space="preserve">The above underline the need to consider a different emphasis-or </w:t>
      </w:r>
      <w:proofErr w:type="spellStart"/>
      <w:r w:rsidRPr="003B6A69">
        <w:rPr>
          <w:lang w:val="en-GB"/>
        </w:rPr>
        <w:t>signifcance</w:t>
      </w:r>
      <w:proofErr w:type="spellEnd"/>
      <w:r w:rsidRPr="003B6A69">
        <w:rPr>
          <w:lang w:val="en-GB"/>
        </w:rPr>
        <w:t xml:space="preserve">- in carrying capacity considerations in each type of tourist destination. In fact, </w:t>
      </w:r>
      <w:r w:rsidRPr="003B6A69">
        <w:rPr>
          <w:u w:val="single"/>
          <w:lang w:val="en-GB"/>
        </w:rPr>
        <w:t xml:space="preserve">tourism in protected areas is associated with appreciating and observing nature, scientific </w:t>
      </w:r>
      <w:proofErr w:type="gramStart"/>
      <w:r w:rsidRPr="003B6A69">
        <w:rPr>
          <w:u w:val="single"/>
          <w:lang w:val="en-GB"/>
        </w:rPr>
        <w:t>endeavour</w:t>
      </w:r>
      <w:proofErr w:type="gramEnd"/>
      <w:r w:rsidRPr="003B6A69">
        <w:rPr>
          <w:u w:val="single"/>
          <w:lang w:val="en-GB"/>
        </w:rPr>
        <w:t xml:space="preserve"> and education. This type of tourism is associated with minimal development of infrastructure and </w:t>
      </w:r>
      <w:proofErr w:type="gramStart"/>
      <w:r w:rsidRPr="003B6A69">
        <w:rPr>
          <w:u w:val="single"/>
          <w:lang w:val="en-GB"/>
        </w:rPr>
        <w:t>small scale</w:t>
      </w:r>
      <w:proofErr w:type="gramEnd"/>
      <w:r w:rsidRPr="003B6A69">
        <w:rPr>
          <w:u w:val="single"/>
          <w:lang w:val="en-GB"/>
        </w:rPr>
        <w:t xml:space="preserve"> interventions in areas of – normally-strong control and restrictive management. Carrying capacity issues concern the number of tourists, visitor flows and spatial patterns of concentration/dispersion vis-à-vis the protection of nature and the functioning of ecosystems but also the quality of experience of visitors. </w:t>
      </w:r>
    </w:p>
    <w:p w14:paraId="1D83C56E" w14:textId="77777777" w:rsidR="008C4F26" w:rsidRPr="003B6A69" w:rsidRDefault="008C4F26" w:rsidP="00904420">
      <w:pPr>
        <w:rPr>
          <w:rFonts w:eastAsia="Times New Roman"/>
          <w:lang w:val="en-GB"/>
        </w:rPr>
      </w:pPr>
      <w:proofErr w:type="gramStart"/>
      <w:r w:rsidRPr="003B6A69">
        <w:rPr>
          <w:lang w:val="en-GB"/>
        </w:rPr>
        <w:t>In order to</w:t>
      </w:r>
      <w:proofErr w:type="gramEnd"/>
      <w:r w:rsidRPr="003B6A69">
        <w:rPr>
          <w:lang w:val="en-GB"/>
        </w:rPr>
        <w:t xml:space="preserve"> implement carrying capacity management needs to set certain </w:t>
      </w:r>
      <w:r w:rsidRPr="003B6A69">
        <w:rPr>
          <w:b/>
          <w:bCs/>
          <w:lang w:val="en-GB"/>
        </w:rPr>
        <w:t>regulations</w:t>
      </w:r>
      <w:r w:rsidRPr="003B6A69">
        <w:rPr>
          <w:lang w:val="en-GB"/>
        </w:rPr>
        <w:t xml:space="preserve"> such as zoning from most sensitive (entry only to authorised scientific teams) to mild development and buffer (tourism and Tourism and visitor facilities, car access and parking, compatible activities); Limits to free access </w:t>
      </w:r>
      <w:r w:rsidRPr="003B6A69">
        <w:rPr>
          <w:rFonts w:eastAsia="Times New Roman"/>
          <w:lang w:val="en-GB"/>
        </w:rPr>
        <w:t>(</w:t>
      </w:r>
      <w:r w:rsidRPr="003B6A69">
        <w:rPr>
          <w:lang w:val="en-GB"/>
        </w:rPr>
        <w:t xml:space="preserve">It could help significant environmental protection. However, many European laws protect free access. It is not possible to discriminate people </w:t>
      </w:r>
      <w:proofErr w:type="gramStart"/>
      <w:r w:rsidRPr="003B6A69">
        <w:rPr>
          <w:lang w:val="en-GB"/>
        </w:rPr>
        <w:t>on the basis of</w:t>
      </w:r>
      <w:proofErr w:type="gramEnd"/>
      <w:r w:rsidRPr="003B6A69">
        <w:rPr>
          <w:lang w:val="en-GB"/>
        </w:rPr>
        <w:t xml:space="preserve"> various factors</w:t>
      </w:r>
      <w:r w:rsidRPr="003B6A69">
        <w:rPr>
          <w:rFonts w:eastAsia="Times New Roman"/>
          <w:lang w:val="en-GB"/>
        </w:rPr>
        <w:t xml:space="preserve">. </w:t>
      </w:r>
      <w:r w:rsidRPr="003B6A69">
        <w:rPr>
          <w:lang w:val="en-GB"/>
        </w:rPr>
        <w:t xml:space="preserve">Imposing limits to accessibility </w:t>
      </w:r>
      <w:proofErr w:type="gramStart"/>
      <w:r w:rsidRPr="003B6A69">
        <w:rPr>
          <w:lang w:val="en-GB"/>
        </w:rPr>
        <w:t>is</w:t>
      </w:r>
      <w:proofErr w:type="gramEnd"/>
      <w:r w:rsidRPr="003B6A69">
        <w:rPr>
          <w:lang w:val="en-GB"/>
        </w:rPr>
        <w:t xml:space="preserve"> allowed only in certain cases like the application of International Conventions.</w:t>
      </w:r>
      <w:r w:rsidRPr="003B6A69">
        <w:rPr>
          <w:rFonts w:eastAsia="Times New Roman"/>
          <w:lang w:val="en-GB"/>
        </w:rPr>
        <w:t>);</w:t>
      </w:r>
      <w:r w:rsidRPr="003B6A69">
        <w:rPr>
          <w:lang w:val="en-GB"/>
        </w:rPr>
        <w:t xml:space="preserve"> Limits to specific activities </w:t>
      </w:r>
      <w:r w:rsidRPr="003B6A69">
        <w:rPr>
          <w:rFonts w:eastAsia="Times New Roman"/>
          <w:lang w:val="en-GB"/>
        </w:rPr>
        <w:t>(</w:t>
      </w:r>
      <w:r w:rsidRPr="003B6A69">
        <w:rPr>
          <w:lang w:val="en-GB"/>
        </w:rPr>
        <w:t xml:space="preserve">All kinds of tourist activities have to be evaluated in order to prevent impacts on the environment or conflicts among different users. Special permits or the application of EIA are not foreseen in the case of new forms of activities as in the case of infrastructure development. Some activities may be forbidden given </w:t>
      </w:r>
      <w:proofErr w:type="gramStart"/>
      <w:r w:rsidRPr="003B6A69">
        <w:rPr>
          <w:lang w:val="en-GB"/>
        </w:rPr>
        <w:t>particular conditions</w:t>
      </w:r>
      <w:proofErr w:type="gramEnd"/>
      <w:r w:rsidRPr="003B6A69">
        <w:rPr>
          <w:lang w:val="en-GB"/>
        </w:rPr>
        <w:t xml:space="preserve">, while others may be just limited to certain periods of the year or to a limited number of users. For </w:t>
      </w:r>
      <w:proofErr w:type="gramStart"/>
      <w:r w:rsidRPr="003B6A69">
        <w:rPr>
          <w:lang w:val="en-GB"/>
        </w:rPr>
        <w:t>example</w:t>
      </w:r>
      <w:proofErr w:type="gramEnd"/>
      <w:r w:rsidRPr="003B6A69">
        <w:rPr>
          <w:lang w:val="en-GB"/>
        </w:rPr>
        <w:t xml:space="preserve"> paragliding is forbidden in some French National Parks because it disturbs fowls</w:t>
      </w:r>
      <w:r w:rsidRPr="003B6A69">
        <w:rPr>
          <w:rFonts w:eastAsia="Times New Roman"/>
          <w:lang w:val="en-GB"/>
        </w:rPr>
        <w:t>.);</w:t>
      </w:r>
      <w:r w:rsidRPr="003B6A69">
        <w:rPr>
          <w:lang w:val="en-GB"/>
        </w:rPr>
        <w:t xml:space="preserve"> Eco-labels</w:t>
      </w:r>
      <w:r w:rsidRPr="003B6A69">
        <w:rPr>
          <w:rFonts w:eastAsia="Times New Roman"/>
          <w:lang w:val="en-GB"/>
        </w:rPr>
        <w:t xml:space="preserve">; </w:t>
      </w:r>
      <w:r w:rsidRPr="003B6A69">
        <w:rPr>
          <w:lang w:val="en-GB"/>
        </w:rPr>
        <w:t>Concentration or dispersion of development pressures and tourist flows</w:t>
      </w:r>
      <w:r w:rsidRPr="003B6A69">
        <w:rPr>
          <w:rFonts w:eastAsia="Times New Roman"/>
          <w:lang w:val="en-GB"/>
        </w:rPr>
        <w:t>.</w:t>
      </w:r>
    </w:p>
    <w:p w14:paraId="6339C681" w14:textId="77777777" w:rsidR="008C4F26" w:rsidRPr="003B6A69" w:rsidRDefault="008C4F26" w:rsidP="00904420">
      <w:pPr>
        <w:rPr>
          <w:rFonts w:eastAsia="Times New Roman"/>
          <w:lang w:val="en-GB"/>
        </w:rPr>
      </w:pPr>
    </w:p>
    <w:p w14:paraId="3A812FE2" w14:textId="77777777" w:rsidR="008C4F26" w:rsidRPr="003B6A69" w:rsidRDefault="008C4F26" w:rsidP="00904420">
      <w:pPr>
        <w:rPr>
          <w:rFonts w:eastAsia="Times New Roman"/>
          <w:lang w:val="en-GB"/>
        </w:rPr>
      </w:pPr>
      <w:r w:rsidRPr="003B6A69">
        <w:rPr>
          <w:rFonts w:eastAsia="Times New Roman"/>
          <w:lang w:val="en-GB"/>
        </w:rPr>
        <w:t xml:space="preserve">From </w:t>
      </w:r>
      <w:r w:rsidRPr="003B6A69">
        <w:rPr>
          <w:rFonts w:eastAsia="Times New Roman"/>
          <w:b/>
          <w:bCs/>
          <w:lang w:val="en-GB"/>
        </w:rPr>
        <w:t>economic</w:t>
      </w:r>
      <w:r w:rsidRPr="003B6A69">
        <w:rPr>
          <w:rFonts w:eastAsia="Times New Roman"/>
          <w:lang w:val="en-GB"/>
        </w:rPr>
        <w:t xml:space="preserve"> perspective this will allow to set pricing (It is not always the most appropriate tool to use </w:t>
      </w:r>
      <w:proofErr w:type="gramStart"/>
      <w:r w:rsidRPr="003B6A69">
        <w:rPr>
          <w:rFonts w:eastAsia="Times New Roman"/>
          <w:lang w:val="en-GB"/>
        </w:rPr>
        <w:t>in order to</w:t>
      </w:r>
      <w:proofErr w:type="gramEnd"/>
      <w:r w:rsidRPr="003B6A69">
        <w:rPr>
          <w:rFonts w:eastAsia="Times New Roman"/>
          <w:lang w:val="en-GB"/>
        </w:rPr>
        <w:t xml:space="preserve"> limit/control tourism development /growth. Imposing such a policy selectively to certain groups (</w:t>
      </w:r>
      <w:proofErr w:type="gramStart"/>
      <w:r w:rsidRPr="003B6A69">
        <w:rPr>
          <w:rFonts w:eastAsia="Times New Roman"/>
          <w:lang w:val="en-GB"/>
        </w:rPr>
        <w:t>i.e.</w:t>
      </w:r>
      <w:proofErr w:type="gramEnd"/>
      <w:r w:rsidRPr="003B6A69">
        <w:rPr>
          <w:rFonts w:eastAsia="Times New Roman"/>
          <w:lang w:val="en-GB"/>
        </w:rPr>
        <w:t xml:space="preserve"> lower prices for residence) is against European laws, since it implies discrimination. However, there are occasions when pricing for parking and entry to major attractions should be imposed </w:t>
      </w:r>
      <w:proofErr w:type="gramStart"/>
      <w:r w:rsidRPr="003B6A69">
        <w:rPr>
          <w:rFonts w:eastAsia="Times New Roman"/>
          <w:lang w:val="en-GB"/>
        </w:rPr>
        <w:t>in order to</w:t>
      </w:r>
      <w:proofErr w:type="gramEnd"/>
      <w:r w:rsidRPr="003B6A69">
        <w:rPr>
          <w:rFonts w:eastAsia="Times New Roman"/>
          <w:lang w:val="en-GB"/>
        </w:rPr>
        <w:t xml:space="preserve"> discourage visitors. Although pricing is considered, as the least desirable solution, it remains the most effective at least in the short-term.);</w:t>
      </w:r>
      <w:r w:rsidRPr="003B6A69">
        <w:rPr>
          <w:lang w:val="en-GB"/>
        </w:rPr>
        <w:t xml:space="preserve"> </w:t>
      </w:r>
      <w:r w:rsidRPr="003B6A69">
        <w:rPr>
          <w:rFonts w:eastAsia="Times New Roman"/>
          <w:lang w:val="en-GB"/>
        </w:rPr>
        <w:t xml:space="preserve">Taxes (may be used </w:t>
      </w:r>
      <w:proofErr w:type="gramStart"/>
      <w:r w:rsidRPr="003B6A69">
        <w:rPr>
          <w:rFonts w:eastAsia="Times New Roman"/>
          <w:lang w:val="en-GB"/>
        </w:rPr>
        <w:t>as a way to</w:t>
      </w:r>
      <w:proofErr w:type="gramEnd"/>
      <w:r w:rsidRPr="003B6A69">
        <w:rPr>
          <w:rFonts w:eastAsia="Times New Roman"/>
          <w:lang w:val="en-GB"/>
        </w:rPr>
        <w:t xml:space="preserve"> incorporate in prices various externalities like environmental destruction. Increased prices can discourage tourists and entrepreneurs as well.); Cost-benefits analysis (should be conducted in the different phases of the </w:t>
      </w:r>
      <w:proofErr w:type="gramStart"/>
      <w:r w:rsidRPr="003B6A69">
        <w:rPr>
          <w:rFonts w:eastAsia="Times New Roman"/>
          <w:lang w:val="en-GB"/>
        </w:rPr>
        <w:t>life-cycle</w:t>
      </w:r>
      <w:proofErr w:type="gramEnd"/>
      <w:r w:rsidRPr="003B6A69">
        <w:rPr>
          <w:rFonts w:eastAsia="Times New Roman"/>
          <w:lang w:val="en-GB"/>
        </w:rPr>
        <w:t xml:space="preserve"> of a tourist destination. Costs are </w:t>
      </w:r>
      <w:r w:rsidRPr="003B6A69">
        <w:rPr>
          <w:rFonts w:eastAsia="Times New Roman"/>
          <w:lang w:val="en-GB"/>
        </w:rPr>
        <w:lastRenderedPageBreak/>
        <w:t>always higher in the earlier phases of the development.);</w:t>
      </w:r>
      <w:r w:rsidRPr="003B6A69">
        <w:rPr>
          <w:lang w:val="en-GB"/>
        </w:rPr>
        <w:t xml:space="preserve"> </w:t>
      </w:r>
      <w:r w:rsidRPr="003B6A69">
        <w:rPr>
          <w:rFonts w:eastAsia="Times New Roman"/>
          <w:lang w:val="en-GB"/>
        </w:rPr>
        <w:t xml:space="preserve">Incentive schemes (should be applied in both public and private sectors </w:t>
      </w:r>
      <w:proofErr w:type="gramStart"/>
      <w:r w:rsidRPr="003B6A69">
        <w:rPr>
          <w:rFonts w:eastAsia="Times New Roman"/>
          <w:lang w:val="en-GB"/>
        </w:rPr>
        <w:t>in order to</w:t>
      </w:r>
      <w:proofErr w:type="gramEnd"/>
      <w:r w:rsidRPr="003B6A69">
        <w:rPr>
          <w:rFonts w:eastAsia="Times New Roman"/>
          <w:lang w:val="en-GB"/>
        </w:rPr>
        <w:t xml:space="preserve"> spread tourism demand over time and space and optimises the use of accommodation.)</w:t>
      </w:r>
    </w:p>
    <w:p w14:paraId="0916D5F5" w14:textId="77777777" w:rsidR="008C4F26" w:rsidRPr="003B6A69" w:rsidRDefault="008C4F26" w:rsidP="00904420">
      <w:pPr>
        <w:rPr>
          <w:rFonts w:eastAsia="Times New Roman"/>
          <w:lang w:val="en-GB"/>
        </w:rPr>
      </w:pPr>
      <w:r w:rsidRPr="003B6A69">
        <w:rPr>
          <w:lang w:val="en-GB"/>
        </w:rPr>
        <w:t xml:space="preserve">Some options for including carrying capacity are of </w:t>
      </w:r>
      <w:r w:rsidRPr="003B6A69">
        <w:rPr>
          <w:b/>
          <w:bCs/>
          <w:lang w:val="en-GB"/>
        </w:rPr>
        <w:t>o</w:t>
      </w:r>
      <w:r w:rsidRPr="003B6A69">
        <w:rPr>
          <w:rFonts w:eastAsia="Times New Roman"/>
          <w:b/>
          <w:bCs/>
          <w:lang w:val="en-GB"/>
        </w:rPr>
        <w:t>rganisational</w:t>
      </w:r>
      <w:r w:rsidRPr="003B6A69">
        <w:rPr>
          <w:rFonts w:eastAsia="Times New Roman"/>
          <w:lang w:val="en-GB"/>
        </w:rPr>
        <w:t xml:space="preserve"> </w:t>
      </w:r>
      <w:r w:rsidRPr="003B6A69">
        <w:rPr>
          <w:lang w:val="en-GB"/>
        </w:rPr>
        <w:t>character and include: Reservation and booking systems</w:t>
      </w:r>
      <w:r w:rsidRPr="003B6A69">
        <w:rPr>
          <w:rFonts w:eastAsia="Times New Roman"/>
          <w:lang w:val="en-GB"/>
        </w:rPr>
        <w:t xml:space="preserve">. </w:t>
      </w:r>
      <w:r w:rsidRPr="003B6A69">
        <w:rPr>
          <w:lang w:val="en-GB"/>
        </w:rPr>
        <w:t>(</w:t>
      </w:r>
      <w:r w:rsidRPr="003B6A69">
        <w:rPr>
          <w:rFonts w:eastAsia="Times New Roman"/>
          <w:lang w:val="en-GB"/>
        </w:rPr>
        <w:t xml:space="preserve">They facilitate management of both tourists and </w:t>
      </w:r>
      <w:proofErr w:type="gramStart"/>
      <w:r w:rsidRPr="003B6A69">
        <w:rPr>
          <w:rFonts w:eastAsia="Times New Roman"/>
          <w:lang w:val="en-GB"/>
        </w:rPr>
        <w:t>excursionists</w:t>
      </w:r>
      <w:proofErr w:type="gramEnd"/>
      <w:r w:rsidRPr="003B6A69">
        <w:rPr>
          <w:rFonts w:eastAsia="Times New Roman"/>
          <w:lang w:val="en-GB"/>
        </w:rPr>
        <w:t xml:space="preserve"> flows. In Venice, for example, the promotion of the Venice card, which corresponds to a package of services facilitates management of tourist’s flows. In this case it is also possible to introduce taxes in a more equitable </w:t>
      </w:r>
      <w:proofErr w:type="gramStart"/>
      <w:r w:rsidRPr="003B6A69">
        <w:rPr>
          <w:rFonts w:eastAsia="Times New Roman"/>
          <w:lang w:val="en-GB"/>
        </w:rPr>
        <w:t>way, because</w:t>
      </w:r>
      <w:proofErr w:type="gramEnd"/>
      <w:r w:rsidRPr="003B6A69">
        <w:rPr>
          <w:rFonts w:eastAsia="Times New Roman"/>
          <w:lang w:val="en-GB"/>
        </w:rPr>
        <w:t xml:space="preserve"> the Venice card is available to everyone. People who use this card can also benefit from discounts on local transportation, and entry fees to museums and other facilities. The only condition is advance booking. </w:t>
      </w:r>
      <w:proofErr w:type="gramStart"/>
      <w:r w:rsidRPr="003B6A69">
        <w:rPr>
          <w:rFonts w:eastAsia="Times New Roman"/>
          <w:lang w:val="en-GB"/>
        </w:rPr>
        <w:t>However</w:t>
      </w:r>
      <w:proofErr w:type="gramEnd"/>
      <w:r w:rsidRPr="003B6A69">
        <w:rPr>
          <w:rFonts w:eastAsia="Times New Roman"/>
          <w:lang w:val="en-GB"/>
        </w:rPr>
        <w:t xml:space="preserve"> the use of such system may encourage social inequalities since the cost for visiting such places would be affordable only to specific groups. One should also be aware of the possibility of the creation of a “black market”. The possibility of introducing a corresponding package for excursionists should also be explored.</w:t>
      </w:r>
      <w:r w:rsidRPr="003B6A69">
        <w:rPr>
          <w:lang w:val="en-GB"/>
        </w:rPr>
        <w:t>);</w:t>
      </w:r>
      <w:r w:rsidRPr="003B6A69">
        <w:rPr>
          <w:rFonts w:eastAsia="Times New Roman"/>
          <w:lang w:val="en-GB"/>
        </w:rPr>
        <w:t xml:space="preserve"> </w:t>
      </w:r>
      <w:r w:rsidRPr="003B6A69">
        <w:rPr>
          <w:lang w:val="en-GB"/>
        </w:rPr>
        <w:t>Information management (</w:t>
      </w:r>
      <w:r w:rsidRPr="003B6A69">
        <w:rPr>
          <w:rFonts w:eastAsia="Times New Roman"/>
          <w:lang w:val="en-GB"/>
        </w:rPr>
        <w:t>information in respect to congestion, peaks, traffic, etc constantly provided through the web site. This is a way to discourage tourists from visiting and avoid as a result overcrowding.</w:t>
      </w:r>
      <w:r w:rsidRPr="003B6A69">
        <w:rPr>
          <w:lang w:val="en-GB"/>
        </w:rPr>
        <w:t>);</w:t>
      </w:r>
      <w:r w:rsidRPr="003B6A69">
        <w:rPr>
          <w:rFonts w:eastAsia="Times New Roman"/>
          <w:lang w:val="en-GB"/>
        </w:rPr>
        <w:t xml:space="preserve"> </w:t>
      </w:r>
      <w:r w:rsidRPr="003B6A69">
        <w:rPr>
          <w:lang w:val="en-GB"/>
        </w:rPr>
        <w:t xml:space="preserve">Education </w:t>
      </w:r>
      <w:r w:rsidRPr="003B6A69">
        <w:rPr>
          <w:rFonts w:eastAsia="Times New Roman"/>
          <w:lang w:val="en-GB"/>
        </w:rPr>
        <w:t xml:space="preserve">of local community </w:t>
      </w:r>
      <w:proofErr w:type="gramStart"/>
      <w:r w:rsidRPr="003B6A69">
        <w:rPr>
          <w:rFonts w:eastAsia="Times New Roman"/>
          <w:lang w:val="en-GB"/>
        </w:rPr>
        <w:t>in order to</w:t>
      </w:r>
      <w:proofErr w:type="gramEnd"/>
      <w:r w:rsidRPr="003B6A69">
        <w:rPr>
          <w:rFonts w:eastAsia="Times New Roman"/>
          <w:lang w:val="en-GB"/>
        </w:rPr>
        <w:t xml:space="preserve"> gain their support for implementing TCC is essential</w:t>
      </w:r>
      <w:r w:rsidRPr="003B6A69">
        <w:rPr>
          <w:lang w:val="en-GB"/>
        </w:rPr>
        <w:t xml:space="preserve">; Training </w:t>
      </w:r>
      <w:r w:rsidRPr="003B6A69">
        <w:rPr>
          <w:rFonts w:eastAsia="Times New Roman"/>
          <w:lang w:val="en-GB"/>
        </w:rPr>
        <w:t>of local planners- managers in the use of various techniques, etc</w:t>
      </w:r>
      <w:r w:rsidRPr="003B6A69">
        <w:rPr>
          <w:lang w:val="en-GB"/>
        </w:rPr>
        <w:t>; Market control</w:t>
      </w:r>
      <w:r w:rsidRPr="003B6A69">
        <w:rPr>
          <w:rFonts w:eastAsia="Times New Roman"/>
          <w:lang w:val="en-GB"/>
        </w:rPr>
        <w:t xml:space="preserve">. </w:t>
      </w:r>
      <w:r w:rsidRPr="003B6A69">
        <w:rPr>
          <w:lang w:val="en-GB"/>
        </w:rPr>
        <w:t>(</w:t>
      </w:r>
      <w:r w:rsidRPr="003B6A69">
        <w:rPr>
          <w:rFonts w:eastAsia="Times New Roman"/>
          <w:lang w:val="en-GB"/>
        </w:rPr>
        <w:t xml:space="preserve">At present there is little co-ordination between management, </w:t>
      </w:r>
      <w:proofErr w:type="gramStart"/>
      <w:r w:rsidRPr="003B6A69">
        <w:rPr>
          <w:rFonts w:eastAsia="Times New Roman"/>
          <w:lang w:val="en-GB"/>
        </w:rPr>
        <w:t>planning</w:t>
      </w:r>
      <w:proofErr w:type="gramEnd"/>
      <w:r w:rsidRPr="003B6A69">
        <w:rPr>
          <w:rFonts w:eastAsia="Times New Roman"/>
          <w:lang w:val="en-GB"/>
        </w:rPr>
        <w:t xml:space="preserve"> and tourism marketing. Sophisticated marketing and communication </w:t>
      </w:r>
      <w:proofErr w:type="gramStart"/>
      <w:r w:rsidRPr="003B6A69">
        <w:rPr>
          <w:rFonts w:eastAsia="Times New Roman"/>
          <w:lang w:val="en-GB"/>
        </w:rPr>
        <w:t>allows</w:t>
      </w:r>
      <w:proofErr w:type="gramEnd"/>
      <w:r w:rsidRPr="003B6A69">
        <w:rPr>
          <w:rFonts w:eastAsia="Times New Roman"/>
          <w:lang w:val="en-GB"/>
        </w:rPr>
        <w:t xml:space="preserve"> marketers to pursue particular market segments and to undertake promotions for periods in which there is available carrying capacity. Tour operators could play an important role in managing environmental impacts and maintaining the sustainability of tourism through promoting activities and other actions</w:t>
      </w:r>
      <w:r w:rsidRPr="003B6A69">
        <w:rPr>
          <w:lang w:val="en-GB"/>
        </w:rPr>
        <w:t xml:space="preserve"> </w:t>
      </w:r>
      <w:r w:rsidRPr="003B6A69">
        <w:rPr>
          <w:rFonts w:eastAsia="Times New Roman"/>
          <w:lang w:val="en-GB"/>
        </w:rPr>
        <w:t>such as “walking-on snow- routes” in winter.).</w:t>
      </w:r>
    </w:p>
    <w:p w14:paraId="4C1ADE36" w14:textId="77777777" w:rsidR="008C4F26" w:rsidRPr="003B6A69" w:rsidRDefault="008C4F26" w:rsidP="008C4F26">
      <w:pPr>
        <w:spacing w:after="160" w:line="259" w:lineRule="auto"/>
        <w:jc w:val="left"/>
        <w:rPr>
          <w:rFonts w:asciiTheme="minorHAnsi" w:eastAsiaTheme="minorHAnsi" w:hAnsiTheme="minorHAnsi" w:cstheme="minorBidi"/>
          <w:b/>
          <w:sz w:val="22"/>
          <w:szCs w:val="22"/>
        </w:rPr>
      </w:pPr>
      <w:r w:rsidRPr="003B6A69">
        <w:rPr>
          <w:rFonts w:asciiTheme="minorHAnsi" w:eastAsiaTheme="minorHAnsi" w:hAnsiTheme="minorHAnsi" w:cstheme="minorBidi"/>
          <w:b/>
          <w:sz w:val="22"/>
          <w:szCs w:val="22"/>
        </w:rPr>
        <w:br w:type="page"/>
      </w:r>
    </w:p>
    <w:p w14:paraId="3DCB9F06" w14:textId="77777777" w:rsidR="008C4F26" w:rsidRPr="003B6A69" w:rsidRDefault="008C4F26" w:rsidP="008C4F26">
      <w:pPr>
        <w:spacing w:after="160" w:line="259" w:lineRule="auto"/>
        <w:jc w:val="left"/>
        <w:rPr>
          <w:rFonts w:asciiTheme="minorHAnsi" w:eastAsiaTheme="minorHAnsi" w:hAnsiTheme="minorHAnsi" w:cstheme="minorBidi"/>
          <w:b/>
          <w:sz w:val="22"/>
          <w:szCs w:val="22"/>
        </w:rPr>
      </w:pPr>
    </w:p>
    <w:p w14:paraId="47A0881D" w14:textId="37FECB8C" w:rsidR="008C4F26" w:rsidRPr="003B6A69" w:rsidRDefault="008C4F26" w:rsidP="00904420">
      <w:pPr>
        <w:pStyle w:val="Heading2"/>
        <w:rPr>
          <w:lang w:val="en-GB"/>
        </w:rPr>
      </w:pPr>
      <w:bookmarkStart w:id="111" w:name="_Annex_23:_Forestry"/>
      <w:bookmarkStart w:id="112" w:name="_Toc82018291"/>
      <w:bookmarkEnd w:id="111"/>
      <w:r w:rsidRPr="003B6A69">
        <w:rPr>
          <w:lang w:val="en-GB"/>
        </w:rPr>
        <w:t xml:space="preserve">Annex </w:t>
      </w:r>
      <w:r w:rsidR="006C1C66" w:rsidRPr="003B6A69">
        <w:rPr>
          <w:lang w:val="en-GB"/>
        </w:rPr>
        <w:t>18</w:t>
      </w:r>
      <w:r w:rsidRPr="003B6A69">
        <w:rPr>
          <w:lang w:val="en-GB"/>
        </w:rPr>
        <w:t>: Forestry sector baseline and feasibility analysis for Outcome 4</w:t>
      </w:r>
      <w:bookmarkEnd w:id="112"/>
    </w:p>
    <w:p w14:paraId="74929FB1" w14:textId="77777777" w:rsidR="008C4F26" w:rsidRPr="003B6A69" w:rsidRDefault="008C4F26" w:rsidP="006C1C66">
      <w:pPr>
        <w:spacing w:after="120"/>
        <w:jc w:val="left"/>
        <w:rPr>
          <w:rFonts w:asciiTheme="minorHAnsi" w:hAnsiTheme="minorHAnsi" w:cstheme="minorHAnsi"/>
          <w:b/>
          <w:szCs w:val="20"/>
        </w:rPr>
      </w:pPr>
      <w:r w:rsidRPr="003B6A69">
        <w:rPr>
          <w:rFonts w:asciiTheme="minorHAnsi" w:hAnsiTheme="minorHAnsi" w:cstheme="minorHAnsi"/>
          <w:b/>
          <w:szCs w:val="20"/>
        </w:rPr>
        <w:t>Forestry Sector baseline</w:t>
      </w:r>
    </w:p>
    <w:p w14:paraId="38053D5E" w14:textId="77777777" w:rsidR="008C4F26" w:rsidRPr="003B6A69" w:rsidRDefault="008C4F26" w:rsidP="006C1C66">
      <w:pPr>
        <w:tabs>
          <w:tab w:val="left" w:pos="5647"/>
        </w:tabs>
        <w:spacing w:after="120"/>
        <w:rPr>
          <w:rFonts w:asciiTheme="minorHAnsi" w:eastAsiaTheme="minorHAnsi" w:hAnsiTheme="minorHAnsi" w:cstheme="minorHAnsi"/>
          <w:szCs w:val="20"/>
        </w:rPr>
      </w:pPr>
      <w:r w:rsidRPr="003B6A69">
        <w:rPr>
          <w:rFonts w:asciiTheme="minorHAnsi" w:eastAsiaTheme="minorHAnsi" w:hAnsiTheme="minorHAnsi" w:cstheme="minorHAnsi"/>
          <w:szCs w:val="20"/>
        </w:rPr>
        <w:t>Planning and management in the forestry sector is defined by the Law on Forests ("Official Gazette of Montenegro", No. 074/10 of 17.12.2010, 040/11 of 08.08.2011,047 / 15 of 18.08.2015), while significant planning documentation in this area is listed below:</w:t>
      </w:r>
    </w:p>
    <w:p w14:paraId="3C100090" w14:textId="77777777" w:rsidR="008C4F26" w:rsidRPr="003B6A69" w:rsidRDefault="008C4F26" w:rsidP="003C6B7B">
      <w:pPr>
        <w:numPr>
          <w:ilvl w:val="0"/>
          <w:numId w:val="33"/>
        </w:numPr>
        <w:autoSpaceDE w:val="0"/>
        <w:autoSpaceDN w:val="0"/>
        <w:adjustRightInd w:val="0"/>
        <w:spacing w:after="120"/>
        <w:contextualSpacing/>
        <w:jc w:val="left"/>
        <w:rPr>
          <w:rFonts w:asciiTheme="minorHAnsi" w:eastAsiaTheme="minorHAnsi" w:hAnsiTheme="minorHAnsi" w:cstheme="minorHAnsi"/>
          <w:szCs w:val="20"/>
          <w:lang w:val="de-AT"/>
        </w:rPr>
      </w:pPr>
      <w:r w:rsidRPr="003B6A69">
        <w:rPr>
          <w:rFonts w:asciiTheme="minorHAnsi" w:eastAsiaTheme="minorHAnsi" w:hAnsiTheme="minorHAnsi" w:cstheme="minorHAnsi"/>
          <w:i/>
          <w:szCs w:val="20"/>
          <w:u w:val="single"/>
          <w:lang w:val="de-AT"/>
        </w:rPr>
        <w:t>National policy of forest and forest land management</w:t>
      </w:r>
      <w:r w:rsidRPr="003B6A69">
        <w:rPr>
          <w:rFonts w:asciiTheme="minorHAnsi" w:eastAsiaTheme="minorHAnsi" w:hAnsiTheme="minorHAnsi" w:cstheme="minorHAnsi"/>
          <w:i/>
          <w:szCs w:val="20"/>
          <w:lang w:val="de-AT"/>
        </w:rPr>
        <w:t xml:space="preserve"> </w:t>
      </w:r>
      <w:r w:rsidRPr="003B6A69">
        <w:rPr>
          <w:rFonts w:asciiTheme="minorHAnsi" w:eastAsiaTheme="minorHAnsi" w:hAnsiTheme="minorHAnsi" w:cstheme="minorHAnsi"/>
          <w:szCs w:val="20"/>
          <w:lang w:val="de-AT"/>
        </w:rPr>
        <w:t>- defines the development and sustainable forest management directions; adopted by the Parliament of Montenegro, for a period of 20 years.</w:t>
      </w:r>
      <w:r w:rsidRPr="003B6A69">
        <w:rPr>
          <w:rFonts w:asciiTheme="minorHAnsi" w:eastAsiaTheme="minorHAnsi" w:hAnsiTheme="minorHAnsi" w:cstheme="minorHAnsi"/>
          <w:szCs w:val="20"/>
          <w:vertAlign w:val="superscript"/>
          <w:lang w:val="de-AT"/>
        </w:rPr>
        <w:footnoteReference w:id="75"/>
      </w:r>
      <w:r w:rsidRPr="003B6A69">
        <w:rPr>
          <w:rFonts w:asciiTheme="minorHAnsi" w:eastAsiaTheme="minorHAnsi" w:hAnsiTheme="minorHAnsi" w:cstheme="minorHAnsi"/>
          <w:szCs w:val="20"/>
          <w:lang w:val="de-AT"/>
        </w:rPr>
        <w:t xml:space="preserve"> The national forestry policy is further elaborated and implemented through a strategy, a forest development plan and a forest management program.</w:t>
      </w:r>
    </w:p>
    <w:p w14:paraId="4CF25DBE" w14:textId="77777777" w:rsidR="008C4F26" w:rsidRPr="003B6A69" w:rsidRDefault="008C4F26" w:rsidP="003C6B7B">
      <w:pPr>
        <w:numPr>
          <w:ilvl w:val="0"/>
          <w:numId w:val="33"/>
        </w:numPr>
        <w:autoSpaceDE w:val="0"/>
        <w:autoSpaceDN w:val="0"/>
        <w:adjustRightInd w:val="0"/>
        <w:spacing w:after="120"/>
        <w:contextualSpacing/>
        <w:jc w:val="left"/>
        <w:rPr>
          <w:rFonts w:asciiTheme="minorHAnsi" w:eastAsiaTheme="minorHAnsi" w:hAnsiTheme="minorHAnsi" w:cstheme="minorHAnsi"/>
          <w:szCs w:val="20"/>
          <w:lang w:val="de-AT"/>
        </w:rPr>
      </w:pPr>
      <w:r w:rsidRPr="003B6A69">
        <w:rPr>
          <w:rFonts w:asciiTheme="minorHAnsi" w:eastAsiaTheme="minorHAnsi" w:hAnsiTheme="minorHAnsi" w:cstheme="minorHAnsi"/>
          <w:i/>
          <w:szCs w:val="20"/>
          <w:u w:val="single"/>
          <w:lang w:val="de-AT"/>
        </w:rPr>
        <w:t>Strategy with forest and forestry development plan</w:t>
      </w:r>
      <w:r w:rsidRPr="003B6A69">
        <w:rPr>
          <w:rFonts w:asciiTheme="minorHAnsi" w:eastAsiaTheme="minorHAnsi" w:hAnsiTheme="minorHAnsi" w:cstheme="minorHAnsi"/>
          <w:i/>
          <w:szCs w:val="20"/>
          <w:lang w:val="de-AT"/>
        </w:rPr>
        <w:t xml:space="preserve"> </w:t>
      </w:r>
      <w:r w:rsidRPr="003B6A69">
        <w:rPr>
          <w:rFonts w:asciiTheme="minorHAnsi" w:eastAsiaTheme="minorHAnsi" w:hAnsiTheme="minorHAnsi" w:cstheme="minorHAnsi"/>
          <w:szCs w:val="20"/>
          <w:lang w:val="de-AT"/>
        </w:rPr>
        <w:t>- determines goals and guidelines for forest and forestry development, in accordance with the national forestry policy, measures for forest improvement, as well as indicative financial resources for the implementation of the strategy and the manner of their provision. The strategy is adopted by the Government for a period of up to 10 years</w:t>
      </w:r>
      <w:r w:rsidRPr="003B6A69">
        <w:rPr>
          <w:rFonts w:asciiTheme="minorHAnsi" w:eastAsiaTheme="minorHAnsi" w:hAnsiTheme="minorHAnsi" w:cstheme="minorHAnsi"/>
          <w:szCs w:val="20"/>
          <w:vertAlign w:val="superscript"/>
          <w:lang w:val="de-AT"/>
        </w:rPr>
        <w:footnoteReference w:id="76"/>
      </w:r>
      <w:r w:rsidRPr="003B6A69">
        <w:rPr>
          <w:rFonts w:asciiTheme="minorHAnsi" w:eastAsiaTheme="minorHAnsi" w:hAnsiTheme="minorHAnsi" w:cstheme="minorHAnsi"/>
          <w:szCs w:val="20"/>
          <w:lang w:val="de-AT"/>
        </w:rPr>
        <w:t>.</w:t>
      </w:r>
    </w:p>
    <w:p w14:paraId="09031C2A" w14:textId="77777777" w:rsidR="008C4F26" w:rsidRPr="003B6A69" w:rsidRDefault="008C4F26" w:rsidP="003C6B7B">
      <w:pPr>
        <w:numPr>
          <w:ilvl w:val="0"/>
          <w:numId w:val="33"/>
        </w:numPr>
        <w:autoSpaceDE w:val="0"/>
        <w:autoSpaceDN w:val="0"/>
        <w:adjustRightInd w:val="0"/>
        <w:spacing w:after="120"/>
        <w:contextualSpacing/>
        <w:jc w:val="left"/>
        <w:rPr>
          <w:rFonts w:asciiTheme="minorHAnsi" w:eastAsiaTheme="minorHAnsi" w:hAnsiTheme="minorHAnsi" w:cstheme="minorHAnsi"/>
          <w:i/>
          <w:szCs w:val="20"/>
          <w:lang w:val="de-AT"/>
        </w:rPr>
      </w:pPr>
      <w:r w:rsidRPr="003B6A69">
        <w:rPr>
          <w:rFonts w:asciiTheme="minorHAnsi" w:eastAsiaTheme="minorHAnsi" w:hAnsiTheme="minorHAnsi" w:cstheme="minorHAnsi"/>
          <w:i/>
          <w:szCs w:val="20"/>
          <w:u w:val="single"/>
          <w:lang w:val="de-AT"/>
        </w:rPr>
        <w:t>Forest development plan</w:t>
      </w:r>
      <w:r w:rsidRPr="003B6A69">
        <w:rPr>
          <w:rFonts w:asciiTheme="minorHAnsi" w:eastAsiaTheme="minorHAnsi" w:hAnsiTheme="minorHAnsi" w:cstheme="minorHAnsi"/>
          <w:szCs w:val="20"/>
          <w:lang w:val="de-AT"/>
        </w:rPr>
        <w:t xml:space="preserve"> - is a presentation of the condition and purpose of forests and forest land in an area, which includes state-owned and privately owned forests. The forest development plan contains: the condition and potentials of forests and forest land, evaluation of forest functions and purpose, presentation of the society's needs for forests, goals and guidelines for forest management in the forest area. This plan, with the previously obtained opinion of the state administration body responsible for environmental protection and the local self-government unit whose area is covered by the plan, shall be adopted by the Government for a period of ten years.</w:t>
      </w:r>
    </w:p>
    <w:p w14:paraId="575C3E70" w14:textId="77777777" w:rsidR="008C4F26" w:rsidRPr="003B6A69" w:rsidRDefault="008C4F26" w:rsidP="003C6B7B">
      <w:pPr>
        <w:numPr>
          <w:ilvl w:val="0"/>
          <w:numId w:val="33"/>
        </w:numPr>
        <w:autoSpaceDE w:val="0"/>
        <w:autoSpaceDN w:val="0"/>
        <w:adjustRightInd w:val="0"/>
        <w:spacing w:after="120"/>
        <w:contextualSpacing/>
        <w:jc w:val="left"/>
        <w:rPr>
          <w:rFonts w:asciiTheme="minorHAnsi" w:eastAsiaTheme="minorHAnsi" w:hAnsiTheme="minorHAnsi" w:cstheme="minorHAnsi"/>
          <w:szCs w:val="20"/>
          <w:lang w:val="de-AT"/>
        </w:rPr>
      </w:pPr>
      <w:r w:rsidRPr="003B6A69">
        <w:rPr>
          <w:rFonts w:asciiTheme="minorHAnsi" w:eastAsiaTheme="minorHAnsi" w:hAnsiTheme="minorHAnsi" w:cstheme="minorHAnsi"/>
          <w:i/>
          <w:szCs w:val="20"/>
          <w:u w:val="single"/>
          <w:lang w:val="de-AT"/>
        </w:rPr>
        <w:t>Forest management program for forest management units</w:t>
      </w:r>
      <w:r w:rsidRPr="003B6A69">
        <w:rPr>
          <w:rFonts w:asciiTheme="minorHAnsi" w:eastAsiaTheme="minorHAnsi" w:hAnsiTheme="minorHAnsi" w:cstheme="minorHAnsi"/>
          <w:szCs w:val="20"/>
          <w:lang w:val="de-AT"/>
        </w:rPr>
        <w:t xml:space="preserve"> - is made for state-owned forests; contains data on the condition and purpose of forests, goals and guidelines for sustainable management and governance, and measures for the implementation of the program. One chapter of the Program refers to the compliance of the program with the measures and conditions of nature protection, but in practice this chapter is not given special attention. The forest management program shall be adopted by the Forest Administration, with the consent of the Ministry, for a period of 10 years.</w:t>
      </w:r>
    </w:p>
    <w:p w14:paraId="08D43DF6" w14:textId="77777777" w:rsidR="008C4F26" w:rsidRPr="003B6A69" w:rsidRDefault="008C4F26" w:rsidP="003C6B7B">
      <w:pPr>
        <w:numPr>
          <w:ilvl w:val="0"/>
          <w:numId w:val="33"/>
        </w:numPr>
        <w:autoSpaceDE w:val="0"/>
        <w:autoSpaceDN w:val="0"/>
        <w:adjustRightInd w:val="0"/>
        <w:spacing w:after="120"/>
        <w:contextualSpacing/>
        <w:jc w:val="left"/>
        <w:rPr>
          <w:rFonts w:asciiTheme="minorHAnsi" w:eastAsiaTheme="minorHAnsi" w:hAnsiTheme="minorHAnsi" w:cstheme="minorHAnsi"/>
          <w:szCs w:val="20"/>
          <w:lang w:val="pl-PL"/>
        </w:rPr>
      </w:pPr>
      <w:r w:rsidRPr="003B6A69">
        <w:rPr>
          <w:rFonts w:asciiTheme="minorHAnsi" w:eastAsiaTheme="minorHAnsi" w:hAnsiTheme="minorHAnsi" w:cstheme="minorHAnsi"/>
          <w:i/>
          <w:szCs w:val="20"/>
          <w:u w:val="single"/>
          <w:lang w:val="de-AT"/>
        </w:rPr>
        <w:t>Private forest management plan</w:t>
      </w:r>
      <w:r w:rsidRPr="003B6A69">
        <w:rPr>
          <w:rFonts w:asciiTheme="minorHAnsi" w:eastAsiaTheme="minorHAnsi" w:hAnsiTheme="minorHAnsi" w:cstheme="minorHAnsi"/>
          <w:szCs w:val="20"/>
          <w:lang w:val="de-AT"/>
        </w:rPr>
        <w:t xml:space="preserve"> - The private forest management plan shall be adopted for the privately owned forests, or more aggregated segments of forests that form a spatial unit. This will be implemented for a period of ten years, at the request of the owner or association of forest owners. The smallest area of the forest for which the plan shall be made is 5 ha, and it shall be prepared by the competent administrative body, with the participation of the owner.</w:t>
      </w:r>
    </w:p>
    <w:p w14:paraId="5159AFBA" w14:textId="77777777" w:rsidR="008C4F26" w:rsidRPr="003B6A69" w:rsidRDefault="008C4F26" w:rsidP="006C1C66">
      <w:pPr>
        <w:autoSpaceDE w:val="0"/>
        <w:autoSpaceDN w:val="0"/>
        <w:adjustRightInd w:val="0"/>
        <w:spacing w:after="120"/>
        <w:ind w:left="720"/>
        <w:contextualSpacing/>
        <w:rPr>
          <w:rFonts w:ascii="Times New Roman" w:eastAsiaTheme="minorHAnsi" w:hAnsi="Times New Roman"/>
          <w:szCs w:val="20"/>
          <w:lang w:val="de-AT"/>
        </w:rPr>
      </w:pPr>
    </w:p>
    <w:p w14:paraId="78B75699" w14:textId="77777777" w:rsidR="008C4F26" w:rsidRPr="003B6A69" w:rsidRDefault="008C4F26" w:rsidP="006C1C66">
      <w:pPr>
        <w:tabs>
          <w:tab w:val="left" w:pos="5647"/>
        </w:tabs>
        <w:spacing w:after="120"/>
        <w:rPr>
          <w:rFonts w:asciiTheme="minorHAnsi" w:eastAsiaTheme="minorHAnsi" w:hAnsiTheme="minorHAnsi" w:cstheme="minorHAnsi"/>
          <w:b/>
          <w:szCs w:val="20"/>
        </w:rPr>
      </w:pPr>
      <w:r w:rsidRPr="003B6A69">
        <w:rPr>
          <w:rFonts w:asciiTheme="minorHAnsi" w:eastAsiaTheme="minorHAnsi" w:hAnsiTheme="minorHAnsi" w:cstheme="minorHAnsi"/>
          <w:b/>
          <w:szCs w:val="20"/>
        </w:rPr>
        <w:t>Overview of the existing biodiversity-friendly practices in the forestry sector of Montenegro, with a specific emphasis on the production of non-timber forest products</w:t>
      </w:r>
    </w:p>
    <w:p w14:paraId="2C82183B" w14:textId="77777777" w:rsidR="008C4F26" w:rsidRPr="003B6A69" w:rsidRDefault="008C4F26" w:rsidP="006C1C66">
      <w:pPr>
        <w:tabs>
          <w:tab w:val="left" w:pos="5647"/>
        </w:tabs>
        <w:spacing w:after="120"/>
        <w:rPr>
          <w:rFonts w:asciiTheme="minorHAnsi" w:eastAsiaTheme="minorHAnsi" w:hAnsiTheme="minorHAnsi" w:cstheme="minorHAnsi"/>
          <w:szCs w:val="20"/>
        </w:rPr>
      </w:pPr>
      <w:r w:rsidRPr="003B6A69">
        <w:rPr>
          <w:rFonts w:asciiTheme="minorHAnsi" w:eastAsiaTheme="minorHAnsi" w:hAnsiTheme="minorHAnsi" w:cstheme="minorHAnsi"/>
          <w:szCs w:val="20"/>
        </w:rPr>
        <w:t xml:space="preserve">Even though “integration of national and international nature protection objectives in forest management” is one of the principles stated in the National Forest and Forest Land Management Policy, biodiversity-friendly practices are poorly represented in the forestry sector. There are some tasks that are underway to try to improve this picture.  These are as follows: </w:t>
      </w:r>
    </w:p>
    <w:p w14:paraId="15E85199" w14:textId="77777777" w:rsidR="008C4F26" w:rsidRPr="003B6A69" w:rsidRDefault="008C4F26" w:rsidP="003C6B7B">
      <w:pPr>
        <w:numPr>
          <w:ilvl w:val="0"/>
          <w:numId w:val="34"/>
        </w:numPr>
        <w:tabs>
          <w:tab w:val="left" w:pos="5647"/>
        </w:tabs>
        <w:spacing w:after="120"/>
        <w:contextualSpacing/>
        <w:jc w:val="left"/>
        <w:rPr>
          <w:rFonts w:asciiTheme="minorHAnsi" w:eastAsiaTheme="minorHAnsi" w:hAnsiTheme="minorHAnsi" w:cstheme="minorHAnsi"/>
          <w:szCs w:val="20"/>
        </w:rPr>
      </w:pPr>
      <w:r w:rsidRPr="003B6A69">
        <w:rPr>
          <w:rFonts w:asciiTheme="minorHAnsi" w:eastAsiaTheme="minorHAnsi" w:hAnsiTheme="minorHAnsi" w:cstheme="minorHAnsi"/>
          <w:szCs w:val="20"/>
        </w:rPr>
        <w:t>Seed production in registered seed stands</w:t>
      </w:r>
      <w:r w:rsidRPr="003B6A69">
        <w:rPr>
          <w:rFonts w:asciiTheme="minorHAnsi" w:eastAsiaTheme="minorHAnsi" w:hAnsiTheme="minorHAnsi" w:cstheme="minorHAnsi"/>
          <w:szCs w:val="20"/>
          <w:vertAlign w:val="superscript"/>
        </w:rPr>
        <w:footnoteReference w:id="77"/>
      </w:r>
      <w:r w:rsidRPr="003B6A69">
        <w:rPr>
          <w:rFonts w:asciiTheme="minorHAnsi" w:eastAsiaTheme="minorHAnsi" w:hAnsiTheme="minorHAnsi" w:cstheme="minorHAnsi"/>
          <w:szCs w:val="20"/>
        </w:rPr>
        <w:t xml:space="preserve"> - The production of seeds and seedlings from domestic provenance contributes to the preservation of the autochthonous gene pool. Preservation of the local gene pool is especially important for endemic / sub-endemic species </w:t>
      </w:r>
      <w:r w:rsidRPr="003B6A69">
        <w:rPr>
          <w:rFonts w:asciiTheme="minorHAnsi" w:eastAsiaTheme="minorHAnsi" w:hAnsiTheme="minorHAnsi" w:cstheme="minorHAnsi"/>
          <w:i/>
          <w:szCs w:val="20"/>
        </w:rPr>
        <w:t xml:space="preserve">Pinus </w:t>
      </w:r>
      <w:proofErr w:type="spellStart"/>
      <w:r w:rsidRPr="003B6A69">
        <w:rPr>
          <w:rFonts w:asciiTheme="minorHAnsi" w:eastAsiaTheme="minorHAnsi" w:hAnsiTheme="minorHAnsi" w:cstheme="minorHAnsi"/>
          <w:i/>
          <w:szCs w:val="20"/>
        </w:rPr>
        <w:t>peuce</w:t>
      </w:r>
      <w:proofErr w:type="spellEnd"/>
      <w:r w:rsidRPr="003B6A69">
        <w:rPr>
          <w:rFonts w:asciiTheme="minorHAnsi" w:eastAsiaTheme="minorHAnsi" w:hAnsiTheme="minorHAnsi" w:cstheme="minorHAnsi"/>
          <w:szCs w:val="20"/>
        </w:rPr>
        <w:t xml:space="preserve"> and </w:t>
      </w:r>
      <w:r w:rsidRPr="003B6A69">
        <w:rPr>
          <w:rFonts w:asciiTheme="minorHAnsi" w:eastAsiaTheme="minorHAnsi" w:hAnsiTheme="minorHAnsi" w:cstheme="minorHAnsi"/>
          <w:i/>
          <w:szCs w:val="20"/>
        </w:rPr>
        <w:t xml:space="preserve">Pinus </w:t>
      </w:r>
      <w:proofErr w:type="spellStart"/>
      <w:r w:rsidRPr="003B6A69">
        <w:rPr>
          <w:rFonts w:asciiTheme="minorHAnsi" w:eastAsiaTheme="minorHAnsi" w:hAnsiTheme="minorHAnsi" w:cstheme="minorHAnsi"/>
          <w:i/>
          <w:szCs w:val="20"/>
        </w:rPr>
        <w:t>hedreichii</w:t>
      </w:r>
      <w:proofErr w:type="spellEnd"/>
      <w:r w:rsidRPr="003B6A69">
        <w:rPr>
          <w:rFonts w:asciiTheme="minorHAnsi" w:eastAsiaTheme="minorHAnsi" w:hAnsiTheme="minorHAnsi" w:cstheme="minorHAnsi"/>
          <w:szCs w:val="20"/>
        </w:rPr>
        <w:t xml:space="preserve">. Nursery production in the nurseries of the Forest Administration (there are 2 nurseries) provides free seedlings for legal entities and private forest owners. The production of seeds and seedlings is carried out every year within the Forest Management </w:t>
      </w:r>
      <w:r w:rsidRPr="003B6A69">
        <w:rPr>
          <w:rFonts w:asciiTheme="minorHAnsi" w:eastAsiaTheme="minorHAnsi" w:hAnsiTheme="minorHAnsi" w:cstheme="minorHAnsi"/>
          <w:szCs w:val="20"/>
        </w:rPr>
        <w:lastRenderedPageBreak/>
        <w:t xml:space="preserve">Program. This Program also plans forest protection, which usually </w:t>
      </w:r>
      <w:proofErr w:type="gramStart"/>
      <w:r w:rsidRPr="003B6A69">
        <w:rPr>
          <w:rFonts w:asciiTheme="minorHAnsi" w:eastAsiaTheme="minorHAnsi" w:hAnsiTheme="minorHAnsi" w:cstheme="minorHAnsi"/>
          <w:szCs w:val="20"/>
        </w:rPr>
        <w:t>includes:</w:t>
      </w:r>
      <w:proofErr w:type="gramEnd"/>
      <w:r w:rsidRPr="003B6A69">
        <w:rPr>
          <w:rFonts w:asciiTheme="minorHAnsi" w:eastAsiaTheme="minorHAnsi" w:hAnsiTheme="minorHAnsi" w:cstheme="minorHAnsi"/>
          <w:szCs w:val="20"/>
        </w:rPr>
        <w:t xml:space="preserve"> forest management monitoring, forest fire protection and forest protection against harmful insects.</w:t>
      </w:r>
    </w:p>
    <w:p w14:paraId="0C8F1CF9" w14:textId="77777777" w:rsidR="008C4F26" w:rsidRPr="003B6A69" w:rsidRDefault="008C4F26" w:rsidP="003C6B7B">
      <w:pPr>
        <w:numPr>
          <w:ilvl w:val="0"/>
          <w:numId w:val="34"/>
        </w:numPr>
        <w:tabs>
          <w:tab w:val="left" w:pos="5647"/>
        </w:tabs>
        <w:spacing w:after="120"/>
        <w:contextualSpacing/>
        <w:jc w:val="left"/>
        <w:rPr>
          <w:rFonts w:asciiTheme="minorHAnsi" w:eastAsiaTheme="minorHAnsi" w:hAnsiTheme="minorHAnsi" w:cstheme="minorHAnsi"/>
          <w:szCs w:val="20"/>
        </w:rPr>
      </w:pPr>
      <w:r w:rsidRPr="003B6A69">
        <w:rPr>
          <w:rFonts w:asciiTheme="minorHAnsi" w:eastAsiaTheme="minorHAnsi" w:hAnsiTheme="minorHAnsi" w:cstheme="minorHAnsi"/>
          <w:szCs w:val="20"/>
        </w:rPr>
        <w:t xml:space="preserve">Development of the Register of unprotected plant species - Such a Register </w:t>
      </w:r>
      <w:proofErr w:type="gramStart"/>
      <w:r w:rsidRPr="003B6A69">
        <w:rPr>
          <w:rFonts w:asciiTheme="minorHAnsi" w:eastAsiaTheme="minorHAnsi" w:hAnsiTheme="minorHAnsi" w:cstheme="minorHAnsi"/>
          <w:szCs w:val="20"/>
        </w:rPr>
        <w:t>is  used</w:t>
      </w:r>
      <w:proofErr w:type="gramEnd"/>
      <w:r w:rsidRPr="003B6A69">
        <w:rPr>
          <w:rFonts w:asciiTheme="minorHAnsi" w:eastAsiaTheme="minorHAnsi" w:hAnsiTheme="minorHAnsi" w:cstheme="minorHAnsi"/>
          <w:szCs w:val="20"/>
        </w:rPr>
        <w:t xml:space="preserve"> in the forest area managed by the Forest Administration of Montenegro. The register contains the following data: a list and a brief description of unprotected forest plant species and species of fungi that can be commercially collected, mapping the habitats of these species, determining the harvesting calendar, showing market </w:t>
      </w:r>
      <w:proofErr w:type="gramStart"/>
      <w:r w:rsidRPr="003B6A69">
        <w:rPr>
          <w:rFonts w:asciiTheme="minorHAnsi" w:eastAsiaTheme="minorHAnsi" w:hAnsiTheme="minorHAnsi" w:cstheme="minorHAnsi"/>
          <w:szCs w:val="20"/>
        </w:rPr>
        <w:t>research</w:t>
      </w:r>
      <w:proofErr w:type="gramEnd"/>
      <w:r w:rsidRPr="003B6A69">
        <w:rPr>
          <w:rFonts w:asciiTheme="minorHAnsi" w:eastAsiaTheme="minorHAnsi" w:hAnsiTheme="minorHAnsi" w:cstheme="minorHAnsi"/>
          <w:szCs w:val="20"/>
        </w:rPr>
        <w:t xml:space="preserve"> and making a retail price list. The development of the register is important in the context of introducing citizens to the species they </w:t>
      </w:r>
      <w:proofErr w:type="gramStart"/>
      <w:r w:rsidRPr="003B6A69">
        <w:rPr>
          <w:rFonts w:asciiTheme="minorHAnsi" w:eastAsiaTheme="minorHAnsi" w:hAnsiTheme="minorHAnsi" w:cstheme="minorHAnsi"/>
          <w:szCs w:val="20"/>
        </w:rPr>
        <w:t>are allowed to</w:t>
      </w:r>
      <w:proofErr w:type="gramEnd"/>
      <w:r w:rsidRPr="003B6A69">
        <w:rPr>
          <w:rFonts w:asciiTheme="minorHAnsi" w:eastAsiaTheme="minorHAnsi" w:hAnsiTheme="minorHAnsi" w:cstheme="minorHAnsi"/>
          <w:szCs w:val="20"/>
        </w:rPr>
        <w:t xml:space="preserve"> collect. The latest analysis of non-wood forest products showed that the general population in Montenegro is not sufficiently informed about the benefits that these products can bring to the Montenegrin economy.</w:t>
      </w:r>
    </w:p>
    <w:p w14:paraId="69572D62" w14:textId="77777777" w:rsidR="008C4F26" w:rsidRPr="003B6A69" w:rsidRDefault="008C4F26" w:rsidP="003C6B7B">
      <w:pPr>
        <w:numPr>
          <w:ilvl w:val="0"/>
          <w:numId w:val="34"/>
        </w:numPr>
        <w:tabs>
          <w:tab w:val="left" w:pos="5647"/>
        </w:tabs>
        <w:spacing w:after="120"/>
        <w:contextualSpacing/>
        <w:jc w:val="left"/>
        <w:rPr>
          <w:rFonts w:asciiTheme="minorHAnsi" w:eastAsiaTheme="minorHAnsi" w:hAnsiTheme="minorHAnsi" w:cstheme="minorHAnsi"/>
          <w:szCs w:val="20"/>
        </w:rPr>
      </w:pPr>
      <w:r w:rsidRPr="003B6A69">
        <w:rPr>
          <w:rFonts w:asciiTheme="minorHAnsi" w:eastAsiaTheme="minorHAnsi" w:hAnsiTheme="minorHAnsi" w:cstheme="minorHAnsi"/>
          <w:szCs w:val="20"/>
        </w:rPr>
        <w:t>Public competition</w:t>
      </w:r>
      <w:r w:rsidRPr="003B6A69">
        <w:rPr>
          <w:rFonts w:asciiTheme="minorHAnsi" w:eastAsiaTheme="minorHAnsi" w:hAnsiTheme="minorHAnsi" w:cstheme="minorHAnsi"/>
          <w:szCs w:val="20"/>
          <w:vertAlign w:val="superscript"/>
        </w:rPr>
        <w:footnoteReference w:id="78"/>
      </w:r>
      <w:r w:rsidRPr="003B6A69">
        <w:rPr>
          <w:rFonts w:asciiTheme="minorHAnsi" w:eastAsiaTheme="minorHAnsi" w:hAnsiTheme="minorHAnsi" w:cstheme="minorHAnsi"/>
          <w:szCs w:val="20"/>
        </w:rPr>
        <w:t xml:space="preserve"> for financing projects - Programs of non-governmental organizations in the field of forestry and wood processing "Contribution to sustainable forest management".</w:t>
      </w:r>
    </w:p>
    <w:p w14:paraId="5074F9E4" w14:textId="77777777" w:rsidR="008C4F26" w:rsidRPr="003B6A69" w:rsidRDefault="008C4F26" w:rsidP="006C1C66">
      <w:pPr>
        <w:tabs>
          <w:tab w:val="left" w:pos="5647"/>
        </w:tabs>
        <w:spacing w:after="120"/>
        <w:rPr>
          <w:rFonts w:asciiTheme="minorHAnsi" w:eastAsiaTheme="minorHAnsi" w:hAnsiTheme="minorHAnsi" w:cstheme="minorHAnsi"/>
          <w:szCs w:val="20"/>
        </w:rPr>
      </w:pPr>
      <w:r w:rsidRPr="003B6A69">
        <w:rPr>
          <w:rFonts w:asciiTheme="minorHAnsi" w:eastAsiaTheme="minorHAnsi" w:hAnsiTheme="minorHAnsi" w:cstheme="minorHAnsi"/>
          <w:szCs w:val="20"/>
        </w:rPr>
        <w:t>In addition to the specific aforementioned items there are laws which address the concerns about biodiversity-positive practices. The Law on Forests defines the conditions for the use of non-wood forest products (Article 63), emphasizing that it is necessary to collect them "in a way that does not endanger the ecosystems and functions of forests." However, there are no defined limits on the amount of non-wood products that can be collected for commercial purposes, but only the amount that can be collected for non-commercial purposes (2 kg per day). The same law stipulates that “a forest ranger has the right and obligation to control the collection of non-timber forest products in forests and on forest lands” (Article 34), but this does not work in practice. It is interesting to point out that the Law allows the collection of non-wood products in state forests, and not in private ones (not even the owner himself).</w:t>
      </w:r>
    </w:p>
    <w:p w14:paraId="32A3923F" w14:textId="77777777" w:rsidR="008C4F26" w:rsidRPr="003B6A69" w:rsidRDefault="008C4F26" w:rsidP="006C1C66">
      <w:pPr>
        <w:tabs>
          <w:tab w:val="left" w:pos="5647"/>
        </w:tabs>
        <w:spacing w:after="120"/>
        <w:rPr>
          <w:rFonts w:asciiTheme="minorHAnsi" w:eastAsiaTheme="minorHAnsi" w:hAnsiTheme="minorHAnsi" w:cstheme="minorHAnsi"/>
          <w:szCs w:val="20"/>
          <w:lang w:val="sr-Latn-ME"/>
        </w:rPr>
      </w:pPr>
      <w:r w:rsidRPr="003B6A69">
        <w:rPr>
          <w:rFonts w:asciiTheme="minorHAnsi" w:eastAsiaTheme="minorHAnsi" w:hAnsiTheme="minorHAnsi" w:cstheme="minorHAnsi"/>
          <w:szCs w:val="20"/>
          <w:lang w:val="sr-Latn-ME"/>
        </w:rPr>
        <w:t>Regarding the production of non-timber forest products, in the past 5 years and more, the Ministry of Agriculture and Rural Development has been providing financial support for establishing and modernizing/equipping of production orchards.The species whose cultivation are subsidized includes forest plants such as raspberries, blackberries, and blueberries. There are 373 registered raspberry growers</w:t>
      </w:r>
      <w:r w:rsidRPr="003B6A69">
        <w:rPr>
          <w:rFonts w:asciiTheme="minorHAnsi" w:eastAsiaTheme="minorHAnsi" w:hAnsiTheme="minorHAnsi" w:cstheme="minorHAnsi"/>
          <w:szCs w:val="20"/>
          <w:vertAlign w:val="superscript"/>
          <w:lang w:val="sr-Latn-ME"/>
        </w:rPr>
        <w:footnoteReference w:id="79"/>
      </w:r>
      <w:r w:rsidRPr="003B6A69">
        <w:rPr>
          <w:rFonts w:asciiTheme="minorHAnsi" w:eastAsiaTheme="minorHAnsi" w:hAnsiTheme="minorHAnsi" w:cstheme="minorHAnsi"/>
          <w:szCs w:val="20"/>
          <w:lang w:val="sr-Latn-ME"/>
        </w:rPr>
        <w:t xml:space="preserve"> in Montenegro, with a raspberry area of 156.1716 ha and 28 blackberry growers with 6.8275 ha under blackberries. There are no registered blueberry producers.</w:t>
      </w:r>
    </w:p>
    <w:p w14:paraId="482E3C60" w14:textId="77777777" w:rsidR="008C4F26" w:rsidRPr="003B6A69" w:rsidRDefault="008C4F26" w:rsidP="006C1C66">
      <w:pPr>
        <w:tabs>
          <w:tab w:val="left" w:pos="5647"/>
        </w:tabs>
        <w:spacing w:after="120"/>
        <w:rPr>
          <w:rFonts w:asciiTheme="minorHAnsi" w:eastAsiaTheme="minorHAnsi" w:hAnsiTheme="minorHAnsi" w:cstheme="minorHAnsi"/>
          <w:b/>
          <w:szCs w:val="20"/>
        </w:rPr>
      </w:pPr>
      <w:r w:rsidRPr="003B6A69">
        <w:rPr>
          <w:rFonts w:asciiTheme="minorHAnsi" w:eastAsiaTheme="minorHAnsi" w:hAnsiTheme="minorHAnsi" w:cstheme="minorHAnsi"/>
          <w:b/>
          <w:szCs w:val="20"/>
        </w:rPr>
        <w:t>Green incentives for private forest owners</w:t>
      </w:r>
    </w:p>
    <w:p w14:paraId="30CEFF46" w14:textId="77777777" w:rsidR="008C4F26" w:rsidRPr="003B6A69" w:rsidRDefault="008C4F26" w:rsidP="006C1C66">
      <w:pPr>
        <w:tabs>
          <w:tab w:val="left" w:pos="5647"/>
        </w:tabs>
        <w:spacing w:after="120"/>
        <w:rPr>
          <w:rFonts w:asciiTheme="minorHAnsi" w:eastAsiaTheme="minorHAnsi" w:hAnsiTheme="minorHAnsi" w:cstheme="minorHAnsi"/>
          <w:szCs w:val="20"/>
        </w:rPr>
      </w:pPr>
      <w:r w:rsidRPr="003B6A69">
        <w:rPr>
          <w:rFonts w:asciiTheme="minorHAnsi" w:eastAsiaTheme="minorHAnsi" w:hAnsiTheme="minorHAnsi" w:cstheme="minorHAnsi"/>
          <w:szCs w:val="20"/>
        </w:rPr>
        <w:t>The National Forest and Forest Land Management Policy states that one of the tasks is the establishment of an advisory service for private forest owners, but this task has not yet been implemented. Accordingly, there is no “provision of professional assistance to privately owned forest owners regarding the use and protection of forests”, which is provided for by the Law on Forests (Article 66). The National Forest Management Policy also states that “Improving communication between the Forest Administration and owners in partnerships” is a significant task, but this communication is still at a low level. The Association of Private Forest Owners of Montenegro has so far been involved in the implementation of several projects, but they have not had any financial support from the state.</w:t>
      </w:r>
    </w:p>
    <w:p w14:paraId="1023F673" w14:textId="77777777" w:rsidR="008C4F26" w:rsidRPr="003B6A69" w:rsidRDefault="008C4F26" w:rsidP="006C1C66">
      <w:pPr>
        <w:tabs>
          <w:tab w:val="left" w:pos="5647"/>
        </w:tabs>
        <w:spacing w:after="120"/>
        <w:rPr>
          <w:rFonts w:asciiTheme="minorHAnsi" w:eastAsiaTheme="minorHAnsi" w:hAnsiTheme="minorHAnsi" w:cstheme="minorHAnsi"/>
          <w:szCs w:val="20"/>
        </w:rPr>
      </w:pPr>
      <w:r w:rsidRPr="003B6A69">
        <w:rPr>
          <w:rFonts w:asciiTheme="minorHAnsi" w:eastAsiaTheme="minorHAnsi" w:hAnsiTheme="minorHAnsi" w:cstheme="minorHAnsi"/>
          <w:szCs w:val="20"/>
        </w:rPr>
        <w:t xml:space="preserve">In accordance with the Law on Forests, funds from the state budget can be allocated to private forest management units which are entered in the register of forest management units. Funds can be allocated to strengthen competitiveness in forestry and improve environmental conditions. According to the available data, these funds have not been allocated so far, but the state has </w:t>
      </w:r>
      <w:proofErr w:type="gramStart"/>
      <w:r w:rsidRPr="003B6A69">
        <w:rPr>
          <w:rFonts w:asciiTheme="minorHAnsi" w:eastAsiaTheme="minorHAnsi" w:hAnsiTheme="minorHAnsi" w:cstheme="minorHAnsi"/>
          <w:szCs w:val="20"/>
        </w:rPr>
        <w:t>provided assistance to</w:t>
      </w:r>
      <w:proofErr w:type="gramEnd"/>
      <w:r w:rsidRPr="003B6A69">
        <w:rPr>
          <w:rFonts w:asciiTheme="minorHAnsi" w:eastAsiaTheme="minorHAnsi" w:hAnsiTheme="minorHAnsi" w:cstheme="minorHAnsi"/>
          <w:szCs w:val="20"/>
        </w:rPr>
        <w:t xml:space="preserve"> private owners in the form of free planting material. Based on available data, no other green incentives for the private forest owners have been recorded. Although the National Forest and Forest Land Management Policy lists “Cooperation of all participants” as one of the principles, which includes cooperation between the Government sector and private forest owners, this principle has not yet taken root.</w:t>
      </w:r>
    </w:p>
    <w:p w14:paraId="4EB26155" w14:textId="77777777" w:rsidR="008C4F26" w:rsidRPr="003B6A69" w:rsidRDefault="008C4F26" w:rsidP="006C1C66">
      <w:pPr>
        <w:tabs>
          <w:tab w:val="left" w:pos="5647"/>
        </w:tabs>
        <w:spacing w:after="120"/>
        <w:rPr>
          <w:rFonts w:asciiTheme="minorHAnsi" w:eastAsiaTheme="minorHAnsi" w:hAnsiTheme="minorHAnsi" w:cstheme="minorHAnsi"/>
          <w:szCs w:val="20"/>
        </w:rPr>
      </w:pPr>
      <w:r w:rsidRPr="003B6A69">
        <w:rPr>
          <w:rFonts w:asciiTheme="minorHAnsi" w:eastAsiaTheme="minorHAnsi" w:hAnsiTheme="minorHAnsi" w:cstheme="minorHAnsi"/>
          <w:szCs w:val="20"/>
        </w:rPr>
        <w:t>The Law on Forests envisages the development of a Forest Management Program, in both, state and private ownership (Article 14), if a private forest has an area of more than 5 hectares, but in practice the development of a Program for private forests is very rare. So far, only a few projects have been undertaken, primarily on the initiative of the owner, who believed that with the possession of the Program he can achieve a larger volume of felling.</w:t>
      </w:r>
    </w:p>
    <w:p w14:paraId="2C4CE5A1" w14:textId="77777777" w:rsidR="008C4F26" w:rsidRPr="003B6A69" w:rsidRDefault="008C4F26" w:rsidP="006C1C66">
      <w:pPr>
        <w:tabs>
          <w:tab w:val="left" w:pos="5647"/>
        </w:tabs>
        <w:spacing w:after="120"/>
        <w:rPr>
          <w:rFonts w:asciiTheme="minorHAnsi" w:eastAsiaTheme="minorHAnsi" w:hAnsiTheme="minorHAnsi" w:cstheme="minorHAnsi"/>
          <w:szCs w:val="20"/>
          <w:lang w:val="pl-PL"/>
        </w:rPr>
      </w:pPr>
      <w:r w:rsidRPr="003B6A69">
        <w:rPr>
          <w:rFonts w:asciiTheme="minorHAnsi" w:eastAsiaTheme="minorHAnsi" w:hAnsiTheme="minorHAnsi" w:cstheme="minorHAnsi"/>
          <w:szCs w:val="20"/>
          <w:lang w:val="pl-PL"/>
        </w:rPr>
        <w:t xml:space="preserve">It is interesting to note that, according to the national forest inventory, private forests in Montenegro make up 48% of the total forest area, but only 27% of the total volume. This indicates a poor condition in private forests, in relation to the natural potential, which can be explained by excessive exploitation of timber. Accessible areas overgrown with quality stands have </w:t>
      </w:r>
      <w:r w:rsidRPr="003B6A69">
        <w:rPr>
          <w:rFonts w:asciiTheme="minorHAnsi" w:eastAsiaTheme="minorHAnsi" w:hAnsiTheme="minorHAnsi" w:cstheme="minorHAnsi"/>
          <w:szCs w:val="20"/>
          <w:lang w:val="pl-PL"/>
        </w:rPr>
        <w:lastRenderedPageBreak/>
        <w:t>been the subject of frequent logging; annual planning was done without clear records of previous felling and the current state of the forest.</w:t>
      </w:r>
    </w:p>
    <w:p w14:paraId="1D120C9C" w14:textId="77777777" w:rsidR="008C4F26" w:rsidRPr="003B6A69" w:rsidRDefault="008C4F26" w:rsidP="006C1C66">
      <w:pPr>
        <w:tabs>
          <w:tab w:val="left" w:pos="5647"/>
        </w:tabs>
        <w:spacing w:after="120"/>
        <w:rPr>
          <w:rFonts w:asciiTheme="minorHAnsi" w:eastAsiaTheme="minorHAnsi" w:hAnsiTheme="minorHAnsi" w:cstheme="minorHAnsi"/>
          <w:szCs w:val="20"/>
        </w:rPr>
      </w:pPr>
      <w:r w:rsidRPr="003B6A69">
        <w:rPr>
          <w:rFonts w:asciiTheme="minorHAnsi" w:eastAsiaTheme="minorHAnsi" w:hAnsiTheme="minorHAnsi" w:cstheme="minorHAnsi"/>
          <w:szCs w:val="20"/>
        </w:rPr>
        <w:t>In accordance with above mentioned, it would be very useful to support the Association of Private Forest Owners of Montenegro, by allocating funds to owners for forest care and protection measures</w:t>
      </w:r>
      <w:r w:rsidRPr="003B6A69">
        <w:rPr>
          <w:rFonts w:asciiTheme="minorHAnsi" w:eastAsiaTheme="minorHAnsi" w:hAnsiTheme="minorHAnsi" w:cstheme="minorHAnsi"/>
          <w:szCs w:val="20"/>
          <w:vertAlign w:val="superscript"/>
        </w:rPr>
        <w:footnoteReference w:id="80"/>
      </w:r>
      <w:r w:rsidRPr="003B6A69">
        <w:rPr>
          <w:rFonts w:asciiTheme="minorHAnsi" w:eastAsiaTheme="minorHAnsi" w:hAnsiTheme="minorHAnsi" w:cstheme="minorHAnsi"/>
          <w:szCs w:val="20"/>
        </w:rPr>
        <w:t>. It would also be very useful to make a model of the Private Forest Management Program that would be simpler (and thus more financially acceptable to the owners) compared to the Programs made for state forests.</w:t>
      </w:r>
    </w:p>
    <w:p w14:paraId="587A7C36" w14:textId="77777777" w:rsidR="008C4F26" w:rsidRPr="003B6A69" w:rsidRDefault="008C4F26" w:rsidP="006C1C66">
      <w:pPr>
        <w:tabs>
          <w:tab w:val="left" w:pos="5647"/>
        </w:tabs>
        <w:spacing w:after="120"/>
        <w:rPr>
          <w:rFonts w:asciiTheme="minorHAnsi" w:eastAsiaTheme="minorHAnsi" w:hAnsiTheme="minorHAnsi" w:cstheme="minorHAnsi"/>
          <w:b/>
          <w:szCs w:val="20"/>
        </w:rPr>
      </w:pPr>
      <w:r w:rsidRPr="003B6A69">
        <w:rPr>
          <w:rFonts w:asciiTheme="minorHAnsi" w:eastAsiaTheme="minorHAnsi" w:hAnsiTheme="minorHAnsi" w:cstheme="minorHAnsi"/>
          <w:b/>
          <w:szCs w:val="20"/>
        </w:rPr>
        <w:t>Protection of High-Conservation Value forests</w:t>
      </w:r>
    </w:p>
    <w:p w14:paraId="6DFBFEA7" w14:textId="77777777" w:rsidR="008C4F26" w:rsidRPr="003B6A69" w:rsidRDefault="008C4F26" w:rsidP="006C1C66">
      <w:pPr>
        <w:tabs>
          <w:tab w:val="left" w:pos="5647"/>
        </w:tabs>
        <w:spacing w:after="120"/>
        <w:rPr>
          <w:rFonts w:asciiTheme="minorHAnsi" w:eastAsiaTheme="minorHAnsi" w:hAnsiTheme="minorHAnsi" w:cstheme="minorHAnsi"/>
          <w:szCs w:val="20"/>
        </w:rPr>
      </w:pPr>
      <w:r w:rsidRPr="003B6A69">
        <w:rPr>
          <w:rFonts w:asciiTheme="minorHAnsi" w:eastAsiaTheme="minorHAnsi" w:hAnsiTheme="minorHAnsi" w:cstheme="minorHAnsi"/>
          <w:szCs w:val="20"/>
        </w:rPr>
        <w:t xml:space="preserve">The legal framework for forestry planning and management, which includes the protection of high-conservation value forests, is presented in the title Forestry sector. The Law on Reproductive Material of Forest Trees ("Official Gazette of the Republic of Montenegro", No. 037/07 of June 19, 2007, Official Gazette of Montenegro, No. 073/10 of December 2010, 040/11 of 08.08.2011, 057/15 of 07.10.2015) also refers to the protection of High-Conservation Value forests, as well as Law on Nature Protection ("Official Gazette of Montenegro", No. 054/16 of 15.08.2016) and Law on National Parks (Official Gazette Montenegro ", No. 28 of 4 July 2014, 39/16). Ministry of Agriculture and Rural Development, the Forest Administration, the Agency for Nature and Environmental Protection and the Institute for forestry are responsible institutions for this issue. </w:t>
      </w:r>
    </w:p>
    <w:p w14:paraId="7765411A" w14:textId="77777777" w:rsidR="008C4F26" w:rsidRPr="003B6A69" w:rsidRDefault="008C4F26" w:rsidP="006C1C66">
      <w:pPr>
        <w:tabs>
          <w:tab w:val="left" w:pos="5647"/>
        </w:tabs>
        <w:spacing w:after="120"/>
        <w:rPr>
          <w:rFonts w:asciiTheme="minorHAnsi" w:eastAsiaTheme="minorHAnsi" w:hAnsiTheme="minorHAnsi" w:cstheme="minorHAnsi"/>
          <w:szCs w:val="20"/>
        </w:rPr>
      </w:pPr>
      <w:r w:rsidRPr="003B6A69">
        <w:rPr>
          <w:rFonts w:asciiTheme="minorHAnsi" w:eastAsiaTheme="minorHAnsi" w:hAnsiTheme="minorHAnsi" w:cstheme="minorHAnsi"/>
          <w:szCs w:val="20"/>
        </w:rPr>
        <w:t xml:space="preserve">In Article 28 of the Law on Forests, forests are divided into commercial, </w:t>
      </w:r>
      <w:proofErr w:type="gramStart"/>
      <w:r w:rsidRPr="003B6A69">
        <w:rPr>
          <w:rFonts w:asciiTheme="minorHAnsi" w:eastAsiaTheme="minorHAnsi" w:hAnsiTheme="minorHAnsi" w:cstheme="minorHAnsi"/>
          <w:szCs w:val="20"/>
        </w:rPr>
        <w:t>protected</w:t>
      </w:r>
      <w:proofErr w:type="gramEnd"/>
      <w:r w:rsidRPr="003B6A69">
        <w:rPr>
          <w:rFonts w:asciiTheme="minorHAnsi" w:eastAsiaTheme="minorHAnsi" w:hAnsiTheme="minorHAnsi" w:cstheme="minorHAnsi"/>
          <w:szCs w:val="20"/>
        </w:rPr>
        <w:t xml:space="preserve"> and special purpose forests, while the evaluation of the function and purpose of forests is performed on the basis of the Ordinance on the evaluation of forest functions and purposes (Official Gazette of Montenegro, No. 9/2013). Protected forests are those in which the ecological function is emphasized, and the evaluation of the ecological function is performed: a) for the protection of forest soil from erosion and erosion, b) based on the presence of springs, running and standing water, c) on the basis of recognizable and preserved forest ecosystems with biological diversity (rare or endangered plant and animal species) and exceptional landscape diversity, d) in forests around settlements of hospitals, schools, industrial facilities, mines, recreational zones, resorts, camps and agricultural crops, in order to mitigate macro-climate change, regulation and improving the microclimate, e) expressing the amount of bound carbon dioxide from the air (t/ha) and released oxygen, f) in relation to recognizable areas that are important for maintaining populations of rare wild species of animals, plants and fungi to preserve habitat conditions for wildlife and flora.</w:t>
      </w:r>
    </w:p>
    <w:p w14:paraId="027F8D24" w14:textId="77777777" w:rsidR="008C4F26" w:rsidRPr="003B6A69" w:rsidRDefault="008C4F26" w:rsidP="006C1C66">
      <w:pPr>
        <w:tabs>
          <w:tab w:val="left" w:pos="5647"/>
        </w:tabs>
        <w:spacing w:after="120"/>
        <w:rPr>
          <w:rFonts w:asciiTheme="minorHAnsi" w:eastAsiaTheme="minorHAnsi" w:hAnsiTheme="minorHAnsi" w:cstheme="minorHAnsi"/>
          <w:szCs w:val="20"/>
        </w:rPr>
      </w:pPr>
      <w:r w:rsidRPr="003B6A69">
        <w:rPr>
          <w:rFonts w:asciiTheme="minorHAnsi" w:eastAsiaTheme="minorHAnsi" w:hAnsiTheme="minorHAnsi" w:cstheme="minorHAnsi"/>
          <w:szCs w:val="20"/>
        </w:rPr>
        <w:t>Protected forests, as well as others, are managed in accordance with the forest management program. It is necessary to clearly define the boundaries of protected forests in the Program in which logging, as well as collecting of non-wood products, is not allowed. According to the official data of the National Forest Inventory from 2013, protected forests make up 7% of the total forest area in Montenegro. Available data show that there are currently no privately owned protected forests, although it is realistic to expect that they exist in private forests.</w:t>
      </w:r>
    </w:p>
    <w:p w14:paraId="725659F1" w14:textId="77777777" w:rsidR="008C4F26" w:rsidRPr="003B6A69" w:rsidRDefault="008C4F26" w:rsidP="006C1C66">
      <w:pPr>
        <w:tabs>
          <w:tab w:val="left" w:pos="5647"/>
        </w:tabs>
        <w:spacing w:after="120"/>
        <w:rPr>
          <w:rFonts w:asciiTheme="minorHAnsi" w:eastAsiaTheme="minorHAnsi" w:hAnsiTheme="minorHAnsi" w:cstheme="minorHAnsi"/>
          <w:szCs w:val="20"/>
          <w:lang w:val="sr-Latn-ME"/>
        </w:rPr>
      </w:pPr>
      <w:r w:rsidRPr="003B6A69">
        <w:rPr>
          <w:rFonts w:asciiTheme="minorHAnsi" w:eastAsiaTheme="minorHAnsi" w:hAnsiTheme="minorHAnsi" w:cstheme="minorHAnsi"/>
          <w:szCs w:val="20"/>
          <w:lang w:val="sr-Latn-ME"/>
        </w:rPr>
        <w:t>Special purpose forests can be forests in which social functions are significantly emphasized and forests located within national parks (Article 31 of the Law on Forests). Special purpose forest management is performed on the basis of the forest development plan and on the basis of national park management plans and programs. Forest management in national parks depends on the protection zone in which the forest is located, which are defined by the Spatial Plans of special purpose for that national park. In zone I, a strict protection regime is implemented and the use of natural resources is prohibited, which means that there is no exploitation of wood nor collection of non-wood products in forests. In zone II and III, natural resources can be used selectively and to a limited extent (Law on Nature Protection, Article 31). Forests that belong to the national parks make up 2% of the total forest area in Montenegro.</w:t>
      </w:r>
    </w:p>
    <w:p w14:paraId="75C577C6" w14:textId="77777777" w:rsidR="008C4F26" w:rsidRPr="003B6A69" w:rsidRDefault="008C4F26" w:rsidP="006C1C66">
      <w:pPr>
        <w:spacing w:after="120"/>
        <w:jc w:val="left"/>
        <w:rPr>
          <w:rFonts w:asciiTheme="minorHAnsi" w:eastAsiaTheme="majorEastAsia" w:hAnsiTheme="minorHAnsi" w:cstheme="majorBidi"/>
          <w:b/>
          <w:szCs w:val="20"/>
          <w:lang w:val="sr-Latn-ME"/>
        </w:rPr>
      </w:pPr>
    </w:p>
    <w:p w14:paraId="3390D633" w14:textId="77777777" w:rsidR="008C4F26" w:rsidRPr="003B6A69" w:rsidRDefault="008C4F26" w:rsidP="008C4F26">
      <w:pPr>
        <w:spacing w:after="160" w:line="259" w:lineRule="auto"/>
        <w:jc w:val="left"/>
        <w:rPr>
          <w:rFonts w:asciiTheme="minorHAnsi" w:eastAsiaTheme="majorEastAsia" w:hAnsiTheme="minorHAnsi" w:cstheme="majorBidi"/>
          <w:b/>
          <w:sz w:val="22"/>
          <w:szCs w:val="22"/>
          <w:lang w:val="en-GB"/>
        </w:rPr>
      </w:pPr>
      <w:r w:rsidRPr="003B6A69">
        <w:rPr>
          <w:rFonts w:asciiTheme="minorHAnsi" w:eastAsiaTheme="minorHAnsi" w:hAnsiTheme="minorHAnsi" w:cstheme="minorBidi"/>
          <w:b/>
          <w:sz w:val="22"/>
          <w:szCs w:val="22"/>
          <w:lang w:val="en-GB"/>
        </w:rPr>
        <w:br w:type="page"/>
      </w:r>
    </w:p>
    <w:p w14:paraId="56763253" w14:textId="0023D63B" w:rsidR="008C4F26" w:rsidRPr="003B6A69" w:rsidRDefault="008C4F26" w:rsidP="00904420">
      <w:pPr>
        <w:pStyle w:val="Heading2"/>
        <w:rPr>
          <w:lang w:val="en-GB"/>
        </w:rPr>
      </w:pPr>
      <w:bookmarkStart w:id="113" w:name="_Annex_4:_Agricultural_1"/>
      <w:bookmarkStart w:id="114" w:name="_Toc82018292"/>
      <w:bookmarkEnd w:id="113"/>
      <w:r w:rsidRPr="003B6A69">
        <w:rPr>
          <w:lang w:val="en-GB"/>
        </w:rPr>
        <w:lastRenderedPageBreak/>
        <w:t xml:space="preserve">Annex </w:t>
      </w:r>
      <w:r w:rsidR="006C1C66" w:rsidRPr="003B6A69">
        <w:rPr>
          <w:lang w:val="en-GB"/>
        </w:rPr>
        <w:t>19</w:t>
      </w:r>
      <w:r w:rsidRPr="003B6A69">
        <w:rPr>
          <w:lang w:val="en-GB"/>
        </w:rPr>
        <w:t>: Agricultural sector baseline and feasibility analysis for Outcome 5</w:t>
      </w:r>
      <w:bookmarkEnd w:id="114"/>
    </w:p>
    <w:p w14:paraId="0F758527" w14:textId="77777777" w:rsidR="008C4F26" w:rsidRPr="003B6A69" w:rsidRDefault="008C4F26" w:rsidP="006C1C66">
      <w:pPr>
        <w:spacing w:after="120"/>
        <w:jc w:val="left"/>
        <w:rPr>
          <w:rFonts w:asciiTheme="minorHAnsi" w:hAnsiTheme="minorHAnsi" w:cstheme="minorHAnsi"/>
          <w:b/>
          <w:szCs w:val="20"/>
        </w:rPr>
      </w:pPr>
      <w:r w:rsidRPr="003B6A69">
        <w:rPr>
          <w:rFonts w:asciiTheme="minorHAnsi" w:hAnsiTheme="minorHAnsi" w:cstheme="minorHAnsi"/>
          <w:b/>
          <w:szCs w:val="20"/>
        </w:rPr>
        <w:t>Agricultural sector baseline in Montenegro</w:t>
      </w:r>
    </w:p>
    <w:p w14:paraId="2A81EB55" w14:textId="77777777" w:rsidR="008C4F26" w:rsidRPr="003B6A69" w:rsidRDefault="008C4F26" w:rsidP="006C1C66">
      <w:pPr>
        <w:spacing w:after="120"/>
        <w:rPr>
          <w:rFonts w:asciiTheme="minorHAnsi" w:hAnsiTheme="minorHAnsi" w:cstheme="minorHAnsi"/>
          <w:szCs w:val="20"/>
        </w:rPr>
      </w:pPr>
      <w:r w:rsidRPr="003B6A69">
        <w:rPr>
          <w:rFonts w:asciiTheme="minorHAnsi" w:eastAsia="Times New Roman" w:hAnsiTheme="minorHAnsi" w:cstheme="minorHAnsi"/>
          <w:color w:val="000000" w:themeColor="text1"/>
          <w:szCs w:val="20"/>
          <w:lang w:eastAsia="ar-SA"/>
        </w:rPr>
        <w:t xml:space="preserve">Agriculture, together with tourism and energy, is a strategic focus of the economic development of Montenegro. Despite its size, Montenegro is rich in biodiversity and genetic resources in the food production sector. </w:t>
      </w:r>
      <w:r w:rsidRPr="003B6A69">
        <w:rPr>
          <w:rFonts w:asciiTheme="minorHAnsi" w:hAnsiTheme="minorHAnsi" w:cstheme="minorHAnsi"/>
          <w:szCs w:val="20"/>
        </w:rPr>
        <w:t xml:space="preserve">When analyzing the development of agricultural policy in the last two decades in Montenegro, three characteristic periods can be seen. Initial changes in agricultural policy began early this century, with the release of the agri-food sector from price controls. Since the adoption of the first </w:t>
      </w:r>
      <w:r w:rsidRPr="003B6A69">
        <w:rPr>
          <w:rFonts w:asciiTheme="minorHAnsi" w:hAnsiTheme="minorHAnsi" w:cstheme="minorHAnsi"/>
          <w:i/>
          <w:szCs w:val="20"/>
        </w:rPr>
        <w:t>Agriculture and Rural Development Strategy</w:t>
      </w:r>
      <w:r w:rsidRPr="003B6A69">
        <w:rPr>
          <w:rFonts w:asciiTheme="minorHAnsi" w:hAnsiTheme="minorHAnsi" w:cstheme="minorHAnsi"/>
          <w:szCs w:val="20"/>
        </w:rPr>
        <w:t xml:space="preserve"> in July 2006</w:t>
      </w:r>
      <w:r w:rsidRPr="003B6A69">
        <w:rPr>
          <w:rFonts w:asciiTheme="minorHAnsi" w:hAnsiTheme="minorHAnsi" w:cstheme="minorHAnsi"/>
          <w:szCs w:val="20"/>
          <w:vertAlign w:val="superscript"/>
        </w:rPr>
        <w:footnoteReference w:id="81"/>
      </w:r>
      <w:r w:rsidRPr="003B6A69">
        <w:rPr>
          <w:rFonts w:asciiTheme="minorHAnsi" w:hAnsiTheme="minorHAnsi" w:cstheme="minorHAnsi"/>
          <w:szCs w:val="20"/>
        </w:rPr>
        <w:t xml:space="preserve">, significant improvements have been made to the modernization of the administration, with the focus shifting to the sustainable use of agricultural resources and the responsible food supply chains, and to improving the living standards of the rural population. </w:t>
      </w:r>
    </w:p>
    <w:p w14:paraId="552DDE44" w14:textId="77777777" w:rsidR="008C4F26" w:rsidRPr="003B6A69" w:rsidRDefault="008C4F26" w:rsidP="006C1C66">
      <w:pPr>
        <w:spacing w:after="120"/>
        <w:rPr>
          <w:rFonts w:asciiTheme="minorHAnsi" w:eastAsia="Times New Roman" w:hAnsiTheme="minorHAnsi" w:cstheme="minorHAnsi"/>
          <w:color w:val="000000" w:themeColor="text1"/>
          <w:szCs w:val="20"/>
          <w:lang w:eastAsia="ar-SA"/>
        </w:rPr>
      </w:pPr>
      <w:r w:rsidRPr="003B6A69">
        <w:rPr>
          <w:rFonts w:asciiTheme="minorHAnsi" w:hAnsiTheme="minorHAnsi" w:cstheme="minorHAnsi"/>
          <w:szCs w:val="20"/>
        </w:rPr>
        <w:t xml:space="preserve">The current </w:t>
      </w:r>
      <w:r w:rsidRPr="003B6A69">
        <w:rPr>
          <w:rFonts w:asciiTheme="minorHAnsi" w:hAnsiTheme="minorHAnsi" w:cstheme="minorHAnsi"/>
          <w:i/>
          <w:szCs w:val="20"/>
        </w:rPr>
        <w:t>Strategy for the Development of Agriculture and Rural Areas</w:t>
      </w:r>
      <w:r w:rsidRPr="003B6A69">
        <w:rPr>
          <w:rFonts w:asciiTheme="minorHAnsi" w:hAnsiTheme="minorHAnsi" w:cstheme="minorHAnsi"/>
          <w:szCs w:val="20"/>
        </w:rPr>
        <w:t xml:space="preserve"> with the Action Plan</w:t>
      </w:r>
      <w:r w:rsidRPr="003B6A69">
        <w:rPr>
          <w:rFonts w:asciiTheme="minorHAnsi" w:hAnsiTheme="minorHAnsi" w:cstheme="minorHAnsi"/>
          <w:szCs w:val="20"/>
          <w:vertAlign w:val="superscript"/>
        </w:rPr>
        <w:footnoteReference w:id="82"/>
      </w:r>
      <w:r w:rsidRPr="003B6A69">
        <w:rPr>
          <w:rFonts w:asciiTheme="minorHAnsi" w:hAnsiTheme="minorHAnsi" w:cstheme="minorHAnsi"/>
          <w:szCs w:val="20"/>
        </w:rPr>
        <w:t xml:space="preserve"> for the period 2015-2020, defines the process of the reforms in the agriculture and rural areas. The strategy responds to the changed environment, caused by external and internal factors, and sets the stage for meeting the challenges ahead on Montenegro's accession to the EU. It defines steps in the framework of agricultural subsidies (otherwise referred to as direct payments), regulation of the agricultural market, rural development measures, product quality policies and organic production that need to be implemented </w:t>
      </w:r>
      <w:proofErr w:type="gramStart"/>
      <w:r w:rsidRPr="003B6A69">
        <w:rPr>
          <w:rFonts w:asciiTheme="minorHAnsi" w:hAnsiTheme="minorHAnsi" w:cstheme="minorHAnsi"/>
          <w:szCs w:val="20"/>
        </w:rPr>
        <w:t>in order to</w:t>
      </w:r>
      <w:proofErr w:type="gramEnd"/>
      <w:r w:rsidRPr="003B6A69">
        <w:rPr>
          <w:rFonts w:asciiTheme="minorHAnsi" w:hAnsiTheme="minorHAnsi" w:cstheme="minorHAnsi"/>
          <w:szCs w:val="20"/>
        </w:rPr>
        <w:t xml:space="preserve"> comply with EU policy. The Law on Agriculture and Rural Development</w:t>
      </w:r>
      <w:r w:rsidRPr="003B6A69">
        <w:rPr>
          <w:rFonts w:asciiTheme="minorHAnsi" w:hAnsiTheme="minorHAnsi" w:cstheme="minorHAnsi"/>
          <w:szCs w:val="20"/>
          <w:vertAlign w:val="superscript"/>
        </w:rPr>
        <w:footnoteReference w:id="83"/>
      </w:r>
      <w:r w:rsidRPr="003B6A69">
        <w:rPr>
          <w:rFonts w:asciiTheme="minorHAnsi" w:hAnsiTheme="minorHAnsi" w:cstheme="minorHAnsi"/>
          <w:szCs w:val="20"/>
        </w:rPr>
        <w:t xml:space="preserve"> defines the main strategic goals in this field: the management of agricultural resources in a long-term sustainable way, while preserving the environment; ensuring a stable supply of safe food, acceptable in terms of quality and price; and, improving the living standards for the rural population and overall rural development, while preserving traditional values, strengthening the competitiveness of food producers, etc. </w:t>
      </w:r>
      <w:r w:rsidRPr="003B6A69">
        <w:rPr>
          <w:rFonts w:asciiTheme="minorHAnsi" w:eastAsia="Times New Roman" w:hAnsiTheme="minorHAnsi" w:cstheme="minorHAnsi"/>
          <w:color w:val="000000" w:themeColor="text1"/>
          <w:szCs w:val="20"/>
          <w:lang w:eastAsia="ar-SA"/>
        </w:rPr>
        <w:t xml:space="preserve">The Law on Organic Production regulates organic production, labeling of organic, </w:t>
      </w:r>
      <w:proofErr w:type="gramStart"/>
      <w:r w:rsidRPr="003B6A69">
        <w:rPr>
          <w:rFonts w:asciiTheme="minorHAnsi" w:eastAsia="Times New Roman" w:hAnsiTheme="minorHAnsi" w:cstheme="minorHAnsi"/>
          <w:color w:val="000000" w:themeColor="text1"/>
          <w:szCs w:val="20"/>
          <w:lang w:eastAsia="ar-SA"/>
        </w:rPr>
        <w:t>ecological</w:t>
      </w:r>
      <w:proofErr w:type="gramEnd"/>
      <w:r w:rsidRPr="003B6A69">
        <w:rPr>
          <w:rFonts w:asciiTheme="minorHAnsi" w:eastAsia="Times New Roman" w:hAnsiTheme="minorHAnsi" w:cstheme="minorHAnsi"/>
          <w:color w:val="000000" w:themeColor="text1"/>
          <w:szCs w:val="20"/>
          <w:lang w:eastAsia="ar-SA"/>
        </w:rPr>
        <w:t xml:space="preserve"> and biological products, control over organic production, as well as other issues of importance for organic production. An additional set of legal documents supports the implementation of the new Montenegrin orientation in the field of agricultural policy. </w:t>
      </w:r>
    </w:p>
    <w:p w14:paraId="5BB4ADFE" w14:textId="77777777" w:rsidR="008C4F26" w:rsidRPr="003B6A69" w:rsidRDefault="008C4F26" w:rsidP="006C1C66">
      <w:pPr>
        <w:spacing w:after="120"/>
        <w:rPr>
          <w:rFonts w:asciiTheme="minorHAnsi" w:eastAsia="Times New Roman" w:hAnsiTheme="minorHAnsi" w:cstheme="minorHAnsi"/>
          <w:color w:val="000000" w:themeColor="text1"/>
          <w:szCs w:val="20"/>
          <w:lang w:eastAsia="ar-SA"/>
        </w:rPr>
      </w:pPr>
      <w:r w:rsidRPr="003B6A69">
        <w:rPr>
          <w:rFonts w:asciiTheme="minorHAnsi" w:eastAsia="Times New Roman" w:hAnsiTheme="minorHAnsi" w:cstheme="minorHAnsi"/>
          <w:color w:val="000000" w:themeColor="text1"/>
          <w:szCs w:val="20"/>
          <w:lang w:eastAsia="ar-SA"/>
        </w:rPr>
        <w:t xml:space="preserve">In June 2013, MARD published the Code of Good Agricultural Practice </w:t>
      </w:r>
      <w:r w:rsidRPr="003B6A69">
        <w:rPr>
          <w:rFonts w:asciiTheme="minorHAnsi" w:hAnsiTheme="minorHAnsi" w:cstheme="minorHAnsi"/>
          <w:szCs w:val="20"/>
        </w:rPr>
        <w:t>(</w:t>
      </w:r>
      <w:proofErr w:type="spellStart"/>
      <w:r w:rsidRPr="003B6A69">
        <w:rPr>
          <w:rFonts w:asciiTheme="minorHAnsi" w:hAnsiTheme="minorHAnsi" w:cstheme="minorHAnsi"/>
          <w:szCs w:val="20"/>
        </w:rPr>
        <w:t>CoGAP</w:t>
      </w:r>
      <w:proofErr w:type="spellEnd"/>
      <w:r w:rsidRPr="003B6A69">
        <w:rPr>
          <w:rFonts w:asciiTheme="minorHAnsi" w:hAnsiTheme="minorHAnsi" w:cstheme="minorHAnsi"/>
          <w:szCs w:val="20"/>
        </w:rPr>
        <w:t>)</w:t>
      </w:r>
      <w:r w:rsidRPr="003B6A69">
        <w:rPr>
          <w:rFonts w:asciiTheme="minorHAnsi" w:hAnsiTheme="minorHAnsi" w:cstheme="minorHAnsi"/>
          <w:szCs w:val="20"/>
          <w:vertAlign w:val="superscript"/>
        </w:rPr>
        <w:footnoteReference w:id="84"/>
      </w:r>
      <w:r w:rsidRPr="003B6A69">
        <w:rPr>
          <w:rFonts w:asciiTheme="minorHAnsi" w:hAnsiTheme="minorHAnsi" w:cstheme="minorHAnsi"/>
          <w:szCs w:val="20"/>
        </w:rPr>
        <w:t xml:space="preserve">. </w:t>
      </w:r>
      <w:r w:rsidRPr="003B6A69">
        <w:rPr>
          <w:rFonts w:asciiTheme="minorHAnsi" w:eastAsia="Times New Roman" w:hAnsiTheme="minorHAnsi" w:cstheme="minorHAnsi"/>
          <w:color w:val="000000" w:themeColor="text1"/>
          <w:szCs w:val="20"/>
          <w:lang w:eastAsia="ar-SA"/>
        </w:rPr>
        <w:t xml:space="preserve">This document contains recommendations and principles of good agricultural practice in terms of environmental protection, animal welfare, and conservation of land resources, water management and waste management. The code is applied gradually and is linked to the support of farmers. In April 2016, the electronic management of the Register of Agricultural Holdings </w:t>
      </w:r>
      <w:proofErr w:type="gramStart"/>
      <w:r w:rsidRPr="003B6A69">
        <w:rPr>
          <w:rFonts w:asciiTheme="minorHAnsi" w:eastAsia="Times New Roman" w:hAnsiTheme="minorHAnsi" w:cstheme="minorHAnsi"/>
          <w:color w:val="000000" w:themeColor="text1"/>
          <w:szCs w:val="20"/>
          <w:lang w:eastAsia="ar-SA"/>
        </w:rPr>
        <w:t>began</w:t>
      </w:r>
      <w:proofErr w:type="gramEnd"/>
      <w:r w:rsidRPr="003B6A69">
        <w:rPr>
          <w:rFonts w:asciiTheme="minorHAnsi" w:eastAsia="Times New Roman" w:hAnsiTheme="minorHAnsi" w:cstheme="minorHAnsi"/>
          <w:color w:val="000000" w:themeColor="text1"/>
          <w:szCs w:val="20"/>
          <w:lang w:eastAsia="ar-SA"/>
        </w:rPr>
        <w:t xml:space="preserve"> and it serves as a basis for all incentives in agriculture and rural development, and at the same time as a record of actual data on all agricultural holdings in Montenegro. </w:t>
      </w:r>
      <w:proofErr w:type="gramStart"/>
      <w:r w:rsidRPr="003B6A69">
        <w:rPr>
          <w:rFonts w:asciiTheme="minorHAnsi" w:eastAsia="Times New Roman" w:hAnsiTheme="minorHAnsi" w:cstheme="minorHAnsi"/>
          <w:color w:val="000000" w:themeColor="text1"/>
          <w:szCs w:val="20"/>
          <w:lang w:eastAsia="ar-SA"/>
        </w:rPr>
        <w:t>Also</w:t>
      </w:r>
      <w:proofErr w:type="gramEnd"/>
      <w:r w:rsidRPr="003B6A69">
        <w:rPr>
          <w:rFonts w:asciiTheme="minorHAnsi" w:eastAsia="Times New Roman" w:hAnsiTheme="minorHAnsi" w:cstheme="minorHAnsi"/>
          <w:color w:val="000000" w:themeColor="text1"/>
          <w:szCs w:val="20"/>
          <w:lang w:eastAsia="ar-SA"/>
        </w:rPr>
        <w:t xml:space="preserve"> in the same year, the implementation of the project for the establishment of the Register of Agricultural Land Use began, i.e. the Land Parcel Identification System (LPIS) project, and a measure to support organic production has been prepared, which are implemented by the Payments Directorate in accordance with the EU rules of the administration and control system (IACS). Also, the continuation of the LPIS project is very important, through which work will be done on the establishment of the LPIS system in Montenegro, as one of the key components of the Integrated Administration and Control System (IACS) of all payments in agriculture and rural development. </w:t>
      </w:r>
    </w:p>
    <w:p w14:paraId="3D83DA91" w14:textId="77777777" w:rsidR="008C4F26" w:rsidRPr="003B6A69" w:rsidRDefault="008C4F26" w:rsidP="006C1C66">
      <w:pPr>
        <w:spacing w:after="120"/>
        <w:rPr>
          <w:rFonts w:asciiTheme="minorHAnsi" w:hAnsiTheme="minorHAnsi" w:cstheme="minorHAnsi"/>
          <w:szCs w:val="20"/>
        </w:rPr>
      </w:pPr>
      <w:r w:rsidRPr="003B6A69">
        <w:rPr>
          <w:rFonts w:asciiTheme="minorHAnsi" w:hAnsiTheme="minorHAnsi" w:cstheme="minorHAnsi"/>
          <w:szCs w:val="20"/>
        </w:rPr>
        <w:t xml:space="preserve">In March 2020 Montenegro became a member of the International Agreement on Plant Genetic Resources for Food and Agriculture with objectives towards the conservation and sustainable use of plant genetic resources for food and agriculture, as well as the equal and equitable sharing of benefits arising out of their use, in accordance with the Convention on Biological Diversity for sustainable agriculture and food security. These objectives are achieved by closely linking this Treaty with the Food and Agriculture Organization of the United Nations and the Convention on Biological Diversity. In the same year, Montenegro joined the European Cooperative Program for Plant Genetic Resources Networks with the aim of supporting the initiative of long-term conservation and facilitation of the use of plant genetic resources in Europe. </w:t>
      </w:r>
    </w:p>
    <w:p w14:paraId="0664B8BB" w14:textId="77777777" w:rsidR="008C4F26" w:rsidRPr="003B6A69" w:rsidRDefault="008C4F26" w:rsidP="006C1C66">
      <w:pPr>
        <w:spacing w:after="120"/>
        <w:rPr>
          <w:rFonts w:asciiTheme="minorHAnsi" w:hAnsiTheme="minorHAnsi" w:cstheme="minorHAnsi"/>
          <w:szCs w:val="20"/>
        </w:rPr>
      </w:pPr>
      <w:r w:rsidRPr="003B6A69">
        <w:rPr>
          <w:rFonts w:asciiTheme="minorHAnsi" w:hAnsiTheme="minorHAnsi" w:cstheme="minorHAnsi"/>
          <w:szCs w:val="20"/>
        </w:rPr>
        <w:t>As a pre-accession member of the EU, Montenegro aspires to be part of the EU's Common Agricultural Policy (CAP). The CAP manages the market of agricultural products in such a way that there are clearly defined minimum quality standards, rules for import and export of products and market intervention, as defined by the Regulation on the common organization of the market</w:t>
      </w:r>
      <w:r w:rsidRPr="003B6A69">
        <w:rPr>
          <w:rFonts w:asciiTheme="minorHAnsi" w:hAnsiTheme="minorHAnsi" w:cstheme="minorHAnsi"/>
          <w:szCs w:val="20"/>
          <w:vertAlign w:val="superscript"/>
        </w:rPr>
        <w:footnoteReference w:id="85"/>
      </w:r>
      <w:r w:rsidRPr="003B6A69">
        <w:rPr>
          <w:rFonts w:asciiTheme="minorHAnsi" w:hAnsiTheme="minorHAnsi" w:cstheme="minorHAnsi"/>
          <w:szCs w:val="20"/>
        </w:rPr>
        <w:t xml:space="preserve">. Montenegro, in this area, cannot be fully aligned with the acquis before accession. The Law on Regulation of </w:t>
      </w:r>
      <w:r w:rsidRPr="003B6A69">
        <w:rPr>
          <w:rFonts w:asciiTheme="minorHAnsi" w:hAnsiTheme="minorHAnsi" w:cstheme="minorHAnsi"/>
          <w:szCs w:val="20"/>
        </w:rPr>
        <w:lastRenderedPageBreak/>
        <w:t>the Market of Agricultural Products was adopted in 2017</w:t>
      </w:r>
      <w:r w:rsidRPr="003B6A69">
        <w:rPr>
          <w:rFonts w:asciiTheme="minorHAnsi" w:hAnsiTheme="minorHAnsi" w:cstheme="minorHAnsi"/>
          <w:szCs w:val="20"/>
          <w:vertAlign w:val="superscript"/>
        </w:rPr>
        <w:footnoteReference w:id="86"/>
      </w:r>
      <w:r w:rsidRPr="003B6A69">
        <w:rPr>
          <w:rFonts w:asciiTheme="minorHAnsi" w:hAnsiTheme="minorHAnsi" w:cstheme="minorHAnsi"/>
          <w:szCs w:val="20"/>
        </w:rPr>
        <w:t>. In this context, a new Law on Wine was adopted</w:t>
      </w:r>
      <w:r w:rsidRPr="003B6A69">
        <w:rPr>
          <w:rFonts w:asciiTheme="minorHAnsi" w:hAnsiTheme="minorHAnsi" w:cstheme="minorHAnsi"/>
          <w:szCs w:val="20"/>
          <w:vertAlign w:val="superscript"/>
        </w:rPr>
        <w:footnoteReference w:id="87"/>
      </w:r>
      <w:r w:rsidRPr="003B6A69">
        <w:rPr>
          <w:rFonts w:asciiTheme="minorHAnsi" w:hAnsiTheme="minorHAnsi" w:cstheme="minorHAnsi"/>
          <w:szCs w:val="20"/>
        </w:rPr>
        <w:t xml:space="preserve"> and a new Law on Alcoholic Beverages</w:t>
      </w:r>
      <w:r w:rsidRPr="003B6A69">
        <w:rPr>
          <w:rFonts w:asciiTheme="minorHAnsi" w:hAnsiTheme="minorHAnsi" w:cstheme="minorHAnsi"/>
          <w:szCs w:val="20"/>
          <w:vertAlign w:val="superscript"/>
        </w:rPr>
        <w:footnoteReference w:id="88"/>
      </w:r>
      <w:r w:rsidRPr="003B6A69">
        <w:rPr>
          <w:rFonts w:asciiTheme="minorHAnsi" w:hAnsiTheme="minorHAnsi" w:cstheme="minorHAnsi"/>
          <w:szCs w:val="20"/>
        </w:rPr>
        <w:t>, while the Law on the Paying Agency is in the process of adoption. In line with the amendments to the acquis on organic agriculture and quality policy, Ministry of Agriculture and Rural Development (MARD) will adopt amendments to national regulations governing this area.</w:t>
      </w:r>
    </w:p>
    <w:p w14:paraId="610F9F6B" w14:textId="77777777" w:rsidR="008C4F26" w:rsidRPr="003B6A69" w:rsidRDefault="008C4F26" w:rsidP="006C1C66">
      <w:pPr>
        <w:spacing w:after="120"/>
        <w:rPr>
          <w:rFonts w:asciiTheme="minorHAnsi" w:hAnsiTheme="minorHAnsi" w:cstheme="minorHAnsi"/>
          <w:szCs w:val="20"/>
        </w:rPr>
      </w:pPr>
      <w:r w:rsidRPr="003B6A69">
        <w:rPr>
          <w:rFonts w:asciiTheme="minorHAnsi" w:hAnsiTheme="minorHAnsi" w:cstheme="minorHAnsi"/>
          <w:szCs w:val="20"/>
        </w:rPr>
        <w:t>Numerous projects in the field of agriculture have been implemented, financed by the EU and other forms of bilateral cooperation. The most important projects in the field of capacity building, rural development, strengthening of laboratory capacities, and food safety are being implemented with the support of EU funds and the Delegation of the European Union to Montenegro.</w:t>
      </w:r>
    </w:p>
    <w:p w14:paraId="2F63C2A2" w14:textId="77777777" w:rsidR="008C4F26" w:rsidRPr="003B6A69" w:rsidRDefault="008C4F26" w:rsidP="006C1C66">
      <w:pPr>
        <w:spacing w:after="120"/>
        <w:rPr>
          <w:rFonts w:asciiTheme="minorHAnsi" w:hAnsiTheme="minorHAnsi" w:cstheme="minorHAnsi"/>
          <w:szCs w:val="20"/>
        </w:rPr>
      </w:pPr>
      <w:r w:rsidRPr="003B6A69">
        <w:rPr>
          <w:rFonts w:asciiTheme="minorHAnsi" w:hAnsiTheme="minorHAnsi" w:cstheme="minorHAnsi"/>
          <w:szCs w:val="20"/>
        </w:rPr>
        <w:t xml:space="preserve">The Action Plan for the implementation of the Agricultural Strategy in Montenegro has been prepared </w:t>
      </w:r>
      <w:proofErr w:type="gramStart"/>
      <w:r w:rsidRPr="003B6A69">
        <w:rPr>
          <w:rFonts w:asciiTheme="minorHAnsi" w:hAnsiTheme="minorHAnsi" w:cstheme="minorHAnsi"/>
          <w:szCs w:val="20"/>
        </w:rPr>
        <w:t>taking into account</w:t>
      </w:r>
      <w:proofErr w:type="gramEnd"/>
      <w:r w:rsidRPr="003B6A69">
        <w:rPr>
          <w:rFonts w:asciiTheme="minorHAnsi" w:hAnsiTheme="minorHAnsi" w:cstheme="minorHAnsi"/>
          <w:szCs w:val="20"/>
        </w:rPr>
        <w:t xml:space="preserve"> the CAP principles and addresses the steps and activities that need to be taken to align with the acquis for Chapter 11 - Agriculture and Rural Development. The main goal of the Strategy is to recognize that the products at the international market are highly competitive in terms of price and quantity. Therefore Montenegro, in addition to conventional production methods, should focus on the development of agricultural and food products based on traditional production methods, which will provide a niche for higher quality.</w:t>
      </w:r>
    </w:p>
    <w:p w14:paraId="135EB092" w14:textId="53FFDD71" w:rsidR="008C4F26" w:rsidRPr="003B6A69" w:rsidRDefault="008C4F26" w:rsidP="006C1C66">
      <w:pPr>
        <w:spacing w:after="120"/>
        <w:jc w:val="left"/>
        <w:rPr>
          <w:rFonts w:asciiTheme="minorHAnsi" w:hAnsiTheme="minorHAnsi" w:cstheme="minorHAnsi"/>
          <w:b/>
          <w:szCs w:val="20"/>
        </w:rPr>
      </w:pPr>
      <w:r w:rsidRPr="003B6A69">
        <w:rPr>
          <w:rFonts w:asciiTheme="minorHAnsi" w:hAnsiTheme="minorHAnsi" w:cstheme="minorHAnsi"/>
          <w:b/>
          <w:szCs w:val="20"/>
        </w:rPr>
        <w:t>Governmental subsidies to the agricultural sector</w:t>
      </w:r>
      <w:r w:rsidR="000A12EC" w:rsidRPr="003B6A69">
        <w:rPr>
          <w:rFonts w:asciiTheme="minorHAnsi" w:hAnsiTheme="minorHAnsi" w:cstheme="minorHAnsi"/>
          <w:b/>
          <w:szCs w:val="20"/>
        </w:rPr>
        <w:t>:</w:t>
      </w:r>
      <w:r w:rsidRPr="003B6A69">
        <w:rPr>
          <w:rFonts w:asciiTheme="minorHAnsi" w:hAnsiTheme="minorHAnsi" w:cstheme="minorHAnsi"/>
          <w:b/>
          <w:szCs w:val="20"/>
        </w:rPr>
        <w:t xml:space="preserve"> existing mechanisms</w:t>
      </w:r>
    </w:p>
    <w:p w14:paraId="32A8966C" w14:textId="77777777" w:rsidR="008C4F26" w:rsidRPr="003B6A69" w:rsidRDefault="008C4F26" w:rsidP="006C1C66">
      <w:pPr>
        <w:spacing w:after="120"/>
        <w:rPr>
          <w:rFonts w:asciiTheme="minorHAnsi" w:eastAsia="Times New Roman" w:hAnsiTheme="minorHAnsi" w:cstheme="minorHAnsi"/>
          <w:color w:val="000000" w:themeColor="text1"/>
          <w:szCs w:val="20"/>
          <w:lang w:eastAsia="ar-SA"/>
        </w:rPr>
      </w:pPr>
      <w:r w:rsidRPr="003B6A69">
        <w:rPr>
          <w:rFonts w:asciiTheme="minorHAnsi" w:eastAsia="Times New Roman" w:hAnsiTheme="minorHAnsi" w:cstheme="minorHAnsi"/>
          <w:color w:val="000000" w:themeColor="text1"/>
          <w:szCs w:val="20"/>
          <w:lang w:eastAsia="ar-SA"/>
        </w:rPr>
        <w:t xml:space="preserve">Government measures for the development and implementation of agricultural policy are executed through the annual budget for agriculture proposed by the Ministry of Agriculture and Rural Development (MARD), as well as through other documents and regulations necessary for the proper functioning of the sector. Pursuant to Article 6 of the Law on Agriculture and Rural Development, the Law on Marine Fisheries and Mari culture and Art. 9 and 20 of the Law on the Budget of Montenegro, the Government of Montenegro every year adopts the Regulation on conditions, </w:t>
      </w:r>
      <w:proofErr w:type="gramStart"/>
      <w:r w:rsidRPr="003B6A69">
        <w:rPr>
          <w:rFonts w:asciiTheme="minorHAnsi" w:eastAsia="Times New Roman" w:hAnsiTheme="minorHAnsi" w:cstheme="minorHAnsi"/>
          <w:color w:val="000000" w:themeColor="text1"/>
          <w:szCs w:val="20"/>
          <w:lang w:eastAsia="ar-SA"/>
        </w:rPr>
        <w:t>manner</w:t>
      </w:r>
      <w:proofErr w:type="gramEnd"/>
      <w:r w:rsidRPr="003B6A69">
        <w:rPr>
          <w:rFonts w:asciiTheme="minorHAnsi" w:eastAsia="Times New Roman" w:hAnsiTheme="minorHAnsi" w:cstheme="minorHAnsi"/>
          <w:color w:val="000000" w:themeColor="text1"/>
          <w:szCs w:val="20"/>
          <w:lang w:eastAsia="ar-SA"/>
        </w:rPr>
        <w:t xml:space="preserve"> and dynamics of implementation of agricultural policy measures- </w:t>
      </w:r>
      <w:proofErr w:type="spellStart"/>
      <w:r w:rsidRPr="003B6A69">
        <w:rPr>
          <w:rFonts w:asciiTheme="minorHAnsi" w:eastAsia="Times New Roman" w:hAnsiTheme="minorHAnsi" w:cstheme="minorHAnsi"/>
          <w:b/>
          <w:color w:val="000000" w:themeColor="text1"/>
          <w:szCs w:val="20"/>
          <w:lang w:eastAsia="ar-SA"/>
        </w:rPr>
        <w:t>Agro</w:t>
      </w:r>
      <w:proofErr w:type="spellEnd"/>
      <w:r w:rsidRPr="003B6A69">
        <w:rPr>
          <w:rFonts w:asciiTheme="minorHAnsi" w:eastAsia="Times New Roman" w:hAnsiTheme="minorHAnsi" w:cstheme="minorHAnsi"/>
          <w:b/>
          <w:color w:val="000000" w:themeColor="text1"/>
          <w:szCs w:val="20"/>
          <w:lang w:eastAsia="ar-SA"/>
        </w:rPr>
        <w:t>-budget</w:t>
      </w:r>
      <w:r w:rsidRPr="003B6A69">
        <w:rPr>
          <w:rFonts w:asciiTheme="minorHAnsi" w:eastAsia="Times New Roman" w:hAnsiTheme="minorHAnsi" w:cstheme="minorHAnsi"/>
          <w:color w:val="000000" w:themeColor="text1"/>
          <w:szCs w:val="20"/>
          <w:lang w:eastAsia="ar-SA"/>
        </w:rPr>
        <w:t xml:space="preserve">. It determines the conditions, </w:t>
      </w:r>
      <w:proofErr w:type="gramStart"/>
      <w:r w:rsidRPr="003B6A69">
        <w:rPr>
          <w:rFonts w:asciiTheme="minorHAnsi" w:eastAsia="Times New Roman" w:hAnsiTheme="minorHAnsi" w:cstheme="minorHAnsi"/>
          <w:color w:val="000000" w:themeColor="text1"/>
          <w:szCs w:val="20"/>
          <w:lang w:eastAsia="ar-SA"/>
        </w:rPr>
        <w:t>manner</w:t>
      </w:r>
      <w:proofErr w:type="gramEnd"/>
      <w:r w:rsidRPr="003B6A69">
        <w:rPr>
          <w:rFonts w:asciiTheme="minorHAnsi" w:eastAsia="Times New Roman" w:hAnsiTheme="minorHAnsi" w:cstheme="minorHAnsi"/>
          <w:color w:val="000000" w:themeColor="text1"/>
          <w:szCs w:val="20"/>
          <w:lang w:eastAsia="ar-SA"/>
        </w:rPr>
        <w:t xml:space="preserve"> and dynamics of implementation of agricultural policy measures for market and price policy, rural development policy, affairs of the public interest in the area, social transfers to individuals, food safety, veterinary and phytosanitary affairs and measures for the fishery sector</w:t>
      </w:r>
      <w:r w:rsidRPr="003B6A69">
        <w:rPr>
          <w:rFonts w:asciiTheme="minorHAnsi" w:eastAsia="Times New Roman" w:hAnsiTheme="minorHAnsi" w:cstheme="minorHAnsi"/>
          <w:color w:val="000000" w:themeColor="text1"/>
          <w:szCs w:val="20"/>
          <w:vertAlign w:val="superscript"/>
          <w:lang w:eastAsia="ar-SA"/>
        </w:rPr>
        <w:footnoteReference w:id="89"/>
      </w:r>
      <w:r w:rsidRPr="003B6A69">
        <w:rPr>
          <w:rFonts w:asciiTheme="minorHAnsi" w:eastAsia="Times New Roman" w:hAnsiTheme="minorHAnsi" w:cstheme="minorHAnsi"/>
          <w:color w:val="000000" w:themeColor="text1"/>
          <w:szCs w:val="20"/>
          <w:lang w:eastAsia="ar-SA"/>
        </w:rPr>
        <w:t xml:space="preserve">. Donations within the </w:t>
      </w:r>
      <w:proofErr w:type="spellStart"/>
      <w:r w:rsidRPr="003B6A69">
        <w:rPr>
          <w:rFonts w:asciiTheme="minorHAnsi" w:eastAsia="Times New Roman" w:hAnsiTheme="minorHAnsi" w:cstheme="minorHAnsi"/>
          <w:color w:val="000000" w:themeColor="text1"/>
          <w:szCs w:val="20"/>
          <w:lang w:eastAsia="ar-SA"/>
        </w:rPr>
        <w:t>agro</w:t>
      </w:r>
      <w:proofErr w:type="spellEnd"/>
      <w:r w:rsidRPr="003B6A69">
        <w:rPr>
          <w:rFonts w:asciiTheme="minorHAnsi" w:eastAsia="Times New Roman" w:hAnsiTheme="minorHAnsi" w:cstheme="minorHAnsi"/>
          <w:color w:val="000000" w:themeColor="text1"/>
          <w:szCs w:val="20"/>
          <w:lang w:eastAsia="ar-SA"/>
        </w:rPr>
        <w:t>-budget refer to funds obtained through support to investments in agricultural holdings (EU/IPA); IPARD II Program and IFAD Project. Loans were generated through support lines for investments in agricultural holdings (MIDAS project for additional financing); Institutional development and strengthening of agriculture in Montenegro (MIDAS 2), IFAD project and Technical support for institution building (EU/IPA project).</w:t>
      </w:r>
      <w:r w:rsidRPr="003B6A69">
        <w:rPr>
          <w:szCs w:val="20"/>
        </w:rPr>
        <w:t xml:space="preserve"> </w:t>
      </w:r>
      <w:r w:rsidRPr="003B6A69">
        <w:rPr>
          <w:rFonts w:asciiTheme="minorHAnsi" w:eastAsia="Times New Roman" w:hAnsiTheme="minorHAnsi" w:cstheme="minorHAnsi"/>
          <w:color w:val="000000" w:themeColor="text1"/>
          <w:szCs w:val="20"/>
          <w:lang w:eastAsia="ar-SA"/>
        </w:rPr>
        <w:t xml:space="preserve">The </w:t>
      </w:r>
      <w:proofErr w:type="spellStart"/>
      <w:r w:rsidRPr="003B6A69">
        <w:rPr>
          <w:rFonts w:asciiTheme="minorHAnsi" w:eastAsia="Times New Roman" w:hAnsiTheme="minorHAnsi" w:cstheme="minorHAnsi"/>
          <w:color w:val="000000" w:themeColor="text1"/>
          <w:szCs w:val="20"/>
          <w:lang w:eastAsia="ar-SA"/>
        </w:rPr>
        <w:t>Agro</w:t>
      </w:r>
      <w:proofErr w:type="spellEnd"/>
      <w:r w:rsidRPr="003B6A69">
        <w:rPr>
          <w:rFonts w:asciiTheme="minorHAnsi" w:eastAsia="Times New Roman" w:hAnsiTheme="minorHAnsi" w:cstheme="minorHAnsi"/>
          <w:color w:val="000000" w:themeColor="text1"/>
          <w:szCs w:val="20"/>
          <w:lang w:eastAsia="ar-SA"/>
        </w:rPr>
        <w:t>-budget is divided into several groups of measures: market-price policy measures; rural development measures; support for general services in agriculture; and measures for the development of fisheries.</w:t>
      </w:r>
    </w:p>
    <w:p w14:paraId="089F8EB8" w14:textId="77777777" w:rsidR="008C4F26" w:rsidRPr="003B6A69" w:rsidRDefault="008C4F26" w:rsidP="006C1C66">
      <w:pPr>
        <w:spacing w:after="120"/>
        <w:rPr>
          <w:rFonts w:asciiTheme="minorHAnsi" w:eastAsia="Times New Roman" w:hAnsiTheme="minorHAnsi" w:cstheme="minorHAnsi"/>
          <w:color w:val="000000" w:themeColor="text1"/>
          <w:szCs w:val="20"/>
          <w:lang w:eastAsia="ar-SA"/>
        </w:rPr>
      </w:pPr>
      <w:r w:rsidRPr="003B6A69">
        <w:rPr>
          <w:rFonts w:asciiTheme="minorHAnsi" w:eastAsia="Times New Roman" w:hAnsiTheme="minorHAnsi" w:cstheme="minorHAnsi"/>
          <w:color w:val="000000" w:themeColor="text1"/>
          <w:szCs w:val="20"/>
          <w:lang w:eastAsia="ar-SA"/>
        </w:rPr>
        <w:t xml:space="preserve">Recently, the emphasis has been on improving the quality of products (especially milk), </w:t>
      </w:r>
      <w:proofErr w:type="gramStart"/>
      <w:r w:rsidRPr="003B6A69">
        <w:rPr>
          <w:rFonts w:asciiTheme="minorHAnsi" w:eastAsia="Times New Roman" w:hAnsiTheme="minorHAnsi" w:cstheme="minorHAnsi"/>
          <w:color w:val="000000" w:themeColor="text1"/>
          <w:szCs w:val="20"/>
          <w:lang w:eastAsia="ar-SA"/>
        </w:rPr>
        <w:t>and also</w:t>
      </w:r>
      <w:proofErr w:type="gramEnd"/>
      <w:r w:rsidRPr="003B6A69">
        <w:rPr>
          <w:rFonts w:asciiTheme="minorHAnsi" w:eastAsia="Times New Roman" w:hAnsiTheme="minorHAnsi" w:cstheme="minorHAnsi"/>
          <w:color w:val="000000" w:themeColor="text1"/>
          <w:szCs w:val="20"/>
          <w:lang w:eastAsia="ar-SA"/>
        </w:rPr>
        <w:t xml:space="preserve"> on further investments in the dairy, olives and vegetables sector, as well as on supporting producer associations. More resources are dedicated to the introduction of the necessary standards (</w:t>
      </w:r>
      <w:proofErr w:type="gramStart"/>
      <w:r w:rsidRPr="003B6A69">
        <w:rPr>
          <w:rFonts w:asciiTheme="minorHAnsi" w:eastAsia="Times New Roman" w:hAnsiTheme="minorHAnsi" w:cstheme="minorHAnsi"/>
          <w:color w:val="000000" w:themeColor="text1"/>
          <w:szCs w:val="20"/>
          <w:lang w:eastAsia="ar-SA"/>
        </w:rPr>
        <w:t>e.g.</w:t>
      </w:r>
      <w:proofErr w:type="gramEnd"/>
      <w:r w:rsidRPr="003B6A69">
        <w:rPr>
          <w:rFonts w:asciiTheme="minorHAnsi" w:eastAsia="Times New Roman" w:hAnsiTheme="minorHAnsi" w:cstheme="minorHAnsi"/>
          <w:color w:val="000000" w:themeColor="text1"/>
          <w:szCs w:val="20"/>
          <w:lang w:eastAsia="ar-SA"/>
        </w:rPr>
        <w:t xml:space="preserve"> HACCP) and quality schemes, as well as to organic production.</w:t>
      </w:r>
    </w:p>
    <w:p w14:paraId="6C32E861" w14:textId="77777777" w:rsidR="008C4F26" w:rsidRPr="003B6A69" w:rsidRDefault="008C4F26" w:rsidP="006C1C66">
      <w:pPr>
        <w:spacing w:after="120"/>
        <w:rPr>
          <w:rFonts w:asciiTheme="minorHAnsi" w:eastAsia="Times New Roman" w:hAnsiTheme="minorHAnsi" w:cstheme="minorHAnsi"/>
          <w:color w:val="000000" w:themeColor="text1"/>
          <w:szCs w:val="20"/>
          <w:lang w:eastAsia="ar-SA"/>
        </w:rPr>
      </w:pPr>
      <w:r w:rsidRPr="003B6A69">
        <w:rPr>
          <w:rFonts w:asciiTheme="minorHAnsi" w:eastAsia="Times New Roman" w:hAnsiTheme="minorHAnsi" w:cstheme="minorHAnsi"/>
          <w:color w:val="000000" w:themeColor="text1"/>
          <w:szCs w:val="20"/>
          <w:lang w:eastAsia="ar-SA"/>
        </w:rPr>
        <w:t xml:space="preserve">Analysis of the financial distribution over the 10-year period shows that market policy measures (direct support measures) show steady growth, while support for general services in agriculture varies. </w:t>
      </w:r>
    </w:p>
    <w:p w14:paraId="7809D2A3" w14:textId="77777777" w:rsidR="008C4F26" w:rsidRPr="003B6A69" w:rsidRDefault="008C4F26" w:rsidP="006C1C66">
      <w:pPr>
        <w:spacing w:after="120"/>
        <w:jc w:val="left"/>
        <w:rPr>
          <w:rFonts w:asciiTheme="minorHAnsi" w:hAnsiTheme="minorHAnsi" w:cstheme="minorHAnsi"/>
          <w:b/>
          <w:szCs w:val="20"/>
        </w:rPr>
      </w:pPr>
    </w:p>
    <w:p w14:paraId="2BE2ABBB" w14:textId="77777777" w:rsidR="008C4F26" w:rsidRPr="003B6A69" w:rsidRDefault="008C4F26" w:rsidP="006C1C66">
      <w:pPr>
        <w:spacing w:after="120"/>
        <w:jc w:val="left"/>
        <w:rPr>
          <w:rFonts w:asciiTheme="minorHAnsi" w:hAnsiTheme="minorHAnsi" w:cstheme="minorHAnsi"/>
          <w:b/>
          <w:szCs w:val="20"/>
        </w:rPr>
      </w:pPr>
      <w:r w:rsidRPr="003B6A69">
        <w:rPr>
          <w:rFonts w:asciiTheme="minorHAnsi" w:hAnsiTheme="minorHAnsi" w:cstheme="minorHAnsi"/>
          <w:b/>
          <w:szCs w:val="20"/>
        </w:rPr>
        <w:t>EU Agri-environmental incentives</w:t>
      </w:r>
    </w:p>
    <w:p w14:paraId="31E2E9CB" w14:textId="77777777" w:rsidR="008C4F26" w:rsidRPr="003B6A69" w:rsidRDefault="008C4F26" w:rsidP="006C1C66">
      <w:pPr>
        <w:autoSpaceDE w:val="0"/>
        <w:autoSpaceDN w:val="0"/>
        <w:adjustRightInd w:val="0"/>
        <w:spacing w:after="120"/>
        <w:rPr>
          <w:rFonts w:asciiTheme="minorHAnsi" w:hAnsiTheme="minorHAnsi" w:cstheme="minorHAnsi"/>
          <w:szCs w:val="20"/>
        </w:rPr>
      </w:pPr>
      <w:r w:rsidRPr="003B6A69">
        <w:rPr>
          <w:rFonts w:asciiTheme="minorHAnsi" w:hAnsiTheme="minorHAnsi" w:cstheme="minorHAnsi"/>
          <w:szCs w:val="20"/>
        </w:rPr>
        <w:t>Since 1992, reforms of the CAP have aimed to reduce pressures on the environment. Several instruments and tools have been developed and made available to farmers, to mitigate the environmental impact of agriculture. Agri-environment schemes (AES) have been one of these policy tools.</w:t>
      </w:r>
    </w:p>
    <w:p w14:paraId="692FE7D0" w14:textId="77777777" w:rsidR="008C4F26" w:rsidRPr="003B6A69" w:rsidRDefault="008C4F26" w:rsidP="006C1C66">
      <w:pPr>
        <w:autoSpaceDE w:val="0"/>
        <w:autoSpaceDN w:val="0"/>
        <w:adjustRightInd w:val="0"/>
        <w:spacing w:after="120"/>
        <w:rPr>
          <w:rFonts w:asciiTheme="minorHAnsi" w:hAnsiTheme="minorHAnsi" w:cstheme="minorHAnsi"/>
          <w:szCs w:val="20"/>
        </w:rPr>
      </w:pPr>
      <w:r w:rsidRPr="003B6A69">
        <w:rPr>
          <w:rFonts w:asciiTheme="minorHAnsi" w:hAnsiTheme="minorHAnsi" w:cstheme="minorHAnsi"/>
          <w:szCs w:val="20"/>
        </w:rPr>
        <w:lastRenderedPageBreak/>
        <w:t xml:space="preserve">Agri-environment schemes provide financial support for Member States to design and implement </w:t>
      </w:r>
      <w:proofErr w:type="spellStart"/>
      <w:r w:rsidRPr="003B6A69">
        <w:rPr>
          <w:rFonts w:asciiTheme="minorHAnsi" w:hAnsiTheme="minorHAnsi" w:cstheme="minorHAnsi"/>
          <w:szCs w:val="20"/>
        </w:rPr>
        <w:t>agri</w:t>
      </w:r>
      <w:proofErr w:type="spellEnd"/>
      <w:r w:rsidRPr="003B6A69">
        <w:rPr>
          <w:rFonts w:asciiTheme="minorHAnsi" w:hAnsiTheme="minorHAnsi" w:cstheme="minorHAnsi"/>
          <w:szCs w:val="20"/>
        </w:rPr>
        <w:t xml:space="preserve">- environment measures (AEM). Each measure has a specific environmental objective such as the protection or enhancement of biodiversity, soil, water, landscape, or air quality, or climate change mitigation or adaptation. Many measures are multi-functional and are designed to bring simultaneous benefits for several environmental objectives. Each measure also involves paying those farmers who choose to adopt specific environmental management practices on their farms. Agri-environment measures are developed under the Member State’s Rural Development </w:t>
      </w:r>
      <w:proofErr w:type="spellStart"/>
      <w:r w:rsidRPr="003B6A69">
        <w:rPr>
          <w:rFonts w:asciiTheme="minorHAnsi" w:hAnsiTheme="minorHAnsi" w:cstheme="minorHAnsi"/>
          <w:szCs w:val="20"/>
        </w:rPr>
        <w:t>Programme</w:t>
      </w:r>
      <w:proofErr w:type="spellEnd"/>
      <w:r w:rsidRPr="003B6A69">
        <w:rPr>
          <w:rFonts w:asciiTheme="minorHAnsi" w:hAnsiTheme="minorHAnsi" w:cstheme="minorHAnsi"/>
          <w:szCs w:val="20"/>
        </w:rPr>
        <w:t xml:space="preserve">. They are mandatory for national and regional administrations, but voluntary for farmers. Farmers who choose to go beyond the current basic requirements (either mandatory or those allowing them to qualify for a basic subsidy under CAP </w:t>
      </w:r>
      <w:proofErr w:type="gramStart"/>
      <w:r w:rsidRPr="003B6A69">
        <w:rPr>
          <w:rFonts w:asciiTheme="minorHAnsi" w:hAnsiTheme="minorHAnsi" w:cstheme="minorHAnsi"/>
          <w:szCs w:val="20"/>
        </w:rPr>
        <w:t>e.g.</w:t>
      </w:r>
      <w:proofErr w:type="gramEnd"/>
      <w:r w:rsidRPr="003B6A69">
        <w:rPr>
          <w:rFonts w:asciiTheme="minorHAnsi" w:hAnsiTheme="minorHAnsi" w:cstheme="minorHAnsi"/>
          <w:szCs w:val="20"/>
        </w:rPr>
        <w:t xml:space="preserve"> specific Good Agriculture-Environmental Conditions1 (GAEC) standards; or ‘greening’ practices) can claim payments for AEM. There is a wide variety of management practices promoted through the AEM mechanism, which reflects the complexity of both farming systems and ecosystems — some examples of measures include organic farming; integrated production; reducing inputs of </w:t>
      </w:r>
      <w:proofErr w:type="spellStart"/>
      <w:r w:rsidRPr="003B6A69">
        <w:rPr>
          <w:rFonts w:asciiTheme="minorHAnsi" w:hAnsiTheme="minorHAnsi" w:cstheme="minorHAnsi"/>
          <w:szCs w:val="20"/>
        </w:rPr>
        <w:t>fertilisers</w:t>
      </w:r>
      <w:proofErr w:type="spellEnd"/>
      <w:r w:rsidRPr="003B6A69">
        <w:rPr>
          <w:rFonts w:asciiTheme="minorHAnsi" w:hAnsiTheme="minorHAnsi" w:cstheme="minorHAnsi"/>
          <w:szCs w:val="20"/>
        </w:rPr>
        <w:t xml:space="preserve"> and/or pesticides; crop rotation; enhancing habitats for wildlife; introducing buffer strips; managing livestock to provide the right grazing pressure on grassland species and avoiding the risk of soil erosion; and conserving genetic resources in agriculture and local species and in animal breeds threatened by genetic erosion. Approximately 25% of the EU’s </w:t>
      </w:r>
      <w:proofErr w:type="spellStart"/>
      <w:r w:rsidRPr="003B6A69">
        <w:rPr>
          <w:rFonts w:asciiTheme="minorHAnsi" w:hAnsiTheme="minorHAnsi" w:cstheme="minorHAnsi"/>
          <w:szCs w:val="20"/>
        </w:rPr>
        <w:t>utilised</w:t>
      </w:r>
      <w:proofErr w:type="spellEnd"/>
      <w:r w:rsidRPr="003B6A69">
        <w:rPr>
          <w:rFonts w:asciiTheme="minorHAnsi" w:hAnsiTheme="minorHAnsi" w:cstheme="minorHAnsi"/>
          <w:szCs w:val="20"/>
        </w:rPr>
        <w:t xml:space="preserve"> agricultural area is under AES contracts with farmers, including organic farming, and expenditure for 2007-2013 was about €23 billion</w:t>
      </w:r>
      <w:r w:rsidRPr="003B6A69">
        <w:rPr>
          <w:rFonts w:asciiTheme="minorHAnsi" w:hAnsiTheme="minorHAnsi" w:cstheme="minorHAnsi"/>
          <w:szCs w:val="20"/>
          <w:vertAlign w:val="superscript"/>
        </w:rPr>
        <w:footnoteReference w:id="90"/>
      </w:r>
      <w:r w:rsidRPr="003B6A69">
        <w:rPr>
          <w:rFonts w:asciiTheme="minorHAnsi" w:hAnsiTheme="minorHAnsi" w:cstheme="minorHAnsi"/>
          <w:szCs w:val="20"/>
        </w:rPr>
        <w:t>.</w:t>
      </w:r>
    </w:p>
    <w:p w14:paraId="6DDCF2F2" w14:textId="77777777" w:rsidR="008C4F26" w:rsidRPr="003B6A69" w:rsidRDefault="008C4F26" w:rsidP="006C1C66">
      <w:pPr>
        <w:autoSpaceDE w:val="0"/>
        <w:autoSpaceDN w:val="0"/>
        <w:adjustRightInd w:val="0"/>
        <w:spacing w:after="120"/>
        <w:rPr>
          <w:rFonts w:asciiTheme="minorHAnsi" w:hAnsiTheme="minorHAnsi" w:cstheme="minorHAnsi"/>
          <w:szCs w:val="20"/>
        </w:rPr>
      </w:pPr>
    </w:p>
    <w:p w14:paraId="50612CB1" w14:textId="77777777" w:rsidR="008C4F26" w:rsidRPr="003B6A69" w:rsidRDefault="008C4F26" w:rsidP="006C1C66">
      <w:pPr>
        <w:autoSpaceDE w:val="0"/>
        <w:autoSpaceDN w:val="0"/>
        <w:adjustRightInd w:val="0"/>
        <w:spacing w:after="120"/>
        <w:rPr>
          <w:rFonts w:asciiTheme="minorHAnsi" w:eastAsiaTheme="minorHAnsi" w:hAnsiTheme="minorHAnsi" w:cstheme="minorHAnsi"/>
          <w:color w:val="000000"/>
          <w:szCs w:val="20"/>
        </w:rPr>
      </w:pPr>
      <w:r w:rsidRPr="003B6A69">
        <w:rPr>
          <w:rFonts w:asciiTheme="minorHAnsi" w:eastAsiaTheme="minorHAnsi" w:hAnsiTheme="minorHAnsi" w:cstheme="minorHAnsi"/>
          <w:color w:val="000000"/>
          <w:szCs w:val="20"/>
        </w:rPr>
        <w:t>Typically, agri-environmental schemes (AESs) are implemented through a contract made between a public body in the Member States and a beneficiary (farmer or land manager) for a given period, usually five to ten years (European Court of Auditors, 2011). The resulting agreements require farmers to modify their farming practices in exchange for a per-hectare payment (Espinosa-</w:t>
      </w:r>
      <w:proofErr w:type="spellStart"/>
      <w:r w:rsidRPr="003B6A69">
        <w:rPr>
          <w:rFonts w:asciiTheme="minorHAnsi" w:eastAsiaTheme="minorHAnsi" w:hAnsiTheme="minorHAnsi" w:cstheme="minorHAnsi"/>
          <w:color w:val="000000"/>
          <w:szCs w:val="20"/>
        </w:rPr>
        <w:t>Goded</w:t>
      </w:r>
      <w:proofErr w:type="spellEnd"/>
      <w:r w:rsidRPr="003B6A69">
        <w:rPr>
          <w:rFonts w:asciiTheme="minorHAnsi" w:eastAsiaTheme="minorHAnsi" w:hAnsiTheme="minorHAnsi" w:cstheme="minorHAnsi"/>
          <w:color w:val="000000"/>
          <w:szCs w:val="20"/>
        </w:rPr>
        <w:t xml:space="preserve"> et al., 2010). Farmers commit to implement one or more of the following farming practices on their land: organic farming; integrated production; other extensification of farming systems (input reduction and extensification of livestock farming); crop rotation, maintenance of set-aside areas; action to prevent or reduce soil erosion; genetic resources preservation; biodiversity conservation and enhancement actions; upkeep of the landscape, conservation of historical features on agricultural land and public access; and, water-related actions such as buffer strips, field margins, wetland management and reduction strategies (European Commission, 2005; European Court of Auditors, 2011).</w:t>
      </w:r>
    </w:p>
    <w:p w14:paraId="3AFC6907" w14:textId="77777777" w:rsidR="008C4F26" w:rsidRPr="003B6A69" w:rsidRDefault="008C4F26" w:rsidP="006C1C66">
      <w:pPr>
        <w:spacing w:after="120"/>
        <w:rPr>
          <w:rFonts w:asciiTheme="minorHAnsi" w:hAnsiTheme="minorHAnsi" w:cstheme="minorHAnsi"/>
          <w:szCs w:val="20"/>
        </w:rPr>
      </w:pPr>
    </w:p>
    <w:p w14:paraId="00560C83" w14:textId="77777777" w:rsidR="008C4F26" w:rsidRPr="003B6A69" w:rsidRDefault="008C4F26" w:rsidP="006C1C66">
      <w:pPr>
        <w:spacing w:after="120"/>
        <w:jc w:val="left"/>
        <w:rPr>
          <w:rFonts w:asciiTheme="minorHAnsi" w:hAnsiTheme="minorHAnsi" w:cstheme="minorHAnsi"/>
          <w:b/>
          <w:szCs w:val="20"/>
        </w:rPr>
      </w:pPr>
      <w:r w:rsidRPr="003B6A69">
        <w:rPr>
          <w:rFonts w:asciiTheme="minorHAnsi" w:hAnsiTheme="minorHAnsi" w:cstheme="minorHAnsi"/>
          <w:b/>
          <w:szCs w:val="20"/>
        </w:rPr>
        <w:t>National direct payments scheme</w:t>
      </w:r>
    </w:p>
    <w:p w14:paraId="002A9E56" w14:textId="77777777" w:rsidR="008C4F26" w:rsidRPr="003B6A69" w:rsidRDefault="008C4F26" w:rsidP="006C1C66">
      <w:pPr>
        <w:spacing w:after="120"/>
        <w:jc w:val="center"/>
        <w:rPr>
          <w:rFonts w:asciiTheme="minorHAnsi" w:hAnsiTheme="minorHAnsi" w:cstheme="minorHAnsi"/>
          <w:b/>
          <w:szCs w:val="20"/>
        </w:rPr>
      </w:pPr>
    </w:p>
    <w:p w14:paraId="7E090B2D" w14:textId="77777777" w:rsidR="008C4F26" w:rsidRPr="003B6A69" w:rsidRDefault="008C4F26" w:rsidP="006C1C66">
      <w:pPr>
        <w:spacing w:after="120"/>
        <w:rPr>
          <w:rFonts w:asciiTheme="minorHAnsi" w:hAnsiTheme="minorHAnsi" w:cstheme="minorHAnsi"/>
          <w:szCs w:val="20"/>
        </w:rPr>
      </w:pPr>
      <w:r w:rsidRPr="003B6A69">
        <w:rPr>
          <w:rFonts w:asciiTheme="minorHAnsi" w:hAnsiTheme="minorHAnsi" w:cstheme="minorHAnsi"/>
          <w:b/>
          <w:i/>
          <w:szCs w:val="20"/>
        </w:rPr>
        <w:t>Direct payments</w:t>
      </w:r>
      <w:r w:rsidRPr="003B6A69">
        <w:rPr>
          <w:rFonts w:asciiTheme="minorHAnsi" w:hAnsiTheme="minorHAnsi" w:cstheme="minorHAnsi"/>
          <w:szCs w:val="20"/>
        </w:rPr>
        <w:t xml:space="preserve"> are a part of the Measures for market-price policy referring to direct support to primary agricultural production. Direct payment measures are implemented through market pricing policies and are planned on an annual basis. This support is awarded to the livestock sector, crop production, dairy sector, vine growing and tobacco production. As regards the eligibility of related sectors, all of them, except the tobacco sector, are currently eligible and provide a basis for the harmonization with the EU. The harmonization of the policy in the field of direct payments is planned to be achieved during 2020.</w:t>
      </w:r>
    </w:p>
    <w:p w14:paraId="3BFEC5EE" w14:textId="77777777" w:rsidR="008C4F26" w:rsidRPr="003B6A69" w:rsidRDefault="008C4F26" w:rsidP="006C1C66">
      <w:pPr>
        <w:spacing w:after="120"/>
        <w:rPr>
          <w:rFonts w:asciiTheme="minorHAnsi" w:hAnsiTheme="minorHAnsi" w:cstheme="minorHAnsi"/>
          <w:szCs w:val="20"/>
        </w:rPr>
      </w:pPr>
    </w:p>
    <w:tbl>
      <w:tblPr>
        <w:tblStyle w:val="TableGrid31"/>
        <w:tblW w:w="9209" w:type="dxa"/>
        <w:tblInd w:w="137" w:type="dxa"/>
        <w:tblLook w:val="04A0" w:firstRow="1" w:lastRow="0" w:firstColumn="1" w:lastColumn="0" w:noHBand="0" w:noVBand="1"/>
      </w:tblPr>
      <w:tblGrid>
        <w:gridCol w:w="1555"/>
        <w:gridCol w:w="7654"/>
      </w:tblGrid>
      <w:tr w:rsidR="008C4F26" w:rsidRPr="003B6A69" w14:paraId="091D8B67" w14:textId="77777777" w:rsidTr="008C4F26">
        <w:tc>
          <w:tcPr>
            <w:tcW w:w="1555" w:type="dxa"/>
          </w:tcPr>
          <w:p w14:paraId="37FC14B4" w14:textId="77777777" w:rsidR="008C4F26" w:rsidRPr="003B6A69" w:rsidRDefault="008C4F26" w:rsidP="006C1C66">
            <w:pPr>
              <w:spacing w:after="120"/>
              <w:ind w:left="-108" w:firstLine="108"/>
              <w:jc w:val="center"/>
              <w:rPr>
                <w:rFonts w:cstheme="minorHAnsi"/>
                <w:b/>
                <w:sz w:val="20"/>
                <w:szCs w:val="20"/>
              </w:rPr>
            </w:pPr>
            <w:r w:rsidRPr="003B6A69">
              <w:rPr>
                <w:rFonts w:cstheme="minorHAnsi"/>
                <w:b/>
                <w:sz w:val="20"/>
                <w:szCs w:val="20"/>
              </w:rPr>
              <w:t>Livestock production</w:t>
            </w:r>
          </w:p>
        </w:tc>
        <w:tc>
          <w:tcPr>
            <w:tcW w:w="7654" w:type="dxa"/>
          </w:tcPr>
          <w:p w14:paraId="5CB2FDAD" w14:textId="77777777" w:rsidR="008C4F26" w:rsidRPr="003B6A69" w:rsidRDefault="008C4F26" w:rsidP="006C1C66">
            <w:pPr>
              <w:spacing w:after="120"/>
              <w:rPr>
                <w:rFonts w:cstheme="minorHAnsi"/>
                <w:sz w:val="20"/>
                <w:szCs w:val="20"/>
              </w:rPr>
            </w:pPr>
            <w:r w:rsidRPr="003B6A69">
              <w:rPr>
                <w:rFonts w:cstheme="minorHAnsi"/>
                <w:sz w:val="20"/>
                <w:szCs w:val="20"/>
              </w:rPr>
              <w:t>The precondition is that the animals are marked with ear tags and registered in the database of the Veterinary Administration and that the owner of the animals has passports for the animals and keeps proper records in accordance with the law.</w:t>
            </w:r>
          </w:p>
          <w:p w14:paraId="59BAD034" w14:textId="77777777" w:rsidR="008C4F26" w:rsidRPr="003B6A69" w:rsidRDefault="008C4F26" w:rsidP="006C1C66">
            <w:pPr>
              <w:spacing w:after="120"/>
              <w:ind w:left="-250" w:firstLine="250"/>
              <w:rPr>
                <w:rFonts w:cstheme="minorHAnsi"/>
                <w:sz w:val="20"/>
                <w:szCs w:val="20"/>
              </w:rPr>
            </w:pPr>
            <w:r w:rsidRPr="003B6A69">
              <w:rPr>
                <w:rFonts w:cstheme="minorHAnsi"/>
                <w:sz w:val="20"/>
                <w:szCs w:val="20"/>
              </w:rPr>
              <w:t>Direct livestock support includes:</w:t>
            </w:r>
          </w:p>
          <w:p w14:paraId="6ED24C7B" w14:textId="77777777" w:rsidR="008C4F26" w:rsidRPr="003B6A69" w:rsidRDefault="008C4F26" w:rsidP="006C1C66">
            <w:pPr>
              <w:spacing w:after="120"/>
              <w:rPr>
                <w:rFonts w:cstheme="minorHAnsi"/>
                <w:sz w:val="20"/>
                <w:szCs w:val="20"/>
              </w:rPr>
            </w:pPr>
            <w:r w:rsidRPr="003B6A69">
              <w:rPr>
                <w:rFonts w:cstheme="minorHAnsi"/>
                <w:sz w:val="20"/>
                <w:szCs w:val="20"/>
              </w:rPr>
              <w:t xml:space="preserve">a. </w:t>
            </w:r>
            <w:r w:rsidRPr="003B6A69">
              <w:rPr>
                <w:rFonts w:cstheme="minorHAnsi"/>
                <w:i/>
                <w:sz w:val="20"/>
                <w:szCs w:val="20"/>
              </w:rPr>
              <w:t>Premium per head for cows and heifers</w:t>
            </w:r>
            <w:r w:rsidRPr="003B6A69">
              <w:rPr>
                <w:rFonts w:cstheme="minorHAnsi"/>
                <w:sz w:val="20"/>
                <w:szCs w:val="20"/>
              </w:rPr>
              <w:t xml:space="preserve"> for all households that raise more than two heads of livestock and only for the number of animals above this minimum. The criterion is met if the agricultural holding keeps that number of heads for at least seven months. The basic premium per head for breeding cows and heifers is 70 EUR.</w:t>
            </w:r>
          </w:p>
          <w:p w14:paraId="14CCF29D" w14:textId="77777777" w:rsidR="008C4F26" w:rsidRPr="003B6A69" w:rsidRDefault="008C4F26" w:rsidP="006C1C66">
            <w:pPr>
              <w:spacing w:after="120"/>
              <w:rPr>
                <w:rFonts w:cstheme="minorHAnsi"/>
                <w:sz w:val="20"/>
                <w:szCs w:val="20"/>
              </w:rPr>
            </w:pPr>
            <w:r w:rsidRPr="003B6A69">
              <w:rPr>
                <w:rFonts w:cstheme="minorHAnsi"/>
                <w:sz w:val="20"/>
                <w:szCs w:val="20"/>
              </w:rPr>
              <w:lastRenderedPageBreak/>
              <w:t xml:space="preserve">b. </w:t>
            </w:r>
            <w:r w:rsidRPr="003B6A69">
              <w:rPr>
                <w:rFonts w:cstheme="minorHAnsi"/>
                <w:i/>
                <w:sz w:val="20"/>
                <w:szCs w:val="20"/>
              </w:rPr>
              <w:t>Premium per head for sheep and goat breeding</w:t>
            </w:r>
            <w:r w:rsidRPr="003B6A69">
              <w:rPr>
                <w:rFonts w:cstheme="minorHAnsi"/>
                <w:sz w:val="20"/>
                <w:szCs w:val="20"/>
              </w:rPr>
              <w:t xml:space="preserve"> to which all farms raising more than 30 sheep and / or more than 20 goats in the herd are entitled. Payment only applies to heads above this minimum number. The criterion is met if the farm has been breeding that number of heads for at least seven months. The basic premium per head for sheep and goat breeding is 8 EUR.</w:t>
            </w:r>
          </w:p>
          <w:p w14:paraId="1584221E" w14:textId="77777777" w:rsidR="008C4F26" w:rsidRPr="003B6A69" w:rsidRDefault="008C4F26" w:rsidP="006C1C66">
            <w:pPr>
              <w:spacing w:after="120"/>
              <w:rPr>
                <w:rFonts w:cstheme="minorHAnsi"/>
                <w:sz w:val="20"/>
                <w:szCs w:val="20"/>
              </w:rPr>
            </w:pPr>
            <w:r w:rsidRPr="003B6A69">
              <w:rPr>
                <w:rFonts w:cstheme="minorHAnsi"/>
                <w:sz w:val="20"/>
                <w:szCs w:val="20"/>
              </w:rPr>
              <w:t xml:space="preserve">c. </w:t>
            </w:r>
            <w:r w:rsidRPr="003B6A69">
              <w:rPr>
                <w:rFonts w:cstheme="minorHAnsi"/>
                <w:i/>
                <w:sz w:val="20"/>
                <w:szCs w:val="20"/>
              </w:rPr>
              <w:t>Premiums for organized fattening of cattle, bulls and oxen</w:t>
            </w:r>
            <w:r w:rsidRPr="003B6A69">
              <w:rPr>
                <w:rFonts w:cstheme="minorHAnsi"/>
                <w:sz w:val="20"/>
                <w:szCs w:val="20"/>
              </w:rPr>
              <w:t xml:space="preserve"> for farms that sell livestock in registered slaughterhouses. The minimum number of animals that qualify for the premium is three heads from one’s own production or for ten purchased heads regardless of origin (from Montenegro or imported). The condition for exercising the right to the premium is that the heads stay on the farm for fattening for at least six months. The basic premium is 140 EUR per head from one’s own production or 80 EUR for purchased heads. A prerequisite for the premium is also a minimum body weight of 400 kg, </w:t>
            </w:r>
            <w:proofErr w:type="gramStart"/>
            <w:r w:rsidRPr="003B6A69">
              <w:rPr>
                <w:rFonts w:cstheme="minorHAnsi"/>
                <w:sz w:val="20"/>
                <w:szCs w:val="20"/>
              </w:rPr>
              <w:t>with the exception of</w:t>
            </w:r>
            <w:proofErr w:type="gramEnd"/>
            <w:r w:rsidRPr="003B6A69">
              <w:rPr>
                <w:rFonts w:cstheme="minorHAnsi"/>
                <w:sz w:val="20"/>
                <w:szCs w:val="20"/>
              </w:rPr>
              <w:t xml:space="preserve"> young cattle fattened on pasture, which may have body weight of 350 kg.</w:t>
            </w:r>
          </w:p>
        </w:tc>
      </w:tr>
      <w:tr w:rsidR="008C4F26" w:rsidRPr="003B6A69" w14:paraId="1CDC0419" w14:textId="77777777" w:rsidTr="008C4F26">
        <w:tc>
          <w:tcPr>
            <w:tcW w:w="1555" w:type="dxa"/>
          </w:tcPr>
          <w:p w14:paraId="4D79B23A" w14:textId="77777777" w:rsidR="008C4F26" w:rsidRPr="003B6A69" w:rsidRDefault="008C4F26" w:rsidP="006C1C66">
            <w:pPr>
              <w:spacing w:after="120"/>
              <w:jc w:val="left"/>
              <w:rPr>
                <w:rFonts w:cstheme="minorHAnsi"/>
                <w:sz w:val="20"/>
                <w:szCs w:val="20"/>
              </w:rPr>
            </w:pPr>
            <w:r w:rsidRPr="003B6A69">
              <w:rPr>
                <w:rFonts w:cstheme="minorHAnsi"/>
                <w:b/>
                <w:sz w:val="20"/>
                <w:szCs w:val="20"/>
              </w:rPr>
              <w:lastRenderedPageBreak/>
              <w:t>Premiums for the milk purchased by approved milk processing facilities</w:t>
            </w:r>
          </w:p>
        </w:tc>
        <w:tc>
          <w:tcPr>
            <w:tcW w:w="7654" w:type="dxa"/>
          </w:tcPr>
          <w:p w14:paraId="50B743AB" w14:textId="77777777" w:rsidR="008C4F26" w:rsidRPr="003B6A69" w:rsidRDefault="008C4F26" w:rsidP="006C1C66">
            <w:pPr>
              <w:spacing w:after="120"/>
              <w:rPr>
                <w:rFonts w:ascii="Calibri" w:hAnsi="Calibri"/>
                <w:sz w:val="20"/>
                <w:szCs w:val="20"/>
              </w:rPr>
            </w:pPr>
            <w:r w:rsidRPr="003B6A69">
              <w:rPr>
                <w:rFonts w:cstheme="minorHAnsi"/>
                <w:sz w:val="20"/>
                <w:szCs w:val="20"/>
              </w:rPr>
              <w:t>The aim is raising the competitiveness of market milk production; encouraging the development of commercial milk production for delivery to dairies; an increase in total milk production; increasing the share of purchased milk in total milk production; improving the quality of milk; increasing total milk production in accordance with EU quality standards; and consolidation of agricultural farms for milk production.</w:t>
            </w:r>
            <w:r w:rsidRPr="003B6A69">
              <w:rPr>
                <w:rFonts w:ascii="Calibri" w:hAnsi="Calibri"/>
                <w:sz w:val="20"/>
                <w:szCs w:val="20"/>
              </w:rPr>
              <w:t xml:space="preserve"> </w:t>
            </w:r>
          </w:p>
          <w:p w14:paraId="21ABE6D7" w14:textId="77777777" w:rsidR="008C4F26" w:rsidRPr="003B6A69" w:rsidRDefault="008C4F26" w:rsidP="006C1C66">
            <w:pPr>
              <w:spacing w:after="120"/>
              <w:rPr>
                <w:rFonts w:cstheme="minorHAnsi"/>
                <w:sz w:val="20"/>
                <w:szCs w:val="20"/>
              </w:rPr>
            </w:pPr>
            <w:r w:rsidRPr="003B6A69">
              <w:rPr>
                <w:rFonts w:cstheme="minorHAnsi"/>
                <w:sz w:val="20"/>
                <w:szCs w:val="20"/>
              </w:rPr>
              <w:t xml:space="preserve">Support is given to producers who deliver milk to approved milk processing facilities (dairies/cheese factories). The basic premium is € 0.06 per liter, under the condition that the delivered quantity of milk per farm is at least 400 liters per month and that the milk complies with the quality criteria of raw milk in relation to the number of microorganisms and somatic cells in accordance with the Regulation on special hygiene requirements for products of animal origin. Support in the form of a premium </w:t>
            </w:r>
            <w:proofErr w:type="gramStart"/>
            <w:r w:rsidRPr="003B6A69">
              <w:rPr>
                <w:rFonts w:cstheme="minorHAnsi"/>
                <w:sz w:val="20"/>
                <w:szCs w:val="20"/>
              </w:rPr>
              <w:t>for the amount of</w:t>
            </w:r>
            <w:proofErr w:type="gramEnd"/>
            <w:r w:rsidRPr="003B6A69">
              <w:rPr>
                <w:rFonts w:cstheme="minorHAnsi"/>
                <w:sz w:val="20"/>
                <w:szCs w:val="20"/>
              </w:rPr>
              <w:t xml:space="preserve"> € 0.01 per liter is given to producers who deliver more than 5,000 liters of milk per month to dairies that comply with the prescribed quality criteria for raw milk. Support is provided for quantities above 5,000 liters. Support in the form of a quality premium is realized in the following way: € 0.04 per liter of delivered cow's milk for raw milk that has up to 100,000 microorganisms and up to 400,000 somatic cells per ml; and € 0.02 per liter of delivered goat and sheep milk for raw milk that has up to 1,500,000 microorganisms in ml.</w:t>
            </w:r>
          </w:p>
          <w:p w14:paraId="5AC39946" w14:textId="77777777" w:rsidR="008C4F26" w:rsidRPr="003B6A69" w:rsidRDefault="008C4F26" w:rsidP="006C1C66">
            <w:pPr>
              <w:spacing w:after="120"/>
              <w:rPr>
                <w:rFonts w:cstheme="minorHAnsi"/>
                <w:sz w:val="20"/>
                <w:szCs w:val="20"/>
              </w:rPr>
            </w:pPr>
            <w:r w:rsidRPr="003B6A69">
              <w:rPr>
                <w:rFonts w:cstheme="minorHAnsi"/>
                <w:sz w:val="20"/>
                <w:szCs w:val="20"/>
              </w:rPr>
              <w:t>The condition for the payment of the premium is that the agricultural holding is registered in the Register of Agricultural Holdings and that measures for obligatory animal health protection have been implemented on the farm.</w:t>
            </w:r>
          </w:p>
        </w:tc>
      </w:tr>
      <w:tr w:rsidR="008C4F26" w:rsidRPr="003B6A69" w14:paraId="48B9616D" w14:textId="77777777" w:rsidTr="008C4F26">
        <w:tc>
          <w:tcPr>
            <w:tcW w:w="1555" w:type="dxa"/>
          </w:tcPr>
          <w:p w14:paraId="3F95FB9D" w14:textId="77777777" w:rsidR="008C4F26" w:rsidRPr="003B6A69" w:rsidRDefault="008C4F26" w:rsidP="006C1C66">
            <w:pPr>
              <w:spacing w:after="120"/>
              <w:jc w:val="left"/>
              <w:rPr>
                <w:rFonts w:cstheme="minorHAnsi"/>
                <w:b/>
                <w:sz w:val="20"/>
                <w:szCs w:val="20"/>
              </w:rPr>
            </w:pPr>
            <w:r w:rsidRPr="003B6A69">
              <w:rPr>
                <w:rFonts w:cstheme="minorHAnsi"/>
                <w:b/>
                <w:sz w:val="20"/>
                <w:szCs w:val="20"/>
              </w:rPr>
              <w:t>Premiums for milk processing on the farm</w:t>
            </w:r>
          </w:p>
        </w:tc>
        <w:tc>
          <w:tcPr>
            <w:tcW w:w="7654" w:type="dxa"/>
          </w:tcPr>
          <w:p w14:paraId="77E28947" w14:textId="77777777" w:rsidR="008C4F26" w:rsidRPr="003B6A69" w:rsidRDefault="008C4F26" w:rsidP="006C1C66">
            <w:pPr>
              <w:spacing w:after="120"/>
              <w:rPr>
                <w:rFonts w:cstheme="minorHAnsi"/>
                <w:sz w:val="20"/>
                <w:szCs w:val="20"/>
              </w:rPr>
            </w:pPr>
            <w:r w:rsidRPr="003B6A69">
              <w:rPr>
                <w:rFonts w:cstheme="minorHAnsi"/>
                <w:sz w:val="20"/>
                <w:szCs w:val="20"/>
              </w:rPr>
              <w:t>For producers who process raw milk on their farm there is a basic premium of € 0.06 per liter of processed milk. The condition for exercising the right to the premium is entry in the Register of registered facilities in the Directorate for Food Safety, Veterinary and Phytosanitary Affairs, in accordance with the Regulation on Hygiene Requirements for facilities and premises where small quantities of primary food products are produced. Small- scale producers who process up to 50 liters of raw milk can process milk in a separate part of a residential building. Producers who process more than 50 liters of raw</w:t>
            </w:r>
            <w:r w:rsidRPr="003B6A69">
              <w:rPr>
                <w:rFonts w:cstheme="minorHAnsi"/>
                <w:i/>
                <w:sz w:val="20"/>
                <w:szCs w:val="20"/>
              </w:rPr>
              <w:t xml:space="preserve"> </w:t>
            </w:r>
            <w:r w:rsidRPr="003B6A69">
              <w:rPr>
                <w:rFonts w:cstheme="minorHAnsi"/>
                <w:sz w:val="20"/>
                <w:szCs w:val="20"/>
              </w:rPr>
              <w:t xml:space="preserve">milk must have a special facility located on the farm and for which it has been previously determined by direct inspection that the prescribed hygiene requirements have been met. Raw milk must be from the farm's own animals. Milk processing farms are required to undergo hygiene and sampling training. Sampling for the control of final products (cheese, </w:t>
            </w:r>
            <w:proofErr w:type="gramStart"/>
            <w:r w:rsidRPr="003B6A69">
              <w:rPr>
                <w:rFonts w:cstheme="minorHAnsi"/>
                <w:sz w:val="20"/>
                <w:szCs w:val="20"/>
              </w:rPr>
              <w:t>cream</w:t>
            </w:r>
            <w:proofErr w:type="gramEnd"/>
            <w:r w:rsidRPr="003B6A69">
              <w:rPr>
                <w:rFonts w:cstheme="minorHAnsi"/>
                <w:sz w:val="20"/>
                <w:szCs w:val="20"/>
              </w:rPr>
              <w:t xml:space="preserve"> and other dairy products) is performed by veterinary inspectors and food inspectors, and the samples are to be tested in an authorized laboratory once every three months. Farmers whose samples do not comply with the prescribed microbiological requirements will not be able to receive the premium for that period. The control of the reported quantities of milk processed on the farm will be performed </w:t>
            </w:r>
            <w:proofErr w:type="gramStart"/>
            <w:r w:rsidRPr="003B6A69">
              <w:rPr>
                <w:rFonts w:cstheme="minorHAnsi"/>
                <w:sz w:val="20"/>
                <w:szCs w:val="20"/>
              </w:rPr>
              <w:t>on the basis of</w:t>
            </w:r>
            <w:proofErr w:type="gramEnd"/>
            <w:r w:rsidRPr="003B6A69">
              <w:rPr>
                <w:rFonts w:cstheme="minorHAnsi"/>
                <w:sz w:val="20"/>
                <w:szCs w:val="20"/>
              </w:rPr>
              <w:t xml:space="preserve"> the number of dairy cattle reported on the farm.</w:t>
            </w:r>
            <w:r w:rsidRPr="003B6A69">
              <w:rPr>
                <w:rFonts w:ascii="Calibri" w:hAnsi="Calibri"/>
                <w:sz w:val="20"/>
                <w:szCs w:val="20"/>
              </w:rPr>
              <w:t xml:space="preserve"> </w:t>
            </w:r>
            <w:r w:rsidRPr="003B6A69">
              <w:rPr>
                <w:rFonts w:cstheme="minorHAnsi"/>
                <w:sz w:val="20"/>
                <w:szCs w:val="20"/>
              </w:rPr>
              <w:t>Support for on-farm milk processing is intended for producers who process raw milk on their farm and is in the form of a basic premium of € 0.06 per liter of processed milk.</w:t>
            </w:r>
          </w:p>
        </w:tc>
      </w:tr>
      <w:tr w:rsidR="008C4F26" w:rsidRPr="003B6A69" w14:paraId="09754806" w14:textId="77777777" w:rsidTr="008C4F26">
        <w:tc>
          <w:tcPr>
            <w:tcW w:w="1555" w:type="dxa"/>
          </w:tcPr>
          <w:p w14:paraId="0ADB7D86" w14:textId="77777777" w:rsidR="008C4F26" w:rsidRPr="003B6A69" w:rsidRDefault="008C4F26" w:rsidP="006C1C66">
            <w:pPr>
              <w:spacing w:after="120"/>
              <w:jc w:val="left"/>
              <w:rPr>
                <w:rFonts w:cstheme="minorHAnsi"/>
                <w:b/>
                <w:sz w:val="20"/>
                <w:szCs w:val="20"/>
              </w:rPr>
            </w:pPr>
            <w:r w:rsidRPr="003B6A69">
              <w:rPr>
                <w:rFonts w:cstheme="minorHAnsi"/>
                <w:b/>
                <w:sz w:val="20"/>
                <w:szCs w:val="20"/>
              </w:rPr>
              <w:lastRenderedPageBreak/>
              <w:t xml:space="preserve">Direct payments for plant production </w:t>
            </w:r>
          </w:p>
        </w:tc>
        <w:tc>
          <w:tcPr>
            <w:tcW w:w="7654" w:type="dxa"/>
          </w:tcPr>
          <w:p w14:paraId="216B38E0" w14:textId="77777777" w:rsidR="008C4F26" w:rsidRPr="003B6A69" w:rsidRDefault="008C4F26" w:rsidP="006C1C66">
            <w:pPr>
              <w:spacing w:after="120"/>
              <w:rPr>
                <w:rFonts w:cstheme="minorHAnsi"/>
                <w:sz w:val="20"/>
                <w:szCs w:val="20"/>
              </w:rPr>
            </w:pPr>
            <w:r w:rsidRPr="003B6A69">
              <w:rPr>
                <w:rFonts w:cstheme="minorHAnsi"/>
                <w:sz w:val="20"/>
                <w:szCs w:val="20"/>
              </w:rPr>
              <w:t xml:space="preserve">In accordance with the Strategy for the Development of Agriculture and Rural Areas and the Action Plan from 2017, all arable land is included in the system of direct payments for crop production. Reducing the minimum area for support to 0.3 hectares this year is carried out with the aim of increasing arable land in the system of direct payments, which will enable more precise records of arable land and create preconditions for a better negotiating position of Montenegro in negotiations with the EU in agriculture. The introduction of arable land in the Land Parcel Identification System (LPIS) will be done gradually. Thus, from 2018, </w:t>
            </w:r>
            <w:proofErr w:type="gramStart"/>
            <w:r w:rsidRPr="003B6A69">
              <w:rPr>
                <w:rFonts w:cstheme="minorHAnsi"/>
                <w:sz w:val="20"/>
                <w:szCs w:val="20"/>
              </w:rPr>
              <w:t>in order to</w:t>
            </w:r>
            <w:proofErr w:type="gramEnd"/>
            <w:r w:rsidRPr="003B6A69">
              <w:rPr>
                <w:rFonts w:cstheme="minorHAnsi"/>
                <w:sz w:val="20"/>
                <w:szCs w:val="20"/>
              </w:rPr>
              <w:t xml:space="preserve"> accurately determine the use of agricultural land in the system of direct payments, all arable land planted with olives, vines, medicinal and aromatic plants will be entered in LPIS, and payments will be made based on these records. In this way, the system of direct payments is gradually being aligned with the payments applied under CAP. Support is provided for all arable land types: including agricultural crops, arable land in a greenhouse/greenhouse with agricultural crops and the area under perennial plantations on which agricultural activity is performed.</w:t>
            </w:r>
          </w:p>
          <w:p w14:paraId="2971AFE2" w14:textId="77777777" w:rsidR="008C4F26" w:rsidRPr="003B6A69" w:rsidRDefault="008C4F26" w:rsidP="006C1C66">
            <w:pPr>
              <w:spacing w:after="120"/>
              <w:rPr>
                <w:rFonts w:cstheme="minorHAnsi"/>
                <w:sz w:val="20"/>
                <w:szCs w:val="20"/>
              </w:rPr>
            </w:pPr>
            <w:r w:rsidRPr="003B6A69">
              <w:rPr>
                <w:rFonts w:cstheme="minorHAnsi"/>
                <w:sz w:val="20"/>
                <w:szCs w:val="20"/>
              </w:rPr>
              <w:t xml:space="preserve">The amount of support is up to 180 EUR/ha of arable land. Producers of perennial fodder crops, except in the year of establishment of crops, are entitled to direct payments in the amount of 100 EUR/ha in the next four years for the same plot, </w:t>
            </w:r>
            <w:proofErr w:type="gramStart"/>
            <w:r w:rsidRPr="003B6A69">
              <w:rPr>
                <w:rFonts w:cstheme="minorHAnsi"/>
                <w:sz w:val="20"/>
                <w:szCs w:val="20"/>
              </w:rPr>
              <w:t>provided that</w:t>
            </w:r>
            <w:proofErr w:type="gramEnd"/>
            <w:r w:rsidRPr="003B6A69">
              <w:rPr>
                <w:rFonts w:cstheme="minorHAnsi"/>
                <w:sz w:val="20"/>
                <w:szCs w:val="20"/>
              </w:rPr>
              <w:t xml:space="preserve"> they regularly apply agronomic measures and submit an annual application for support. Users under the age of 40 are entitled to an additional payment of up to 10 EUR/ha of arable land.</w:t>
            </w:r>
          </w:p>
        </w:tc>
      </w:tr>
      <w:tr w:rsidR="008C4F26" w:rsidRPr="003B6A69" w14:paraId="09F7AE54" w14:textId="77777777" w:rsidTr="008C4F26">
        <w:tc>
          <w:tcPr>
            <w:tcW w:w="1555" w:type="dxa"/>
          </w:tcPr>
          <w:p w14:paraId="7358B643" w14:textId="77777777" w:rsidR="008C4F26" w:rsidRPr="003B6A69" w:rsidRDefault="008C4F26" w:rsidP="006C1C66">
            <w:pPr>
              <w:spacing w:after="120"/>
              <w:rPr>
                <w:rFonts w:cstheme="minorHAnsi"/>
                <w:b/>
                <w:sz w:val="20"/>
                <w:szCs w:val="20"/>
              </w:rPr>
            </w:pPr>
            <w:r w:rsidRPr="003B6A69">
              <w:rPr>
                <w:rFonts w:cstheme="minorHAnsi"/>
                <w:b/>
                <w:sz w:val="20"/>
                <w:szCs w:val="20"/>
              </w:rPr>
              <w:t xml:space="preserve">Premiums </w:t>
            </w:r>
            <w:proofErr w:type="gramStart"/>
            <w:r w:rsidRPr="003B6A69">
              <w:rPr>
                <w:rFonts w:cstheme="minorHAnsi"/>
                <w:b/>
                <w:sz w:val="20"/>
                <w:szCs w:val="20"/>
              </w:rPr>
              <w:t>for the production of</w:t>
            </w:r>
            <w:proofErr w:type="gramEnd"/>
            <w:r w:rsidRPr="003B6A69">
              <w:rPr>
                <w:rFonts w:cstheme="minorHAnsi"/>
                <w:b/>
                <w:sz w:val="20"/>
                <w:szCs w:val="20"/>
              </w:rPr>
              <w:t xml:space="preserve"> seed material</w:t>
            </w:r>
          </w:p>
        </w:tc>
        <w:tc>
          <w:tcPr>
            <w:tcW w:w="7654" w:type="dxa"/>
          </w:tcPr>
          <w:p w14:paraId="2D552F5D" w14:textId="77777777" w:rsidR="008C4F26" w:rsidRPr="003B6A69" w:rsidRDefault="008C4F26" w:rsidP="006C1C66">
            <w:pPr>
              <w:spacing w:after="120"/>
              <w:rPr>
                <w:rFonts w:cstheme="minorHAnsi"/>
                <w:sz w:val="20"/>
                <w:szCs w:val="20"/>
              </w:rPr>
            </w:pPr>
            <w:r w:rsidRPr="003B6A69">
              <w:rPr>
                <w:rFonts w:cstheme="minorHAnsi"/>
                <w:sz w:val="20"/>
                <w:szCs w:val="20"/>
              </w:rPr>
              <w:t>This measure aims at providing quality seed material from domestic production and a better supply of seed material from domestic production.</w:t>
            </w:r>
            <w:r w:rsidRPr="003B6A69">
              <w:rPr>
                <w:rFonts w:ascii="Calibri" w:hAnsi="Calibri"/>
                <w:sz w:val="20"/>
                <w:szCs w:val="20"/>
              </w:rPr>
              <w:t xml:space="preserve"> </w:t>
            </w:r>
            <w:r w:rsidRPr="003B6A69">
              <w:rPr>
                <w:rFonts w:cstheme="minorHAnsi"/>
                <w:sz w:val="20"/>
                <w:szCs w:val="20"/>
              </w:rPr>
              <w:t xml:space="preserve">Support is provided </w:t>
            </w:r>
            <w:proofErr w:type="gramStart"/>
            <w:r w:rsidRPr="003B6A69">
              <w:rPr>
                <w:rFonts w:cstheme="minorHAnsi"/>
                <w:sz w:val="20"/>
                <w:szCs w:val="20"/>
              </w:rPr>
              <w:t>for the production of</w:t>
            </w:r>
            <w:proofErr w:type="gramEnd"/>
            <w:r w:rsidRPr="003B6A69">
              <w:rPr>
                <w:rFonts w:cstheme="minorHAnsi"/>
                <w:sz w:val="20"/>
                <w:szCs w:val="20"/>
              </w:rPr>
              <w:t xml:space="preserve"> seed potatoes for the following categories:</w:t>
            </w:r>
          </w:p>
          <w:p w14:paraId="3806C28D" w14:textId="77777777" w:rsidR="008C4F26" w:rsidRPr="003B6A69" w:rsidRDefault="008C4F26" w:rsidP="006C1C66">
            <w:pPr>
              <w:spacing w:after="120"/>
              <w:rPr>
                <w:rFonts w:cstheme="minorHAnsi"/>
                <w:sz w:val="20"/>
                <w:szCs w:val="20"/>
              </w:rPr>
            </w:pPr>
            <w:r w:rsidRPr="003B6A69">
              <w:rPr>
                <w:rFonts w:cstheme="minorHAnsi"/>
                <w:sz w:val="20"/>
                <w:szCs w:val="20"/>
              </w:rPr>
              <w:t xml:space="preserve">- basic seed potatoes (code: SE1, SE2, E) up to 700 € / </w:t>
            </w:r>
            <w:proofErr w:type="gramStart"/>
            <w:r w:rsidRPr="003B6A69">
              <w:rPr>
                <w:rFonts w:cstheme="minorHAnsi"/>
                <w:sz w:val="20"/>
                <w:szCs w:val="20"/>
              </w:rPr>
              <w:t>ha;</w:t>
            </w:r>
            <w:proofErr w:type="gramEnd"/>
          </w:p>
          <w:p w14:paraId="766264CD" w14:textId="77777777" w:rsidR="008C4F26" w:rsidRPr="003B6A69" w:rsidRDefault="008C4F26" w:rsidP="006C1C66">
            <w:pPr>
              <w:spacing w:after="120"/>
              <w:rPr>
                <w:rFonts w:cstheme="minorHAnsi"/>
                <w:sz w:val="20"/>
                <w:szCs w:val="20"/>
              </w:rPr>
            </w:pPr>
            <w:r w:rsidRPr="003B6A69">
              <w:rPr>
                <w:rFonts w:cstheme="minorHAnsi"/>
                <w:sz w:val="20"/>
                <w:szCs w:val="20"/>
              </w:rPr>
              <w:t>- certified seed potatoes (mark: A and B) up to 300 € / ha; and</w:t>
            </w:r>
          </w:p>
          <w:p w14:paraId="37C1F48D" w14:textId="77777777" w:rsidR="008C4F26" w:rsidRPr="003B6A69" w:rsidRDefault="008C4F26" w:rsidP="006C1C66">
            <w:pPr>
              <w:spacing w:after="120"/>
              <w:rPr>
                <w:rFonts w:cstheme="minorHAnsi"/>
                <w:sz w:val="20"/>
                <w:szCs w:val="20"/>
              </w:rPr>
            </w:pPr>
            <w:r w:rsidRPr="003B6A69">
              <w:rPr>
                <w:rFonts w:cstheme="minorHAnsi"/>
                <w:sz w:val="20"/>
                <w:szCs w:val="20"/>
              </w:rPr>
              <w:t>- seed production of cereals up to 300 € / ha.</w:t>
            </w:r>
          </w:p>
          <w:p w14:paraId="26CF843D" w14:textId="77777777" w:rsidR="008C4F26" w:rsidRPr="003B6A69" w:rsidRDefault="008C4F26" w:rsidP="006C1C66">
            <w:pPr>
              <w:spacing w:after="120"/>
              <w:rPr>
                <w:rFonts w:cstheme="minorHAnsi"/>
                <w:sz w:val="20"/>
                <w:szCs w:val="20"/>
              </w:rPr>
            </w:pPr>
            <w:r w:rsidRPr="003B6A69">
              <w:rPr>
                <w:rFonts w:cstheme="minorHAnsi"/>
                <w:sz w:val="20"/>
                <w:szCs w:val="20"/>
              </w:rPr>
              <w:t>Producers registered in the Register of Producers of Seed Material of Agricultural Plants and the Register of Agricultural Holdings that meet the following criteria are entitled to support if they:</w:t>
            </w:r>
          </w:p>
          <w:p w14:paraId="0210E8C9" w14:textId="77777777" w:rsidR="008C4F26" w:rsidRPr="003B6A69" w:rsidRDefault="008C4F26" w:rsidP="006C1C66">
            <w:pPr>
              <w:spacing w:after="120"/>
              <w:rPr>
                <w:rFonts w:cstheme="minorHAnsi"/>
                <w:sz w:val="20"/>
                <w:szCs w:val="20"/>
              </w:rPr>
            </w:pPr>
            <w:r w:rsidRPr="003B6A69">
              <w:rPr>
                <w:rFonts w:cstheme="minorHAnsi"/>
                <w:sz w:val="20"/>
                <w:szCs w:val="20"/>
              </w:rPr>
              <w:t>- currently have a minimum area of 0.5 hectares; and</w:t>
            </w:r>
          </w:p>
          <w:p w14:paraId="5DBF2B94" w14:textId="77777777" w:rsidR="008C4F26" w:rsidRPr="003B6A69" w:rsidRDefault="008C4F26" w:rsidP="006C1C66">
            <w:pPr>
              <w:spacing w:after="120"/>
              <w:rPr>
                <w:rFonts w:cstheme="minorHAnsi"/>
                <w:sz w:val="20"/>
                <w:szCs w:val="20"/>
              </w:rPr>
            </w:pPr>
            <w:r w:rsidRPr="003B6A69">
              <w:rPr>
                <w:rFonts w:cstheme="minorHAnsi"/>
                <w:sz w:val="20"/>
                <w:szCs w:val="20"/>
              </w:rPr>
              <w:t>- perform the production in accordance with the requirements for seed production and laws (professional and health control and certification) which is confirmed by the report of the Sector for Phytosanitary Affairs;</w:t>
            </w:r>
          </w:p>
        </w:tc>
      </w:tr>
      <w:tr w:rsidR="008C4F26" w:rsidRPr="003B6A69" w14:paraId="2FA9655E" w14:textId="77777777" w:rsidTr="008C4F26">
        <w:tc>
          <w:tcPr>
            <w:tcW w:w="1555" w:type="dxa"/>
          </w:tcPr>
          <w:p w14:paraId="7DE783A9" w14:textId="77777777" w:rsidR="008C4F26" w:rsidRPr="003B6A69" w:rsidRDefault="008C4F26" w:rsidP="006C1C66">
            <w:pPr>
              <w:spacing w:after="120"/>
              <w:rPr>
                <w:rFonts w:cstheme="minorHAnsi"/>
                <w:b/>
                <w:sz w:val="20"/>
                <w:szCs w:val="20"/>
              </w:rPr>
            </w:pPr>
            <w:r w:rsidRPr="003B6A69">
              <w:rPr>
                <w:rFonts w:cstheme="minorHAnsi"/>
                <w:b/>
                <w:sz w:val="20"/>
                <w:szCs w:val="20"/>
              </w:rPr>
              <w:t>Premiums for tobacco production</w:t>
            </w:r>
          </w:p>
        </w:tc>
        <w:tc>
          <w:tcPr>
            <w:tcW w:w="7654" w:type="dxa"/>
          </w:tcPr>
          <w:p w14:paraId="35B2DE9C" w14:textId="77777777" w:rsidR="008C4F26" w:rsidRPr="003B6A69" w:rsidRDefault="008C4F26" w:rsidP="006C1C66">
            <w:pPr>
              <w:spacing w:after="120"/>
              <w:rPr>
                <w:rFonts w:cstheme="minorHAnsi"/>
                <w:sz w:val="20"/>
                <w:szCs w:val="20"/>
              </w:rPr>
            </w:pPr>
            <w:r w:rsidRPr="003B6A69">
              <w:rPr>
                <w:rFonts w:cstheme="minorHAnsi"/>
                <w:sz w:val="20"/>
                <w:szCs w:val="20"/>
              </w:rPr>
              <w:t>The aim of the measure is raising the competitiveness of tobacco production, use of available land resources that are less suitable for growing other crops, and improving the quality of produced tobacco.</w:t>
            </w:r>
          </w:p>
          <w:p w14:paraId="2A12D606" w14:textId="77777777" w:rsidR="008C4F26" w:rsidRPr="003B6A69" w:rsidRDefault="008C4F26" w:rsidP="006C1C66">
            <w:pPr>
              <w:spacing w:after="120"/>
              <w:rPr>
                <w:rFonts w:cstheme="minorHAnsi"/>
                <w:sz w:val="20"/>
                <w:szCs w:val="20"/>
              </w:rPr>
            </w:pPr>
            <w:r w:rsidRPr="003B6A69">
              <w:rPr>
                <w:rFonts w:cstheme="minorHAnsi"/>
                <w:sz w:val="20"/>
                <w:szCs w:val="20"/>
              </w:rPr>
              <w:t xml:space="preserve">The </w:t>
            </w:r>
            <w:proofErr w:type="gramStart"/>
            <w:r w:rsidRPr="003B6A69">
              <w:rPr>
                <w:rFonts w:cstheme="minorHAnsi"/>
                <w:sz w:val="20"/>
                <w:szCs w:val="20"/>
              </w:rPr>
              <w:t>amount</w:t>
            </w:r>
            <w:proofErr w:type="gramEnd"/>
            <w:r w:rsidRPr="003B6A69">
              <w:rPr>
                <w:rFonts w:cstheme="minorHAnsi"/>
                <w:sz w:val="20"/>
                <w:szCs w:val="20"/>
              </w:rPr>
              <w:t xml:space="preserve"> of direct payments per hectare of planted tobacco is 1,000 EUR.</w:t>
            </w:r>
          </w:p>
        </w:tc>
      </w:tr>
      <w:tr w:rsidR="008C4F26" w:rsidRPr="003B6A69" w14:paraId="0BFC86FE" w14:textId="77777777" w:rsidTr="008C4F26">
        <w:tc>
          <w:tcPr>
            <w:tcW w:w="1555" w:type="dxa"/>
          </w:tcPr>
          <w:p w14:paraId="10A2A20A" w14:textId="77777777" w:rsidR="008C4F26" w:rsidRPr="003B6A69" w:rsidRDefault="008C4F26" w:rsidP="006C1C66">
            <w:pPr>
              <w:spacing w:after="120"/>
              <w:rPr>
                <w:rFonts w:cstheme="minorHAnsi"/>
                <w:b/>
                <w:sz w:val="20"/>
                <w:szCs w:val="20"/>
              </w:rPr>
            </w:pPr>
            <w:r w:rsidRPr="003B6A69">
              <w:rPr>
                <w:rFonts w:cstheme="minorHAnsi"/>
                <w:b/>
                <w:sz w:val="20"/>
                <w:szCs w:val="20"/>
              </w:rPr>
              <w:t>Wine</w:t>
            </w:r>
          </w:p>
        </w:tc>
        <w:tc>
          <w:tcPr>
            <w:tcW w:w="7654" w:type="dxa"/>
          </w:tcPr>
          <w:p w14:paraId="4A2F19C5" w14:textId="77777777" w:rsidR="008C4F26" w:rsidRPr="003B6A69" w:rsidRDefault="008C4F26" w:rsidP="006C1C66">
            <w:pPr>
              <w:spacing w:after="120"/>
              <w:rPr>
                <w:rFonts w:cstheme="minorHAnsi"/>
                <w:sz w:val="20"/>
                <w:szCs w:val="20"/>
              </w:rPr>
            </w:pPr>
            <w:r w:rsidRPr="003B6A69">
              <w:rPr>
                <w:rFonts w:cstheme="minorHAnsi"/>
                <w:sz w:val="20"/>
                <w:szCs w:val="20"/>
              </w:rPr>
              <w:t xml:space="preserve">The aim is permanent harmonization with the European model of stimulating agricultural production; more precise assessment of wine potential; separation of wine and table varieties in existing production vineyards - relocation of table varieties; adjustment of the wine assortment to the development trend, in accordance with the recommended assortment in the Regionalization of the Montenegrin wine-growing production area; expansion of the grape growing area and prevention of consequences in accordance with global climate change; resuscitation of abandoned vineyards, installation and reconstruction of demolished sub-walls on the terraces of production vineyards; promotion of Montenegrin wines with protected geographical origin and a spread of wine culture; promoting mutual cooperation of winemakers, joint performance and association in some of the functional models; authenticating the path of development, positioning of Montenegrin wines on the </w:t>
            </w:r>
            <w:r w:rsidRPr="003B6A69">
              <w:rPr>
                <w:rFonts w:cstheme="minorHAnsi"/>
                <w:sz w:val="20"/>
                <w:szCs w:val="20"/>
              </w:rPr>
              <w:lastRenderedPageBreak/>
              <w:t>international market and inclusion of viticulture and wine tourism in the tourist offering of the country.</w:t>
            </w:r>
          </w:p>
        </w:tc>
      </w:tr>
      <w:tr w:rsidR="008C4F26" w:rsidRPr="003B6A69" w14:paraId="50B273FE" w14:textId="77777777" w:rsidTr="008C4F26">
        <w:tc>
          <w:tcPr>
            <w:tcW w:w="1555" w:type="dxa"/>
          </w:tcPr>
          <w:p w14:paraId="71D36B61" w14:textId="77777777" w:rsidR="008C4F26" w:rsidRPr="003B6A69" w:rsidRDefault="008C4F26" w:rsidP="006C1C66">
            <w:pPr>
              <w:spacing w:after="120"/>
              <w:rPr>
                <w:rFonts w:cstheme="minorHAnsi"/>
                <w:sz w:val="20"/>
                <w:szCs w:val="20"/>
              </w:rPr>
            </w:pPr>
            <w:r w:rsidRPr="003B6A69">
              <w:rPr>
                <w:rFonts w:cstheme="minorHAnsi"/>
                <w:b/>
                <w:sz w:val="20"/>
                <w:szCs w:val="20"/>
              </w:rPr>
              <w:lastRenderedPageBreak/>
              <w:t>Support to the beekeeping sector</w:t>
            </w:r>
          </w:p>
        </w:tc>
        <w:tc>
          <w:tcPr>
            <w:tcW w:w="7654" w:type="dxa"/>
          </w:tcPr>
          <w:p w14:paraId="56CB4F6A" w14:textId="77777777" w:rsidR="008C4F26" w:rsidRPr="003B6A69" w:rsidRDefault="008C4F26" w:rsidP="006C1C66">
            <w:pPr>
              <w:spacing w:after="120"/>
              <w:rPr>
                <w:rFonts w:cstheme="minorHAnsi"/>
                <w:sz w:val="20"/>
                <w:szCs w:val="20"/>
              </w:rPr>
            </w:pPr>
            <w:r w:rsidRPr="003B6A69">
              <w:rPr>
                <w:rFonts w:cstheme="minorHAnsi"/>
                <w:sz w:val="20"/>
                <w:szCs w:val="20"/>
              </w:rPr>
              <w:t xml:space="preserve">This represents the continuation of support for the renewal of the bee fund for bee centers that strictly follow the prescribed criteria for the selection of </w:t>
            </w:r>
            <w:proofErr w:type="gramStart"/>
            <w:r w:rsidRPr="003B6A69">
              <w:rPr>
                <w:rFonts w:cstheme="minorHAnsi"/>
                <w:sz w:val="20"/>
                <w:szCs w:val="20"/>
              </w:rPr>
              <w:t>high quality</w:t>
            </w:r>
            <w:proofErr w:type="gramEnd"/>
            <w:r w:rsidRPr="003B6A69">
              <w:rPr>
                <w:rFonts w:cstheme="minorHAnsi"/>
                <w:sz w:val="20"/>
                <w:szCs w:val="20"/>
              </w:rPr>
              <w:t xml:space="preserve"> queens, as well as support to </w:t>
            </w:r>
            <w:proofErr w:type="spellStart"/>
            <w:r w:rsidRPr="003B6A69">
              <w:rPr>
                <w:rFonts w:cstheme="minorHAnsi"/>
                <w:sz w:val="20"/>
                <w:szCs w:val="20"/>
              </w:rPr>
              <w:t>reprocentres</w:t>
            </w:r>
            <w:proofErr w:type="spellEnd"/>
            <w:r w:rsidRPr="003B6A69">
              <w:rPr>
                <w:rFonts w:cstheme="minorHAnsi"/>
                <w:sz w:val="20"/>
                <w:szCs w:val="20"/>
              </w:rPr>
              <w:t xml:space="preserve"> in breeding materials (Project "Raising centers for selection, breeding and reproduction of parents"). Bee products and bee community health support is available to beekeepers who treat their bee communities against Varroa destructors with organic preparations other than organic acids (formic acid, oxalic acid, etc.). Support is provided in the amount of up to 50% of approved investments for the purchase of certain equipment.  There is also support for professional training of beekeepers focused on various aspects of education and training of beekeepers. Support for young beekeepers is related to the purchase of three bee communities and amounts </w:t>
            </w:r>
            <w:proofErr w:type="gramStart"/>
            <w:r w:rsidRPr="003B6A69">
              <w:rPr>
                <w:rFonts w:cstheme="minorHAnsi"/>
                <w:sz w:val="20"/>
                <w:szCs w:val="20"/>
              </w:rPr>
              <w:t>to  20</w:t>
            </w:r>
            <w:proofErr w:type="gramEnd"/>
            <w:r w:rsidRPr="003B6A69">
              <w:rPr>
                <w:rFonts w:cstheme="minorHAnsi"/>
                <w:sz w:val="20"/>
                <w:szCs w:val="20"/>
              </w:rPr>
              <w:t>% of the investment. Furthermore, Beekeepers' Associations support organic production for the purchase of organic wax in the amount of 0.25 EUR / kg of processed wax. The support aims to preserve the quality of wax from domestic production, cover costs (support operations) and increase the efficiency of wax processing.</w:t>
            </w:r>
          </w:p>
        </w:tc>
      </w:tr>
    </w:tbl>
    <w:p w14:paraId="6918B2FC" w14:textId="77777777" w:rsidR="008C4F26" w:rsidRPr="003B6A69" w:rsidRDefault="008C4F26" w:rsidP="006C1C66">
      <w:pPr>
        <w:spacing w:after="120"/>
        <w:rPr>
          <w:rFonts w:asciiTheme="minorHAnsi" w:hAnsiTheme="minorHAnsi" w:cstheme="minorHAnsi"/>
          <w:szCs w:val="20"/>
        </w:rPr>
      </w:pPr>
    </w:p>
    <w:p w14:paraId="739753F9" w14:textId="77777777" w:rsidR="008C4F26" w:rsidRPr="003B6A69" w:rsidRDefault="008C4F26" w:rsidP="006C1C66">
      <w:pPr>
        <w:spacing w:after="120"/>
        <w:jc w:val="left"/>
        <w:rPr>
          <w:rFonts w:asciiTheme="minorHAnsi" w:hAnsiTheme="minorHAnsi" w:cstheme="minorHAnsi"/>
          <w:b/>
          <w:szCs w:val="20"/>
        </w:rPr>
      </w:pPr>
      <w:r w:rsidRPr="003B6A69">
        <w:rPr>
          <w:rFonts w:asciiTheme="minorHAnsi" w:hAnsiTheme="minorHAnsi" w:cstheme="minorHAnsi"/>
          <w:b/>
          <w:szCs w:val="20"/>
        </w:rPr>
        <w:t>Direct payments- Comparison to the EU CAP</w:t>
      </w:r>
    </w:p>
    <w:p w14:paraId="0F7D5CEA" w14:textId="77777777" w:rsidR="008C4F26" w:rsidRPr="003B6A69" w:rsidRDefault="008C4F26" w:rsidP="006C1C66">
      <w:pPr>
        <w:autoSpaceDE w:val="0"/>
        <w:autoSpaceDN w:val="0"/>
        <w:adjustRightInd w:val="0"/>
        <w:spacing w:after="120"/>
        <w:rPr>
          <w:rFonts w:asciiTheme="minorHAnsi" w:eastAsiaTheme="minorHAnsi" w:hAnsiTheme="minorHAnsi" w:cstheme="minorHAnsi"/>
          <w:color w:val="000000"/>
          <w:szCs w:val="20"/>
        </w:rPr>
      </w:pPr>
      <w:r w:rsidRPr="003B6A69">
        <w:rPr>
          <w:rFonts w:asciiTheme="minorHAnsi" w:eastAsiaTheme="minorHAnsi" w:hAnsiTheme="minorHAnsi" w:cstheme="minorHAnsi"/>
          <w:color w:val="000000"/>
          <w:szCs w:val="20"/>
        </w:rPr>
        <w:t xml:space="preserve">The main types of direct payments in the EU are decoupled payments consisting of basic payments and several additions, which represent almost 90 % of total funds for direct payments to producers. There are no such payments in Montenegro so far. The main form of direct payments are payments based on area or animal </w:t>
      </w:r>
      <w:proofErr w:type="gramStart"/>
      <w:r w:rsidRPr="003B6A69">
        <w:rPr>
          <w:rFonts w:asciiTheme="minorHAnsi" w:eastAsiaTheme="minorHAnsi" w:hAnsiTheme="minorHAnsi" w:cstheme="minorHAnsi"/>
          <w:color w:val="000000"/>
          <w:szCs w:val="20"/>
        </w:rPr>
        <w:t>numbers  and</w:t>
      </w:r>
      <w:proofErr w:type="gramEnd"/>
      <w:r w:rsidRPr="003B6A69">
        <w:rPr>
          <w:rFonts w:asciiTheme="minorHAnsi" w:eastAsiaTheme="minorHAnsi" w:hAnsiTheme="minorHAnsi" w:cstheme="minorHAnsi"/>
          <w:color w:val="000000"/>
          <w:szCs w:val="20"/>
        </w:rPr>
        <w:t xml:space="preserve"> this type of support is still relatively common also in the EU, but more than two-thirds of it is directed to ANC and </w:t>
      </w:r>
      <w:proofErr w:type="spellStart"/>
      <w:r w:rsidRPr="003B6A69">
        <w:rPr>
          <w:rFonts w:asciiTheme="minorHAnsi" w:eastAsiaTheme="minorHAnsi" w:hAnsiTheme="minorHAnsi" w:cstheme="minorHAnsi"/>
          <w:color w:val="000000"/>
          <w:szCs w:val="20"/>
        </w:rPr>
        <w:t>agro</w:t>
      </w:r>
      <w:proofErr w:type="spellEnd"/>
      <w:r w:rsidRPr="003B6A69">
        <w:rPr>
          <w:rFonts w:asciiTheme="minorHAnsi" w:eastAsiaTheme="minorHAnsi" w:hAnsiTheme="minorHAnsi" w:cstheme="minorHAnsi"/>
          <w:color w:val="000000"/>
          <w:szCs w:val="20"/>
        </w:rPr>
        <w:t xml:space="preserve">-environmental measures within the second CAP pillar. In the EU, these payments represent 12 % of direct payments as defined by the APM classification scheme, and they are granted predominantly under voluntary coupled support schemes. </w:t>
      </w:r>
    </w:p>
    <w:p w14:paraId="57622E62" w14:textId="77777777" w:rsidR="008C4F26" w:rsidRPr="003B6A69" w:rsidRDefault="008C4F26" w:rsidP="006C1C66">
      <w:pPr>
        <w:spacing w:after="120"/>
        <w:rPr>
          <w:rFonts w:asciiTheme="minorHAnsi" w:hAnsiTheme="minorHAnsi" w:cstheme="minorHAnsi"/>
          <w:szCs w:val="20"/>
        </w:rPr>
      </w:pPr>
      <w:r w:rsidRPr="003B6A69">
        <w:rPr>
          <w:rFonts w:asciiTheme="minorHAnsi" w:hAnsiTheme="minorHAnsi" w:cstheme="minorHAnsi"/>
          <w:szCs w:val="20"/>
        </w:rPr>
        <w:t xml:space="preserve">Comparison of the national direct payment scheme for </w:t>
      </w:r>
      <w:proofErr w:type="gramStart"/>
      <w:r w:rsidRPr="003B6A69">
        <w:rPr>
          <w:rFonts w:asciiTheme="minorHAnsi" w:hAnsiTheme="minorHAnsi" w:cstheme="minorHAnsi"/>
          <w:szCs w:val="20"/>
        </w:rPr>
        <w:t>the ,,green</w:t>
      </w:r>
      <w:proofErr w:type="gramEnd"/>
      <w:r w:rsidRPr="003B6A69">
        <w:rPr>
          <w:rFonts w:asciiTheme="minorHAnsi" w:hAnsiTheme="minorHAnsi" w:cstheme="minorHAnsi"/>
          <w:szCs w:val="20"/>
        </w:rPr>
        <w:t xml:space="preserve"> payments’’, in comparison to the EU CAP, shows several comparable measures related to:</w:t>
      </w:r>
    </w:p>
    <w:p w14:paraId="6C9A5A56" w14:textId="77777777" w:rsidR="008C4F26" w:rsidRPr="003B6A69" w:rsidRDefault="008C4F26" w:rsidP="006C1C66">
      <w:pPr>
        <w:spacing w:after="120"/>
        <w:rPr>
          <w:rFonts w:asciiTheme="minorHAnsi" w:hAnsiTheme="minorHAnsi" w:cstheme="minorHAnsi"/>
          <w:szCs w:val="20"/>
        </w:rPr>
      </w:pPr>
      <w:r w:rsidRPr="003B6A69">
        <w:rPr>
          <w:rFonts w:asciiTheme="minorHAnsi" w:hAnsiTheme="minorHAnsi" w:cstheme="minorHAnsi"/>
          <w:szCs w:val="20"/>
        </w:rPr>
        <w:t>• Support to farmers who apply agricultural practices in a way that does not affect the climate and the environment,</w:t>
      </w:r>
    </w:p>
    <w:p w14:paraId="7888954B" w14:textId="77777777" w:rsidR="008C4F26" w:rsidRPr="003B6A69" w:rsidRDefault="008C4F26" w:rsidP="006C1C66">
      <w:pPr>
        <w:spacing w:after="120"/>
        <w:rPr>
          <w:rFonts w:asciiTheme="minorHAnsi" w:hAnsiTheme="minorHAnsi" w:cstheme="minorHAnsi"/>
          <w:szCs w:val="20"/>
        </w:rPr>
      </w:pPr>
      <w:r w:rsidRPr="003B6A69">
        <w:rPr>
          <w:rFonts w:asciiTheme="minorHAnsi" w:hAnsiTheme="minorHAnsi" w:cstheme="minorHAnsi"/>
          <w:szCs w:val="20"/>
        </w:rPr>
        <w:t>• Support to farmers living in areas with natural constraints, and</w:t>
      </w:r>
    </w:p>
    <w:p w14:paraId="2AD4486C" w14:textId="77777777" w:rsidR="008C4F26" w:rsidRPr="003B6A69" w:rsidRDefault="008C4F26" w:rsidP="006C1C66">
      <w:pPr>
        <w:spacing w:after="120"/>
        <w:rPr>
          <w:rFonts w:asciiTheme="minorHAnsi" w:hAnsiTheme="minorHAnsi" w:cstheme="minorHAnsi"/>
          <w:szCs w:val="20"/>
        </w:rPr>
      </w:pPr>
      <w:r w:rsidRPr="003B6A69">
        <w:rPr>
          <w:rFonts w:asciiTheme="minorHAnsi" w:hAnsiTheme="minorHAnsi" w:cstheme="minorHAnsi"/>
          <w:szCs w:val="20"/>
        </w:rPr>
        <w:t>• Support for young farmers.</w:t>
      </w:r>
    </w:p>
    <w:p w14:paraId="2CEB198C" w14:textId="77777777" w:rsidR="008C4F26" w:rsidRPr="003B6A69" w:rsidRDefault="008C4F26" w:rsidP="006C1C66">
      <w:pPr>
        <w:spacing w:after="120"/>
        <w:rPr>
          <w:rFonts w:asciiTheme="minorHAnsi" w:hAnsiTheme="minorHAnsi" w:cstheme="minorHAnsi"/>
          <w:szCs w:val="20"/>
        </w:rPr>
      </w:pPr>
      <w:r w:rsidRPr="003B6A69">
        <w:rPr>
          <w:rFonts w:asciiTheme="minorHAnsi" w:hAnsiTheme="minorHAnsi" w:cstheme="minorHAnsi"/>
          <w:szCs w:val="20"/>
        </w:rPr>
        <w:t xml:space="preserve">A relatively limited number of payments are linked to the scheme based on a defined area of production and </w:t>
      </w:r>
      <w:proofErr w:type="gramStart"/>
      <w:r w:rsidRPr="003B6A69">
        <w:rPr>
          <w:rFonts w:asciiTheme="minorHAnsi" w:hAnsiTheme="minorHAnsi" w:cstheme="minorHAnsi"/>
          <w:szCs w:val="20"/>
        </w:rPr>
        <w:t>yield, or</w:t>
      </w:r>
      <w:proofErr w:type="gramEnd"/>
      <w:r w:rsidRPr="003B6A69">
        <w:rPr>
          <w:rFonts w:asciiTheme="minorHAnsi" w:hAnsiTheme="minorHAnsi" w:cstheme="minorHAnsi"/>
          <w:szCs w:val="20"/>
        </w:rPr>
        <w:t xml:space="preserve"> based on a set number of head. These schemes include support for </w:t>
      </w:r>
      <w:proofErr w:type="gramStart"/>
      <w:r w:rsidRPr="003B6A69">
        <w:rPr>
          <w:rFonts w:asciiTheme="minorHAnsi" w:hAnsiTheme="minorHAnsi" w:cstheme="minorHAnsi"/>
          <w:szCs w:val="20"/>
        </w:rPr>
        <w:t>a number of</w:t>
      </w:r>
      <w:proofErr w:type="gramEnd"/>
      <w:r w:rsidRPr="003B6A69">
        <w:rPr>
          <w:rFonts w:asciiTheme="minorHAnsi" w:hAnsiTheme="minorHAnsi" w:cstheme="minorHAnsi"/>
          <w:szCs w:val="20"/>
        </w:rPr>
        <w:t xml:space="preserve"> agricultural products, animal products and fruits and vegetables. They are limited to areas where there are certain types of agricultural production or are treated as special agricultural sectors with certain difficulties and are important for economic, social and/or environmental reasons. </w:t>
      </w:r>
    </w:p>
    <w:p w14:paraId="523FE02F" w14:textId="77777777" w:rsidR="008C4F26" w:rsidRPr="003B6A69" w:rsidRDefault="008C4F26" w:rsidP="006C1C66">
      <w:pPr>
        <w:spacing w:after="120"/>
        <w:rPr>
          <w:rFonts w:asciiTheme="minorHAnsi" w:hAnsiTheme="minorHAnsi" w:cstheme="minorHAnsi"/>
          <w:b/>
          <w:szCs w:val="20"/>
        </w:rPr>
      </w:pPr>
    </w:p>
    <w:p w14:paraId="77883A1F" w14:textId="77777777" w:rsidR="008C4F26" w:rsidRPr="003B6A69" w:rsidRDefault="008C4F26" w:rsidP="006C1C66">
      <w:pPr>
        <w:spacing w:after="120"/>
        <w:jc w:val="left"/>
        <w:rPr>
          <w:rFonts w:asciiTheme="minorHAnsi" w:hAnsiTheme="minorHAnsi" w:cstheme="minorHAnsi"/>
          <w:b/>
          <w:szCs w:val="20"/>
        </w:rPr>
      </w:pPr>
      <w:r w:rsidRPr="003B6A69">
        <w:rPr>
          <w:rFonts w:asciiTheme="minorHAnsi" w:hAnsiTheme="minorHAnsi" w:cstheme="minorHAnsi"/>
          <w:b/>
          <w:szCs w:val="20"/>
        </w:rPr>
        <w:t>Rural development measures</w:t>
      </w:r>
    </w:p>
    <w:p w14:paraId="402AA94E" w14:textId="77777777" w:rsidR="008C4F26" w:rsidRPr="003B6A69" w:rsidRDefault="008C4F26" w:rsidP="006C1C66">
      <w:pPr>
        <w:spacing w:after="120"/>
        <w:rPr>
          <w:rFonts w:asciiTheme="minorHAnsi" w:hAnsiTheme="minorHAnsi" w:cstheme="minorHAnsi"/>
          <w:b/>
          <w:szCs w:val="20"/>
        </w:rPr>
      </w:pPr>
    </w:p>
    <w:p w14:paraId="3FADDA7F" w14:textId="77777777" w:rsidR="008C4F26" w:rsidRPr="003B6A69" w:rsidRDefault="008C4F26" w:rsidP="006C1C66">
      <w:pPr>
        <w:spacing w:after="120"/>
        <w:rPr>
          <w:rFonts w:asciiTheme="minorHAnsi" w:hAnsiTheme="minorHAnsi" w:cstheme="minorHAnsi"/>
          <w:szCs w:val="20"/>
        </w:rPr>
      </w:pPr>
      <w:r w:rsidRPr="003B6A69">
        <w:rPr>
          <w:rFonts w:asciiTheme="minorHAnsi" w:hAnsiTheme="minorHAnsi" w:cstheme="minorHAnsi"/>
          <w:szCs w:val="20"/>
        </w:rPr>
        <w:t xml:space="preserve">Rural development measures for the improvement of living conditions in rural areas are awarded through public tenders. These measures are divided into three axes covering strengthening the competitiveness of producers, green </w:t>
      </w:r>
      <w:proofErr w:type="gramStart"/>
      <w:r w:rsidRPr="003B6A69">
        <w:rPr>
          <w:rFonts w:asciiTheme="minorHAnsi" w:hAnsiTheme="minorHAnsi" w:cstheme="minorHAnsi"/>
          <w:szCs w:val="20"/>
        </w:rPr>
        <w:t>growth</w:t>
      </w:r>
      <w:proofErr w:type="gramEnd"/>
      <w:r w:rsidRPr="003B6A69">
        <w:rPr>
          <w:rFonts w:asciiTheme="minorHAnsi" w:hAnsiTheme="minorHAnsi" w:cstheme="minorHAnsi"/>
          <w:szCs w:val="20"/>
        </w:rPr>
        <w:t xml:space="preserve"> and diversification of economic activities. </w:t>
      </w:r>
    </w:p>
    <w:p w14:paraId="0BA406B8" w14:textId="77777777" w:rsidR="008C4F26" w:rsidRPr="003B6A69" w:rsidRDefault="008C4F26" w:rsidP="006C1C66">
      <w:pPr>
        <w:spacing w:after="120"/>
        <w:rPr>
          <w:rFonts w:asciiTheme="minorHAnsi" w:hAnsiTheme="minorHAnsi" w:cstheme="minorHAnsi"/>
          <w:b/>
          <w:szCs w:val="20"/>
        </w:rPr>
      </w:pPr>
      <w:r w:rsidRPr="003B6A69">
        <w:rPr>
          <w:rFonts w:asciiTheme="minorHAnsi" w:hAnsiTheme="minorHAnsi" w:cstheme="minorHAnsi"/>
          <w:i/>
          <w:szCs w:val="20"/>
        </w:rPr>
        <w:t>Axis I –</w:t>
      </w:r>
      <w:r w:rsidRPr="003B6A69">
        <w:rPr>
          <w:rFonts w:asciiTheme="minorHAnsi" w:hAnsiTheme="minorHAnsi" w:cstheme="minorHAnsi"/>
          <w:szCs w:val="20"/>
        </w:rPr>
        <w:t xml:space="preserve"> Measures for strengthening the competitiveness of producers includes the largest set of measures (17 out of 23), and the total budget for rural development for these measures is nearly 70% of the total </w:t>
      </w:r>
      <w:proofErr w:type="spellStart"/>
      <w:r w:rsidRPr="003B6A69">
        <w:rPr>
          <w:rFonts w:asciiTheme="minorHAnsi" w:hAnsiTheme="minorHAnsi" w:cstheme="minorHAnsi"/>
          <w:szCs w:val="20"/>
        </w:rPr>
        <w:t>agro</w:t>
      </w:r>
      <w:proofErr w:type="spellEnd"/>
      <w:r w:rsidRPr="003B6A69">
        <w:rPr>
          <w:rFonts w:asciiTheme="minorHAnsi" w:hAnsiTheme="minorHAnsi" w:cstheme="minorHAnsi"/>
          <w:szCs w:val="20"/>
        </w:rPr>
        <w:t xml:space="preserve">-budget for 2020. Support from this segment of the </w:t>
      </w:r>
      <w:proofErr w:type="spellStart"/>
      <w:r w:rsidRPr="003B6A69">
        <w:rPr>
          <w:rFonts w:asciiTheme="minorHAnsi" w:hAnsiTheme="minorHAnsi" w:cstheme="minorHAnsi"/>
          <w:szCs w:val="20"/>
        </w:rPr>
        <w:t>agro</w:t>
      </w:r>
      <w:proofErr w:type="spellEnd"/>
      <w:r w:rsidRPr="003B6A69">
        <w:rPr>
          <w:rFonts w:asciiTheme="minorHAnsi" w:hAnsiTheme="minorHAnsi" w:cstheme="minorHAnsi"/>
          <w:szCs w:val="20"/>
        </w:rPr>
        <w:t xml:space="preserve">-budget refers to support for investments in agricultural farms through the EU/IPA, IPARD II program, and MIDAS (Montenegrin project of institutional development and strengthening of agriculture), support for investments in processing on family farms, improving product quality, promotion of agricultural products and agriculture, and support for cooperative activities and national associations. Support for investments in agricultural holdings are aimed at implementing grant programs in accordance with the requirements of IPARD (Instrument for Pre-Accession Rural Development) </w:t>
      </w:r>
      <w:proofErr w:type="gramStart"/>
      <w:r w:rsidRPr="003B6A69">
        <w:rPr>
          <w:rFonts w:asciiTheme="minorHAnsi" w:hAnsiTheme="minorHAnsi" w:cstheme="minorHAnsi"/>
          <w:szCs w:val="20"/>
        </w:rPr>
        <w:t>in order to</w:t>
      </w:r>
      <w:proofErr w:type="gramEnd"/>
      <w:r w:rsidRPr="003B6A69">
        <w:rPr>
          <w:rFonts w:asciiTheme="minorHAnsi" w:hAnsiTheme="minorHAnsi" w:cstheme="minorHAnsi"/>
          <w:szCs w:val="20"/>
        </w:rPr>
        <w:t xml:space="preserve"> enable agricultural holdings and agricultural producers to efficiently manage and use IPARD funds </w:t>
      </w:r>
      <w:r w:rsidRPr="003B6A69">
        <w:rPr>
          <w:rFonts w:asciiTheme="minorHAnsi" w:hAnsiTheme="minorHAnsi" w:cstheme="minorHAnsi"/>
          <w:szCs w:val="20"/>
        </w:rPr>
        <w:lastRenderedPageBreak/>
        <w:t xml:space="preserve">through modernization of production, achieving environmental standards, animal health and welfare, increasing quality, hygiene and food safety, and linking agriculture and tourism. </w:t>
      </w:r>
      <w:r w:rsidRPr="003B6A69">
        <w:rPr>
          <w:rFonts w:asciiTheme="minorHAnsi" w:hAnsiTheme="minorHAnsi" w:cstheme="minorHAnsi"/>
          <w:b/>
          <w:szCs w:val="20"/>
        </w:rPr>
        <w:t xml:space="preserve">The focus is also on the use of grants related to the support of traditional models of seasonal grazing on natural and semi-natural pastures, support to the local economy of farmers in mountainous areas, contribution to preserved biodiversity, and helping farmers to start applying good agricultural practices in accordance with EU standards. </w:t>
      </w:r>
    </w:p>
    <w:p w14:paraId="2EA26662" w14:textId="77777777" w:rsidR="008C4F26" w:rsidRPr="003B6A69" w:rsidRDefault="008C4F26" w:rsidP="006C1C66">
      <w:pPr>
        <w:spacing w:after="120"/>
        <w:rPr>
          <w:rFonts w:asciiTheme="minorHAnsi" w:hAnsiTheme="minorHAnsi" w:cstheme="minorHAnsi"/>
          <w:szCs w:val="20"/>
        </w:rPr>
      </w:pPr>
      <w:r w:rsidRPr="003B6A69">
        <w:rPr>
          <w:rFonts w:asciiTheme="minorHAnsi" w:hAnsiTheme="minorHAnsi" w:cstheme="minorHAnsi"/>
          <w:i/>
          <w:szCs w:val="20"/>
        </w:rPr>
        <w:t>Axis II</w:t>
      </w:r>
      <w:r w:rsidRPr="003B6A69">
        <w:rPr>
          <w:rFonts w:asciiTheme="minorHAnsi" w:hAnsiTheme="minorHAnsi" w:cstheme="minorHAnsi"/>
          <w:szCs w:val="20"/>
        </w:rPr>
        <w:t xml:space="preserve"> - Measures for sustainable management of natural resources (2% of the total value of the set of measures for rural development) refers to the conservation of genetic resources in agriculture, organic production, sustainable use of mountain pastures and support for manure management. Of the earmarked funds, the largest part refers to the support of organic production (51%), while 32% of the funds are intended for the sustainable use of mountain pastures. </w:t>
      </w:r>
      <w:r w:rsidRPr="003B6A69">
        <w:rPr>
          <w:rFonts w:asciiTheme="minorHAnsi" w:hAnsiTheme="minorHAnsi" w:cstheme="minorHAnsi"/>
          <w:b/>
          <w:szCs w:val="20"/>
        </w:rPr>
        <w:t xml:space="preserve">This Axis aims at reducing the negative impact of agriculture on the environment, preserving biodiversity, raising the quality of agricultural </w:t>
      </w:r>
      <w:proofErr w:type="gramStart"/>
      <w:r w:rsidRPr="003B6A69">
        <w:rPr>
          <w:rFonts w:asciiTheme="minorHAnsi" w:hAnsiTheme="minorHAnsi" w:cstheme="minorHAnsi"/>
          <w:b/>
          <w:szCs w:val="20"/>
        </w:rPr>
        <w:t>products</w:t>
      </w:r>
      <w:proofErr w:type="gramEnd"/>
      <w:r w:rsidRPr="003B6A69">
        <w:rPr>
          <w:rFonts w:asciiTheme="minorHAnsi" w:hAnsiTheme="minorHAnsi" w:cstheme="minorHAnsi"/>
          <w:b/>
          <w:szCs w:val="20"/>
        </w:rPr>
        <w:t xml:space="preserve"> and increasing the contribution to the affirmation of Montenegro as an ecological state</w:t>
      </w:r>
      <w:r w:rsidRPr="003B6A69">
        <w:rPr>
          <w:rFonts w:asciiTheme="minorHAnsi" w:hAnsiTheme="minorHAnsi" w:cstheme="minorHAnsi"/>
          <w:szCs w:val="20"/>
        </w:rPr>
        <w:t xml:space="preserve">. </w:t>
      </w:r>
    </w:p>
    <w:p w14:paraId="273E9784" w14:textId="77777777" w:rsidR="008C4F26" w:rsidRPr="003B6A69" w:rsidRDefault="008C4F26" w:rsidP="006C1C66">
      <w:pPr>
        <w:spacing w:after="120"/>
        <w:rPr>
          <w:rFonts w:asciiTheme="minorHAnsi" w:hAnsiTheme="minorHAnsi" w:cstheme="minorHAnsi"/>
          <w:szCs w:val="20"/>
        </w:rPr>
      </w:pPr>
      <w:r w:rsidRPr="003B6A69">
        <w:rPr>
          <w:rFonts w:asciiTheme="minorHAnsi" w:hAnsiTheme="minorHAnsi" w:cstheme="minorHAnsi"/>
          <w:i/>
          <w:szCs w:val="20"/>
        </w:rPr>
        <w:t>Axis III</w:t>
      </w:r>
      <w:r w:rsidRPr="003B6A69">
        <w:rPr>
          <w:rFonts w:asciiTheme="minorHAnsi" w:hAnsiTheme="minorHAnsi" w:cstheme="minorHAnsi"/>
          <w:szCs w:val="20"/>
        </w:rPr>
        <w:t xml:space="preserve"> - Measures to improve the quality of life and expand economic activities in rural areas with the aim of increasing employment rates and combating depopulation of rural areas and measures for rural renewal and development, and infrastructure construction amounted to 6.7% of the total budget allocated to rural development in 2020.</w:t>
      </w:r>
    </w:p>
    <w:p w14:paraId="27477B98" w14:textId="77777777" w:rsidR="008C4F26" w:rsidRPr="003B6A69" w:rsidRDefault="008C4F26" w:rsidP="006C1C66">
      <w:pPr>
        <w:spacing w:after="120"/>
        <w:rPr>
          <w:rFonts w:asciiTheme="minorHAnsi" w:hAnsiTheme="minorHAnsi" w:cstheme="minorHAnsi"/>
          <w:szCs w:val="20"/>
        </w:rPr>
      </w:pPr>
    </w:p>
    <w:p w14:paraId="7C5D4B7C" w14:textId="77777777" w:rsidR="008C4F26" w:rsidRPr="003B6A69" w:rsidRDefault="008C4F26" w:rsidP="006C1C66">
      <w:pPr>
        <w:spacing w:after="120"/>
        <w:jc w:val="left"/>
        <w:rPr>
          <w:rFonts w:asciiTheme="minorHAnsi" w:hAnsiTheme="minorHAnsi" w:cstheme="minorHAnsi"/>
          <w:b/>
          <w:szCs w:val="20"/>
        </w:rPr>
      </w:pPr>
      <w:proofErr w:type="spellStart"/>
      <w:r w:rsidRPr="003B6A69">
        <w:rPr>
          <w:rFonts w:asciiTheme="minorHAnsi" w:hAnsiTheme="minorHAnsi" w:cstheme="minorHAnsi"/>
          <w:b/>
          <w:szCs w:val="20"/>
        </w:rPr>
        <w:t>Agro</w:t>
      </w:r>
      <w:proofErr w:type="spellEnd"/>
      <w:r w:rsidRPr="003B6A69">
        <w:rPr>
          <w:rFonts w:asciiTheme="minorHAnsi" w:hAnsiTheme="minorHAnsi" w:cstheme="minorHAnsi"/>
          <w:b/>
          <w:szCs w:val="20"/>
        </w:rPr>
        <w:t>-budget vs. EU CAP</w:t>
      </w:r>
    </w:p>
    <w:p w14:paraId="2225C903" w14:textId="77777777" w:rsidR="008C4F26" w:rsidRPr="003B6A69" w:rsidRDefault="008C4F26" w:rsidP="006C1C66">
      <w:pPr>
        <w:spacing w:after="120"/>
        <w:rPr>
          <w:rFonts w:asciiTheme="minorHAnsi" w:hAnsiTheme="minorHAnsi" w:cstheme="minorHAnsi"/>
          <w:szCs w:val="20"/>
        </w:rPr>
      </w:pPr>
      <w:r w:rsidRPr="003B6A69">
        <w:rPr>
          <w:rFonts w:asciiTheme="minorHAnsi" w:hAnsiTheme="minorHAnsi" w:cstheme="minorHAnsi"/>
          <w:szCs w:val="20"/>
        </w:rPr>
        <w:t xml:space="preserve">Different measures from the Montenegrin </w:t>
      </w:r>
      <w:proofErr w:type="spellStart"/>
      <w:r w:rsidRPr="003B6A69">
        <w:rPr>
          <w:rFonts w:asciiTheme="minorHAnsi" w:hAnsiTheme="minorHAnsi" w:cstheme="minorHAnsi"/>
          <w:szCs w:val="20"/>
        </w:rPr>
        <w:t>Agro</w:t>
      </w:r>
      <w:proofErr w:type="spellEnd"/>
      <w:r w:rsidRPr="003B6A69">
        <w:rPr>
          <w:rFonts w:asciiTheme="minorHAnsi" w:hAnsiTheme="minorHAnsi" w:cstheme="minorHAnsi"/>
          <w:szCs w:val="20"/>
        </w:rPr>
        <w:t>-budget compared with the relevant lines within EU CAP are described in the following table:</w:t>
      </w:r>
    </w:p>
    <w:p w14:paraId="1E9D4066" w14:textId="77777777" w:rsidR="008C4F26" w:rsidRPr="003B6A69" w:rsidRDefault="008C4F26" w:rsidP="006C1C66">
      <w:pPr>
        <w:spacing w:after="120"/>
        <w:rPr>
          <w:rFonts w:asciiTheme="minorHAnsi" w:hAnsiTheme="minorHAnsi" w:cstheme="minorHAnsi"/>
          <w:szCs w:val="20"/>
        </w:rPr>
      </w:pPr>
    </w:p>
    <w:tbl>
      <w:tblPr>
        <w:tblStyle w:val="TableGrid31"/>
        <w:tblW w:w="9781" w:type="dxa"/>
        <w:tblInd w:w="-5" w:type="dxa"/>
        <w:tblLayout w:type="fixed"/>
        <w:tblLook w:val="04A0" w:firstRow="1" w:lastRow="0" w:firstColumn="1" w:lastColumn="0" w:noHBand="0" w:noVBand="1"/>
      </w:tblPr>
      <w:tblGrid>
        <w:gridCol w:w="1135"/>
        <w:gridCol w:w="4110"/>
        <w:gridCol w:w="4536"/>
      </w:tblGrid>
      <w:tr w:rsidR="008C4F26" w:rsidRPr="003B6A69" w14:paraId="607617CE" w14:textId="77777777" w:rsidTr="008C4F26">
        <w:trPr>
          <w:trHeight w:val="713"/>
        </w:trPr>
        <w:tc>
          <w:tcPr>
            <w:tcW w:w="1135" w:type="dxa"/>
            <w:shd w:val="clear" w:color="auto" w:fill="D0CECE" w:themeFill="background2" w:themeFillShade="E6"/>
            <w:vAlign w:val="center"/>
          </w:tcPr>
          <w:p w14:paraId="11BC4766" w14:textId="77777777" w:rsidR="008C4F26" w:rsidRPr="003B6A69" w:rsidRDefault="008C4F26" w:rsidP="006C1C66">
            <w:pPr>
              <w:spacing w:after="120"/>
              <w:jc w:val="left"/>
              <w:rPr>
                <w:rFonts w:cstheme="minorHAnsi"/>
                <w:b/>
                <w:sz w:val="20"/>
                <w:szCs w:val="20"/>
              </w:rPr>
            </w:pPr>
            <w:r w:rsidRPr="003B6A69">
              <w:rPr>
                <w:rFonts w:eastAsia="Times New Roman" w:cstheme="minorHAnsi"/>
                <w:b/>
                <w:sz w:val="20"/>
                <w:szCs w:val="20"/>
                <w:lang w:eastAsia="ar-SA"/>
              </w:rPr>
              <w:t>Measure within the EU CAP</w:t>
            </w:r>
          </w:p>
        </w:tc>
        <w:tc>
          <w:tcPr>
            <w:tcW w:w="4110" w:type="dxa"/>
            <w:shd w:val="clear" w:color="auto" w:fill="D0CECE" w:themeFill="background2" w:themeFillShade="E6"/>
            <w:vAlign w:val="center"/>
          </w:tcPr>
          <w:p w14:paraId="7F0BCC53" w14:textId="77777777" w:rsidR="008C4F26" w:rsidRPr="003B6A69" w:rsidRDefault="008C4F26" w:rsidP="006C1C66">
            <w:pPr>
              <w:spacing w:after="120"/>
              <w:jc w:val="center"/>
              <w:rPr>
                <w:rFonts w:cstheme="minorHAnsi"/>
                <w:b/>
                <w:sz w:val="20"/>
                <w:szCs w:val="20"/>
              </w:rPr>
            </w:pPr>
            <w:r w:rsidRPr="003B6A69">
              <w:rPr>
                <w:rFonts w:cstheme="minorHAnsi"/>
                <w:b/>
                <w:sz w:val="20"/>
                <w:szCs w:val="20"/>
              </w:rPr>
              <w:t>Description, beneficiaries, criteria, support mechanism</w:t>
            </w:r>
          </w:p>
        </w:tc>
        <w:tc>
          <w:tcPr>
            <w:tcW w:w="4536" w:type="dxa"/>
            <w:shd w:val="clear" w:color="auto" w:fill="D0CECE" w:themeFill="background2" w:themeFillShade="E6"/>
            <w:vAlign w:val="center"/>
          </w:tcPr>
          <w:p w14:paraId="02AA75CE" w14:textId="77777777" w:rsidR="008C4F26" w:rsidRPr="003B6A69" w:rsidRDefault="008C4F26" w:rsidP="006C1C66">
            <w:pPr>
              <w:spacing w:after="120"/>
              <w:jc w:val="center"/>
              <w:rPr>
                <w:rFonts w:cstheme="minorHAnsi"/>
                <w:b/>
                <w:sz w:val="20"/>
                <w:szCs w:val="20"/>
              </w:rPr>
            </w:pPr>
            <w:r w:rsidRPr="003B6A69">
              <w:rPr>
                <w:rFonts w:cstheme="minorHAnsi"/>
                <w:b/>
                <w:sz w:val="20"/>
                <w:szCs w:val="20"/>
              </w:rPr>
              <w:t>Comments</w:t>
            </w:r>
          </w:p>
        </w:tc>
      </w:tr>
      <w:tr w:rsidR="008C4F26" w:rsidRPr="003B6A69" w14:paraId="7DB55135" w14:textId="77777777" w:rsidTr="008C4F26">
        <w:trPr>
          <w:trHeight w:val="699"/>
        </w:trPr>
        <w:tc>
          <w:tcPr>
            <w:tcW w:w="1135" w:type="dxa"/>
          </w:tcPr>
          <w:p w14:paraId="2D7C2DFB" w14:textId="77777777" w:rsidR="008C4F26" w:rsidRPr="003B6A69" w:rsidRDefault="008C4F26" w:rsidP="006C1C66">
            <w:pPr>
              <w:spacing w:after="120"/>
              <w:rPr>
                <w:rFonts w:cstheme="minorHAnsi"/>
                <w:sz w:val="20"/>
                <w:szCs w:val="20"/>
              </w:rPr>
            </w:pPr>
            <w:r w:rsidRPr="003B6A69">
              <w:rPr>
                <w:rFonts w:cstheme="minorHAnsi"/>
                <w:sz w:val="20"/>
                <w:szCs w:val="20"/>
              </w:rPr>
              <w:t>M1 – Knowledge transfer</w:t>
            </w:r>
          </w:p>
        </w:tc>
        <w:tc>
          <w:tcPr>
            <w:tcW w:w="4110" w:type="dxa"/>
            <w:vAlign w:val="center"/>
          </w:tcPr>
          <w:p w14:paraId="0FFCAF22" w14:textId="77777777" w:rsidR="008C4F26" w:rsidRPr="003B6A69" w:rsidRDefault="008C4F26" w:rsidP="006C1C66">
            <w:pPr>
              <w:autoSpaceDE w:val="0"/>
              <w:autoSpaceDN w:val="0"/>
              <w:adjustRightInd w:val="0"/>
              <w:spacing w:after="120"/>
              <w:jc w:val="center"/>
              <w:rPr>
                <w:rFonts w:cstheme="minorHAnsi"/>
                <w:b/>
                <w:bCs/>
                <w:iCs/>
                <w:color w:val="000000"/>
                <w:sz w:val="20"/>
                <w:szCs w:val="20"/>
              </w:rPr>
            </w:pPr>
            <w:r w:rsidRPr="003B6A69">
              <w:rPr>
                <w:rFonts w:cstheme="minorHAnsi"/>
                <w:b/>
                <w:bCs/>
                <w:iCs/>
                <w:color w:val="000000"/>
                <w:sz w:val="20"/>
                <w:szCs w:val="20"/>
              </w:rPr>
              <w:t xml:space="preserve">Education, </w:t>
            </w:r>
            <w:proofErr w:type="gramStart"/>
            <w:r w:rsidRPr="003B6A69">
              <w:rPr>
                <w:rFonts w:cstheme="minorHAnsi"/>
                <w:b/>
                <w:bCs/>
                <w:iCs/>
                <w:color w:val="000000"/>
                <w:sz w:val="20"/>
                <w:szCs w:val="20"/>
              </w:rPr>
              <w:t>Research</w:t>
            </w:r>
            <w:proofErr w:type="gramEnd"/>
            <w:r w:rsidRPr="003B6A69">
              <w:rPr>
                <w:rFonts w:cstheme="minorHAnsi"/>
                <w:b/>
                <w:bCs/>
                <w:iCs/>
                <w:color w:val="000000"/>
                <w:sz w:val="20"/>
                <w:szCs w:val="20"/>
              </w:rPr>
              <w:t xml:space="preserve"> and analysis </w:t>
            </w:r>
          </w:p>
          <w:p w14:paraId="6BD760A0" w14:textId="77777777" w:rsidR="008C4F26" w:rsidRPr="003B6A69" w:rsidRDefault="008C4F26" w:rsidP="006C1C66">
            <w:pPr>
              <w:autoSpaceDE w:val="0"/>
              <w:autoSpaceDN w:val="0"/>
              <w:adjustRightInd w:val="0"/>
              <w:spacing w:after="120"/>
              <w:rPr>
                <w:rFonts w:cstheme="minorHAnsi"/>
                <w:bCs/>
                <w:iCs/>
                <w:color w:val="000000"/>
                <w:sz w:val="20"/>
                <w:szCs w:val="20"/>
              </w:rPr>
            </w:pPr>
            <w:r w:rsidRPr="003B6A69">
              <w:rPr>
                <w:rFonts w:cstheme="minorHAnsi"/>
                <w:b/>
                <w:bCs/>
                <w:i/>
                <w:iCs/>
                <w:color w:val="000000"/>
                <w:sz w:val="20"/>
                <w:szCs w:val="20"/>
              </w:rPr>
              <w:t xml:space="preserve">Description: </w:t>
            </w:r>
            <w:r w:rsidRPr="003B6A69">
              <w:rPr>
                <w:rFonts w:cstheme="minorHAnsi"/>
                <w:bCs/>
                <w:iCs/>
                <w:color w:val="000000"/>
                <w:sz w:val="20"/>
                <w:szCs w:val="20"/>
              </w:rPr>
              <w:t xml:space="preserve">Implementation of the knowledge-based modern concept of sustainable development for agriculture and rural areas. Strengthening the educational component, research aimed at solving development challenges and problems and making analyses. Reforms and adjustment to the EU's Common Agricultural Policy (CAP) further impose the need for strong institutional support. </w:t>
            </w:r>
          </w:p>
          <w:p w14:paraId="40A2B995" w14:textId="77777777" w:rsidR="008C4F26" w:rsidRPr="003B6A69" w:rsidRDefault="008C4F26" w:rsidP="006C1C66">
            <w:pPr>
              <w:autoSpaceDE w:val="0"/>
              <w:autoSpaceDN w:val="0"/>
              <w:adjustRightInd w:val="0"/>
              <w:spacing w:after="120"/>
              <w:rPr>
                <w:rFonts w:cstheme="minorHAnsi"/>
                <w:bCs/>
                <w:iCs/>
                <w:color w:val="000000"/>
                <w:sz w:val="20"/>
                <w:szCs w:val="20"/>
              </w:rPr>
            </w:pPr>
            <w:r w:rsidRPr="003B6A69">
              <w:rPr>
                <w:rFonts w:cstheme="minorHAnsi"/>
                <w:b/>
                <w:bCs/>
                <w:i/>
                <w:iCs/>
                <w:color w:val="000000"/>
                <w:sz w:val="20"/>
                <w:szCs w:val="20"/>
              </w:rPr>
              <w:t xml:space="preserve">Beneficiaries: </w:t>
            </w:r>
            <w:r w:rsidRPr="003B6A69">
              <w:rPr>
                <w:rFonts w:cstheme="minorHAnsi"/>
                <w:bCs/>
                <w:iCs/>
                <w:color w:val="000000"/>
                <w:sz w:val="20"/>
                <w:szCs w:val="20"/>
              </w:rPr>
              <w:t xml:space="preserve">Secondary schools and faculty education, scholarships for staff within the country and abroad; Strengthening R&amp;D with direct application in agriculture. </w:t>
            </w:r>
          </w:p>
          <w:p w14:paraId="3DB672DA" w14:textId="77777777" w:rsidR="008C4F26" w:rsidRPr="003B6A69" w:rsidRDefault="008C4F26" w:rsidP="006C1C66">
            <w:pPr>
              <w:autoSpaceDE w:val="0"/>
              <w:autoSpaceDN w:val="0"/>
              <w:adjustRightInd w:val="0"/>
              <w:spacing w:after="120"/>
              <w:rPr>
                <w:rFonts w:cstheme="minorHAnsi"/>
                <w:bCs/>
                <w:iCs/>
                <w:color w:val="000000"/>
                <w:sz w:val="20"/>
                <w:szCs w:val="20"/>
              </w:rPr>
            </w:pPr>
            <w:r w:rsidRPr="003B6A69">
              <w:rPr>
                <w:rFonts w:cstheme="minorHAnsi"/>
                <w:b/>
                <w:bCs/>
                <w:i/>
                <w:iCs/>
                <w:color w:val="000000"/>
                <w:sz w:val="20"/>
                <w:szCs w:val="20"/>
              </w:rPr>
              <w:t>Criteria:</w:t>
            </w:r>
            <w:r w:rsidRPr="003B6A69">
              <w:rPr>
                <w:rFonts w:cstheme="minorHAnsi"/>
                <w:color w:val="000000"/>
                <w:sz w:val="20"/>
                <w:szCs w:val="20"/>
              </w:rPr>
              <w:t xml:space="preserve"> S</w:t>
            </w:r>
            <w:r w:rsidRPr="003B6A69">
              <w:rPr>
                <w:rFonts w:cstheme="minorHAnsi"/>
                <w:bCs/>
                <w:iCs/>
                <w:color w:val="000000"/>
                <w:sz w:val="20"/>
                <w:szCs w:val="20"/>
              </w:rPr>
              <w:t xml:space="preserve">upport is given for: investments in facilities, equipment and machinery needed to conduct practical classes; Scholarships for a certain number of high school and university students, and for promotion of agricultural production among the school population, and organizing visits of students to modern farms and events in the area; Scientific research work for projects at the request of the Ministry; Application of innovations in agriculture; Education of a certain number of postgraduates and doctoral students in areas that are important for the work of the Ministry;  </w:t>
            </w:r>
            <w:r w:rsidRPr="003B6A69">
              <w:rPr>
                <w:rFonts w:cstheme="minorHAnsi"/>
                <w:bCs/>
                <w:iCs/>
                <w:color w:val="000000"/>
                <w:sz w:val="20"/>
                <w:szCs w:val="20"/>
              </w:rPr>
              <w:lastRenderedPageBreak/>
              <w:t xml:space="preserve">Preparation of economic analyzes in agriculture, evaluation of projects and measures of agricultural policy, preparation of annual reports, etc. is carried out at the request of the Ministry, and other measures and activities of the Ministry can be financed and co-financed (occasional commissions, expertise, scholarships for socially vulnerable students). </w:t>
            </w:r>
          </w:p>
          <w:p w14:paraId="1B60FA5A" w14:textId="77777777" w:rsidR="008C4F26" w:rsidRPr="003B6A69" w:rsidRDefault="008C4F26" w:rsidP="006C1C66">
            <w:pPr>
              <w:autoSpaceDE w:val="0"/>
              <w:autoSpaceDN w:val="0"/>
              <w:adjustRightInd w:val="0"/>
              <w:spacing w:after="120"/>
              <w:rPr>
                <w:rFonts w:cstheme="minorHAnsi"/>
                <w:bCs/>
                <w:iCs/>
                <w:color w:val="000000"/>
                <w:sz w:val="20"/>
                <w:szCs w:val="20"/>
              </w:rPr>
            </w:pPr>
            <w:r w:rsidRPr="003B6A69">
              <w:rPr>
                <w:rFonts w:cstheme="minorHAnsi"/>
                <w:b/>
                <w:bCs/>
                <w:i/>
                <w:iCs/>
                <w:color w:val="000000"/>
                <w:sz w:val="20"/>
                <w:szCs w:val="20"/>
              </w:rPr>
              <w:t xml:space="preserve">Support mechanism: </w:t>
            </w:r>
            <w:proofErr w:type="spellStart"/>
            <w:r w:rsidRPr="003B6A69">
              <w:rPr>
                <w:rFonts w:cstheme="minorHAnsi"/>
                <w:bCs/>
                <w:iCs/>
                <w:color w:val="000000"/>
                <w:sz w:val="20"/>
                <w:szCs w:val="20"/>
              </w:rPr>
              <w:t>Agro</w:t>
            </w:r>
            <w:proofErr w:type="spellEnd"/>
            <w:r w:rsidRPr="003B6A69">
              <w:rPr>
                <w:rFonts w:cstheme="minorHAnsi"/>
                <w:bCs/>
                <w:iCs/>
                <w:color w:val="000000"/>
                <w:sz w:val="20"/>
                <w:szCs w:val="20"/>
              </w:rPr>
              <w:t xml:space="preserve"> budget, Support to Basic Services in </w:t>
            </w:r>
            <w:proofErr w:type="gramStart"/>
            <w:r w:rsidRPr="003B6A69">
              <w:rPr>
                <w:rFonts w:cstheme="minorHAnsi"/>
                <w:bCs/>
                <w:iCs/>
                <w:color w:val="000000"/>
                <w:sz w:val="20"/>
                <w:szCs w:val="20"/>
              </w:rPr>
              <w:t>Agriculture;</w:t>
            </w:r>
            <w:proofErr w:type="gramEnd"/>
            <w:r w:rsidRPr="003B6A69">
              <w:rPr>
                <w:rFonts w:cstheme="minorHAnsi"/>
                <w:bCs/>
                <w:iCs/>
                <w:color w:val="000000"/>
                <w:sz w:val="20"/>
                <w:szCs w:val="20"/>
              </w:rPr>
              <w:t xml:space="preserve"> </w:t>
            </w:r>
          </w:p>
          <w:p w14:paraId="72710A69" w14:textId="77777777" w:rsidR="008C4F26" w:rsidRPr="003B6A69" w:rsidRDefault="008C4F26" w:rsidP="006C1C66">
            <w:pPr>
              <w:autoSpaceDE w:val="0"/>
              <w:autoSpaceDN w:val="0"/>
              <w:adjustRightInd w:val="0"/>
              <w:spacing w:after="120"/>
              <w:rPr>
                <w:rFonts w:cstheme="minorHAnsi"/>
                <w:color w:val="000000"/>
                <w:sz w:val="20"/>
                <w:szCs w:val="20"/>
              </w:rPr>
            </w:pPr>
            <w:r w:rsidRPr="003B6A69">
              <w:rPr>
                <w:rFonts w:cstheme="minorHAnsi"/>
                <w:bCs/>
                <w:iCs/>
                <w:color w:val="000000"/>
                <w:sz w:val="20"/>
                <w:szCs w:val="20"/>
              </w:rPr>
              <w:t>Responsible institution: MARD</w:t>
            </w:r>
          </w:p>
        </w:tc>
        <w:tc>
          <w:tcPr>
            <w:tcW w:w="4536" w:type="dxa"/>
            <w:vAlign w:val="center"/>
          </w:tcPr>
          <w:p w14:paraId="75A9556D" w14:textId="77777777" w:rsidR="008C4F26" w:rsidRPr="003B6A69" w:rsidRDefault="008C4F26" w:rsidP="006C1C66">
            <w:pPr>
              <w:spacing w:after="120"/>
              <w:rPr>
                <w:rFonts w:cstheme="minorHAnsi"/>
                <w:bCs/>
                <w:iCs/>
                <w:sz w:val="20"/>
                <w:szCs w:val="20"/>
              </w:rPr>
            </w:pPr>
            <w:r w:rsidRPr="003B6A69">
              <w:rPr>
                <w:rFonts w:cstheme="minorHAnsi"/>
                <w:color w:val="000000"/>
                <w:sz w:val="20"/>
                <w:szCs w:val="20"/>
              </w:rPr>
              <w:lastRenderedPageBreak/>
              <w:t xml:space="preserve">The situation in Montenegro shows deficits in the scientific research sector, which </w:t>
            </w:r>
            <w:proofErr w:type="gramStart"/>
            <w:r w:rsidRPr="003B6A69">
              <w:rPr>
                <w:rFonts w:cstheme="minorHAnsi"/>
                <w:color w:val="000000"/>
                <w:sz w:val="20"/>
                <w:szCs w:val="20"/>
              </w:rPr>
              <w:t>would  support</w:t>
            </w:r>
            <w:proofErr w:type="gramEnd"/>
            <w:r w:rsidRPr="003B6A69">
              <w:rPr>
                <w:rFonts w:cstheme="minorHAnsi"/>
                <w:color w:val="000000"/>
                <w:sz w:val="20"/>
                <w:szCs w:val="20"/>
              </w:rPr>
              <w:t xml:space="preserve"> the development of agriculture and harmonization with the EU CAP. The goal is </w:t>
            </w:r>
            <w:r w:rsidRPr="003B6A69">
              <w:rPr>
                <w:rFonts w:cstheme="minorHAnsi"/>
                <w:bCs/>
                <w:iCs/>
                <w:sz w:val="20"/>
                <w:szCs w:val="20"/>
              </w:rPr>
              <w:t xml:space="preserve">development of knowledge-based agriculture; strengthening institutional support for the development of sustainable agriculture; speeding up implementation of reforms and harmonization with the EU CAP, with full implementation of the Action Plan for harmonization with the acquis </w:t>
            </w:r>
            <w:proofErr w:type="spellStart"/>
            <w:r w:rsidRPr="003B6A69">
              <w:rPr>
                <w:rFonts w:cstheme="minorHAnsi"/>
                <w:bCs/>
                <w:iCs/>
                <w:sz w:val="20"/>
                <w:szCs w:val="20"/>
              </w:rPr>
              <w:t>communautaire</w:t>
            </w:r>
            <w:proofErr w:type="spellEnd"/>
            <w:r w:rsidRPr="003B6A69">
              <w:rPr>
                <w:rFonts w:cstheme="minorHAnsi"/>
                <w:bCs/>
                <w:iCs/>
                <w:sz w:val="20"/>
                <w:szCs w:val="20"/>
              </w:rPr>
              <w:t xml:space="preserve"> PP11; strengthening administrative capacity for faster application of new technologies and innovations in agriculture; and establishment of a FADN system.</w:t>
            </w:r>
          </w:p>
          <w:p w14:paraId="7C3F3D64" w14:textId="77777777" w:rsidR="008C4F26" w:rsidRPr="003B6A69" w:rsidRDefault="008C4F26" w:rsidP="006C1C66">
            <w:pPr>
              <w:autoSpaceDE w:val="0"/>
              <w:autoSpaceDN w:val="0"/>
              <w:adjustRightInd w:val="0"/>
              <w:spacing w:after="120"/>
              <w:rPr>
                <w:rFonts w:cstheme="minorHAnsi"/>
                <w:bCs/>
                <w:iCs/>
                <w:color w:val="000000"/>
                <w:sz w:val="20"/>
                <w:szCs w:val="20"/>
              </w:rPr>
            </w:pPr>
            <w:r w:rsidRPr="003B6A69">
              <w:rPr>
                <w:rFonts w:cstheme="minorHAnsi"/>
                <w:bCs/>
                <w:iCs/>
                <w:color w:val="000000"/>
                <w:sz w:val="20"/>
                <w:szCs w:val="20"/>
              </w:rPr>
              <w:t>The preparation of the Report on the situation in agriculture (Green Paper) contains an assessment of the situation and economic position of agriculture, as well as the effects of the implementation of agricultural policy measures.</w:t>
            </w:r>
          </w:p>
          <w:p w14:paraId="21231CD7" w14:textId="77777777" w:rsidR="008C4F26" w:rsidRPr="003B6A69" w:rsidRDefault="008C4F26" w:rsidP="006C1C66">
            <w:pPr>
              <w:spacing w:after="120"/>
              <w:rPr>
                <w:rFonts w:cstheme="minorHAnsi"/>
                <w:sz w:val="20"/>
                <w:szCs w:val="20"/>
              </w:rPr>
            </w:pPr>
          </w:p>
          <w:p w14:paraId="5B163327" w14:textId="77777777" w:rsidR="008C4F26" w:rsidRPr="003B6A69" w:rsidRDefault="008C4F26" w:rsidP="006C1C66">
            <w:pPr>
              <w:spacing w:after="120"/>
              <w:rPr>
                <w:rFonts w:cstheme="minorHAnsi"/>
                <w:b/>
                <w:sz w:val="20"/>
                <w:szCs w:val="20"/>
              </w:rPr>
            </w:pPr>
          </w:p>
        </w:tc>
      </w:tr>
      <w:tr w:rsidR="008C4F26" w:rsidRPr="003B6A69" w14:paraId="0FC613F7" w14:textId="77777777" w:rsidTr="008C4F26">
        <w:tc>
          <w:tcPr>
            <w:tcW w:w="1135" w:type="dxa"/>
          </w:tcPr>
          <w:p w14:paraId="2FF949A1" w14:textId="77777777" w:rsidR="008C4F26" w:rsidRPr="003B6A69" w:rsidRDefault="008C4F26" w:rsidP="006C1C66">
            <w:pPr>
              <w:spacing w:after="120"/>
              <w:rPr>
                <w:rFonts w:cstheme="minorHAnsi"/>
                <w:sz w:val="20"/>
                <w:szCs w:val="20"/>
              </w:rPr>
            </w:pPr>
            <w:r w:rsidRPr="003B6A69">
              <w:rPr>
                <w:rFonts w:cstheme="minorHAnsi"/>
                <w:sz w:val="20"/>
                <w:szCs w:val="20"/>
              </w:rPr>
              <w:t>M2 – Advisory services</w:t>
            </w:r>
          </w:p>
        </w:tc>
        <w:tc>
          <w:tcPr>
            <w:tcW w:w="4110" w:type="dxa"/>
          </w:tcPr>
          <w:p w14:paraId="098A6435" w14:textId="77777777" w:rsidR="008C4F26" w:rsidRPr="003B6A69" w:rsidRDefault="008C4F26" w:rsidP="006C1C66">
            <w:pPr>
              <w:spacing w:after="120"/>
              <w:jc w:val="center"/>
              <w:rPr>
                <w:rFonts w:cstheme="minorHAnsi"/>
                <w:b/>
                <w:sz w:val="20"/>
                <w:szCs w:val="20"/>
              </w:rPr>
            </w:pPr>
            <w:r w:rsidRPr="003B6A69">
              <w:rPr>
                <w:rFonts w:cstheme="minorHAnsi"/>
                <w:b/>
                <w:sz w:val="20"/>
                <w:szCs w:val="20"/>
              </w:rPr>
              <w:t>Support to the Advisory Services in Agriculture</w:t>
            </w:r>
          </w:p>
          <w:p w14:paraId="1D32FA02" w14:textId="77777777" w:rsidR="008C4F26" w:rsidRPr="003B6A69" w:rsidRDefault="008C4F26" w:rsidP="006C1C66">
            <w:pPr>
              <w:autoSpaceDE w:val="0"/>
              <w:autoSpaceDN w:val="0"/>
              <w:adjustRightInd w:val="0"/>
              <w:spacing w:after="120"/>
              <w:rPr>
                <w:rFonts w:cstheme="minorHAnsi"/>
                <w:color w:val="000000"/>
                <w:sz w:val="20"/>
                <w:szCs w:val="20"/>
              </w:rPr>
            </w:pPr>
            <w:r w:rsidRPr="003B6A69">
              <w:rPr>
                <w:rFonts w:cstheme="minorHAnsi"/>
                <w:b/>
                <w:bCs/>
                <w:i/>
                <w:iCs/>
                <w:color w:val="000000"/>
                <w:sz w:val="20"/>
                <w:szCs w:val="20"/>
              </w:rPr>
              <w:t xml:space="preserve">Description: </w:t>
            </w:r>
            <w:proofErr w:type="gramStart"/>
            <w:r w:rsidRPr="003B6A69">
              <w:rPr>
                <w:rFonts w:cstheme="minorHAnsi"/>
                <w:color w:val="000000"/>
                <w:sz w:val="20"/>
                <w:szCs w:val="20"/>
              </w:rPr>
              <w:t>In order to</w:t>
            </w:r>
            <w:proofErr w:type="gramEnd"/>
            <w:r w:rsidRPr="003B6A69">
              <w:rPr>
                <w:rFonts w:cstheme="minorHAnsi"/>
                <w:color w:val="000000"/>
                <w:sz w:val="20"/>
                <w:szCs w:val="20"/>
              </w:rPr>
              <w:t xml:space="preserve"> improve the efficiency of implementation of agricultural policy measures and advisory activities in agriculture, as well as better information for agricultural producers, in accordance with the Law on Agriculture and Rural Development, the Ministry established Agribusiness Info Centers and signed agreements with six municipalities.</w:t>
            </w:r>
          </w:p>
          <w:p w14:paraId="47ADCD68" w14:textId="77777777" w:rsidR="008C4F26" w:rsidRPr="003B6A69" w:rsidRDefault="008C4F26" w:rsidP="006C1C66">
            <w:pPr>
              <w:autoSpaceDE w:val="0"/>
              <w:autoSpaceDN w:val="0"/>
              <w:adjustRightInd w:val="0"/>
              <w:spacing w:after="120"/>
              <w:rPr>
                <w:rFonts w:cstheme="minorHAnsi"/>
                <w:b/>
                <w:bCs/>
                <w:i/>
                <w:iCs/>
                <w:color w:val="000000"/>
                <w:sz w:val="20"/>
                <w:szCs w:val="20"/>
              </w:rPr>
            </w:pPr>
            <w:r w:rsidRPr="003B6A69">
              <w:rPr>
                <w:rFonts w:cstheme="minorHAnsi"/>
                <w:b/>
                <w:bCs/>
                <w:i/>
                <w:iCs/>
                <w:color w:val="000000"/>
                <w:sz w:val="20"/>
                <w:szCs w:val="20"/>
              </w:rPr>
              <w:t>Beneficiaries:</w:t>
            </w:r>
            <w:r w:rsidRPr="003B6A69">
              <w:rPr>
                <w:rFonts w:cstheme="minorHAnsi"/>
                <w:color w:val="000000"/>
                <w:sz w:val="20"/>
                <w:szCs w:val="20"/>
              </w:rPr>
              <w:t xml:space="preserve"> </w:t>
            </w:r>
            <w:r w:rsidRPr="003B6A69">
              <w:rPr>
                <w:rFonts w:cstheme="minorHAnsi"/>
                <w:bCs/>
                <w:iCs/>
                <w:color w:val="000000"/>
                <w:sz w:val="20"/>
                <w:szCs w:val="20"/>
              </w:rPr>
              <w:t>Agribusiness centers, Department for advisory work in the field of animal husbandry, Department for advisory work in plant production.</w:t>
            </w:r>
          </w:p>
          <w:p w14:paraId="71ADEED6" w14:textId="77777777" w:rsidR="008C4F26" w:rsidRPr="003B6A69" w:rsidRDefault="008C4F26" w:rsidP="006C1C66">
            <w:pPr>
              <w:autoSpaceDE w:val="0"/>
              <w:autoSpaceDN w:val="0"/>
              <w:adjustRightInd w:val="0"/>
              <w:spacing w:after="120"/>
              <w:rPr>
                <w:rFonts w:cstheme="minorHAnsi"/>
                <w:bCs/>
                <w:iCs/>
                <w:color w:val="000000"/>
                <w:sz w:val="20"/>
                <w:szCs w:val="20"/>
              </w:rPr>
            </w:pPr>
            <w:r w:rsidRPr="003B6A69">
              <w:rPr>
                <w:rFonts w:cstheme="minorHAnsi"/>
                <w:b/>
                <w:bCs/>
                <w:i/>
                <w:iCs/>
                <w:color w:val="000000"/>
                <w:sz w:val="20"/>
                <w:szCs w:val="20"/>
              </w:rPr>
              <w:t>Criteria:</w:t>
            </w:r>
            <w:r w:rsidRPr="003B6A69">
              <w:rPr>
                <w:rFonts w:cstheme="minorHAnsi"/>
                <w:color w:val="000000"/>
                <w:sz w:val="20"/>
                <w:szCs w:val="20"/>
              </w:rPr>
              <w:t xml:space="preserve"> </w:t>
            </w:r>
            <w:r w:rsidRPr="003B6A69">
              <w:rPr>
                <w:rFonts w:cstheme="minorHAnsi"/>
                <w:bCs/>
                <w:iCs/>
                <w:color w:val="000000"/>
                <w:sz w:val="20"/>
                <w:szCs w:val="20"/>
              </w:rPr>
              <w:t>Support to the work of the Agribusiness Centers, as well as the regional centers of the department for advisory work in the field of animal husbandry and plant production, according to the work program and the dynamics of jobs and tasks for which they are in charge.</w:t>
            </w:r>
          </w:p>
          <w:p w14:paraId="38B082B3" w14:textId="77777777" w:rsidR="008C4F26" w:rsidRPr="003B6A69" w:rsidRDefault="008C4F26" w:rsidP="006C1C66">
            <w:pPr>
              <w:autoSpaceDE w:val="0"/>
              <w:autoSpaceDN w:val="0"/>
              <w:adjustRightInd w:val="0"/>
              <w:spacing w:after="120"/>
              <w:rPr>
                <w:rFonts w:cstheme="minorHAnsi"/>
                <w:bCs/>
                <w:iCs/>
                <w:color w:val="000000"/>
                <w:sz w:val="20"/>
                <w:szCs w:val="20"/>
              </w:rPr>
            </w:pPr>
            <w:r w:rsidRPr="003B6A69">
              <w:rPr>
                <w:rFonts w:cstheme="minorHAnsi"/>
                <w:b/>
                <w:bCs/>
                <w:i/>
                <w:iCs/>
                <w:color w:val="000000"/>
                <w:sz w:val="20"/>
                <w:szCs w:val="20"/>
              </w:rPr>
              <w:t xml:space="preserve">Support mechanism: </w:t>
            </w:r>
            <w:proofErr w:type="spellStart"/>
            <w:r w:rsidRPr="003B6A69">
              <w:rPr>
                <w:rFonts w:cstheme="minorHAnsi"/>
                <w:bCs/>
                <w:iCs/>
                <w:color w:val="000000"/>
                <w:sz w:val="20"/>
                <w:szCs w:val="20"/>
              </w:rPr>
              <w:t>Agro</w:t>
            </w:r>
            <w:proofErr w:type="spellEnd"/>
            <w:r w:rsidRPr="003B6A69">
              <w:rPr>
                <w:rFonts w:cstheme="minorHAnsi"/>
                <w:bCs/>
                <w:iCs/>
                <w:color w:val="000000"/>
                <w:sz w:val="20"/>
                <w:szCs w:val="20"/>
              </w:rPr>
              <w:t>-budget, Support to the Basic Services in Agriculture- Advisory services in agriculture</w:t>
            </w:r>
          </w:p>
          <w:p w14:paraId="6692E9B6" w14:textId="77777777" w:rsidR="008C4F26" w:rsidRPr="003B6A69" w:rsidRDefault="008C4F26" w:rsidP="006C1C66">
            <w:pPr>
              <w:autoSpaceDE w:val="0"/>
              <w:autoSpaceDN w:val="0"/>
              <w:adjustRightInd w:val="0"/>
              <w:spacing w:after="120"/>
              <w:jc w:val="left"/>
              <w:rPr>
                <w:rFonts w:cstheme="minorHAnsi"/>
                <w:b/>
                <w:bCs/>
                <w:i/>
                <w:iCs/>
                <w:color w:val="000000"/>
                <w:sz w:val="20"/>
                <w:szCs w:val="20"/>
              </w:rPr>
            </w:pPr>
            <w:r w:rsidRPr="003B6A69">
              <w:rPr>
                <w:rFonts w:cstheme="minorHAnsi"/>
                <w:bCs/>
                <w:iCs/>
                <w:color w:val="000000"/>
                <w:sz w:val="20"/>
                <w:szCs w:val="20"/>
              </w:rPr>
              <w:t>Responsible institution: MARD</w:t>
            </w:r>
          </w:p>
        </w:tc>
        <w:tc>
          <w:tcPr>
            <w:tcW w:w="4536" w:type="dxa"/>
          </w:tcPr>
          <w:tbl>
            <w:tblPr>
              <w:tblW w:w="4519" w:type="dxa"/>
              <w:tblBorders>
                <w:top w:val="nil"/>
                <w:left w:val="nil"/>
                <w:bottom w:val="nil"/>
                <w:right w:val="nil"/>
              </w:tblBorders>
              <w:tblLayout w:type="fixed"/>
              <w:tblLook w:val="0000" w:firstRow="0" w:lastRow="0" w:firstColumn="0" w:lastColumn="0" w:noHBand="0" w:noVBand="0"/>
            </w:tblPr>
            <w:tblGrid>
              <w:gridCol w:w="4519"/>
            </w:tblGrid>
            <w:tr w:rsidR="008C4F26" w:rsidRPr="003B6A69" w14:paraId="47B36F06" w14:textId="77777777" w:rsidTr="008C4F26">
              <w:trPr>
                <w:trHeight w:val="2778"/>
              </w:trPr>
              <w:tc>
                <w:tcPr>
                  <w:tcW w:w="4519" w:type="dxa"/>
                </w:tcPr>
                <w:p w14:paraId="2D1CDF68" w14:textId="77777777" w:rsidR="008C4F26" w:rsidRPr="003B6A69" w:rsidRDefault="008C4F26" w:rsidP="006C1C66">
                  <w:pPr>
                    <w:autoSpaceDE w:val="0"/>
                    <w:autoSpaceDN w:val="0"/>
                    <w:adjustRightInd w:val="0"/>
                    <w:spacing w:after="120"/>
                    <w:ind w:right="210"/>
                    <w:rPr>
                      <w:rFonts w:asciiTheme="minorHAnsi" w:hAnsiTheme="minorHAnsi" w:cstheme="minorHAnsi"/>
                      <w:color w:val="000000"/>
                      <w:szCs w:val="20"/>
                    </w:rPr>
                  </w:pPr>
                  <w:bookmarkStart w:id="115" w:name="_Hlk42928322"/>
                  <w:r w:rsidRPr="003B6A69">
                    <w:rPr>
                      <w:rFonts w:asciiTheme="minorHAnsi" w:hAnsiTheme="minorHAnsi" w:cstheme="minorHAnsi"/>
                      <w:color w:val="000000"/>
                      <w:szCs w:val="20"/>
                    </w:rPr>
                    <w:t xml:space="preserve">The Agribusiness Centers employ young agronomy engineers, who provide agricultural producers with expert advice, support for the development of business plans and introduce them to the possibilities and support programs from the </w:t>
                  </w:r>
                  <w:proofErr w:type="spellStart"/>
                  <w:r w:rsidRPr="003B6A69">
                    <w:rPr>
                      <w:rFonts w:asciiTheme="minorHAnsi" w:hAnsiTheme="minorHAnsi" w:cstheme="minorHAnsi"/>
                      <w:color w:val="000000"/>
                      <w:szCs w:val="20"/>
                    </w:rPr>
                    <w:t>Agro</w:t>
                  </w:r>
                  <w:proofErr w:type="spellEnd"/>
                  <w:r w:rsidRPr="003B6A69">
                    <w:rPr>
                      <w:rFonts w:asciiTheme="minorHAnsi" w:hAnsiTheme="minorHAnsi" w:cstheme="minorHAnsi"/>
                      <w:color w:val="000000"/>
                      <w:szCs w:val="20"/>
                    </w:rPr>
                    <w:t xml:space="preserve">-budget. </w:t>
                  </w:r>
                </w:p>
              </w:tc>
            </w:tr>
            <w:bookmarkEnd w:id="115"/>
          </w:tbl>
          <w:p w14:paraId="49B715A4" w14:textId="77777777" w:rsidR="008C4F26" w:rsidRPr="003B6A69" w:rsidRDefault="008C4F26" w:rsidP="006C1C66">
            <w:pPr>
              <w:spacing w:after="120"/>
              <w:rPr>
                <w:rFonts w:cstheme="minorHAnsi"/>
                <w:sz w:val="20"/>
                <w:szCs w:val="20"/>
              </w:rPr>
            </w:pPr>
          </w:p>
        </w:tc>
      </w:tr>
      <w:tr w:rsidR="008C4F26" w:rsidRPr="003B6A69" w14:paraId="43ED8A7D" w14:textId="77777777" w:rsidTr="008C4F26">
        <w:trPr>
          <w:trHeight w:val="699"/>
        </w:trPr>
        <w:tc>
          <w:tcPr>
            <w:tcW w:w="1135" w:type="dxa"/>
          </w:tcPr>
          <w:p w14:paraId="3CF8A6F9" w14:textId="77777777" w:rsidR="008C4F26" w:rsidRPr="003B6A69" w:rsidRDefault="008C4F26" w:rsidP="006C1C66">
            <w:pPr>
              <w:spacing w:after="120"/>
              <w:rPr>
                <w:rFonts w:cstheme="minorHAnsi"/>
                <w:sz w:val="20"/>
                <w:szCs w:val="20"/>
              </w:rPr>
            </w:pPr>
            <w:r w:rsidRPr="003B6A69">
              <w:rPr>
                <w:rFonts w:cstheme="minorHAnsi"/>
                <w:sz w:val="20"/>
                <w:szCs w:val="20"/>
              </w:rPr>
              <w:t>M3 – Quality schemes</w:t>
            </w:r>
          </w:p>
        </w:tc>
        <w:tc>
          <w:tcPr>
            <w:tcW w:w="4110" w:type="dxa"/>
          </w:tcPr>
          <w:p w14:paraId="2A2A79CC" w14:textId="77777777" w:rsidR="008C4F26" w:rsidRPr="003B6A69" w:rsidRDefault="008C4F26" w:rsidP="003C6B7B">
            <w:pPr>
              <w:numPr>
                <w:ilvl w:val="0"/>
                <w:numId w:val="25"/>
              </w:numPr>
              <w:autoSpaceDE w:val="0"/>
              <w:autoSpaceDN w:val="0"/>
              <w:adjustRightInd w:val="0"/>
              <w:spacing w:after="120"/>
              <w:jc w:val="left"/>
              <w:rPr>
                <w:rFonts w:cstheme="minorHAnsi"/>
                <w:b/>
                <w:color w:val="000000"/>
                <w:sz w:val="20"/>
                <w:szCs w:val="20"/>
              </w:rPr>
            </w:pPr>
            <w:r w:rsidRPr="003B6A69">
              <w:rPr>
                <w:rFonts w:cstheme="minorHAnsi"/>
                <w:b/>
                <w:color w:val="000000"/>
                <w:sz w:val="20"/>
                <w:szCs w:val="20"/>
              </w:rPr>
              <w:t>Program of product quality control measures</w:t>
            </w:r>
          </w:p>
          <w:p w14:paraId="3A8F4AB2" w14:textId="77777777" w:rsidR="008C4F26" w:rsidRPr="003B6A69" w:rsidRDefault="008C4F26" w:rsidP="003C6B7B">
            <w:pPr>
              <w:numPr>
                <w:ilvl w:val="0"/>
                <w:numId w:val="25"/>
              </w:numPr>
              <w:autoSpaceDE w:val="0"/>
              <w:autoSpaceDN w:val="0"/>
              <w:adjustRightInd w:val="0"/>
              <w:spacing w:after="120"/>
              <w:jc w:val="left"/>
              <w:rPr>
                <w:rFonts w:cstheme="minorHAnsi"/>
                <w:b/>
                <w:color w:val="000000"/>
                <w:sz w:val="20"/>
                <w:szCs w:val="20"/>
              </w:rPr>
            </w:pPr>
            <w:r w:rsidRPr="003B6A69">
              <w:rPr>
                <w:rFonts w:cstheme="minorHAnsi"/>
                <w:b/>
                <w:color w:val="000000"/>
                <w:sz w:val="20"/>
                <w:szCs w:val="20"/>
              </w:rPr>
              <w:t>Quality policy - Quality Schemes</w:t>
            </w:r>
          </w:p>
          <w:p w14:paraId="2631625C" w14:textId="77777777" w:rsidR="008C4F26" w:rsidRPr="003B6A69" w:rsidRDefault="008C4F26" w:rsidP="003C6B7B">
            <w:pPr>
              <w:numPr>
                <w:ilvl w:val="0"/>
                <w:numId w:val="25"/>
              </w:numPr>
              <w:autoSpaceDE w:val="0"/>
              <w:autoSpaceDN w:val="0"/>
              <w:adjustRightInd w:val="0"/>
              <w:spacing w:after="120"/>
              <w:jc w:val="left"/>
              <w:rPr>
                <w:rFonts w:cstheme="minorHAnsi"/>
                <w:b/>
                <w:color w:val="000000"/>
                <w:sz w:val="20"/>
                <w:szCs w:val="20"/>
              </w:rPr>
            </w:pPr>
            <w:r w:rsidRPr="003B6A69">
              <w:rPr>
                <w:rFonts w:cstheme="minorHAnsi"/>
                <w:b/>
                <w:color w:val="000000"/>
                <w:sz w:val="20"/>
                <w:szCs w:val="20"/>
              </w:rPr>
              <w:t xml:space="preserve">Introduction of food quality and safety standards </w:t>
            </w:r>
          </w:p>
          <w:p w14:paraId="4F973924" w14:textId="77777777" w:rsidR="008C4F26" w:rsidRPr="003B6A69" w:rsidRDefault="008C4F26" w:rsidP="006C1C66">
            <w:pPr>
              <w:autoSpaceDE w:val="0"/>
              <w:autoSpaceDN w:val="0"/>
              <w:adjustRightInd w:val="0"/>
              <w:spacing w:after="120"/>
              <w:rPr>
                <w:rFonts w:cstheme="minorHAnsi"/>
                <w:color w:val="000000"/>
                <w:sz w:val="20"/>
                <w:szCs w:val="20"/>
              </w:rPr>
            </w:pPr>
            <w:r w:rsidRPr="003B6A69">
              <w:rPr>
                <w:rFonts w:cstheme="minorHAnsi"/>
                <w:b/>
                <w:i/>
                <w:color w:val="000000"/>
                <w:sz w:val="20"/>
                <w:szCs w:val="20"/>
              </w:rPr>
              <w:t>Description</w:t>
            </w:r>
            <w:r w:rsidRPr="003B6A69">
              <w:rPr>
                <w:rFonts w:cstheme="minorHAnsi"/>
                <w:color w:val="000000"/>
                <w:sz w:val="20"/>
                <w:szCs w:val="20"/>
              </w:rPr>
              <w:t xml:space="preserve">: Montenegro has significant potential </w:t>
            </w:r>
            <w:proofErr w:type="gramStart"/>
            <w:r w:rsidRPr="003B6A69">
              <w:rPr>
                <w:rFonts w:cstheme="minorHAnsi"/>
                <w:color w:val="000000"/>
                <w:sz w:val="20"/>
                <w:szCs w:val="20"/>
              </w:rPr>
              <w:t>for the production of</w:t>
            </w:r>
            <w:proofErr w:type="gramEnd"/>
            <w:r w:rsidRPr="003B6A69">
              <w:rPr>
                <w:rFonts w:cstheme="minorHAnsi"/>
                <w:color w:val="000000"/>
                <w:sz w:val="20"/>
                <w:szCs w:val="20"/>
              </w:rPr>
              <w:t xml:space="preserve"> higher quality products which is underused. Therefore, a quality product should be accompanied by adequate marketing and information on additional quality. Support for the improvement of production and incentives to raise the quality of products and the establishment of quality </w:t>
            </w:r>
            <w:r w:rsidRPr="003B6A69">
              <w:rPr>
                <w:rFonts w:cstheme="minorHAnsi"/>
                <w:color w:val="000000"/>
                <w:sz w:val="20"/>
                <w:szCs w:val="20"/>
              </w:rPr>
              <w:lastRenderedPageBreak/>
              <w:t>schemes can significantly improve the possibilities of marketing agricultural and food products on the domestic market, especially through tourism consumption.</w:t>
            </w:r>
          </w:p>
          <w:p w14:paraId="7777EC1F" w14:textId="77777777" w:rsidR="008C4F26" w:rsidRPr="003B6A69" w:rsidRDefault="008C4F26" w:rsidP="006C1C66">
            <w:pPr>
              <w:autoSpaceDE w:val="0"/>
              <w:autoSpaceDN w:val="0"/>
              <w:adjustRightInd w:val="0"/>
              <w:spacing w:after="120"/>
              <w:rPr>
                <w:rFonts w:cstheme="minorHAnsi"/>
                <w:b/>
                <w:bCs/>
                <w:i/>
                <w:iCs/>
                <w:color w:val="000000"/>
                <w:sz w:val="20"/>
                <w:szCs w:val="20"/>
              </w:rPr>
            </w:pPr>
            <w:r w:rsidRPr="003B6A69">
              <w:rPr>
                <w:rFonts w:cstheme="minorHAnsi"/>
                <w:b/>
                <w:bCs/>
                <w:i/>
                <w:iCs/>
                <w:color w:val="000000"/>
                <w:sz w:val="20"/>
                <w:szCs w:val="20"/>
              </w:rPr>
              <w:t>Beneficiaries:</w:t>
            </w:r>
            <w:r w:rsidRPr="003B6A69">
              <w:rPr>
                <w:rFonts w:cstheme="minorHAnsi"/>
                <w:color w:val="000000"/>
                <w:sz w:val="20"/>
                <w:szCs w:val="20"/>
              </w:rPr>
              <w:t xml:space="preserve"> Support for the education of a group of producers, and preparation and definition of the necessary documentation for the registration of a collective quality scheme is determined.</w:t>
            </w:r>
          </w:p>
          <w:p w14:paraId="4EAA5D7E" w14:textId="77777777" w:rsidR="008C4F26" w:rsidRPr="003B6A69" w:rsidRDefault="008C4F26" w:rsidP="006C1C66">
            <w:pPr>
              <w:autoSpaceDE w:val="0"/>
              <w:autoSpaceDN w:val="0"/>
              <w:adjustRightInd w:val="0"/>
              <w:spacing w:after="120"/>
              <w:rPr>
                <w:rFonts w:cstheme="minorHAnsi"/>
                <w:bCs/>
                <w:iCs/>
                <w:color w:val="000000"/>
                <w:sz w:val="20"/>
                <w:szCs w:val="20"/>
              </w:rPr>
            </w:pPr>
            <w:r w:rsidRPr="003B6A69">
              <w:rPr>
                <w:rFonts w:cstheme="minorHAnsi"/>
                <w:b/>
                <w:bCs/>
                <w:i/>
                <w:iCs/>
                <w:color w:val="000000"/>
                <w:sz w:val="20"/>
                <w:szCs w:val="20"/>
              </w:rPr>
              <w:t>Criteria:</w:t>
            </w:r>
            <w:r w:rsidRPr="003B6A69">
              <w:rPr>
                <w:rFonts w:cstheme="minorHAnsi"/>
                <w:color w:val="000000"/>
                <w:sz w:val="20"/>
                <w:szCs w:val="20"/>
              </w:rPr>
              <w:t xml:space="preserve"> </w:t>
            </w:r>
            <w:r w:rsidRPr="003B6A69">
              <w:rPr>
                <w:rFonts w:cstheme="minorHAnsi"/>
                <w:bCs/>
                <w:iCs/>
                <w:color w:val="000000"/>
                <w:sz w:val="20"/>
                <w:szCs w:val="20"/>
              </w:rPr>
              <w:t>Support is given to groups of producers or processors who have acquired knowledge through educational activities regarding the introduction and monitoring of the quality scheme and who have submitted a request for registration to the Ministry.</w:t>
            </w:r>
          </w:p>
          <w:p w14:paraId="78D18AE7" w14:textId="77777777" w:rsidR="008C4F26" w:rsidRPr="003B6A69" w:rsidRDefault="008C4F26" w:rsidP="006C1C66">
            <w:pPr>
              <w:autoSpaceDE w:val="0"/>
              <w:autoSpaceDN w:val="0"/>
              <w:adjustRightInd w:val="0"/>
              <w:spacing w:after="120"/>
              <w:jc w:val="left"/>
              <w:rPr>
                <w:rFonts w:cstheme="minorHAnsi"/>
                <w:bCs/>
                <w:iCs/>
                <w:color w:val="000000"/>
                <w:sz w:val="20"/>
                <w:szCs w:val="20"/>
              </w:rPr>
            </w:pPr>
            <w:r w:rsidRPr="003B6A69">
              <w:rPr>
                <w:rFonts w:cstheme="minorHAnsi"/>
                <w:b/>
                <w:bCs/>
                <w:i/>
                <w:iCs/>
                <w:color w:val="000000"/>
                <w:sz w:val="20"/>
                <w:szCs w:val="20"/>
              </w:rPr>
              <w:t xml:space="preserve">Support mechanism: </w:t>
            </w:r>
            <w:proofErr w:type="spellStart"/>
            <w:r w:rsidRPr="003B6A69">
              <w:rPr>
                <w:rFonts w:cstheme="minorHAnsi"/>
                <w:bCs/>
                <w:iCs/>
                <w:color w:val="000000"/>
                <w:sz w:val="20"/>
                <w:szCs w:val="20"/>
              </w:rPr>
              <w:t>Agro</w:t>
            </w:r>
            <w:proofErr w:type="spellEnd"/>
            <w:r w:rsidRPr="003B6A69">
              <w:rPr>
                <w:rFonts w:cstheme="minorHAnsi"/>
                <w:bCs/>
                <w:iCs/>
                <w:color w:val="000000"/>
                <w:sz w:val="20"/>
                <w:szCs w:val="20"/>
              </w:rPr>
              <w:t xml:space="preserve"> budget, Support to the basic services in Agriculture.</w:t>
            </w:r>
          </w:p>
          <w:p w14:paraId="19CAC1D9" w14:textId="77777777" w:rsidR="008C4F26" w:rsidRPr="003B6A69" w:rsidRDefault="008C4F26" w:rsidP="006C1C66">
            <w:pPr>
              <w:autoSpaceDE w:val="0"/>
              <w:autoSpaceDN w:val="0"/>
              <w:adjustRightInd w:val="0"/>
              <w:spacing w:after="120"/>
              <w:jc w:val="left"/>
              <w:rPr>
                <w:rFonts w:cstheme="minorHAnsi"/>
                <w:color w:val="000000"/>
                <w:sz w:val="20"/>
                <w:szCs w:val="20"/>
              </w:rPr>
            </w:pPr>
            <w:r w:rsidRPr="003B6A69">
              <w:rPr>
                <w:rFonts w:cstheme="minorHAnsi"/>
                <w:bCs/>
                <w:iCs/>
                <w:color w:val="000000"/>
                <w:sz w:val="20"/>
                <w:szCs w:val="20"/>
              </w:rPr>
              <w:t>Responsible institution: MARD</w:t>
            </w:r>
          </w:p>
        </w:tc>
        <w:tc>
          <w:tcPr>
            <w:tcW w:w="4536" w:type="dxa"/>
          </w:tcPr>
          <w:p w14:paraId="127B541D" w14:textId="77777777" w:rsidR="008C4F26" w:rsidRPr="003B6A69" w:rsidRDefault="008C4F26" w:rsidP="006C1C66">
            <w:pPr>
              <w:spacing w:after="120"/>
              <w:rPr>
                <w:rFonts w:cstheme="minorHAnsi"/>
                <w:sz w:val="20"/>
                <w:szCs w:val="20"/>
              </w:rPr>
            </w:pPr>
          </w:p>
          <w:tbl>
            <w:tblPr>
              <w:tblW w:w="6298" w:type="dxa"/>
              <w:tblBorders>
                <w:top w:val="nil"/>
                <w:left w:val="nil"/>
                <w:bottom w:val="nil"/>
                <w:right w:val="nil"/>
              </w:tblBorders>
              <w:tblLayout w:type="fixed"/>
              <w:tblLook w:val="0000" w:firstRow="0" w:lastRow="0" w:firstColumn="0" w:lastColumn="0" w:noHBand="0" w:noVBand="0"/>
            </w:tblPr>
            <w:tblGrid>
              <w:gridCol w:w="5882"/>
              <w:gridCol w:w="416"/>
            </w:tblGrid>
            <w:tr w:rsidR="008C4F26" w:rsidRPr="003B6A69" w14:paraId="25AA474B" w14:textId="77777777" w:rsidTr="008C4F26">
              <w:trPr>
                <w:trHeight w:val="1339"/>
              </w:trPr>
              <w:tc>
                <w:tcPr>
                  <w:tcW w:w="5882" w:type="dxa"/>
                </w:tcPr>
                <w:p w14:paraId="20568B71" w14:textId="77777777" w:rsidR="008C4F26" w:rsidRPr="003B6A69" w:rsidRDefault="008C4F26" w:rsidP="006C1C66">
                  <w:pPr>
                    <w:autoSpaceDE w:val="0"/>
                    <w:autoSpaceDN w:val="0"/>
                    <w:adjustRightInd w:val="0"/>
                    <w:spacing w:after="120"/>
                    <w:ind w:right="1684"/>
                    <w:rPr>
                      <w:rFonts w:asciiTheme="minorHAnsi" w:hAnsiTheme="minorHAnsi" w:cstheme="minorHAnsi"/>
                      <w:color w:val="000000"/>
                      <w:szCs w:val="20"/>
                    </w:rPr>
                  </w:pPr>
                  <w:r w:rsidRPr="003B6A69">
                    <w:rPr>
                      <w:rFonts w:asciiTheme="minorHAnsi" w:hAnsiTheme="minorHAnsi" w:cstheme="minorHAnsi"/>
                      <w:color w:val="000000"/>
                      <w:szCs w:val="20"/>
                    </w:rPr>
                    <w:t>Quality schemes that include: "designation of origin", geographical indication, "guaranteed traditional specialty", "higher quality", "mountain product", "from my farm" and "organic product", are additional elements of product quality guarantee. So far, seven products have been protected by geographical indications</w:t>
                  </w:r>
                </w:p>
                <w:p w14:paraId="33303CA7" w14:textId="77777777" w:rsidR="008C4F26" w:rsidRPr="003B6A69" w:rsidRDefault="008C4F26" w:rsidP="006C1C66">
                  <w:pPr>
                    <w:autoSpaceDE w:val="0"/>
                    <w:autoSpaceDN w:val="0"/>
                    <w:adjustRightInd w:val="0"/>
                    <w:spacing w:after="120"/>
                    <w:ind w:right="1684"/>
                    <w:rPr>
                      <w:rFonts w:asciiTheme="minorHAnsi" w:hAnsiTheme="minorHAnsi" w:cstheme="minorHAnsi"/>
                      <w:color w:val="000000"/>
                      <w:szCs w:val="20"/>
                    </w:rPr>
                  </w:pPr>
                  <w:r w:rsidRPr="003B6A69">
                    <w:rPr>
                      <w:rFonts w:asciiTheme="minorHAnsi" w:hAnsiTheme="minorHAnsi" w:cstheme="minorHAnsi"/>
                      <w:color w:val="000000"/>
                      <w:szCs w:val="20"/>
                    </w:rPr>
                    <w:t xml:space="preserve">The goals are to improve the quality of products by maintaining the specificity and diversity of Montenegrin production and cuisine; protection from any abuse, imitation and deception; contribution to the sustainable development of the area; increasing the market value of products; </w:t>
                  </w:r>
                  <w:r w:rsidRPr="003B6A69">
                    <w:rPr>
                      <w:rFonts w:asciiTheme="minorHAnsi" w:hAnsiTheme="minorHAnsi" w:cstheme="minorHAnsi"/>
                      <w:color w:val="000000"/>
                      <w:szCs w:val="20"/>
                    </w:rPr>
                    <w:lastRenderedPageBreak/>
                    <w:t>increasing consumer confidence; maintaining tradition in agricultural practice; strengthening the competitiveness of agricultural and food products; establishing and strengthening the link between tourism and agriculture; and ensuring a stable supply of safe and quality food.</w:t>
                  </w:r>
                </w:p>
              </w:tc>
              <w:tc>
                <w:tcPr>
                  <w:tcW w:w="416" w:type="dxa"/>
                </w:tcPr>
                <w:p w14:paraId="5C939AE6" w14:textId="77777777" w:rsidR="008C4F26" w:rsidRPr="003B6A69" w:rsidRDefault="008C4F26" w:rsidP="006C1C66">
                  <w:pPr>
                    <w:spacing w:after="120"/>
                    <w:rPr>
                      <w:rFonts w:asciiTheme="minorHAnsi" w:hAnsiTheme="minorHAnsi" w:cstheme="minorHAnsi"/>
                      <w:szCs w:val="20"/>
                    </w:rPr>
                  </w:pPr>
                  <w:r w:rsidRPr="003B6A69">
                    <w:rPr>
                      <w:rFonts w:asciiTheme="minorHAnsi" w:hAnsiTheme="minorHAnsi" w:cstheme="minorHAnsi"/>
                      <w:szCs w:val="20"/>
                    </w:rPr>
                    <w:lastRenderedPageBreak/>
                    <w:tab/>
                  </w:r>
                  <w:r w:rsidRPr="003B6A69">
                    <w:rPr>
                      <w:rFonts w:asciiTheme="minorHAnsi" w:hAnsiTheme="minorHAnsi" w:cstheme="minorHAnsi"/>
                      <w:szCs w:val="20"/>
                    </w:rPr>
                    <w:tab/>
                  </w:r>
                </w:p>
              </w:tc>
            </w:tr>
          </w:tbl>
          <w:p w14:paraId="107DC4A4" w14:textId="77777777" w:rsidR="008C4F26" w:rsidRPr="003B6A69" w:rsidRDefault="008C4F26" w:rsidP="006C1C66">
            <w:pPr>
              <w:spacing w:after="120"/>
              <w:rPr>
                <w:rFonts w:cstheme="minorHAnsi"/>
                <w:sz w:val="20"/>
                <w:szCs w:val="20"/>
              </w:rPr>
            </w:pPr>
          </w:p>
        </w:tc>
      </w:tr>
      <w:tr w:rsidR="008C4F26" w:rsidRPr="003B6A69" w14:paraId="4B3533C5" w14:textId="77777777" w:rsidTr="008C4F26">
        <w:tc>
          <w:tcPr>
            <w:tcW w:w="1135" w:type="dxa"/>
          </w:tcPr>
          <w:p w14:paraId="0AE6BF1F" w14:textId="77777777" w:rsidR="008C4F26" w:rsidRPr="003B6A69" w:rsidRDefault="008C4F26" w:rsidP="006C1C66">
            <w:pPr>
              <w:spacing w:after="120"/>
              <w:rPr>
                <w:rFonts w:cstheme="minorHAnsi"/>
                <w:sz w:val="20"/>
                <w:szCs w:val="20"/>
              </w:rPr>
            </w:pPr>
            <w:r w:rsidRPr="003B6A69">
              <w:rPr>
                <w:rFonts w:cstheme="minorHAnsi"/>
                <w:sz w:val="20"/>
                <w:szCs w:val="20"/>
              </w:rPr>
              <w:lastRenderedPageBreak/>
              <w:t>M4 – Physical Investments</w:t>
            </w:r>
          </w:p>
        </w:tc>
        <w:tc>
          <w:tcPr>
            <w:tcW w:w="4110" w:type="dxa"/>
          </w:tcPr>
          <w:p w14:paraId="513EB658" w14:textId="77777777" w:rsidR="008C4F26" w:rsidRPr="003B6A69" w:rsidRDefault="008C4F26" w:rsidP="006C1C66">
            <w:pPr>
              <w:autoSpaceDE w:val="0"/>
              <w:autoSpaceDN w:val="0"/>
              <w:adjustRightInd w:val="0"/>
              <w:spacing w:after="120"/>
              <w:rPr>
                <w:rFonts w:cstheme="minorHAnsi"/>
                <w:b/>
                <w:i/>
                <w:color w:val="000000"/>
                <w:sz w:val="20"/>
                <w:szCs w:val="20"/>
              </w:rPr>
            </w:pPr>
            <w:r w:rsidRPr="003B6A69">
              <w:rPr>
                <w:rFonts w:cstheme="minorHAnsi"/>
                <w:b/>
                <w:bCs/>
                <w:iCs/>
                <w:color w:val="000000"/>
                <w:sz w:val="20"/>
                <w:szCs w:val="20"/>
              </w:rPr>
              <w:t>Measures to strengthen the competitiveness of food producers</w:t>
            </w:r>
          </w:p>
          <w:p w14:paraId="6DE61CA4" w14:textId="77777777" w:rsidR="008C4F26" w:rsidRPr="003B6A69" w:rsidRDefault="008C4F26" w:rsidP="006C1C66">
            <w:pPr>
              <w:autoSpaceDE w:val="0"/>
              <w:autoSpaceDN w:val="0"/>
              <w:adjustRightInd w:val="0"/>
              <w:spacing w:after="120"/>
              <w:rPr>
                <w:rFonts w:cstheme="minorHAnsi"/>
                <w:b/>
                <w:i/>
                <w:color w:val="000000"/>
                <w:sz w:val="20"/>
                <w:szCs w:val="20"/>
              </w:rPr>
            </w:pPr>
          </w:p>
          <w:p w14:paraId="2FE5B524" w14:textId="77777777" w:rsidR="008C4F26" w:rsidRPr="003B6A69" w:rsidRDefault="008C4F26" w:rsidP="006C1C66">
            <w:pPr>
              <w:autoSpaceDE w:val="0"/>
              <w:autoSpaceDN w:val="0"/>
              <w:adjustRightInd w:val="0"/>
              <w:spacing w:after="120"/>
              <w:rPr>
                <w:rFonts w:cstheme="minorHAnsi"/>
                <w:color w:val="000000"/>
                <w:sz w:val="20"/>
                <w:szCs w:val="20"/>
              </w:rPr>
            </w:pPr>
            <w:r w:rsidRPr="003B6A69">
              <w:rPr>
                <w:rFonts w:cstheme="minorHAnsi"/>
                <w:b/>
                <w:i/>
                <w:color w:val="000000"/>
                <w:sz w:val="20"/>
                <w:szCs w:val="20"/>
              </w:rPr>
              <w:t>Description</w:t>
            </w:r>
            <w:r w:rsidRPr="003B6A69">
              <w:rPr>
                <w:rFonts w:cstheme="minorHAnsi"/>
                <w:color w:val="000000"/>
                <w:sz w:val="20"/>
                <w:szCs w:val="20"/>
              </w:rPr>
              <w:t xml:space="preserve">: The aim of the program is gradual harmonization of Montenegro with the common agricultural policy of the EU. The aim is the modernization of production and strengthening of competitiveness, introduction of new technologies and innovations and opening of new market opportunities, and improving product quality while meeting national and EU standards in the field of food safety and environmental protection </w:t>
            </w:r>
          </w:p>
          <w:p w14:paraId="1A62FFC5" w14:textId="77777777" w:rsidR="008C4F26" w:rsidRPr="003B6A69" w:rsidRDefault="008C4F26" w:rsidP="006C1C66">
            <w:pPr>
              <w:autoSpaceDE w:val="0"/>
              <w:autoSpaceDN w:val="0"/>
              <w:adjustRightInd w:val="0"/>
              <w:spacing w:after="120"/>
              <w:rPr>
                <w:rFonts w:cstheme="minorHAnsi"/>
                <w:color w:val="000000"/>
                <w:sz w:val="20"/>
                <w:szCs w:val="20"/>
              </w:rPr>
            </w:pPr>
            <w:r w:rsidRPr="003B6A69">
              <w:rPr>
                <w:rFonts w:cstheme="minorHAnsi"/>
                <w:b/>
                <w:bCs/>
                <w:i/>
                <w:iCs/>
                <w:color w:val="000000"/>
                <w:sz w:val="20"/>
                <w:szCs w:val="20"/>
              </w:rPr>
              <w:t>Beneficiaries:</w:t>
            </w:r>
            <w:r w:rsidRPr="003B6A69">
              <w:rPr>
                <w:rFonts w:cstheme="minorHAnsi"/>
                <w:color w:val="000000"/>
                <w:sz w:val="20"/>
                <w:szCs w:val="20"/>
              </w:rPr>
              <w:t xml:space="preserve"> Agricultural producers, cooperatives, micro, small and medium enterprises, </w:t>
            </w:r>
            <w:proofErr w:type="gramStart"/>
            <w:r w:rsidRPr="003B6A69">
              <w:rPr>
                <w:rFonts w:cstheme="minorHAnsi"/>
                <w:color w:val="000000"/>
                <w:sz w:val="20"/>
                <w:szCs w:val="20"/>
              </w:rPr>
              <w:t>craftsmen</w:t>
            </w:r>
            <w:proofErr w:type="gramEnd"/>
            <w:r w:rsidRPr="003B6A69">
              <w:rPr>
                <w:rFonts w:cstheme="minorHAnsi"/>
                <w:color w:val="000000"/>
                <w:sz w:val="20"/>
                <w:szCs w:val="20"/>
              </w:rPr>
              <w:t xml:space="preserve"> and others as defined by the Regulation on the implementation and use of funds from the instrument of pre-accession assistance of the European Union and the IPARD II program.</w:t>
            </w:r>
          </w:p>
          <w:p w14:paraId="62FAEC4D" w14:textId="77777777" w:rsidR="008C4F26" w:rsidRPr="003B6A69" w:rsidRDefault="008C4F26" w:rsidP="006C1C66">
            <w:pPr>
              <w:autoSpaceDE w:val="0"/>
              <w:autoSpaceDN w:val="0"/>
              <w:adjustRightInd w:val="0"/>
              <w:spacing w:after="120"/>
              <w:rPr>
                <w:rFonts w:cstheme="minorHAnsi"/>
                <w:bCs/>
                <w:iCs/>
                <w:color w:val="000000"/>
                <w:sz w:val="20"/>
                <w:szCs w:val="20"/>
              </w:rPr>
            </w:pPr>
            <w:r w:rsidRPr="003B6A69">
              <w:rPr>
                <w:rFonts w:cstheme="minorHAnsi"/>
                <w:b/>
                <w:bCs/>
                <w:i/>
                <w:iCs/>
                <w:color w:val="000000"/>
                <w:sz w:val="20"/>
                <w:szCs w:val="20"/>
              </w:rPr>
              <w:t>Criteria:</w:t>
            </w:r>
            <w:r w:rsidRPr="003B6A69">
              <w:rPr>
                <w:rFonts w:cstheme="minorHAnsi"/>
                <w:color w:val="000000"/>
                <w:sz w:val="20"/>
                <w:szCs w:val="20"/>
              </w:rPr>
              <w:t xml:space="preserve"> </w:t>
            </w:r>
            <w:r w:rsidRPr="003B6A69">
              <w:rPr>
                <w:rFonts w:cstheme="minorHAnsi"/>
                <w:bCs/>
                <w:iCs/>
                <w:color w:val="000000"/>
                <w:sz w:val="20"/>
                <w:szCs w:val="20"/>
              </w:rPr>
              <w:t>The IPARD II program will be implemented through the publication of Public Calls, which will define in detail the beneficiaries and support criteria based on the adopted Regulation on the implementation and use of funds from the EU pre-accession assistance instrument (IPARD II program).</w:t>
            </w:r>
          </w:p>
          <w:p w14:paraId="4F48279B" w14:textId="77777777" w:rsidR="008C4F26" w:rsidRPr="003B6A69" w:rsidRDefault="008C4F26" w:rsidP="006C1C66">
            <w:pPr>
              <w:autoSpaceDE w:val="0"/>
              <w:autoSpaceDN w:val="0"/>
              <w:adjustRightInd w:val="0"/>
              <w:spacing w:after="120"/>
              <w:rPr>
                <w:rFonts w:cstheme="minorHAnsi"/>
                <w:bCs/>
                <w:iCs/>
                <w:color w:val="000000"/>
                <w:sz w:val="20"/>
                <w:szCs w:val="20"/>
              </w:rPr>
            </w:pPr>
            <w:r w:rsidRPr="003B6A69">
              <w:rPr>
                <w:rFonts w:cstheme="minorHAnsi"/>
                <w:b/>
                <w:bCs/>
                <w:i/>
                <w:iCs/>
                <w:color w:val="000000"/>
                <w:sz w:val="20"/>
                <w:szCs w:val="20"/>
              </w:rPr>
              <w:t xml:space="preserve">Support mechanism: </w:t>
            </w:r>
            <w:proofErr w:type="spellStart"/>
            <w:r w:rsidRPr="003B6A69">
              <w:rPr>
                <w:rFonts w:cstheme="minorHAnsi"/>
                <w:bCs/>
                <w:iCs/>
                <w:color w:val="000000"/>
                <w:sz w:val="20"/>
                <w:szCs w:val="20"/>
              </w:rPr>
              <w:t>Agro</w:t>
            </w:r>
            <w:proofErr w:type="spellEnd"/>
            <w:r w:rsidRPr="003B6A69">
              <w:rPr>
                <w:rFonts w:cstheme="minorHAnsi"/>
                <w:bCs/>
                <w:iCs/>
                <w:color w:val="000000"/>
                <w:sz w:val="20"/>
                <w:szCs w:val="20"/>
              </w:rPr>
              <w:t>-budget, Rural Development Measures, Axis I- Measures to strengthen the competitiveness of food producers</w:t>
            </w:r>
          </w:p>
          <w:p w14:paraId="1E2432C9" w14:textId="77777777" w:rsidR="008C4F26" w:rsidRPr="003B6A69" w:rsidRDefault="008C4F26" w:rsidP="006C1C66">
            <w:pPr>
              <w:autoSpaceDE w:val="0"/>
              <w:autoSpaceDN w:val="0"/>
              <w:adjustRightInd w:val="0"/>
              <w:spacing w:after="120"/>
              <w:jc w:val="left"/>
              <w:rPr>
                <w:rFonts w:cstheme="minorHAnsi"/>
                <w:bCs/>
                <w:iCs/>
                <w:color w:val="000000"/>
                <w:sz w:val="20"/>
                <w:szCs w:val="20"/>
              </w:rPr>
            </w:pPr>
            <w:r w:rsidRPr="003B6A69">
              <w:rPr>
                <w:rFonts w:cstheme="minorHAnsi"/>
                <w:bCs/>
                <w:iCs/>
                <w:color w:val="000000"/>
                <w:sz w:val="20"/>
                <w:szCs w:val="20"/>
              </w:rPr>
              <w:lastRenderedPageBreak/>
              <w:t xml:space="preserve">Responsible institution: MARD; Agency for Payments in Agriculture </w:t>
            </w:r>
            <w:r w:rsidRPr="003B6A69">
              <w:rPr>
                <w:rFonts w:cstheme="minorHAnsi"/>
                <w:b/>
                <w:bCs/>
                <w:i/>
                <w:iCs/>
                <w:color w:val="000000"/>
                <w:sz w:val="20"/>
                <w:szCs w:val="20"/>
              </w:rPr>
              <w:t xml:space="preserve">IPARD II PROGRAM –2014-2020 </w:t>
            </w:r>
          </w:p>
        </w:tc>
        <w:tc>
          <w:tcPr>
            <w:tcW w:w="4536" w:type="dxa"/>
          </w:tcPr>
          <w:p w14:paraId="6DBD1BD0" w14:textId="77777777" w:rsidR="008C4F26" w:rsidRPr="003B6A69" w:rsidRDefault="008C4F26" w:rsidP="006C1C66">
            <w:pPr>
              <w:autoSpaceDE w:val="0"/>
              <w:autoSpaceDN w:val="0"/>
              <w:adjustRightInd w:val="0"/>
              <w:spacing w:after="120"/>
              <w:rPr>
                <w:rFonts w:cstheme="minorHAnsi"/>
                <w:color w:val="000000"/>
                <w:sz w:val="20"/>
                <w:szCs w:val="20"/>
              </w:rPr>
            </w:pPr>
            <w:r w:rsidRPr="003B6A69">
              <w:rPr>
                <w:rFonts w:cstheme="minorHAnsi"/>
                <w:color w:val="000000"/>
                <w:sz w:val="20"/>
                <w:szCs w:val="20"/>
              </w:rPr>
              <w:lastRenderedPageBreak/>
              <w:t xml:space="preserve">The preconditions for the start of the implementation of the IPARD II program in Montenegro had been met in 2017, including </w:t>
            </w:r>
          </w:p>
          <w:p w14:paraId="0AE0EFC1" w14:textId="77777777" w:rsidR="008C4F26" w:rsidRPr="003B6A69" w:rsidRDefault="008C4F26" w:rsidP="006C1C66">
            <w:pPr>
              <w:autoSpaceDE w:val="0"/>
              <w:autoSpaceDN w:val="0"/>
              <w:adjustRightInd w:val="0"/>
              <w:spacing w:after="120"/>
              <w:rPr>
                <w:rFonts w:cstheme="minorHAnsi"/>
                <w:color w:val="000000"/>
                <w:sz w:val="20"/>
                <w:szCs w:val="20"/>
              </w:rPr>
            </w:pPr>
            <w:r w:rsidRPr="003B6A69">
              <w:rPr>
                <w:rFonts w:cstheme="minorHAnsi"/>
                <w:color w:val="000000"/>
                <w:sz w:val="20"/>
                <w:szCs w:val="20"/>
              </w:rPr>
              <w:t xml:space="preserve">investments in physical capital of agricultural </w:t>
            </w:r>
            <w:proofErr w:type="spellStart"/>
            <w:r w:rsidRPr="003B6A69">
              <w:rPr>
                <w:rFonts w:cstheme="minorHAnsi"/>
                <w:color w:val="000000"/>
                <w:sz w:val="20"/>
                <w:szCs w:val="20"/>
              </w:rPr>
              <w:t>holdingsand</w:t>
            </w:r>
            <w:proofErr w:type="spellEnd"/>
            <w:r w:rsidRPr="003B6A69">
              <w:rPr>
                <w:rFonts w:cstheme="minorHAnsi"/>
                <w:color w:val="000000"/>
                <w:sz w:val="20"/>
                <w:szCs w:val="20"/>
              </w:rPr>
              <w:t xml:space="preserve"> physical capital related to processing and marketing of agricultural and fishery products. According to the amendments to the IPARD II program, accreditation was requested for the Measure: Diversification of Farms and Business </w:t>
            </w:r>
            <w:proofErr w:type="gramStart"/>
            <w:r w:rsidRPr="003B6A69">
              <w:rPr>
                <w:rFonts w:cstheme="minorHAnsi"/>
                <w:color w:val="000000"/>
                <w:sz w:val="20"/>
                <w:szCs w:val="20"/>
              </w:rPr>
              <w:t>Development;</w:t>
            </w:r>
            <w:proofErr w:type="gramEnd"/>
            <w:r w:rsidRPr="003B6A69">
              <w:rPr>
                <w:rFonts w:cstheme="minorHAnsi"/>
                <w:color w:val="000000"/>
                <w:sz w:val="20"/>
                <w:szCs w:val="20"/>
              </w:rPr>
              <w:t xml:space="preserve"> </w:t>
            </w:r>
          </w:p>
          <w:p w14:paraId="725A75E2" w14:textId="77777777" w:rsidR="008C4F26" w:rsidRPr="003B6A69" w:rsidRDefault="008C4F26" w:rsidP="006C1C66">
            <w:pPr>
              <w:autoSpaceDE w:val="0"/>
              <w:autoSpaceDN w:val="0"/>
              <w:adjustRightInd w:val="0"/>
              <w:spacing w:after="120"/>
              <w:jc w:val="left"/>
              <w:rPr>
                <w:rFonts w:cstheme="minorHAnsi"/>
                <w:color w:val="000000"/>
                <w:sz w:val="20"/>
                <w:szCs w:val="20"/>
              </w:rPr>
            </w:pPr>
            <w:r w:rsidRPr="003B6A69">
              <w:rPr>
                <w:rFonts w:cstheme="minorHAnsi"/>
                <w:color w:val="000000"/>
                <w:sz w:val="20"/>
                <w:szCs w:val="20"/>
              </w:rPr>
              <w:t xml:space="preserve">Social and economic inclusion was promoted, </w:t>
            </w:r>
            <w:proofErr w:type="gramStart"/>
            <w:r w:rsidRPr="003B6A69">
              <w:rPr>
                <w:rFonts w:cstheme="minorHAnsi"/>
                <w:color w:val="000000"/>
                <w:sz w:val="20"/>
                <w:szCs w:val="20"/>
              </w:rPr>
              <w:t>in particular through</w:t>
            </w:r>
            <w:proofErr w:type="gramEnd"/>
            <w:r w:rsidRPr="003B6A69">
              <w:rPr>
                <w:rFonts w:cstheme="minorHAnsi"/>
                <w:color w:val="000000"/>
                <w:sz w:val="20"/>
                <w:szCs w:val="20"/>
              </w:rPr>
              <w:t xml:space="preserve"> the facilitation of investment by young farmers and those in areas with natural constraints; and</w:t>
            </w:r>
          </w:p>
          <w:p w14:paraId="136956D7" w14:textId="77777777" w:rsidR="008C4F26" w:rsidRPr="003B6A69" w:rsidRDefault="008C4F26" w:rsidP="006C1C66">
            <w:pPr>
              <w:autoSpaceDE w:val="0"/>
              <w:autoSpaceDN w:val="0"/>
              <w:adjustRightInd w:val="0"/>
              <w:spacing w:after="120"/>
              <w:rPr>
                <w:rFonts w:cstheme="minorHAnsi"/>
                <w:color w:val="000000"/>
                <w:sz w:val="20"/>
                <w:szCs w:val="20"/>
              </w:rPr>
            </w:pPr>
            <w:r w:rsidRPr="003B6A69">
              <w:rPr>
                <w:rFonts w:cstheme="minorHAnsi"/>
                <w:color w:val="000000"/>
                <w:sz w:val="20"/>
                <w:szCs w:val="20"/>
              </w:rPr>
              <w:t xml:space="preserve">Contributions </w:t>
            </w:r>
            <w:proofErr w:type="spellStart"/>
            <w:r w:rsidRPr="003B6A69">
              <w:rPr>
                <w:rFonts w:cstheme="minorHAnsi"/>
                <w:color w:val="000000"/>
                <w:sz w:val="20"/>
                <w:szCs w:val="20"/>
              </w:rPr>
              <w:t>wered</w:t>
            </w:r>
            <w:proofErr w:type="spellEnd"/>
            <w:r w:rsidRPr="003B6A69">
              <w:rPr>
                <w:rFonts w:cstheme="minorHAnsi"/>
                <w:color w:val="000000"/>
                <w:sz w:val="20"/>
                <w:szCs w:val="20"/>
              </w:rPr>
              <w:t xml:space="preserve"> made to the development of sustainable land management practices by supporting organic agriculture and other agri-environmental practices.</w:t>
            </w:r>
          </w:p>
        </w:tc>
      </w:tr>
      <w:tr w:rsidR="008C4F26" w:rsidRPr="003B6A69" w14:paraId="093C31EE" w14:textId="77777777" w:rsidTr="008C4F26">
        <w:tc>
          <w:tcPr>
            <w:tcW w:w="1135" w:type="dxa"/>
          </w:tcPr>
          <w:p w14:paraId="530FF936" w14:textId="77777777" w:rsidR="008C4F26" w:rsidRPr="003B6A69" w:rsidRDefault="008C4F26" w:rsidP="006C1C66">
            <w:pPr>
              <w:spacing w:after="120"/>
              <w:rPr>
                <w:rFonts w:cstheme="minorHAnsi"/>
                <w:sz w:val="20"/>
                <w:szCs w:val="20"/>
              </w:rPr>
            </w:pPr>
            <w:r w:rsidRPr="003B6A69">
              <w:rPr>
                <w:rFonts w:cstheme="minorHAnsi"/>
                <w:sz w:val="20"/>
                <w:szCs w:val="20"/>
              </w:rPr>
              <w:t>M6 – Farm and business development</w:t>
            </w:r>
          </w:p>
        </w:tc>
        <w:tc>
          <w:tcPr>
            <w:tcW w:w="4110" w:type="dxa"/>
          </w:tcPr>
          <w:p w14:paraId="26D874FF" w14:textId="77777777" w:rsidR="008C4F26" w:rsidRPr="003B6A69" w:rsidRDefault="008C4F26" w:rsidP="006C1C66">
            <w:pPr>
              <w:tabs>
                <w:tab w:val="num" w:pos="-426"/>
              </w:tabs>
              <w:spacing w:after="120"/>
              <w:jc w:val="center"/>
              <w:rPr>
                <w:rFonts w:cstheme="minorHAnsi"/>
                <w:b/>
                <w:sz w:val="20"/>
                <w:szCs w:val="20"/>
                <w:lang w:val="sr-Latn-CS"/>
              </w:rPr>
            </w:pPr>
            <w:r w:rsidRPr="003B6A69">
              <w:rPr>
                <w:rFonts w:cstheme="minorHAnsi"/>
                <w:b/>
                <w:bCs/>
                <w:iCs/>
                <w:sz w:val="20"/>
                <w:szCs w:val="20"/>
              </w:rPr>
              <w:t>Measures to strengthen the competitiveness of food producers</w:t>
            </w:r>
          </w:p>
          <w:p w14:paraId="590D0F16" w14:textId="77777777" w:rsidR="008C4F26" w:rsidRPr="003B6A69" w:rsidRDefault="008C4F26" w:rsidP="006C1C66">
            <w:pPr>
              <w:tabs>
                <w:tab w:val="num" w:pos="-426"/>
              </w:tabs>
              <w:spacing w:after="120"/>
              <w:rPr>
                <w:rFonts w:cstheme="minorHAnsi"/>
                <w:b/>
                <w:bCs/>
                <w:i/>
                <w:iCs/>
                <w:sz w:val="20"/>
                <w:szCs w:val="20"/>
              </w:rPr>
            </w:pPr>
            <w:r w:rsidRPr="003B6A69">
              <w:rPr>
                <w:rFonts w:cstheme="minorHAnsi"/>
                <w:b/>
                <w:bCs/>
                <w:i/>
                <w:iCs/>
                <w:sz w:val="20"/>
                <w:szCs w:val="20"/>
              </w:rPr>
              <w:t xml:space="preserve">Description: </w:t>
            </w:r>
            <w:r w:rsidRPr="003B6A69">
              <w:rPr>
                <w:rFonts w:cstheme="minorHAnsi"/>
                <w:bCs/>
                <w:iCs/>
                <w:sz w:val="20"/>
                <w:szCs w:val="20"/>
              </w:rPr>
              <w:t xml:space="preserve">Support from this segment of the </w:t>
            </w:r>
            <w:proofErr w:type="spellStart"/>
            <w:r w:rsidRPr="003B6A69">
              <w:rPr>
                <w:rFonts w:cstheme="minorHAnsi"/>
                <w:bCs/>
                <w:iCs/>
                <w:sz w:val="20"/>
                <w:szCs w:val="20"/>
              </w:rPr>
              <w:t>agro</w:t>
            </w:r>
            <w:proofErr w:type="spellEnd"/>
            <w:r w:rsidRPr="003B6A69">
              <w:rPr>
                <w:rFonts w:cstheme="minorHAnsi"/>
                <w:bCs/>
                <w:iCs/>
                <w:sz w:val="20"/>
                <w:szCs w:val="20"/>
              </w:rPr>
              <w:t>-budget refers to support for investments in agricultural farms, support for investments in processing on family farms, improvement of product quality, promotion of agricultural products and agriculture, and support for activities of cooperatives and national associations.</w:t>
            </w:r>
          </w:p>
          <w:p w14:paraId="65089E86" w14:textId="77777777" w:rsidR="008C4F26" w:rsidRPr="003B6A69" w:rsidRDefault="008C4F26" w:rsidP="006C1C66">
            <w:pPr>
              <w:tabs>
                <w:tab w:val="num" w:pos="-426"/>
              </w:tabs>
              <w:spacing w:after="120"/>
              <w:rPr>
                <w:rFonts w:cstheme="minorHAnsi"/>
                <w:bCs/>
                <w:iCs/>
                <w:sz w:val="20"/>
                <w:szCs w:val="20"/>
              </w:rPr>
            </w:pPr>
            <w:r w:rsidRPr="003B6A69">
              <w:rPr>
                <w:rFonts w:cstheme="minorHAnsi"/>
                <w:b/>
                <w:bCs/>
                <w:i/>
                <w:iCs/>
                <w:sz w:val="20"/>
                <w:szCs w:val="20"/>
              </w:rPr>
              <w:t>Beneficiaries:</w:t>
            </w:r>
            <w:r w:rsidRPr="003B6A69">
              <w:rPr>
                <w:rFonts w:cstheme="minorHAnsi"/>
                <w:sz w:val="20"/>
                <w:szCs w:val="20"/>
              </w:rPr>
              <w:t xml:space="preserve"> </w:t>
            </w:r>
            <w:r w:rsidRPr="003B6A69">
              <w:rPr>
                <w:rFonts w:cstheme="minorHAnsi"/>
                <w:bCs/>
                <w:iCs/>
                <w:sz w:val="20"/>
                <w:szCs w:val="20"/>
              </w:rPr>
              <w:t>Beneficiaries are legal and natural persons and others in accordance with the procedures/public calls/operational manuals defined by the Project</w:t>
            </w:r>
          </w:p>
          <w:p w14:paraId="16B66B3A" w14:textId="77777777" w:rsidR="008C4F26" w:rsidRPr="003B6A69" w:rsidRDefault="008C4F26" w:rsidP="006C1C66">
            <w:pPr>
              <w:tabs>
                <w:tab w:val="num" w:pos="-426"/>
              </w:tabs>
              <w:spacing w:after="120"/>
              <w:rPr>
                <w:rFonts w:cstheme="minorHAnsi"/>
                <w:sz w:val="20"/>
                <w:szCs w:val="20"/>
              </w:rPr>
            </w:pPr>
            <w:r w:rsidRPr="003B6A69">
              <w:rPr>
                <w:rFonts w:cstheme="minorHAnsi"/>
                <w:b/>
                <w:bCs/>
                <w:i/>
                <w:iCs/>
                <w:sz w:val="20"/>
                <w:szCs w:val="20"/>
              </w:rPr>
              <w:t>Criteria:</w:t>
            </w:r>
            <w:r w:rsidRPr="003B6A69">
              <w:rPr>
                <w:rFonts w:cstheme="minorHAnsi"/>
                <w:sz w:val="20"/>
                <w:szCs w:val="20"/>
              </w:rPr>
              <w:t xml:space="preserve"> Within the implementation of the MIDAS 2 project within Component 1, activities will be implemented in accordance with the plan agreed to with the representatives of the World Bank. Support criteria will be defined through public calls / operational manuals or other procedures defined by the Project.</w:t>
            </w:r>
          </w:p>
          <w:p w14:paraId="6F3C3CCD" w14:textId="77777777" w:rsidR="008C4F26" w:rsidRPr="003B6A69" w:rsidRDefault="008C4F26" w:rsidP="006C1C66">
            <w:pPr>
              <w:tabs>
                <w:tab w:val="num" w:pos="-426"/>
              </w:tabs>
              <w:spacing w:after="120"/>
              <w:rPr>
                <w:rFonts w:cstheme="minorHAnsi"/>
                <w:bCs/>
                <w:iCs/>
                <w:sz w:val="20"/>
                <w:szCs w:val="20"/>
              </w:rPr>
            </w:pPr>
            <w:r w:rsidRPr="003B6A69">
              <w:rPr>
                <w:rFonts w:cstheme="minorHAnsi"/>
                <w:b/>
                <w:bCs/>
                <w:i/>
                <w:iCs/>
                <w:sz w:val="20"/>
                <w:szCs w:val="20"/>
              </w:rPr>
              <w:t xml:space="preserve">Support mechanism: </w:t>
            </w:r>
            <w:proofErr w:type="spellStart"/>
            <w:r w:rsidRPr="003B6A69">
              <w:rPr>
                <w:rFonts w:cstheme="minorHAnsi"/>
                <w:bCs/>
                <w:iCs/>
                <w:sz w:val="20"/>
                <w:szCs w:val="20"/>
              </w:rPr>
              <w:t>Agro</w:t>
            </w:r>
            <w:proofErr w:type="spellEnd"/>
            <w:r w:rsidRPr="003B6A69">
              <w:rPr>
                <w:rFonts w:cstheme="minorHAnsi"/>
                <w:bCs/>
                <w:iCs/>
                <w:sz w:val="20"/>
                <w:szCs w:val="20"/>
              </w:rPr>
              <w:t>-budget, Rural Development Measures, Axis I- Measures to strengthen the competitiveness of food producers</w:t>
            </w:r>
          </w:p>
          <w:p w14:paraId="74F56F2B" w14:textId="77777777" w:rsidR="008C4F26" w:rsidRPr="003B6A69" w:rsidRDefault="008C4F26" w:rsidP="006C1C66">
            <w:pPr>
              <w:tabs>
                <w:tab w:val="num" w:pos="-426"/>
              </w:tabs>
              <w:spacing w:after="120"/>
              <w:rPr>
                <w:rFonts w:cstheme="minorHAnsi"/>
                <w:sz w:val="20"/>
                <w:szCs w:val="20"/>
              </w:rPr>
            </w:pPr>
            <w:r w:rsidRPr="003B6A69">
              <w:rPr>
                <w:rFonts w:cstheme="minorHAnsi"/>
                <w:bCs/>
                <w:iCs/>
                <w:sz w:val="20"/>
                <w:szCs w:val="20"/>
              </w:rPr>
              <w:t>Responsible institution: MARD;</w:t>
            </w:r>
            <w:r w:rsidRPr="003B6A69">
              <w:rPr>
                <w:rFonts w:cstheme="minorHAnsi"/>
                <w:sz w:val="20"/>
                <w:szCs w:val="20"/>
              </w:rPr>
              <w:t xml:space="preserve"> Directorate for Rural Development</w:t>
            </w:r>
          </w:p>
        </w:tc>
        <w:tc>
          <w:tcPr>
            <w:tcW w:w="4536" w:type="dxa"/>
          </w:tcPr>
          <w:p w14:paraId="06B6B7A4" w14:textId="77777777" w:rsidR="008C4F26" w:rsidRPr="003B6A69" w:rsidRDefault="008C4F26" w:rsidP="006C1C66">
            <w:pPr>
              <w:spacing w:after="120"/>
              <w:rPr>
                <w:rFonts w:cstheme="minorHAnsi"/>
                <w:sz w:val="20"/>
                <w:szCs w:val="20"/>
              </w:rPr>
            </w:pPr>
            <w:r w:rsidRPr="003B6A69">
              <w:rPr>
                <w:rFonts w:cstheme="minorHAnsi"/>
                <w:sz w:val="20"/>
                <w:szCs w:val="20"/>
              </w:rPr>
              <w:t>MIDAS II- Component 1</w:t>
            </w:r>
          </w:p>
          <w:p w14:paraId="2AAFBB29" w14:textId="77777777" w:rsidR="008C4F26" w:rsidRPr="003B6A69" w:rsidRDefault="008C4F26" w:rsidP="006C1C66">
            <w:pPr>
              <w:spacing w:after="120"/>
              <w:ind w:right="175"/>
              <w:rPr>
                <w:rFonts w:cstheme="minorHAnsi"/>
                <w:sz w:val="20"/>
                <w:szCs w:val="20"/>
              </w:rPr>
            </w:pPr>
            <w:r w:rsidRPr="003B6A69">
              <w:rPr>
                <w:rFonts w:cstheme="minorHAnsi"/>
                <w:sz w:val="20"/>
                <w:szCs w:val="20"/>
              </w:rPr>
              <w:t>The second project of institutional development and strengthening of agriculture in Montenegro (MIDAS 2) received the approval of the Board of Executive Directors of the International Bank for Reconstruction and Development on January 30, 2018.</w:t>
            </w:r>
          </w:p>
          <w:p w14:paraId="32ABF0A8" w14:textId="77777777" w:rsidR="008C4F26" w:rsidRPr="003B6A69" w:rsidRDefault="008C4F26" w:rsidP="006C1C66">
            <w:pPr>
              <w:spacing w:after="120"/>
              <w:ind w:right="175"/>
              <w:rPr>
                <w:rFonts w:cstheme="minorHAnsi"/>
                <w:sz w:val="20"/>
                <w:szCs w:val="20"/>
              </w:rPr>
            </w:pPr>
            <w:r w:rsidRPr="003B6A69">
              <w:rPr>
                <w:rFonts w:cstheme="minorHAnsi"/>
                <w:sz w:val="20"/>
                <w:szCs w:val="20"/>
              </w:rPr>
              <w:t>The loan agreement between the Government of Montenegro and the International Bank for Reconstruction and Development IBRD (World Bank) was signed on March 8, 2018. The development goal of the Project is to improve the competitiveness of agriculture and fisheries in Montenegro, by increasing the provision of state support in compliance with the requirements for EU accession.</w:t>
            </w:r>
          </w:p>
        </w:tc>
      </w:tr>
      <w:tr w:rsidR="008C4F26" w:rsidRPr="003B6A69" w14:paraId="5C499000" w14:textId="77777777" w:rsidTr="008C4F26">
        <w:tc>
          <w:tcPr>
            <w:tcW w:w="1135" w:type="dxa"/>
          </w:tcPr>
          <w:p w14:paraId="65542338" w14:textId="77777777" w:rsidR="008C4F26" w:rsidRPr="003B6A69" w:rsidRDefault="008C4F26" w:rsidP="006C1C66">
            <w:pPr>
              <w:spacing w:after="120"/>
              <w:rPr>
                <w:rFonts w:cstheme="minorHAnsi"/>
                <w:sz w:val="20"/>
                <w:szCs w:val="20"/>
              </w:rPr>
            </w:pPr>
            <w:r w:rsidRPr="003B6A69">
              <w:rPr>
                <w:rFonts w:cstheme="minorHAnsi"/>
                <w:sz w:val="20"/>
                <w:szCs w:val="20"/>
              </w:rPr>
              <w:t>M7 – Basic services</w:t>
            </w:r>
          </w:p>
        </w:tc>
        <w:tc>
          <w:tcPr>
            <w:tcW w:w="4110" w:type="dxa"/>
          </w:tcPr>
          <w:p w14:paraId="67D7F82E" w14:textId="77777777" w:rsidR="008C4F26" w:rsidRPr="003B6A69" w:rsidRDefault="008C4F26" w:rsidP="006C1C66">
            <w:pPr>
              <w:spacing w:after="120"/>
              <w:jc w:val="center"/>
              <w:rPr>
                <w:rFonts w:cstheme="minorHAnsi"/>
                <w:sz w:val="20"/>
                <w:szCs w:val="20"/>
              </w:rPr>
            </w:pPr>
            <w:r w:rsidRPr="003B6A69">
              <w:rPr>
                <w:rFonts w:cstheme="minorHAnsi"/>
                <w:b/>
                <w:bCs/>
                <w:iCs/>
                <w:sz w:val="20"/>
                <w:szCs w:val="20"/>
              </w:rPr>
              <w:t>Improvement of the living conditions and quality of life in rural areas</w:t>
            </w:r>
          </w:p>
          <w:p w14:paraId="6358D892" w14:textId="77777777" w:rsidR="008C4F26" w:rsidRPr="003B6A69" w:rsidRDefault="008C4F26" w:rsidP="006C1C66">
            <w:pPr>
              <w:autoSpaceDE w:val="0"/>
              <w:autoSpaceDN w:val="0"/>
              <w:adjustRightInd w:val="0"/>
              <w:spacing w:after="120"/>
              <w:rPr>
                <w:rFonts w:cstheme="minorHAnsi"/>
                <w:bCs/>
                <w:iCs/>
                <w:color w:val="000000"/>
                <w:sz w:val="20"/>
                <w:szCs w:val="20"/>
              </w:rPr>
            </w:pPr>
            <w:r w:rsidRPr="003B6A69">
              <w:rPr>
                <w:rFonts w:cstheme="minorHAnsi"/>
                <w:b/>
                <w:bCs/>
                <w:i/>
                <w:iCs/>
                <w:color w:val="000000"/>
                <w:sz w:val="20"/>
                <w:szCs w:val="20"/>
              </w:rPr>
              <w:t>Description</w:t>
            </w:r>
            <w:r w:rsidRPr="003B6A69">
              <w:rPr>
                <w:rFonts w:cstheme="minorHAnsi"/>
                <w:bCs/>
                <w:iCs/>
                <w:color w:val="000000"/>
                <w:sz w:val="20"/>
                <w:szCs w:val="20"/>
              </w:rPr>
              <w:t>:</w:t>
            </w:r>
            <w:r w:rsidRPr="003B6A69">
              <w:rPr>
                <w:rFonts w:cstheme="minorHAnsi"/>
                <w:color w:val="000000"/>
                <w:sz w:val="20"/>
                <w:szCs w:val="20"/>
              </w:rPr>
              <w:t xml:space="preserve"> C</w:t>
            </w:r>
            <w:r w:rsidRPr="003B6A69">
              <w:rPr>
                <w:rFonts w:cstheme="minorHAnsi"/>
                <w:bCs/>
                <w:iCs/>
                <w:color w:val="000000"/>
                <w:sz w:val="20"/>
                <w:szCs w:val="20"/>
              </w:rPr>
              <w:t xml:space="preserve">reating conditions for the development of agriculture and diversification of economic activities on farms and in rural </w:t>
            </w:r>
            <w:proofErr w:type="gramStart"/>
            <w:r w:rsidRPr="003B6A69">
              <w:rPr>
                <w:rFonts w:cstheme="minorHAnsi"/>
                <w:bCs/>
                <w:iCs/>
                <w:color w:val="000000"/>
                <w:sz w:val="20"/>
                <w:szCs w:val="20"/>
              </w:rPr>
              <w:t>areas as a whole</w:t>
            </w:r>
            <w:proofErr w:type="gramEnd"/>
            <w:r w:rsidRPr="003B6A69">
              <w:rPr>
                <w:rFonts w:cstheme="minorHAnsi"/>
                <w:bCs/>
                <w:iCs/>
                <w:color w:val="000000"/>
                <w:sz w:val="20"/>
                <w:szCs w:val="20"/>
              </w:rPr>
              <w:t>.</w:t>
            </w:r>
          </w:p>
          <w:p w14:paraId="62794D67" w14:textId="77777777" w:rsidR="008C4F26" w:rsidRPr="003B6A69" w:rsidRDefault="008C4F26" w:rsidP="006C1C66">
            <w:pPr>
              <w:tabs>
                <w:tab w:val="num" w:pos="-426"/>
              </w:tabs>
              <w:spacing w:after="120"/>
              <w:rPr>
                <w:rFonts w:cstheme="minorHAnsi"/>
                <w:bCs/>
                <w:iCs/>
                <w:sz w:val="20"/>
                <w:szCs w:val="20"/>
              </w:rPr>
            </w:pPr>
            <w:r w:rsidRPr="003B6A69">
              <w:rPr>
                <w:rFonts w:cstheme="minorHAnsi"/>
                <w:b/>
                <w:bCs/>
                <w:i/>
                <w:iCs/>
                <w:sz w:val="20"/>
                <w:szCs w:val="20"/>
              </w:rPr>
              <w:t>Beneficiaries:</w:t>
            </w:r>
            <w:r w:rsidRPr="003B6A69">
              <w:rPr>
                <w:rFonts w:cstheme="minorHAnsi"/>
                <w:sz w:val="20"/>
                <w:szCs w:val="20"/>
              </w:rPr>
              <w:t xml:space="preserve"> </w:t>
            </w:r>
            <w:r w:rsidRPr="003B6A69">
              <w:rPr>
                <w:rFonts w:cstheme="minorHAnsi"/>
                <w:bCs/>
                <w:iCs/>
                <w:sz w:val="20"/>
                <w:szCs w:val="20"/>
              </w:rPr>
              <w:t>Agricultural holdings registered in the Register of Agricultural Holdings have the right to support.</w:t>
            </w:r>
          </w:p>
          <w:p w14:paraId="629B45A1" w14:textId="77777777" w:rsidR="008C4F26" w:rsidRPr="003B6A69" w:rsidRDefault="008C4F26" w:rsidP="006C1C66">
            <w:pPr>
              <w:tabs>
                <w:tab w:val="num" w:pos="-426"/>
              </w:tabs>
              <w:spacing w:after="120"/>
              <w:rPr>
                <w:rFonts w:cstheme="minorHAnsi"/>
                <w:sz w:val="20"/>
                <w:szCs w:val="20"/>
              </w:rPr>
            </w:pPr>
            <w:r w:rsidRPr="003B6A69">
              <w:rPr>
                <w:rFonts w:cstheme="minorHAnsi"/>
                <w:b/>
                <w:bCs/>
                <w:i/>
                <w:iCs/>
                <w:sz w:val="20"/>
                <w:szCs w:val="20"/>
              </w:rPr>
              <w:t>Criteria:</w:t>
            </w:r>
            <w:r w:rsidRPr="003B6A69">
              <w:rPr>
                <w:rFonts w:cstheme="minorHAnsi"/>
                <w:sz w:val="20"/>
                <w:szCs w:val="20"/>
              </w:rPr>
              <w:t xml:space="preserve"> Specific criteria are defined within the public call </w:t>
            </w:r>
          </w:p>
          <w:p w14:paraId="79CB09D3" w14:textId="77777777" w:rsidR="008C4F26" w:rsidRPr="003B6A69" w:rsidRDefault="008C4F26" w:rsidP="006C1C66">
            <w:pPr>
              <w:tabs>
                <w:tab w:val="num" w:pos="-426"/>
              </w:tabs>
              <w:spacing w:after="120"/>
              <w:rPr>
                <w:rFonts w:cstheme="minorHAnsi"/>
                <w:bCs/>
                <w:iCs/>
                <w:sz w:val="20"/>
                <w:szCs w:val="20"/>
              </w:rPr>
            </w:pPr>
            <w:r w:rsidRPr="003B6A69">
              <w:rPr>
                <w:rFonts w:cstheme="minorHAnsi"/>
                <w:b/>
                <w:bCs/>
                <w:i/>
                <w:iCs/>
                <w:sz w:val="20"/>
                <w:szCs w:val="20"/>
              </w:rPr>
              <w:t xml:space="preserve">Support mechanism: </w:t>
            </w:r>
            <w:proofErr w:type="spellStart"/>
            <w:r w:rsidRPr="003B6A69">
              <w:rPr>
                <w:rFonts w:cstheme="minorHAnsi"/>
                <w:bCs/>
                <w:iCs/>
                <w:sz w:val="20"/>
                <w:szCs w:val="20"/>
              </w:rPr>
              <w:t>Agro</w:t>
            </w:r>
            <w:proofErr w:type="spellEnd"/>
            <w:r w:rsidRPr="003B6A69">
              <w:rPr>
                <w:rFonts w:cstheme="minorHAnsi"/>
                <w:bCs/>
                <w:iCs/>
                <w:sz w:val="20"/>
                <w:szCs w:val="20"/>
              </w:rPr>
              <w:t>-budget, Rural Development Measures, Axis III</w:t>
            </w:r>
          </w:p>
          <w:p w14:paraId="7D44E9C5" w14:textId="77777777" w:rsidR="008C4F26" w:rsidRPr="003B6A69" w:rsidRDefault="008C4F26" w:rsidP="006C1C66">
            <w:pPr>
              <w:tabs>
                <w:tab w:val="num" w:pos="-426"/>
              </w:tabs>
              <w:spacing w:after="120"/>
              <w:rPr>
                <w:rFonts w:cstheme="minorHAnsi"/>
                <w:sz w:val="20"/>
                <w:szCs w:val="20"/>
              </w:rPr>
            </w:pPr>
            <w:r w:rsidRPr="003B6A69">
              <w:rPr>
                <w:rFonts w:cstheme="minorHAnsi"/>
                <w:bCs/>
                <w:iCs/>
                <w:sz w:val="20"/>
                <w:szCs w:val="20"/>
              </w:rPr>
              <w:t>Responsible institution: MARD;</w:t>
            </w:r>
          </w:p>
        </w:tc>
        <w:tc>
          <w:tcPr>
            <w:tcW w:w="4536" w:type="dxa"/>
          </w:tcPr>
          <w:p w14:paraId="57C9302A" w14:textId="77777777" w:rsidR="008C4F26" w:rsidRPr="003B6A69" w:rsidRDefault="008C4F26" w:rsidP="006C1C66">
            <w:pPr>
              <w:spacing w:after="120"/>
              <w:rPr>
                <w:rFonts w:cstheme="minorHAnsi"/>
                <w:sz w:val="20"/>
                <w:szCs w:val="20"/>
              </w:rPr>
            </w:pPr>
            <w:r w:rsidRPr="003B6A69">
              <w:rPr>
                <w:rFonts w:cstheme="minorHAnsi"/>
                <w:sz w:val="20"/>
                <w:szCs w:val="20"/>
              </w:rPr>
              <w:t>The aim is to increase income on farms through the sale of agricultural products produced in pastures; provide support to the traditional local economy of farmers in mountainous areas through the development of opportunities for added value in agricultural production, the complete production process and better living or working conditions on farms or pastures; and contribute to the preservation of biodiversity and traditional "open" landscapes; improving the supply of agricultural products.</w:t>
            </w:r>
          </w:p>
        </w:tc>
      </w:tr>
      <w:tr w:rsidR="008C4F26" w:rsidRPr="003B6A69" w14:paraId="285ED47F" w14:textId="77777777" w:rsidTr="008C4F26">
        <w:tc>
          <w:tcPr>
            <w:tcW w:w="1135" w:type="dxa"/>
          </w:tcPr>
          <w:p w14:paraId="0D263A8D" w14:textId="77777777" w:rsidR="008C4F26" w:rsidRPr="003B6A69" w:rsidRDefault="008C4F26" w:rsidP="006C1C66">
            <w:pPr>
              <w:spacing w:after="120"/>
              <w:rPr>
                <w:rFonts w:cstheme="minorHAnsi"/>
                <w:sz w:val="20"/>
                <w:szCs w:val="20"/>
              </w:rPr>
            </w:pPr>
            <w:r w:rsidRPr="003B6A69">
              <w:rPr>
                <w:rFonts w:cstheme="minorHAnsi"/>
                <w:sz w:val="20"/>
                <w:szCs w:val="20"/>
              </w:rPr>
              <w:lastRenderedPageBreak/>
              <w:t>M9 – Producer organizations</w:t>
            </w:r>
          </w:p>
        </w:tc>
        <w:tc>
          <w:tcPr>
            <w:tcW w:w="4110" w:type="dxa"/>
          </w:tcPr>
          <w:p w14:paraId="0EA0F1F1" w14:textId="77777777" w:rsidR="008C4F26" w:rsidRPr="003B6A69" w:rsidRDefault="008C4F26" w:rsidP="003C6B7B">
            <w:pPr>
              <w:numPr>
                <w:ilvl w:val="0"/>
                <w:numId w:val="27"/>
              </w:numPr>
              <w:autoSpaceDE w:val="0"/>
              <w:autoSpaceDN w:val="0"/>
              <w:adjustRightInd w:val="0"/>
              <w:spacing w:after="120"/>
              <w:ind w:right="601"/>
              <w:jc w:val="left"/>
              <w:rPr>
                <w:rFonts w:cstheme="minorHAnsi"/>
                <w:b/>
                <w:color w:val="000000"/>
                <w:sz w:val="20"/>
                <w:szCs w:val="20"/>
              </w:rPr>
            </w:pPr>
            <w:r w:rsidRPr="003B6A69">
              <w:rPr>
                <w:rFonts w:cstheme="minorHAnsi"/>
                <w:b/>
                <w:color w:val="000000"/>
                <w:sz w:val="20"/>
                <w:szCs w:val="20"/>
              </w:rPr>
              <w:t xml:space="preserve">Support for the activities of cooperatives, </w:t>
            </w:r>
            <w:proofErr w:type="gramStart"/>
            <w:r w:rsidRPr="003B6A69">
              <w:rPr>
                <w:rFonts w:cstheme="minorHAnsi"/>
                <w:b/>
                <w:color w:val="000000"/>
                <w:sz w:val="20"/>
                <w:szCs w:val="20"/>
              </w:rPr>
              <w:t>associations</w:t>
            </w:r>
            <w:proofErr w:type="gramEnd"/>
            <w:r w:rsidRPr="003B6A69">
              <w:rPr>
                <w:rFonts w:cstheme="minorHAnsi"/>
                <w:b/>
                <w:color w:val="000000"/>
                <w:sz w:val="20"/>
                <w:szCs w:val="20"/>
              </w:rPr>
              <w:t xml:space="preserve"> and producer organizations</w:t>
            </w:r>
          </w:p>
          <w:p w14:paraId="4F6E5F4D" w14:textId="77777777" w:rsidR="008C4F26" w:rsidRPr="003B6A69" w:rsidRDefault="008C4F26" w:rsidP="003C6B7B">
            <w:pPr>
              <w:numPr>
                <w:ilvl w:val="0"/>
                <w:numId w:val="27"/>
              </w:numPr>
              <w:autoSpaceDE w:val="0"/>
              <w:autoSpaceDN w:val="0"/>
              <w:adjustRightInd w:val="0"/>
              <w:spacing w:after="120"/>
              <w:ind w:right="601"/>
              <w:jc w:val="left"/>
              <w:rPr>
                <w:rFonts w:cstheme="minorHAnsi"/>
                <w:b/>
                <w:color w:val="000000"/>
                <w:sz w:val="20"/>
                <w:szCs w:val="20"/>
              </w:rPr>
            </w:pPr>
            <w:r w:rsidRPr="003B6A69">
              <w:rPr>
                <w:rFonts w:cstheme="minorHAnsi"/>
                <w:b/>
                <w:color w:val="000000"/>
                <w:sz w:val="20"/>
                <w:szCs w:val="20"/>
              </w:rPr>
              <w:t>Support for starting a business by young farmers</w:t>
            </w:r>
          </w:p>
          <w:p w14:paraId="584AE204" w14:textId="77777777" w:rsidR="008C4F26" w:rsidRPr="003B6A69" w:rsidRDefault="008C4F26" w:rsidP="003C6B7B">
            <w:pPr>
              <w:numPr>
                <w:ilvl w:val="0"/>
                <w:numId w:val="27"/>
              </w:numPr>
              <w:autoSpaceDE w:val="0"/>
              <w:autoSpaceDN w:val="0"/>
              <w:adjustRightInd w:val="0"/>
              <w:spacing w:after="120"/>
              <w:ind w:right="601"/>
              <w:jc w:val="left"/>
              <w:rPr>
                <w:rFonts w:cstheme="minorHAnsi"/>
                <w:b/>
                <w:color w:val="000000"/>
                <w:sz w:val="20"/>
                <w:szCs w:val="20"/>
              </w:rPr>
            </w:pPr>
            <w:r w:rsidRPr="003B6A69">
              <w:rPr>
                <w:rFonts w:cstheme="minorHAnsi"/>
                <w:b/>
                <w:color w:val="000000"/>
                <w:sz w:val="20"/>
                <w:szCs w:val="20"/>
              </w:rPr>
              <w:t>Support for the development of clusters in the field of agriculture</w:t>
            </w:r>
          </w:p>
          <w:p w14:paraId="4BCD9383" w14:textId="77777777" w:rsidR="008C4F26" w:rsidRPr="003B6A69" w:rsidRDefault="008C4F26" w:rsidP="006C1C66">
            <w:pPr>
              <w:autoSpaceDE w:val="0"/>
              <w:autoSpaceDN w:val="0"/>
              <w:adjustRightInd w:val="0"/>
              <w:spacing w:after="120"/>
              <w:rPr>
                <w:rFonts w:cstheme="minorHAnsi"/>
                <w:color w:val="000000"/>
                <w:sz w:val="20"/>
                <w:szCs w:val="20"/>
              </w:rPr>
            </w:pPr>
            <w:r w:rsidRPr="003B6A69">
              <w:rPr>
                <w:rFonts w:cstheme="minorHAnsi"/>
                <w:b/>
                <w:i/>
                <w:color w:val="000000"/>
                <w:sz w:val="20"/>
                <w:szCs w:val="20"/>
              </w:rPr>
              <w:t>Description</w:t>
            </w:r>
            <w:r w:rsidRPr="003B6A69">
              <w:rPr>
                <w:rFonts w:cstheme="minorHAnsi"/>
                <w:color w:val="000000"/>
                <w:sz w:val="20"/>
                <w:szCs w:val="20"/>
              </w:rPr>
              <w:t>: strengthening market infrastructure for agriculture; production planning according to market requirements in terms of quantity and quality; meeting the economic and social needs of agricultural producers.</w:t>
            </w:r>
          </w:p>
          <w:p w14:paraId="28A0DD30" w14:textId="77777777" w:rsidR="008C4F26" w:rsidRPr="003B6A69" w:rsidRDefault="008C4F26" w:rsidP="006C1C66">
            <w:pPr>
              <w:spacing w:after="120"/>
              <w:rPr>
                <w:rFonts w:cstheme="minorHAnsi"/>
                <w:color w:val="000000"/>
                <w:sz w:val="20"/>
                <w:szCs w:val="20"/>
              </w:rPr>
            </w:pPr>
            <w:r w:rsidRPr="003B6A69">
              <w:rPr>
                <w:rFonts w:cstheme="minorHAnsi"/>
                <w:b/>
                <w:i/>
                <w:color w:val="000000"/>
                <w:sz w:val="20"/>
                <w:szCs w:val="20"/>
              </w:rPr>
              <w:t>Beneficiaries</w:t>
            </w:r>
            <w:r w:rsidRPr="003B6A69">
              <w:rPr>
                <w:rFonts w:cstheme="minorHAnsi"/>
                <w:color w:val="000000"/>
                <w:sz w:val="20"/>
                <w:szCs w:val="20"/>
              </w:rPr>
              <w:t>: include, inter alia: individual agricultural producers, associations of agricultural producers, cooperatives, clusters, and entrepreneurs, companies in the field of agricultural production / processing and others in accordance with the Operational Manual.</w:t>
            </w:r>
          </w:p>
          <w:p w14:paraId="3E5230B0" w14:textId="77777777" w:rsidR="008C4F26" w:rsidRPr="003B6A69" w:rsidRDefault="008C4F26" w:rsidP="006C1C66">
            <w:pPr>
              <w:tabs>
                <w:tab w:val="num" w:pos="-426"/>
              </w:tabs>
              <w:spacing w:after="120"/>
              <w:rPr>
                <w:rFonts w:cstheme="minorHAnsi"/>
                <w:sz w:val="20"/>
                <w:szCs w:val="20"/>
              </w:rPr>
            </w:pPr>
            <w:r w:rsidRPr="003B6A69">
              <w:rPr>
                <w:rFonts w:cstheme="minorHAnsi"/>
                <w:b/>
                <w:bCs/>
                <w:i/>
                <w:iCs/>
                <w:sz w:val="20"/>
                <w:szCs w:val="20"/>
              </w:rPr>
              <w:t>Criteria:</w:t>
            </w:r>
            <w:r w:rsidRPr="003B6A69">
              <w:rPr>
                <w:rFonts w:cstheme="minorHAnsi"/>
                <w:sz w:val="20"/>
                <w:szCs w:val="20"/>
              </w:rPr>
              <w:t xml:space="preserve"> Defined within the public call</w:t>
            </w:r>
          </w:p>
          <w:p w14:paraId="722296E4" w14:textId="77777777" w:rsidR="008C4F26" w:rsidRPr="003B6A69" w:rsidRDefault="008C4F26" w:rsidP="006C1C66">
            <w:pPr>
              <w:spacing w:after="120"/>
              <w:rPr>
                <w:rFonts w:cstheme="minorHAnsi"/>
                <w:bCs/>
                <w:iCs/>
                <w:sz w:val="20"/>
                <w:szCs w:val="20"/>
              </w:rPr>
            </w:pPr>
            <w:r w:rsidRPr="003B6A69">
              <w:rPr>
                <w:rFonts w:cstheme="minorHAnsi"/>
                <w:b/>
                <w:bCs/>
                <w:i/>
                <w:iCs/>
                <w:sz w:val="20"/>
                <w:szCs w:val="20"/>
              </w:rPr>
              <w:t xml:space="preserve">Support mechanism: </w:t>
            </w:r>
            <w:proofErr w:type="spellStart"/>
            <w:r w:rsidRPr="003B6A69">
              <w:rPr>
                <w:rFonts w:cstheme="minorHAnsi"/>
                <w:bCs/>
                <w:iCs/>
                <w:sz w:val="20"/>
                <w:szCs w:val="20"/>
              </w:rPr>
              <w:t>Agro</w:t>
            </w:r>
            <w:proofErr w:type="spellEnd"/>
            <w:r w:rsidRPr="003B6A69">
              <w:rPr>
                <w:rFonts w:cstheme="minorHAnsi"/>
                <w:bCs/>
                <w:iCs/>
                <w:sz w:val="20"/>
                <w:szCs w:val="20"/>
              </w:rPr>
              <w:t>-budget, Rural Development Measures, Axis I - Measures to strengthen the competitiveness of food producers</w:t>
            </w:r>
          </w:p>
          <w:p w14:paraId="3403A98E" w14:textId="77777777" w:rsidR="008C4F26" w:rsidRPr="003B6A69" w:rsidRDefault="008C4F26" w:rsidP="006C1C66">
            <w:pPr>
              <w:spacing w:after="120"/>
              <w:rPr>
                <w:rFonts w:cstheme="minorHAnsi"/>
                <w:sz w:val="20"/>
                <w:szCs w:val="20"/>
              </w:rPr>
            </w:pPr>
            <w:r w:rsidRPr="003B6A69">
              <w:rPr>
                <w:rFonts w:cstheme="minorHAnsi"/>
                <w:bCs/>
                <w:iCs/>
                <w:sz w:val="20"/>
                <w:szCs w:val="20"/>
              </w:rPr>
              <w:t>Responsible institution: MARD;</w:t>
            </w:r>
            <w:r w:rsidRPr="003B6A69">
              <w:rPr>
                <w:rFonts w:cstheme="minorHAnsi"/>
                <w:sz w:val="20"/>
                <w:szCs w:val="20"/>
              </w:rPr>
              <w:t xml:space="preserve"> Directorate for Rural Development</w:t>
            </w:r>
          </w:p>
        </w:tc>
        <w:tc>
          <w:tcPr>
            <w:tcW w:w="4536" w:type="dxa"/>
          </w:tcPr>
          <w:tbl>
            <w:tblPr>
              <w:tblW w:w="5295" w:type="dxa"/>
              <w:tblBorders>
                <w:top w:val="nil"/>
                <w:left w:val="nil"/>
                <w:bottom w:val="nil"/>
                <w:right w:val="nil"/>
              </w:tblBorders>
              <w:tblLayout w:type="fixed"/>
              <w:tblLook w:val="0000" w:firstRow="0" w:lastRow="0" w:firstColumn="0" w:lastColumn="0" w:noHBand="0" w:noVBand="0"/>
            </w:tblPr>
            <w:tblGrid>
              <w:gridCol w:w="5295"/>
            </w:tblGrid>
            <w:tr w:rsidR="008C4F26" w:rsidRPr="003B6A69" w14:paraId="5B88CDF5" w14:textId="77777777" w:rsidTr="008C4F26">
              <w:trPr>
                <w:trHeight w:val="1757"/>
              </w:trPr>
              <w:tc>
                <w:tcPr>
                  <w:tcW w:w="5295" w:type="dxa"/>
                </w:tcPr>
                <w:p w14:paraId="0B8C88D4" w14:textId="77777777" w:rsidR="008C4F26" w:rsidRPr="003B6A69" w:rsidRDefault="008C4F26" w:rsidP="006C1C66">
                  <w:pPr>
                    <w:autoSpaceDE w:val="0"/>
                    <w:autoSpaceDN w:val="0"/>
                    <w:adjustRightInd w:val="0"/>
                    <w:spacing w:after="120"/>
                    <w:ind w:right="-108"/>
                    <w:rPr>
                      <w:rFonts w:asciiTheme="minorHAnsi" w:hAnsiTheme="minorHAnsi" w:cstheme="minorHAnsi"/>
                      <w:color w:val="000000"/>
                      <w:szCs w:val="20"/>
                    </w:rPr>
                  </w:pPr>
                  <w:r w:rsidRPr="003B6A69">
                    <w:rPr>
                      <w:rFonts w:asciiTheme="minorHAnsi" w:hAnsiTheme="minorHAnsi" w:cstheme="minorHAnsi"/>
                      <w:color w:val="000000"/>
                      <w:szCs w:val="20"/>
                    </w:rPr>
                    <w:t xml:space="preserve">State support for clusters is increasingly needed. </w:t>
                  </w:r>
                </w:p>
                <w:p w14:paraId="2969D122" w14:textId="77777777" w:rsidR="008C4F26" w:rsidRPr="003B6A69" w:rsidRDefault="008C4F26" w:rsidP="006C1C66">
                  <w:pPr>
                    <w:autoSpaceDE w:val="0"/>
                    <w:autoSpaceDN w:val="0"/>
                    <w:adjustRightInd w:val="0"/>
                    <w:spacing w:after="120"/>
                    <w:ind w:right="901"/>
                    <w:rPr>
                      <w:rFonts w:asciiTheme="minorHAnsi" w:hAnsiTheme="minorHAnsi" w:cstheme="minorHAnsi"/>
                      <w:color w:val="000000"/>
                      <w:szCs w:val="20"/>
                    </w:rPr>
                  </w:pPr>
                  <w:r w:rsidRPr="003B6A69">
                    <w:rPr>
                      <w:rFonts w:asciiTheme="minorHAnsi" w:hAnsiTheme="minorHAnsi" w:cstheme="minorHAnsi"/>
                      <w:color w:val="000000"/>
                      <w:szCs w:val="20"/>
                    </w:rPr>
                    <w:t>In this regard, the Ministry, in cooperation with the International Fund for Agricultural Development (IFAD), has launched the Cluster Creation and Rural Development Project (RCTP), which is being implemented in seven Montenegrin municipalities. There are two basic components of the project, namely cluster development and rural infrastructure development. The objectives are the connecting of agricultural producers from the municipalities covered by the project; reduction of production and transport costs associated with the agricultural producers; creating value chains that will enable a shorter connection between producers and end consumers; and providing grant support for small farmers.</w:t>
                  </w:r>
                </w:p>
              </w:tc>
            </w:tr>
          </w:tbl>
          <w:p w14:paraId="2A520A38" w14:textId="77777777" w:rsidR="008C4F26" w:rsidRPr="003B6A69" w:rsidRDefault="008C4F26" w:rsidP="006C1C66">
            <w:pPr>
              <w:spacing w:after="120"/>
              <w:rPr>
                <w:rFonts w:cstheme="minorHAnsi"/>
                <w:sz w:val="20"/>
                <w:szCs w:val="20"/>
              </w:rPr>
            </w:pPr>
          </w:p>
        </w:tc>
      </w:tr>
      <w:tr w:rsidR="008C4F26" w:rsidRPr="003B6A69" w14:paraId="76D7CE8D" w14:textId="77777777" w:rsidTr="008C4F26">
        <w:tc>
          <w:tcPr>
            <w:tcW w:w="1135" w:type="dxa"/>
          </w:tcPr>
          <w:p w14:paraId="590AD0EB" w14:textId="77777777" w:rsidR="008C4F26" w:rsidRPr="003B6A69" w:rsidRDefault="008C4F26" w:rsidP="006C1C66">
            <w:pPr>
              <w:spacing w:after="120"/>
              <w:rPr>
                <w:rFonts w:cstheme="minorHAnsi"/>
                <w:sz w:val="20"/>
                <w:szCs w:val="20"/>
              </w:rPr>
            </w:pPr>
            <w:r w:rsidRPr="003B6A69">
              <w:rPr>
                <w:rFonts w:cstheme="minorHAnsi"/>
                <w:sz w:val="20"/>
                <w:szCs w:val="20"/>
              </w:rPr>
              <w:t>M10 – Agri-environment climate</w:t>
            </w:r>
          </w:p>
        </w:tc>
        <w:tc>
          <w:tcPr>
            <w:tcW w:w="4110" w:type="dxa"/>
          </w:tcPr>
          <w:p w14:paraId="0EFDBDD6" w14:textId="77777777" w:rsidR="008C4F26" w:rsidRPr="003B6A69" w:rsidRDefault="008C4F26" w:rsidP="003C6B7B">
            <w:pPr>
              <w:numPr>
                <w:ilvl w:val="0"/>
                <w:numId w:val="28"/>
              </w:numPr>
              <w:autoSpaceDE w:val="0"/>
              <w:autoSpaceDN w:val="0"/>
              <w:adjustRightInd w:val="0"/>
              <w:spacing w:after="120"/>
              <w:jc w:val="left"/>
              <w:rPr>
                <w:rFonts w:cstheme="minorHAnsi"/>
                <w:b/>
                <w:color w:val="000000"/>
                <w:sz w:val="20"/>
                <w:szCs w:val="20"/>
              </w:rPr>
            </w:pPr>
            <w:r w:rsidRPr="003B6A69">
              <w:rPr>
                <w:rFonts w:cstheme="minorHAnsi"/>
                <w:b/>
                <w:color w:val="000000"/>
                <w:sz w:val="20"/>
                <w:szCs w:val="20"/>
              </w:rPr>
              <w:t>Conservation of indigenous genetic resources in agriculture</w:t>
            </w:r>
          </w:p>
          <w:p w14:paraId="376874E3" w14:textId="77777777" w:rsidR="008C4F26" w:rsidRPr="003B6A69" w:rsidRDefault="008C4F26" w:rsidP="006C1C66">
            <w:pPr>
              <w:autoSpaceDE w:val="0"/>
              <w:autoSpaceDN w:val="0"/>
              <w:adjustRightInd w:val="0"/>
              <w:spacing w:after="120"/>
              <w:rPr>
                <w:rFonts w:cstheme="minorHAnsi"/>
                <w:color w:val="000000"/>
                <w:sz w:val="20"/>
                <w:szCs w:val="20"/>
              </w:rPr>
            </w:pPr>
            <w:r w:rsidRPr="003B6A69">
              <w:rPr>
                <w:rFonts w:cstheme="minorHAnsi"/>
                <w:b/>
                <w:i/>
                <w:color w:val="000000"/>
                <w:sz w:val="20"/>
                <w:szCs w:val="20"/>
              </w:rPr>
              <w:t>Description</w:t>
            </w:r>
            <w:r w:rsidRPr="003B6A69">
              <w:rPr>
                <w:rFonts w:cstheme="minorHAnsi"/>
                <w:color w:val="000000"/>
                <w:sz w:val="20"/>
                <w:szCs w:val="20"/>
              </w:rPr>
              <w:t>: Contribution to the preservation of overall biodiversity; conservation and sustainable use of endangered indigenous species / varieties /types; study and selection of genotypes from indigenous populations of plant species; enriching the database on genetic resources and creating predispositions for commercial cultivation of domestic and domesticated species/varieties/ breeds, which should be one of the types of recognition and quality component of Montenegrin agricultural products on the international market.</w:t>
            </w:r>
          </w:p>
          <w:p w14:paraId="3D590082" w14:textId="77777777" w:rsidR="008C4F26" w:rsidRPr="003B6A69" w:rsidRDefault="008C4F26" w:rsidP="006C1C66">
            <w:pPr>
              <w:autoSpaceDE w:val="0"/>
              <w:autoSpaceDN w:val="0"/>
              <w:adjustRightInd w:val="0"/>
              <w:spacing w:after="120"/>
              <w:rPr>
                <w:rFonts w:cstheme="minorHAnsi"/>
                <w:color w:val="000000"/>
                <w:sz w:val="20"/>
                <w:szCs w:val="20"/>
              </w:rPr>
            </w:pPr>
            <w:r w:rsidRPr="003B6A69">
              <w:rPr>
                <w:rFonts w:cstheme="minorHAnsi"/>
                <w:b/>
                <w:i/>
                <w:color w:val="000000"/>
                <w:sz w:val="20"/>
                <w:szCs w:val="20"/>
              </w:rPr>
              <w:t>Beneficiaries</w:t>
            </w:r>
            <w:r w:rsidRPr="003B6A69">
              <w:rPr>
                <w:rFonts w:cstheme="minorHAnsi"/>
                <w:color w:val="000000"/>
                <w:sz w:val="20"/>
                <w:szCs w:val="20"/>
              </w:rPr>
              <w:t>: Agricultural farms that meet the criteria. Authorized institutions for genetic resources in agriculture.</w:t>
            </w:r>
          </w:p>
          <w:p w14:paraId="1A753F1D" w14:textId="77777777" w:rsidR="008C4F26" w:rsidRPr="003B6A69" w:rsidRDefault="008C4F26" w:rsidP="006C1C66">
            <w:pPr>
              <w:autoSpaceDE w:val="0"/>
              <w:autoSpaceDN w:val="0"/>
              <w:adjustRightInd w:val="0"/>
              <w:spacing w:after="120"/>
              <w:rPr>
                <w:rFonts w:cstheme="minorHAnsi"/>
                <w:color w:val="000000"/>
                <w:sz w:val="20"/>
                <w:szCs w:val="20"/>
              </w:rPr>
            </w:pPr>
            <w:r w:rsidRPr="003B6A69">
              <w:rPr>
                <w:rFonts w:cstheme="minorHAnsi"/>
                <w:b/>
                <w:bCs/>
                <w:i/>
                <w:iCs/>
                <w:color w:val="000000"/>
                <w:sz w:val="20"/>
                <w:szCs w:val="20"/>
              </w:rPr>
              <w:t>Criteria:</w:t>
            </w:r>
            <w:r w:rsidRPr="003B6A69">
              <w:rPr>
                <w:rFonts w:cstheme="minorHAnsi"/>
                <w:color w:val="000000"/>
                <w:sz w:val="20"/>
                <w:szCs w:val="20"/>
              </w:rPr>
              <w:t xml:space="preserve"> Producers who cultivate indigenous species/ varieties/breeds and who agree to cooperate with the institution responsible for genetic resources in terms of submitting </w:t>
            </w:r>
            <w:r w:rsidRPr="003B6A69">
              <w:rPr>
                <w:rFonts w:cstheme="minorHAnsi"/>
                <w:color w:val="000000"/>
                <w:sz w:val="20"/>
                <w:szCs w:val="20"/>
              </w:rPr>
              <w:lastRenderedPageBreak/>
              <w:t>materials and providing the necessary information are entitled to support.</w:t>
            </w:r>
          </w:p>
          <w:p w14:paraId="1F0304BE" w14:textId="77777777" w:rsidR="008C4F26" w:rsidRPr="003B6A69" w:rsidRDefault="008C4F26" w:rsidP="006C1C66">
            <w:pPr>
              <w:autoSpaceDE w:val="0"/>
              <w:autoSpaceDN w:val="0"/>
              <w:adjustRightInd w:val="0"/>
              <w:spacing w:after="120"/>
              <w:jc w:val="left"/>
              <w:rPr>
                <w:rFonts w:cstheme="minorHAnsi"/>
                <w:bCs/>
                <w:iCs/>
                <w:color w:val="000000"/>
                <w:sz w:val="20"/>
                <w:szCs w:val="20"/>
              </w:rPr>
            </w:pPr>
            <w:r w:rsidRPr="003B6A69">
              <w:rPr>
                <w:rFonts w:cstheme="minorHAnsi"/>
                <w:b/>
                <w:bCs/>
                <w:i/>
                <w:iCs/>
                <w:color w:val="000000"/>
                <w:sz w:val="20"/>
                <w:szCs w:val="20"/>
              </w:rPr>
              <w:t xml:space="preserve">Support mechanism: </w:t>
            </w:r>
            <w:proofErr w:type="spellStart"/>
            <w:r w:rsidRPr="003B6A69">
              <w:rPr>
                <w:rFonts w:cstheme="minorHAnsi"/>
                <w:bCs/>
                <w:iCs/>
                <w:color w:val="000000"/>
                <w:sz w:val="20"/>
                <w:szCs w:val="20"/>
              </w:rPr>
              <w:t>Agro</w:t>
            </w:r>
            <w:proofErr w:type="spellEnd"/>
            <w:r w:rsidRPr="003B6A69">
              <w:rPr>
                <w:rFonts w:cstheme="minorHAnsi"/>
                <w:bCs/>
                <w:iCs/>
                <w:color w:val="000000"/>
                <w:sz w:val="20"/>
                <w:szCs w:val="20"/>
              </w:rPr>
              <w:t>-budget, Rural Development Measures, Axis II Measures for sustainable management of natural resources</w:t>
            </w:r>
          </w:p>
          <w:p w14:paraId="51D9B242" w14:textId="77777777" w:rsidR="008C4F26" w:rsidRPr="003B6A69" w:rsidRDefault="008C4F26" w:rsidP="006C1C66">
            <w:pPr>
              <w:autoSpaceDE w:val="0"/>
              <w:autoSpaceDN w:val="0"/>
              <w:adjustRightInd w:val="0"/>
              <w:spacing w:after="120"/>
              <w:jc w:val="left"/>
              <w:rPr>
                <w:rFonts w:cstheme="minorHAnsi"/>
                <w:color w:val="000000"/>
                <w:sz w:val="20"/>
                <w:szCs w:val="20"/>
              </w:rPr>
            </w:pPr>
            <w:r w:rsidRPr="003B6A69">
              <w:rPr>
                <w:rFonts w:cstheme="minorHAnsi"/>
                <w:bCs/>
                <w:iCs/>
                <w:color w:val="000000"/>
                <w:sz w:val="20"/>
                <w:szCs w:val="20"/>
              </w:rPr>
              <w:t>Responsible institution: MARD;</w:t>
            </w:r>
            <w:r w:rsidRPr="003B6A69">
              <w:rPr>
                <w:rFonts w:cstheme="minorHAnsi"/>
                <w:color w:val="000000"/>
                <w:sz w:val="20"/>
                <w:szCs w:val="20"/>
              </w:rPr>
              <w:t xml:space="preserve"> Directorate for Agriculture</w:t>
            </w:r>
          </w:p>
        </w:tc>
        <w:tc>
          <w:tcPr>
            <w:tcW w:w="4536" w:type="dxa"/>
          </w:tcPr>
          <w:tbl>
            <w:tblPr>
              <w:tblW w:w="7120" w:type="dxa"/>
              <w:tblBorders>
                <w:top w:val="nil"/>
                <w:left w:val="nil"/>
                <w:bottom w:val="nil"/>
                <w:right w:val="nil"/>
              </w:tblBorders>
              <w:tblLayout w:type="fixed"/>
              <w:tblLook w:val="0000" w:firstRow="0" w:lastRow="0" w:firstColumn="0" w:lastColumn="0" w:noHBand="0" w:noVBand="0"/>
            </w:tblPr>
            <w:tblGrid>
              <w:gridCol w:w="5295"/>
              <w:gridCol w:w="1825"/>
            </w:tblGrid>
            <w:tr w:rsidR="008C4F26" w:rsidRPr="003B6A69" w14:paraId="4BF79E28" w14:textId="77777777" w:rsidTr="008C4F26">
              <w:trPr>
                <w:gridAfter w:val="1"/>
                <w:wAfter w:w="1825" w:type="dxa"/>
                <w:trHeight w:val="103"/>
              </w:trPr>
              <w:tc>
                <w:tcPr>
                  <w:tcW w:w="5295" w:type="dxa"/>
                </w:tcPr>
                <w:p w14:paraId="27986186" w14:textId="77777777" w:rsidR="008C4F26" w:rsidRPr="003B6A69" w:rsidRDefault="008C4F26" w:rsidP="006C1C66">
                  <w:pPr>
                    <w:autoSpaceDE w:val="0"/>
                    <w:autoSpaceDN w:val="0"/>
                    <w:adjustRightInd w:val="0"/>
                    <w:spacing w:after="120"/>
                    <w:ind w:right="901"/>
                    <w:rPr>
                      <w:rFonts w:asciiTheme="minorHAnsi" w:hAnsiTheme="minorHAnsi" w:cstheme="minorHAnsi"/>
                      <w:color w:val="000000"/>
                      <w:szCs w:val="20"/>
                    </w:rPr>
                  </w:pPr>
                  <w:r w:rsidRPr="003B6A69">
                    <w:rPr>
                      <w:rFonts w:asciiTheme="minorHAnsi" w:hAnsiTheme="minorHAnsi" w:cstheme="minorHAnsi"/>
                      <w:color w:val="000000"/>
                      <w:szCs w:val="20"/>
                    </w:rPr>
                    <w:lastRenderedPageBreak/>
                    <w:t xml:space="preserve">Montenegro has a rich and diverse living world - biodiversity - in a relatively small area. The genetic fund of plants and animals in agriculture is extremely rich, which is reflected in </w:t>
                  </w:r>
                  <w:proofErr w:type="gramStart"/>
                  <w:r w:rsidRPr="003B6A69">
                    <w:rPr>
                      <w:rFonts w:asciiTheme="minorHAnsi" w:hAnsiTheme="minorHAnsi" w:cstheme="minorHAnsi"/>
                      <w:color w:val="000000"/>
                      <w:szCs w:val="20"/>
                    </w:rPr>
                    <w:t>a large number of</w:t>
                  </w:r>
                  <w:proofErr w:type="gramEnd"/>
                  <w:r w:rsidRPr="003B6A69">
                    <w:rPr>
                      <w:rFonts w:asciiTheme="minorHAnsi" w:hAnsiTheme="minorHAnsi" w:cstheme="minorHAnsi"/>
                      <w:color w:val="000000"/>
                      <w:szCs w:val="20"/>
                    </w:rPr>
                    <w:t xml:space="preserve"> species, varieties and races, and especially the indigenous populations of plants and animals used for food production. The Montenegrin gene bank will become richer over time and will take care that the existing germplasm is available to all institutions and individuals who express interest in it.</w:t>
                  </w:r>
                </w:p>
                <w:p w14:paraId="1BE21977" w14:textId="77777777" w:rsidR="008C4F26" w:rsidRPr="003B6A69" w:rsidRDefault="008C4F26" w:rsidP="006C1C66">
                  <w:pPr>
                    <w:autoSpaceDE w:val="0"/>
                    <w:autoSpaceDN w:val="0"/>
                    <w:adjustRightInd w:val="0"/>
                    <w:spacing w:after="120"/>
                    <w:ind w:right="901"/>
                    <w:rPr>
                      <w:rFonts w:asciiTheme="minorHAnsi" w:hAnsiTheme="minorHAnsi" w:cstheme="minorHAnsi"/>
                      <w:color w:val="000000"/>
                      <w:szCs w:val="20"/>
                    </w:rPr>
                  </w:pPr>
                  <w:r w:rsidRPr="003B6A69">
                    <w:rPr>
                      <w:rFonts w:asciiTheme="minorHAnsi" w:hAnsiTheme="minorHAnsi" w:cstheme="minorHAnsi"/>
                      <w:color w:val="000000"/>
                      <w:szCs w:val="20"/>
                    </w:rPr>
                    <w:t>This fact, as well as the obligations regarding the conservation and sustainable use of genetic resources in accordance with international conventions and principles, requires that they also appropriate financial support from the budget to stimulate farms to maintain genetic resources.</w:t>
                  </w:r>
                </w:p>
              </w:tc>
            </w:tr>
            <w:tr w:rsidR="008C4F26" w:rsidRPr="003B6A69" w14:paraId="135F7C56" w14:textId="77777777" w:rsidTr="008C4F26">
              <w:trPr>
                <w:trHeight w:val="715"/>
              </w:trPr>
              <w:tc>
                <w:tcPr>
                  <w:tcW w:w="7120" w:type="dxa"/>
                  <w:gridSpan w:val="2"/>
                </w:tcPr>
                <w:p w14:paraId="757B39A6" w14:textId="77777777" w:rsidR="008C4F26" w:rsidRPr="003B6A69" w:rsidRDefault="008C4F26" w:rsidP="006C1C66">
                  <w:pPr>
                    <w:autoSpaceDE w:val="0"/>
                    <w:autoSpaceDN w:val="0"/>
                    <w:adjustRightInd w:val="0"/>
                    <w:spacing w:after="120"/>
                    <w:rPr>
                      <w:rFonts w:asciiTheme="minorHAnsi" w:hAnsiTheme="minorHAnsi" w:cstheme="minorHAnsi"/>
                      <w:color w:val="000000"/>
                      <w:szCs w:val="20"/>
                    </w:rPr>
                  </w:pPr>
                </w:p>
              </w:tc>
            </w:tr>
          </w:tbl>
          <w:p w14:paraId="5131996D" w14:textId="77777777" w:rsidR="008C4F26" w:rsidRPr="003B6A69" w:rsidRDefault="008C4F26" w:rsidP="006C1C66">
            <w:pPr>
              <w:spacing w:after="120"/>
              <w:rPr>
                <w:rFonts w:cstheme="minorHAnsi"/>
                <w:sz w:val="20"/>
                <w:szCs w:val="20"/>
              </w:rPr>
            </w:pPr>
          </w:p>
        </w:tc>
      </w:tr>
      <w:tr w:rsidR="008C4F26" w:rsidRPr="003B6A69" w14:paraId="292AAA5C" w14:textId="77777777" w:rsidTr="008C4F26">
        <w:tc>
          <w:tcPr>
            <w:tcW w:w="1135" w:type="dxa"/>
          </w:tcPr>
          <w:p w14:paraId="501BDCE6" w14:textId="77777777" w:rsidR="008C4F26" w:rsidRPr="003B6A69" w:rsidRDefault="008C4F26" w:rsidP="006C1C66">
            <w:pPr>
              <w:spacing w:after="120"/>
              <w:rPr>
                <w:rFonts w:cstheme="minorHAnsi"/>
                <w:sz w:val="20"/>
                <w:szCs w:val="20"/>
              </w:rPr>
            </w:pPr>
          </w:p>
        </w:tc>
        <w:tc>
          <w:tcPr>
            <w:tcW w:w="4110" w:type="dxa"/>
          </w:tcPr>
          <w:p w14:paraId="57F65020" w14:textId="77777777" w:rsidR="008C4F26" w:rsidRPr="003B6A69" w:rsidRDefault="008C4F26" w:rsidP="006C1C66">
            <w:pPr>
              <w:autoSpaceDE w:val="0"/>
              <w:autoSpaceDN w:val="0"/>
              <w:adjustRightInd w:val="0"/>
              <w:spacing w:after="120"/>
              <w:jc w:val="center"/>
              <w:rPr>
                <w:rFonts w:cstheme="minorHAnsi"/>
                <w:b/>
                <w:color w:val="000000" w:themeColor="text1"/>
                <w:sz w:val="20"/>
                <w:szCs w:val="20"/>
              </w:rPr>
            </w:pPr>
            <w:r w:rsidRPr="003B6A69">
              <w:rPr>
                <w:rFonts w:cstheme="minorHAnsi"/>
                <w:b/>
                <w:color w:val="000000" w:themeColor="text1"/>
                <w:sz w:val="20"/>
                <w:szCs w:val="20"/>
              </w:rPr>
              <w:t>2. Sustainable use of mountain pastures</w:t>
            </w:r>
          </w:p>
          <w:p w14:paraId="1F6CBD09" w14:textId="77777777" w:rsidR="008C4F26" w:rsidRPr="003B6A69" w:rsidRDefault="008C4F26" w:rsidP="006C1C66">
            <w:pPr>
              <w:autoSpaceDE w:val="0"/>
              <w:autoSpaceDN w:val="0"/>
              <w:adjustRightInd w:val="0"/>
              <w:spacing w:after="120"/>
              <w:rPr>
                <w:rFonts w:cstheme="minorHAnsi"/>
                <w:color w:val="000000"/>
                <w:sz w:val="20"/>
                <w:szCs w:val="20"/>
              </w:rPr>
            </w:pPr>
            <w:r w:rsidRPr="003B6A69">
              <w:rPr>
                <w:rFonts w:cstheme="minorHAnsi"/>
                <w:b/>
                <w:i/>
                <w:color w:val="000000"/>
                <w:sz w:val="20"/>
                <w:szCs w:val="20"/>
              </w:rPr>
              <w:t>Description</w:t>
            </w:r>
            <w:r w:rsidRPr="003B6A69">
              <w:rPr>
                <w:rFonts w:cstheme="minorHAnsi"/>
                <w:color w:val="000000"/>
                <w:sz w:val="20"/>
                <w:szCs w:val="20"/>
              </w:rPr>
              <w:t>: conservation and sustainable use of natural resources; sustainable management of agricultural land; environmental protection; biodiversity conservation; maintenance of natural and cultural heritage; preservation of traditional products; restoration of pastures by removing bushes; and preventing conversion to forests.</w:t>
            </w:r>
          </w:p>
          <w:p w14:paraId="299CBAD8" w14:textId="77777777" w:rsidR="008C4F26" w:rsidRPr="003B6A69" w:rsidRDefault="008C4F26" w:rsidP="006C1C66">
            <w:pPr>
              <w:autoSpaceDE w:val="0"/>
              <w:autoSpaceDN w:val="0"/>
              <w:adjustRightInd w:val="0"/>
              <w:spacing w:after="120"/>
              <w:rPr>
                <w:rFonts w:cstheme="minorHAnsi"/>
                <w:color w:val="000000"/>
                <w:sz w:val="20"/>
                <w:szCs w:val="20"/>
              </w:rPr>
            </w:pPr>
            <w:r w:rsidRPr="003B6A69">
              <w:rPr>
                <w:rFonts w:cstheme="minorHAnsi"/>
                <w:b/>
                <w:i/>
                <w:color w:val="000000"/>
                <w:sz w:val="20"/>
                <w:szCs w:val="20"/>
              </w:rPr>
              <w:t>Beneficiaries</w:t>
            </w:r>
            <w:r w:rsidRPr="003B6A69">
              <w:rPr>
                <w:rFonts w:cstheme="minorHAnsi"/>
                <w:color w:val="000000"/>
                <w:sz w:val="20"/>
                <w:szCs w:val="20"/>
              </w:rPr>
              <w:t xml:space="preserve">: Support is given to agricultural holdings that keep cattle (their own and dairy cattle) on Montenegrin pastures for at least three months in a calendar year. </w:t>
            </w:r>
          </w:p>
          <w:p w14:paraId="7CB8A943" w14:textId="77777777" w:rsidR="008C4F26" w:rsidRPr="003B6A69" w:rsidRDefault="008C4F26" w:rsidP="006C1C66">
            <w:pPr>
              <w:autoSpaceDE w:val="0"/>
              <w:autoSpaceDN w:val="0"/>
              <w:adjustRightInd w:val="0"/>
              <w:spacing w:after="120"/>
              <w:rPr>
                <w:rFonts w:cstheme="minorHAnsi"/>
                <w:color w:val="000000"/>
                <w:sz w:val="20"/>
                <w:szCs w:val="20"/>
              </w:rPr>
            </w:pPr>
            <w:r w:rsidRPr="003B6A69">
              <w:rPr>
                <w:rFonts w:cstheme="minorHAnsi"/>
                <w:b/>
                <w:bCs/>
                <w:i/>
                <w:iCs/>
                <w:color w:val="000000"/>
                <w:sz w:val="20"/>
                <w:szCs w:val="20"/>
              </w:rPr>
              <w:t>Criteria:</w:t>
            </w:r>
            <w:r w:rsidRPr="003B6A69">
              <w:rPr>
                <w:rFonts w:cstheme="minorHAnsi"/>
                <w:color w:val="000000"/>
                <w:sz w:val="20"/>
                <w:szCs w:val="20"/>
              </w:rPr>
              <w:t xml:space="preserve"> Support takes the form of a conditional payment.</w:t>
            </w:r>
          </w:p>
          <w:p w14:paraId="53426367" w14:textId="77777777" w:rsidR="008C4F26" w:rsidRPr="003B6A69" w:rsidRDefault="008C4F26" w:rsidP="006C1C66">
            <w:pPr>
              <w:autoSpaceDE w:val="0"/>
              <w:autoSpaceDN w:val="0"/>
              <w:adjustRightInd w:val="0"/>
              <w:spacing w:after="120"/>
              <w:jc w:val="left"/>
              <w:rPr>
                <w:rFonts w:cstheme="minorHAnsi"/>
                <w:bCs/>
                <w:iCs/>
                <w:color w:val="000000"/>
                <w:sz w:val="20"/>
                <w:szCs w:val="20"/>
              </w:rPr>
            </w:pPr>
            <w:r w:rsidRPr="003B6A69">
              <w:rPr>
                <w:rFonts w:cstheme="minorHAnsi"/>
                <w:b/>
                <w:bCs/>
                <w:i/>
                <w:iCs/>
                <w:color w:val="000000"/>
                <w:sz w:val="20"/>
                <w:szCs w:val="20"/>
              </w:rPr>
              <w:t xml:space="preserve">Support mechanism: </w:t>
            </w:r>
            <w:proofErr w:type="spellStart"/>
            <w:r w:rsidRPr="003B6A69">
              <w:rPr>
                <w:rFonts w:cstheme="minorHAnsi"/>
                <w:bCs/>
                <w:iCs/>
                <w:color w:val="000000"/>
                <w:sz w:val="20"/>
                <w:szCs w:val="20"/>
              </w:rPr>
              <w:t>Agro</w:t>
            </w:r>
            <w:proofErr w:type="spellEnd"/>
            <w:r w:rsidRPr="003B6A69">
              <w:rPr>
                <w:rFonts w:cstheme="minorHAnsi"/>
                <w:bCs/>
                <w:iCs/>
                <w:color w:val="000000"/>
                <w:sz w:val="20"/>
                <w:szCs w:val="20"/>
              </w:rPr>
              <w:t>-budget, Rural Development Measures, Axis II - Measures for sustainable management of natural resources.</w:t>
            </w:r>
          </w:p>
          <w:p w14:paraId="34EC4E32" w14:textId="77777777" w:rsidR="008C4F26" w:rsidRPr="003B6A69" w:rsidRDefault="008C4F26" w:rsidP="006C1C66">
            <w:pPr>
              <w:spacing w:after="120"/>
              <w:rPr>
                <w:rFonts w:cstheme="minorHAnsi"/>
                <w:sz w:val="20"/>
                <w:szCs w:val="20"/>
              </w:rPr>
            </w:pPr>
            <w:r w:rsidRPr="003B6A69">
              <w:rPr>
                <w:rFonts w:cstheme="minorHAnsi"/>
                <w:bCs/>
                <w:iCs/>
                <w:sz w:val="20"/>
                <w:szCs w:val="20"/>
              </w:rPr>
              <w:t>Responsible institution: MARD;</w:t>
            </w:r>
            <w:r w:rsidRPr="003B6A69">
              <w:rPr>
                <w:rFonts w:cstheme="minorHAnsi"/>
                <w:sz w:val="20"/>
                <w:szCs w:val="20"/>
              </w:rPr>
              <w:t xml:space="preserve"> Directorate for Rural Development; Advisory Service in Animal Husbandry</w:t>
            </w:r>
          </w:p>
        </w:tc>
        <w:tc>
          <w:tcPr>
            <w:tcW w:w="4536" w:type="dxa"/>
          </w:tcPr>
          <w:p w14:paraId="68809D97" w14:textId="77777777" w:rsidR="008C4F26" w:rsidRPr="003B6A69" w:rsidRDefault="008C4F26" w:rsidP="006C1C66">
            <w:pPr>
              <w:spacing w:after="120"/>
              <w:rPr>
                <w:rFonts w:cstheme="minorHAnsi"/>
                <w:sz w:val="20"/>
                <w:szCs w:val="20"/>
              </w:rPr>
            </w:pPr>
            <w:r w:rsidRPr="003B6A69">
              <w:rPr>
                <w:rFonts w:cstheme="minorHAnsi"/>
                <w:sz w:val="20"/>
                <w:szCs w:val="20"/>
              </w:rPr>
              <w:t xml:space="preserve">Sustainable use of mountain pastures and raising cattle on pastures is a very important segment for preserving biodiversity (specific flora and fauna, use of adapted local animal breeds), and has a special economic significance for farms by producing mountain cheese and cream in order to increase added </w:t>
            </w:r>
            <w:proofErr w:type="gramStart"/>
            <w:r w:rsidRPr="003B6A69">
              <w:rPr>
                <w:rFonts w:cstheme="minorHAnsi"/>
                <w:sz w:val="20"/>
                <w:szCs w:val="20"/>
              </w:rPr>
              <w:t>value  for</w:t>
            </w:r>
            <w:proofErr w:type="gramEnd"/>
            <w:r w:rsidRPr="003B6A69">
              <w:rPr>
                <w:rFonts w:cstheme="minorHAnsi"/>
                <w:sz w:val="20"/>
                <w:szCs w:val="20"/>
              </w:rPr>
              <w:t xml:space="preserve"> farms. This measure contributes to the preservation of biodiversity and traditional “open” landscapes.</w:t>
            </w:r>
          </w:p>
        </w:tc>
      </w:tr>
      <w:tr w:rsidR="008C4F26" w:rsidRPr="003B6A69" w14:paraId="5D4077FA" w14:textId="77777777" w:rsidTr="008C4F26">
        <w:tc>
          <w:tcPr>
            <w:tcW w:w="1135" w:type="dxa"/>
          </w:tcPr>
          <w:p w14:paraId="64D6529A" w14:textId="77777777" w:rsidR="008C4F26" w:rsidRPr="003B6A69" w:rsidRDefault="008C4F26" w:rsidP="006C1C66">
            <w:pPr>
              <w:spacing w:after="120"/>
              <w:rPr>
                <w:rFonts w:cstheme="minorHAnsi"/>
                <w:sz w:val="20"/>
                <w:szCs w:val="20"/>
              </w:rPr>
            </w:pPr>
          </w:p>
        </w:tc>
        <w:tc>
          <w:tcPr>
            <w:tcW w:w="4110" w:type="dxa"/>
          </w:tcPr>
          <w:p w14:paraId="0D2BCD38" w14:textId="77777777" w:rsidR="008C4F26" w:rsidRPr="003B6A69" w:rsidRDefault="008C4F26" w:rsidP="003C6B7B">
            <w:pPr>
              <w:numPr>
                <w:ilvl w:val="0"/>
                <w:numId w:val="26"/>
              </w:numPr>
              <w:autoSpaceDE w:val="0"/>
              <w:autoSpaceDN w:val="0"/>
              <w:adjustRightInd w:val="0"/>
              <w:spacing w:after="120"/>
              <w:jc w:val="left"/>
              <w:rPr>
                <w:rFonts w:cstheme="minorHAnsi"/>
                <w:b/>
                <w:color w:val="000000"/>
                <w:sz w:val="20"/>
                <w:szCs w:val="20"/>
              </w:rPr>
            </w:pPr>
            <w:r w:rsidRPr="003B6A69">
              <w:rPr>
                <w:rFonts w:cstheme="minorHAnsi"/>
                <w:b/>
                <w:color w:val="000000"/>
                <w:sz w:val="20"/>
                <w:szCs w:val="20"/>
              </w:rPr>
              <w:t>Manure management support</w:t>
            </w:r>
          </w:p>
          <w:p w14:paraId="646C86B4" w14:textId="77777777" w:rsidR="008C4F26" w:rsidRPr="003B6A69" w:rsidRDefault="008C4F26" w:rsidP="006C1C66">
            <w:pPr>
              <w:spacing w:after="120"/>
              <w:rPr>
                <w:rFonts w:cstheme="minorHAnsi"/>
                <w:sz w:val="20"/>
                <w:szCs w:val="20"/>
              </w:rPr>
            </w:pPr>
            <w:r w:rsidRPr="003B6A69">
              <w:rPr>
                <w:rFonts w:cstheme="minorHAnsi"/>
                <w:b/>
                <w:i/>
                <w:sz w:val="20"/>
                <w:szCs w:val="20"/>
              </w:rPr>
              <w:t>Description</w:t>
            </w:r>
            <w:r w:rsidRPr="003B6A69">
              <w:rPr>
                <w:rFonts w:cstheme="minorHAnsi"/>
                <w:sz w:val="20"/>
                <w:szCs w:val="20"/>
              </w:rPr>
              <w:t xml:space="preserve">: Support is provided for the construction and reconstruction of manure storage facilities (pools) including specialized manure storage tanks. The aim is to address the issue of manure disposal; resolving wastewater issues; and </w:t>
            </w:r>
            <w:proofErr w:type="spellStart"/>
            <w:r w:rsidRPr="003B6A69">
              <w:rPr>
                <w:rFonts w:cstheme="minorHAnsi"/>
                <w:sz w:val="20"/>
                <w:szCs w:val="20"/>
              </w:rPr>
              <w:t>preservating</w:t>
            </w:r>
            <w:proofErr w:type="spellEnd"/>
            <w:r w:rsidRPr="003B6A69">
              <w:rPr>
                <w:rFonts w:cstheme="minorHAnsi"/>
                <w:sz w:val="20"/>
                <w:szCs w:val="20"/>
              </w:rPr>
              <w:t xml:space="preserve"> the environment</w:t>
            </w:r>
          </w:p>
          <w:p w14:paraId="32788B6C" w14:textId="77777777" w:rsidR="008C4F26" w:rsidRPr="003B6A69" w:rsidRDefault="008C4F26" w:rsidP="006C1C66">
            <w:pPr>
              <w:spacing w:after="120"/>
              <w:rPr>
                <w:rFonts w:cstheme="minorHAnsi"/>
                <w:sz w:val="20"/>
                <w:szCs w:val="20"/>
              </w:rPr>
            </w:pPr>
            <w:r w:rsidRPr="003B6A69">
              <w:rPr>
                <w:rFonts w:cstheme="minorHAnsi"/>
                <w:b/>
                <w:i/>
                <w:sz w:val="20"/>
                <w:szCs w:val="20"/>
              </w:rPr>
              <w:t>Beneficiaries</w:t>
            </w:r>
            <w:r w:rsidRPr="003B6A69">
              <w:rPr>
                <w:rFonts w:cstheme="minorHAnsi"/>
                <w:sz w:val="20"/>
                <w:szCs w:val="20"/>
              </w:rPr>
              <w:t>: Agricultural holdings registered in the Register of Agricultural Holdings have the right to support.</w:t>
            </w:r>
          </w:p>
          <w:p w14:paraId="55897484" w14:textId="77777777" w:rsidR="008C4F26" w:rsidRPr="003B6A69" w:rsidRDefault="008C4F26" w:rsidP="006C1C66">
            <w:pPr>
              <w:spacing w:after="120"/>
              <w:rPr>
                <w:rFonts w:cstheme="minorHAnsi"/>
                <w:sz w:val="20"/>
                <w:szCs w:val="20"/>
              </w:rPr>
            </w:pPr>
            <w:r w:rsidRPr="003B6A69">
              <w:rPr>
                <w:rFonts w:cstheme="minorHAnsi"/>
                <w:b/>
                <w:bCs/>
                <w:i/>
                <w:iCs/>
                <w:sz w:val="20"/>
                <w:szCs w:val="20"/>
              </w:rPr>
              <w:t>Criteria:</w:t>
            </w:r>
            <w:r w:rsidRPr="003B6A69">
              <w:rPr>
                <w:rFonts w:cstheme="minorHAnsi"/>
                <w:sz w:val="20"/>
                <w:szCs w:val="20"/>
              </w:rPr>
              <w:t xml:space="preserve"> The maximum eligible investment is € 4,000 with budget support up to 60% of the value of the eligible investment (up to € 2,400), except for young farmers (up to 40 years of age at the time of the public call) where the support is up to 70% eligible investment (up to € 2,800) and an additional 5% for those applicants who perform agricultural activity as their only or main occupation, i.e. that they are registered in the Register of Farmers in accordance with the </w:t>
            </w:r>
            <w:r w:rsidRPr="003B6A69">
              <w:rPr>
                <w:rFonts w:cstheme="minorHAnsi"/>
                <w:sz w:val="20"/>
                <w:szCs w:val="20"/>
              </w:rPr>
              <w:lastRenderedPageBreak/>
              <w:t xml:space="preserve">regulation governing agricultural activities as their sole or main occupation and who have paid contributions in accordance with the law entry in the Register of Farmers until the moment of submitting the request for support. More detailed criteria and conditions for exercising the right to support will be defined by the Public Invitation. </w:t>
            </w:r>
          </w:p>
          <w:p w14:paraId="1547D455" w14:textId="77777777" w:rsidR="008C4F26" w:rsidRPr="003B6A69" w:rsidRDefault="008C4F26" w:rsidP="006C1C66">
            <w:pPr>
              <w:spacing w:after="120"/>
              <w:rPr>
                <w:rFonts w:cstheme="minorHAnsi"/>
                <w:bCs/>
                <w:iCs/>
                <w:sz w:val="20"/>
                <w:szCs w:val="20"/>
              </w:rPr>
            </w:pPr>
            <w:r w:rsidRPr="003B6A69">
              <w:rPr>
                <w:rFonts w:cstheme="minorHAnsi"/>
                <w:b/>
                <w:bCs/>
                <w:i/>
                <w:iCs/>
                <w:sz w:val="20"/>
                <w:szCs w:val="20"/>
              </w:rPr>
              <w:t xml:space="preserve">Support mechanism: </w:t>
            </w:r>
            <w:proofErr w:type="spellStart"/>
            <w:r w:rsidRPr="003B6A69">
              <w:rPr>
                <w:rFonts w:cstheme="minorHAnsi"/>
                <w:bCs/>
                <w:iCs/>
                <w:sz w:val="20"/>
                <w:szCs w:val="20"/>
              </w:rPr>
              <w:t>Agro</w:t>
            </w:r>
            <w:proofErr w:type="spellEnd"/>
            <w:r w:rsidRPr="003B6A69">
              <w:rPr>
                <w:rFonts w:cstheme="minorHAnsi"/>
                <w:bCs/>
                <w:iCs/>
                <w:sz w:val="20"/>
                <w:szCs w:val="20"/>
              </w:rPr>
              <w:t>-budget, Rural Development Measures, Axis II - Measures for sustainable management of natural resources</w:t>
            </w:r>
          </w:p>
          <w:p w14:paraId="7FA97553" w14:textId="77777777" w:rsidR="008C4F26" w:rsidRPr="003B6A69" w:rsidRDefault="008C4F26" w:rsidP="006C1C66">
            <w:pPr>
              <w:spacing w:after="120"/>
              <w:rPr>
                <w:rFonts w:cstheme="minorHAnsi"/>
                <w:sz w:val="20"/>
                <w:szCs w:val="20"/>
              </w:rPr>
            </w:pPr>
            <w:r w:rsidRPr="003B6A69">
              <w:rPr>
                <w:rFonts w:cstheme="minorHAnsi"/>
                <w:bCs/>
                <w:iCs/>
                <w:sz w:val="20"/>
                <w:szCs w:val="20"/>
              </w:rPr>
              <w:t>Responsible institution: MARD;</w:t>
            </w:r>
            <w:r w:rsidRPr="003B6A69">
              <w:rPr>
                <w:rFonts w:cstheme="minorHAnsi"/>
                <w:sz w:val="20"/>
                <w:szCs w:val="20"/>
              </w:rPr>
              <w:t xml:space="preserve"> Directorate for Rural Development; Advisory Service in Animal Husbandry</w:t>
            </w:r>
          </w:p>
        </w:tc>
        <w:tc>
          <w:tcPr>
            <w:tcW w:w="4536" w:type="dxa"/>
          </w:tcPr>
          <w:p w14:paraId="2306F70D" w14:textId="77777777" w:rsidR="008C4F26" w:rsidRPr="003B6A69" w:rsidRDefault="008C4F26" w:rsidP="006C1C66">
            <w:pPr>
              <w:spacing w:after="120"/>
              <w:rPr>
                <w:rFonts w:cstheme="minorHAnsi"/>
                <w:sz w:val="20"/>
                <w:szCs w:val="20"/>
              </w:rPr>
            </w:pPr>
            <w:r w:rsidRPr="003B6A69">
              <w:rPr>
                <w:rFonts w:cstheme="minorHAnsi"/>
                <w:sz w:val="20"/>
                <w:szCs w:val="20"/>
              </w:rPr>
              <w:lastRenderedPageBreak/>
              <w:t xml:space="preserve">By reviewing the situation on the ground, </w:t>
            </w:r>
            <w:proofErr w:type="gramStart"/>
            <w:r w:rsidRPr="003B6A69">
              <w:rPr>
                <w:rFonts w:cstheme="minorHAnsi"/>
                <w:sz w:val="20"/>
                <w:szCs w:val="20"/>
              </w:rPr>
              <w:t>a number of</w:t>
            </w:r>
            <w:proofErr w:type="gramEnd"/>
            <w:r w:rsidRPr="003B6A69">
              <w:rPr>
                <w:rFonts w:cstheme="minorHAnsi"/>
                <w:sz w:val="20"/>
                <w:szCs w:val="20"/>
              </w:rPr>
              <w:t xml:space="preserve"> areas have been identified in which farmers will have to invest additional funds in order to meet the standards prescribed by the Code of Good Agricultural Practice. The most common agri-environmental risk is the risk of localized contamination of surface and groundwater with manure, liquid manure, and contaminated water and, to a lesser extent, silage wastewater.</w:t>
            </w:r>
          </w:p>
        </w:tc>
      </w:tr>
      <w:tr w:rsidR="008C4F26" w:rsidRPr="003B6A69" w14:paraId="23B9B738" w14:textId="77777777" w:rsidTr="008C4F26">
        <w:tc>
          <w:tcPr>
            <w:tcW w:w="1135" w:type="dxa"/>
          </w:tcPr>
          <w:p w14:paraId="0D478BE3" w14:textId="77777777" w:rsidR="008C4F26" w:rsidRPr="003B6A69" w:rsidRDefault="008C4F26" w:rsidP="006C1C66">
            <w:pPr>
              <w:spacing w:after="120"/>
              <w:rPr>
                <w:rFonts w:cstheme="minorHAnsi"/>
                <w:sz w:val="20"/>
                <w:szCs w:val="20"/>
              </w:rPr>
            </w:pPr>
          </w:p>
        </w:tc>
        <w:tc>
          <w:tcPr>
            <w:tcW w:w="4110" w:type="dxa"/>
          </w:tcPr>
          <w:tbl>
            <w:tblPr>
              <w:tblW w:w="5420" w:type="dxa"/>
              <w:tblBorders>
                <w:top w:val="nil"/>
                <w:left w:val="nil"/>
                <w:bottom w:val="nil"/>
                <w:right w:val="nil"/>
              </w:tblBorders>
              <w:tblLayout w:type="fixed"/>
              <w:tblLook w:val="0000" w:firstRow="0" w:lastRow="0" w:firstColumn="0" w:lastColumn="0" w:noHBand="0" w:noVBand="0"/>
            </w:tblPr>
            <w:tblGrid>
              <w:gridCol w:w="5420"/>
            </w:tblGrid>
            <w:tr w:rsidR="008C4F26" w:rsidRPr="003B6A69" w14:paraId="4B99AFE9" w14:textId="77777777" w:rsidTr="008C4F26">
              <w:trPr>
                <w:trHeight w:val="103"/>
              </w:trPr>
              <w:tc>
                <w:tcPr>
                  <w:tcW w:w="5420" w:type="dxa"/>
                </w:tcPr>
                <w:p w14:paraId="0CCE43AF" w14:textId="77777777" w:rsidR="008C4F26" w:rsidRPr="003B6A69" w:rsidRDefault="008C4F26" w:rsidP="006C1C66">
                  <w:pPr>
                    <w:autoSpaceDE w:val="0"/>
                    <w:autoSpaceDN w:val="0"/>
                    <w:adjustRightInd w:val="0"/>
                    <w:spacing w:after="120"/>
                    <w:ind w:right="1452"/>
                    <w:jc w:val="center"/>
                    <w:rPr>
                      <w:rFonts w:asciiTheme="minorHAnsi" w:eastAsiaTheme="minorHAnsi" w:hAnsiTheme="minorHAnsi" w:cstheme="minorHAnsi"/>
                      <w:b/>
                      <w:bCs/>
                      <w:iCs/>
                      <w:color w:val="000000"/>
                      <w:szCs w:val="20"/>
                    </w:rPr>
                  </w:pPr>
                  <w:r w:rsidRPr="003B6A69">
                    <w:rPr>
                      <w:rFonts w:asciiTheme="minorHAnsi" w:eastAsiaTheme="minorHAnsi" w:hAnsiTheme="minorHAnsi" w:cstheme="minorHAnsi"/>
                      <w:b/>
                      <w:bCs/>
                      <w:iCs/>
                      <w:color w:val="000000"/>
                      <w:szCs w:val="20"/>
                    </w:rPr>
                    <w:t>4. Support for investments in the adaptation of mountain katuns</w:t>
                  </w:r>
                </w:p>
                <w:p w14:paraId="6007373C" w14:textId="77777777" w:rsidR="008C4F26" w:rsidRPr="003B6A69" w:rsidRDefault="008C4F26" w:rsidP="006C1C66">
                  <w:pPr>
                    <w:autoSpaceDE w:val="0"/>
                    <w:autoSpaceDN w:val="0"/>
                    <w:adjustRightInd w:val="0"/>
                    <w:spacing w:after="120"/>
                    <w:ind w:right="1452"/>
                    <w:rPr>
                      <w:rFonts w:asciiTheme="minorHAnsi" w:eastAsiaTheme="minorHAnsi" w:hAnsiTheme="minorHAnsi" w:cstheme="minorHAnsi"/>
                      <w:color w:val="000000"/>
                      <w:szCs w:val="20"/>
                    </w:rPr>
                  </w:pPr>
                  <w:r w:rsidRPr="003B6A69">
                    <w:rPr>
                      <w:rFonts w:asciiTheme="minorHAnsi" w:eastAsiaTheme="minorHAnsi" w:hAnsiTheme="minorHAnsi" w:cstheme="minorHAnsi"/>
                      <w:b/>
                      <w:bCs/>
                      <w:i/>
                      <w:iCs/>
                      <w:color w:val="000000"/>
                      <w:szCs w:val="20"/>
                    </w:rPr>
                    <w:t xml:space="preserve">Description: </w:t>
                  </w:r>
                  <w:r w:rsidRPr="003B6A69">
                    <w:rPr>
                      <w:rFonts w:asciiTheme="minorHAnsi" w:eastAsiaTheme="minorHAnsi" w:hAnsiTheme="minorHAnsi" w:cstheme="minorHAnsi"/>
                      <w:bCs/>
                      <w:iCs/>
                      <w:color w:val="000000"/>
                      <w:szCs w:val="20"/>
                    </w:rPr>
                    <w:t>increasing income on farms through the sale of agricultural products produced on pastures; support to the traditional local economy of farmers in mountainous areas through the development of opportunities for added value in agricultural production, the complete production process and better living or working conditions on farms or pastures; contribution to the preservation of biodiversity and traditional “open” landscapes; and improving the supply of agricultural products.</w:t>
                  </w:r>
                </w:p>
                <w:p w14:paraId="0FDEEE83" w14:textId="77777777" w:rsidR="008C4F26" w:rsidRPr="003B6A69" w:rsidRDefault="008C4F26" w:rsidP="006C1C66">
                  <w:pPr>
                    <w:autoSpaceDE w:val="0"/>
                    <w:autoSpaceDN w:val="0"/>
                    <w:adjustRightInd w:val="0"/>
                    <w:spacing w:after="120"/>
                    <w:ind w:right="1452"/>
                    <w:rPr>
                      <w:rFonts w:asciiTheme="minorHAnsi" w:eastAsiaTheme="minorHAnsi" w:hAnsiTheme="minorHAnsi" w:cstheme="minorHAnsi"/>
                      <w:color w:val="000000"/>
                      <w:szCs w:val="20"/>
                    </w:rPr>
                  </w:pPr>
                  <w:r w:rsidRPr="003B6A69">
                    <w:rPr>
                      <w:rFonts w:asciiTheme="minorHAnsi" w:eastAsiaTheme="minorHAnsi" w:hAnsiTheme="minorHAnsi" w:cstheme="minorHAnsi"/>
                      <w:b/>
                      <w:i/>
                      <w:color w:val="000000"/>
                      <w:szCs w:val="20"/>
                    </w:rPr>
                    <w:t>Beneficiaries</w:t>
                  </w:r>
                  <w:r w:rsidRPr="003B6A69">
                    <w:rPr>
                      <w:rFonts w:asciiTheme="minorHAnsi" w:eastAsiaTheme="minorHAnsi" w:hAnsiTheme="minorHAnsi" w:cstheme="minorHAnsi"/>
                      <w:color w:val="000000"/>
                      <w:szCs w:val="20"/>
                    </w:rPr>
                    <w:t xml:space="preserve">. Agricultural holdings registered in the Register of Agricultural Holdings have the right to support. </w:t>
                  </w:r>
                </w:p>
                <w:p w14:paraId="7670D8C6" w14:textId="77777777" w:rsidR="008C4F26" w:rsidRPr="003B6A69" w:rsidRDefault="008C4F26" w:rsidP="006C1C66">
                  <w:pPr>
                    <w:autoSpaceDE w:val="0"/>
                    <w:autoSpaceDN w:val="0"/>
                    <w:adjustRightInd w:val="0"/>
                    <w:spacing w:after="120"/>
                    <w:ind w:right="1452"/>
                    <w:rPr>
                      <w:rFonts w:asciiTheme="minorHAnsi" w:eastAsiaTheme="minorHAnsi" w:hAnsiTheme="minorHAnsi" w:cstheme="minorHAnsi"/>
                      <w:color w:val="000000"/>
                      <w:szCs w:val="20"/>
                    </w:rPr>
                  </w:pPr>
                  <w:r w:rsidRPr="003B6A69">
                    <w:rPr>
                      <w:rFonts w:asciiTheme="minorHAnsi" w:eastAsiaTheme="minorHAnsi" w:hAnsiTheme="minorHAnsi" w:cstheme="minorHAnsi"/>
                      <w:b/>
                      <w:bCs/>
                      <w:i/>
                      <w:iCs/>
                      <w:color w:val="000000"/>
                      <w:szCs w:val="20"/>
                    </w:rPr>
                    <w:t>Criteria:</w:t>
                  </w:r>
                  <w:r w:rsidRPr="003B6A69">
                    <w:rPr>
                      <w:rFonts w:asciiTheme="minorHAnsi" w:eastAsiaTheme="minorHAnsi" w:hAnsiTheme="minorHAnsi" w:cstheme="minorHAnsi"/>
                      <w:color w:val="000000"/>
                      <w:szCs w:val="20"/>
                    </w:rPr>
                    <w:t xml:space="preserve"> Support to agricultural farms that have been entitled to subsidies for sustainable use of mountain pastures (katuns) for the last three years.</w:t>
                  </w:r>
                </w:p>
                <w:p w14:paraId="6239252E" w14:textId="77777777" w:rsidR="008C4F26" w:rsidRPr="003B6A69" w:rsidRDefault="008C4F26" w:rsidP="006C1C66">
                  <w:pPr>
                    <w:autoSpaceDE w:val="0"/>
                    <w:autoSpaceDN w:val="0"/>
                    <w:adjustRightInd w:val="0"/>
                    <w:spacing w:after="120"/>
                    <w:ind w:right="1452"/>
                    <w:rPr>
                      <w:rFonts w:asciiTheme="minorHAnsi" w:eastAsiaTheme="minorHAnsi" w:hAnsiTheme="minorHAnsi" w:cstheme="minorHAnsi"/>
                      <w:bCs/>
                      <w:iCs/>
                      <w:color w:val="000000"/>
                      <w:szCs w:val="20"/>
                    </w:rPr>
                  </w:pPr>
                  <w:r w:rsidRPr="003B6A69">
                    <w:rPr>
                      <w:rFonts w:asciiTheme="minorHAnsi" w:eastAsiaTheme="minorHAnsi" w:hAnsiTheme="minorHAnsi" w:cstheme="minorHAnsi"/>
                      <w:b/>
                      <w:bCs/>
                      <w:i/>
                      <w:iCs/>
                      <w:color w:val="000000"/>
                      <w:szCs w:val="20"/>
                    </w:rPr>
                    <w:t xml:space="preserve">Support mechanism: </w:t>
                  </w:r>
                  <w:proofErr w:type="spellStart"/>
                  <w:r w:rsidRPr="003B6A69">
                    <w:rPr>
                      <w:rFonts w:asciiTheme="minorHAnsi" w:eastAsiaTheme="minorHAnsi" w:hAnsiTheme="minorHAnsi" w:cstheme="minorHAnsi"/>
                      <w:bCs/>
                      <w:iCs/>
                      <w:color w:val="000000"/>
                      <w:szCs w:val="20"/>
                    </w:rPr>
                    <w:t>Agro</w:t>
                  </w:r>
                  <w:proofErr w:type="spellEnd"/>
                  <w:r w:rsidRPr="003B6A69">
                    <w:rPr>
                      <w:rFonts w:asciiTheme="minorHAnsi" w:eastAsiaTheme="minorHAnsi" w:hAnsiTheme="minorHAnsi" w:cstheme="minorHAnsi"/>
                      <w:bCs/>
                      <w:iCs/>
                      <w:color w:val="000000"/>
                      <w:szCs w:val="20"/>
                    </w:rPr>
                    <w:t>-budget, Rural Development Measures, Axis III - Measures for improvement of the quality of life and expanding of the economic activities in rural areas</w:t>
                  </w:r>
                </w:p>
                <w:p w14:paraId="45543C4A" w14:textId="77777777" w:rsidR="008C4F26" w:rsidRPr="003B6A69" w:rsidRDefault="008C4F26" w:rsidP="006C1C66">
                  <w:pPr>
                    <w:autoSpaceDE w:val="0"/>
                    <w:autoSpaceDN w:val="0"/>
                    <w:adjustRightInd w:val="0"/>
                    <w:spacing w:after="120"/>
                    <w:ind w:right="1593"/>
                    <w:rPr>
                      <w:rFonts w:asciiTheme="minorHAnsi" w:eastAsiaTheme="minorHAnsi" w:hAnsiTheme="minorHAnsi" w:cstheme="minorHAnsi"/>
                      <w:color w:val="000000"/>
                      <w:szCs w:val="20"/>
                    </w:rPr>
                  </w:pPr>
                  <w:r w:rsidRPr="003B6A69">
                    <w:rPr>
                      <w:rFonts w:asciiTheme="minorHAnsi" w:eastAsiaTheme="minorHAnsi" w:hAnsiTheme="minorHAnsi" w:cstheme="minorHAnsi"/>
                      <w:bCs/>
                      <w:iCs/>
                      <w:color w:val="000000"/>
                      <w:szCs w:val="20"/>
                    </w:rPr>
                    <w:t>Responsible institution: MARD;</w:t>
                  </w:r>
                  <w:r w:rsidRPr="003B6A69">
                    <w:rPr>
                      <w:rFonts w:asciiTheme="minorHAnsi" w:eastAsiaTheme="minorHAnsi" w:hAnsiTheme="minorHAnsi" w:cstheme="minorHAnsi"/>
                      <w:color w:val="000000"/>
                      <w:szCs w:val="20"/>
                    </w:rPr>
                    <w:t xml:space="preserve"> Directorate for Rural Development; Direction for monitoring and evaluation</w:t>
                  </w:r>
                </w:p>
              </w:tc>
            </w:tr>
          </w:tbl>
          <w:p w14:paraId="61FE4CFE" w14:textId="77777777" w:rsidR="008C4F26" w:rsidRPr="003B6A69" w:rsidRDefault="008C4F26" w:rsidP="006C1C66">
            <w:pPr>
              <w:spacing w:after="120"/>
              <w:rPr>
                <w:rFonts w:cstheme="minorHAnsi"/>
                <w:sz w:val="20"/>
                <w:szCs w:val="20"/>
              </w:rPr>
            </w:pPr>
          </w:p>
        </w:tc>
        <w:tc>
          <w:tcPr>
            <w:tcW w:w="4536" w:type="dxa"/>
          </w:tcPr>
          <w:p w14:paraId="73DC93D2" w14:textId="77777777" w:rsidR="008C4F26" w:rsidRPr="003B6A69" w:rsidRDefault="008C4F26" w:rsidP="006C1C66">
            <w:pPr>
              <w:spacing w:after="120"/>
              <w:rPr>
                <w:rFonts w:cstheme="minorHAnsi"/>
                <w:sz w:val="20"/>
                <w:szCs w:val="20"/>
              </w:rPr>
            </w:pPr>
            <w:r w:rsidRPr="003B6A69">
              <w:rPr>
                <w:rFonts w:cstheme="minorHAnsi"/>
                <w:sz w:val="20"/>
                <w:szCs w:val="20"/>
              </w:rPr>
              <w:t xml:space="preserve">Sustainable use of mountain pastures and raising cattle on pastures is a very important segment for biodiversity conservation (specific flora and fauna, use of adapted local animal breeds), and has a special economic significance for farms by producing mountain cheese and cream </w:t>
            </w:r>
            <w:proofErr w:type="gramStart"/>
            <w:r w:rsidRPr="003B6A69">
              <w:rPr>
                <w:rFonts w:cstheme="minorHAnsi"/>
                <w:sz w:val="20"/>
                <w:szCs w:val="20"/>
              </w:rPr>
              <w:t>in order to</w:t>
            </w:r>
            <w:proofErr w:type="gramEnd"/>
            <w:r w:rsidRPr="003B6A69">
              <w:rPr>
                <w:rFonts w:cstheme="minorHAnsi"/>
                <w:sz w:val="20"/>
                <w:szCs w:val="20"/>
              </w:rPr>
              <w:t xml:space="preserve"> increase added value on farms.</w:t>
            </w:r>
          </w:p>
          <w:p w14:paraId="701FE08A" w14:textId="77777777" w:rsidR="008C4F26" w:rsidRPr="003B6A69" w:rsidRDefault="008C4F26" w:rsidP="006C1C66">
            <w:pPr>
              <w:autoSpaceDE w:val="0"/>
              <w:autoSpaceDN w:val="0"/>
              <w:adjustRightInd w:val="0"/>
              <w:spacing w:after="120"/>
              <w:rPr>
                <w:rFonts w:cstheme="minorHAnsi"/>
                <w:color w:val="000000"/>
                <w:sz w:val="20"/>
                <w:szCs w:val="20"/>
              </w:rPr>
            </w:pPr>
            <w:r w:rsidRPr="003B6A69">
              <w:rPr>
                <w:rFonts w:cstheme="minorHAnsi"/>
                <w:color w:val="000000"/>
                <w:sz w:val="20"/>
                <w:szCs w:val="20"/>
              </w:rPr>
              <w:t>Support is granted for investments in the adaptation of huts (on the katun) in the mountains for farmers and their families while maintaining traditional aspects of construction, regulation of water supply (reconstruction of existing drinking troughs, reconstruction of existing watering systems, as an alternative to natural water sources and purchase of plastic water tanks ) and procurement and installation of photovoltaic systems and procurement of cooling devices that can be powered by a photovoltaic system.</w:t>
            </w:r>
          </w:p>
          <w:p w14:paraId="11F5F4B6" w14:textId="77777777" w:rsidR="008C4F26" w:rsidRPr="003B6A69" w:rsidRDefault="008C4F26" w:rsidP="006C1C66">
            <w:pPr>
              <w:spacing w:after="120"/>
              <w:rPr>
                <w:rFonts w:cstheme="minorHAnsi"/>
                <w:sz w:val="20"/>
                <w:szCs w:val="20"/>
              </w:rPr>
            </w:pPr>
          </w:p>
        </w:tc>
      </w:tr>
      <w:tr w:rsidR="008C4F26" w:rsidRPr="003B6A69" w14:paraId="04EC44FC" w14:textId="77777777" w:rsidTr="008C4F26">
        <w:tc>
          <w:tcPr>
            <w:tcW w:w="1135" w:type="dxa"/>
          </w:tcPr>
          <w:p w14:paraId="26B6B5AA" w14:textId="77777777" w:rsidR="008C4F26" w:rsidRPr="003B6A69" w:rsidRDefault="008C4F26" w:rsidP="006C1C66">
            <w:pPr>
              <w:spacing w:after="120"/>
              <w:rPr>
                <w:rFonts w:cstheme="minorHAnsi"/>
                <w:sz w:val="20"/>
                <w:szCs w:val="20"/>
              </w:rPr>
            </w:pPr>
            <w:r w:rsidRPr="003B6A69">
              <w:rPr>
                <w:rFonts w:cstheme="minorHAnsi"/>
                <w:sz w:val="20"/>
                <w:szCs w:val="20"/>
              </w:rPr>
              <w:t>M11 – Organic farming</w:t>
            </w:r>
          </w:p>
        </w:tc>
        <w:tc>
          <w:tcPr>
            <w:tcW w:w="4110" w:type="dxa"/>
          </w:tcPr>
          <w:p w14:paraId="4A63F7D3" w14:textId="77777777" w:rsidR="008C4F26" w:rsidRPr="003B6A69" w:rsidRDefault="008C4F26" w:rsidP="006C1C66">
            <w:pPr>
              <w:spacing w:after="120"/>
              <w:jc w:val="center"/>
              <w:rPr>
                <w:rFonts w:cstheme="minorHAnsi"/>
                <w:b/>
                <w:sz w:val="20"/>
                <w:szCs w:val="20"/>
              </w:rPr>
            </w:pPr>
            <w:r w:rsidRPr="003B6A69">
              <w:rPr>
                <w:rFonts w:cstheme="minorHAnsi"/>
                <w:b/>
                <w:sz w:val="20"/>
                <w:szCs w:val="20"/>
              </w:rPr>
              <w:t>Support to organic production</w:t>
            </w:r>
          </w:p>
          <w:p w14:paraId="782734E9" w14:textId="77777777" w:rsidR="008C4F26" w:rsidRPr="003B6A69" w:rsidRDefault="008C4F26" w:rsidP="006C1C66">
            <w:pPr>
              <w:spacing w:after="120"/>
              <w:rPr>
                <w:rFonts w:cstheme="minorHAnsi"/>
                <w:sz w:val="20"/>
                <w:szCs w:val="20"/>
              </w:rPr>
            </w:pPr>
            <w:r w:rsidRPr="003B6A69">
              <w:rPr>
                <w:rFonts w:cstheme="minorHAnsi"/>
                <w:b/>
                <w:i/>
                <w:sz w:val="20"/>
                <w:szCs w:val="20"/>
              </w:rPr>
              <w:t>Description</w:t>
            </w:r>
            <w:r w:rsidRPr="003B6A69">
              <w:rPr>
                <w:rFonts w:cstheme="minorHAnsi"/>
                <w:sz w:val="20"/>
                <w:szCs w:val="20"/>
              </w:rPr>
              <w:t xml:space="preserve">: The aim is sustainable management of natural resources; reduction of negative impacts of agriculture on the environment; biodiversity conservation; raising the quality of agricultural products; contribution to the </w:t>
            </w:r>
            <w:r w:rsidRPr="003B6A69">
              <w:rPr>
                <w:rFonts w:cstheme="minorHAnsi"/>
                <w:sz w:val="20"/>
                <w:szCs w:val="20"/>
              </w:rPr>
              <w:lastRenderedPageBreak/>
              <w:t>affirmation of Montenegro as an ecological state; introduction of new control mechanisms for direct payments through the Payments Directorate; gradual creation of mechanisms for building an Integrated Administrative Control System in the Payments Directorate.</w:t>
            </w:r>
          </w:p>
          <w:p w14:paraId="1325D7FE" w14:textId="77777777" w:rsidR="008C4F26" w:rsidRPr="003B6A69" w:rsidRDefault="008C4F26" w:rsidP="006C1C66">
            <w:pPr>
              <w:spacing w:after="120"/>
              <w:rPr>
                <w:rFonts w:cstheme="minorHAnsi"/>
                <w:sz w:val="20"/>
                <w:szCs w:val="20"/>
              </w:rPr>
            </w:pPr>
            <w:r w:rsidRPr="003B6A69">
              <w:rPr>
                <w:rFonts w:cstheme="minorHAnsi"/>
                <w:b/>
                <w:i/>
                <w:sz w:val="20"/>
                <w:szCs w:val="20"/>
              </w:rPr>
              <w:t>Beneficiaries</w:t>
            </w:r>
            <w:r w:rsidRPr="003B6A69">
              <w:rPr>
                <w:rFonts w:cstheme="minorHAnsi"/>
                <w:sz w:val="20"/>
                <w:szCs w:val="20"/>
              </w:rPr>
              <w:t xml:space="preserve">: Support is given to producers who produce organic products in accordance with the Law on Organic Production ("Official Gazette of Montenegro", No. 56/13). </w:t>
            </w:r>
          </w:p>
          <w:p w14:paraId="2DDBDCCD" w14:textId="77777777" w:rsidR="008C4F26" w:rsidRPr="003B6A69" w:rsidRDefault="008C4F26" w:rsidP="006C1C66">
            <w:pPr>
              <w:spacing w:after="120"/>
              <w:rPr>
                <w:rFonts w:cstheme="minorHAnsi"/>
                <w:sz w:val="20"/>
                <w:szCs w:val="20"/>
              </w:rPr>
            </w:pPr>
            <w:r w:rsidRPr="003B6A69">
              <w:rPr>
                <w:rFonts w:cstheme="minorHAnsi"/>
                <w:b/>
                <w:bCs/>
                <w:i/>
                <w:iCs/>
                <w:sz w:val="20"/>
                <w:szCs w:val="20"/>
              </w:rPr>
              <w:t>Criteria:</w:t>
            </w:r>
            <w:r w:rsidRPr="003B6A69">
              <w:rPr>
                <w:rFonts w:cstheme="minorHAnsi"/>
                <w:sz w:val="20"/>
                <w:szCs w:val="20"/>
              </w:rPr>
              <w:t xml:space="preserve"> Support is provided per hectare of production area, bee colony, poultry units and conditional livestock.</w:t>
            </w:r>
          </w:p>
          <w:p w14:paraId="66B280C8" w14:textId="77777777" w:rsidR="008C4F26" w:rsidRPr="003B6A69" w:rsidRDefault="008C4F26" w:rsidP="006C1C66">
            <w:pPr>
              <w:spacing w:after="120"/>
              <w:rPr>
                <w:rFonts w:cstheme="minorHAnsi"/>
                <w:bCs/>
                <w:iCs/>
                <w:sz w:val="20"/>
                <w:szCs w:val="20"/>
              </w:rPr>
            </w:pPr>
            <w:r w:rsidRPr="003B6A69">
              <w:rPr>
                <w:rFonts w:cstheme="minorHAnsi"/>
                <w:b/>
                <w:bCs/>
                <w:i/>
                <w:iCs/>
                <w:sz w:val="20"/>
                <w:szCs w:val="20"/>
              </w:rPr>
              <w:t xml:space="preserve">Support mechanism: </w:t>
            </w:r>
            <w:proofErr w:type="spellStart"/>
            <w:r w:rsidRPr="003B6A69">
              <w:rPr>
                <w:rFonts w:cstheme="minorHAnsi"/>
                <w:bCs/>
                <w:iCs/>
                <w:sz w:val="20"/>
                <w:szCs w:val="20"/>
              </w:rPr>
              <w:t>Agro</w:t>
            </w:r>
            <w:proofErr w:type="spellEnd"/>
            <w:r w:rsidRPr="003B6A69">
              <w:rPr>
                <w:rFonts w:cstheme="minorHAnsi"/>
                <w:bCs/>
                <w:iCs/>
                <w:sz w:val="20"/>
                <w:szCs w:val="20"/>
              </w:rPr>
              <w:t>-budget, Rural Development Measures, Axis II - Measures for sustainable management of natural resources</w:t>
            </w:r>
          </w:p>
          <w:p w14:paraId="69037077" w14:textId="77777777" w:rsidR="008C4F26" w:rsidRPr="003B6A69" w:rsidRDefault="008C4F26" w:rsidP="006C1C66">
            <w:pPr>
              <w:spacing w:after="120"/>
              <w:rPr>
                <w:rFonts w:cstheme="minorHAnsi"/>
                <w:sz w:val="20"/>
                <w:szCs w:val="20"/>
              </w:rPr>
            </w:pPr>
            <w:r w:rsidRPr="003B6A69">
              <w:rPr>
                <w:rFonts w:cstheme="minorHAnsi"/>
                <w:bCs/>
                <w:iCs/>
                <w:sz w:val="20"/>
                <w:szCs w:val="20"/>
              </w:rPr>
              <w:t>Responsible institution: MARD;</w:t>
            </w:r>
            <w:r w:rsidRPr="003B6A69">
              <w:rPr>
                <w:rFonts w:cstheme="minorHAnsi"/>
                <w:sz w:val="20"/>
                <w:szCs w:val="20"/>
              </w:rPr>
              <w:t xml:space="preserve"> Directorate for Rural Development Direction for payments in agriculture</w:t>
            </w:r>
          </w:p>
        </w:tc>
        <w:tc>
          <w:tcPr>
            <w:tcW w:w="4536" w:type="dxa"/>
          </w:tcPr>
          <w:p w14:paraId="43FE7014" w14:textId="77777777" w:rsidR="008C4F26" w:rsidRPr="003B6A69" w:rsidRDefault="008C4F26" w:rsidP="006C1C66">
            <w:pPr>
              <w:spacing w:after="120"/>
              <w:rPr>
                <w:rFonts w:cstheme="minorHAnsi"/>
                <w:sz w:val="20"/>
                <w:szCs w:val="20"/>
              </w:rPr>
            </w:pPr>
            <w:r w:rsidRPr="003B6A69">
              <w:rPr>
                <w:rFonts w:cstheme="minorHAnsi"/>
                <w:sz w:val="20"/>
                <w:szCs w:val="20"/>
              </w:rPr>
              <w:lastRenderedPageBreak/>
              <w:t>Distributed farms with a small production volume cannot be competitive if their products do not add value to product quality, which is achieved by organic production.</w:t>
            </w:r>
          </w:p>
          <w:p w14:paraId="131E89DB" w14:textId="77777777" w:rsidR="008C4F26" w:rsidRPr="003B6A69" w:rsidRDefault="008C4F26" w:rsidP="006C1C66">
            <w:pPr>
              <w:spacing w:after="120"/>
              <w:rPr>
                <w:rFonts w:cstheme="minorHAnsi"/>
                <w:sz w:val="20"/>
                <w:szCs w:val="20"/>
              </w:rPr>
            </w:pPr>
            <w:r w:rsidRPr="003B6A69">
              <w:rPr>
                <w:rFonts w:cstheme="minorHAnsi"/>
                <w:sz w:val="20"/>
                <w:szCs w:val="20"/>
              </w:rPr>
              <w:t xml:space="preserve">The fact is that, in recent years, the interest of producers in this type of production is growing, but it </w:t>
            </w:r>
            <w:r w:rsidRPr="003B6A69">
              <w:rPr>
                <w:rFonts w:cstheme="minorHAnsi"/>
                <w:sz w:val="20"/>
                <w:szCs w:val="20"/>
              </w:rPr>
              <w:lastRenderedPageBreak/>
              <w:t>is still not enough to talk about more serious production. Therefore, it is necessary to continuously encourage this way of agricultural production.</w:t>
            </w:r>
          </w:p>
          <w:p w14:paraId="159B6131" w14:textId="77777777" w:rsidR="008C4F26" w:rsidRPr="003B6A69" w:rsidRDefault="008C4F26" w:rsidP="006C1C66">
            <w:pPr>
              <w:spacing w:after="120"/>
              <w:rPr>
                <w:rFonts w:cstheme="minorHAnsi"/>
                <w:sz w:val="20"/>
                <w:szCs w:val="20"/>
              </w:rPr>
            </w:pPr>
            <w:r w:rsidRPr="003B6A69">
              <w:rPr>
                <w:rFonts w:cstheme="minorHAnsi"/>
                <w:sz w:val="20"/>
                <w:szCs w:val="20"/>
              </w:rPr>
              <w:t>In addition, consumer awareness of the importance of healthy food is growing day by day, which encourages a constant increase in demand for organic products, both in our country and in the world.</w:t>
            </w:r>
          </w:p>
        </w:tc>
      </w:tr>
      <w:tr w:rsidR="008C4F26" w:rsidRPr="003B6A69" w14:paraId="670DBD4C" w14:textId="77777777" w:rsidTr="008C4F26">
        <w:tc>
          <w:tcPr>
            <w:tcW w:w="1135" w:type="dxa"/>
          </w:tcPr>
          <w:p w14:paraId="771F2327" w14:textId="77777777" w:rsidR="008C4F26" w:rsidRPr="003B6A69" w:rsidRDefault="008C4F26" w:rsidP="006C1C66">
            <w:pPr>
              <w:spacing w:after="120"/>
              <w:rPr>
                <w:rFonts w:cstheme="minorHAnsi"/>
                <w:sz w:val="20"/>
                <w:szCs w:val="20"/>
              </w:rPr>
            </w:pPr>
            <w:r w:rsidRPr="003B6A69">
              <w:rPr>
                <w:rFonts w:cstheme="minorHAnsi"/>
                <w:sz w:val="20"/>
                <w:szCs w:val="20"/>
              </w:rPr>
              <w:lastRenderedPageBreak/>
              <w:t>M13 – ANC</w:t>
            </w:r>
          </w:p>
        </w:tc>
        <w:tc>
          <w:tcPr>
            <w:tcW w:w="4110" w:type="dxa"/>
          </w:tcPr>
          <w:p w14:paraId="0094846F" w14:textId="77777777" w:rsidR="008C4F26" w:rsidRPr="003B6A69" w:rsidRDefault="008C4F26" w:rsidP="006C1C66">
            <w:pPr>
              <w:spacing w:after="120"/>
              <w:rPr>
                <w:rFonts w:cstheme="minorHAnsi"/>
                <w:sz w:val="20"/>
                <w:szCs w:val="20"/>
              </w:rPr>
            </w:pPr>
            <w:r w:rsidRPr="003B6A69">
              <w:rPr>
                <w:rFonts w:cstheme="minorHAnsi"/>
                <w:sz w:val="20"/>
                <w:szCs w:val="20"/>
              </w:rPr>
              <w:t xml:space="preserve">Since gradual harmonization of the agricultural policy with CAP is one of the priorities, Strategy for development of Agriculture and Rural Areas designed Rural development policy in accordance with the new Rural development policy in the EU (programming period 2014-2020), meaning that measures are grouped in the </w:t>
            </w:r>
            <w:proofErr w:type="gramStart"/>
            <w:r w:rsidRPr="003B6A69">
              <w:rPr>
                <w:rFonts w:cstheme="minorHAnsi"/>
                <w:sz w:val="20"/>
                <w:szCs w:val="20"/>
              </w:rPr>
              <w:t>so called</w:t>
            </w:r>
            <w:proofErr w:type="gramEnd"/>
            <w:r w:rsidRPr="003B6A69">
              <w:rPr>
                <w:rFonts w:cstheme="minorHAnsi"/>
                <w:sz w:val="20"/>
                <w:szCs w:val="20"/>
              </w:rPr>
              <w:t xml:space="preserve"> axes. It should be mentioned that the Strategy foresaw the fourth axis – LEADER projects; however, implementation has not been started yet. Also, one of the main measures in Axis II will be to support Areas facing Natural Constraint (ANC).</w:t>
            </w:r>
          </w:p>
        </w:tc>
        <w:tc>
          <w:tcPr>
            <w:tcW w:w="4536" w:type="dxa"/>
          </w:tcPr>
          <w:p w14:paraId="5CA95423" w14:textId="77777777" w:rsidR="008C4F26" w:rsidRPr="003B6A69" w:rsidRDefault="008C4F26" w:rsidP="006C1C66">
            <w:pPr>
              <w:spacing w:after="120"/>
              <w:rPr>
                <w:rFonts w:cstheme="minorHAnsi"/>
                <w:sz w:val="20"/>
                <w:szCs w:val="20"/>
              </w:rPr>
            </w:pPr>
            <w:r w:rsidRPr="003B6A69">
              <w:rPr>
                <w:rFonts w:cstheme="minorHAnsi"/>
                <w:sz w:val="20"/>
                <w:szCs w:val="20"/>
              </w:rPr>
              <w:t>Needs extension</w:t>
            </w:r>
          </w:p>
        </w:tc>
      </w:tr>
      <w:tr w:rsidR="008C4F26" w:rsidRPr="003B6A69" w14:paraId="6FED5F75" w14:textId="77777777" w:rsidTr="008C4F26">
        <w:trPr>
          <w:trHeight w:val="416"/>
        </w:trPr>
        <w:tc>
          <w:tcPr>
            <w:tcW w:w="1135" w:type="dxa"/>
          </w:tcPr>
          <w:p w14:paraId="1523F836" w14:textId="77777777" w:rsidR="008C4F26" w:rsidRPr="003B6A69" w:rsidRDefault="008C4F26" w:rsidP="006C1C66">
            <w:pPr>
              <w:spacing w:after="120"/>
              <w:rPr>
                <w:rFonts w:cstheme="minorHAnsi"/>
                <w:sz w:val="20"/>
                <w:szCs w:val="20"/>
              </w:rPr>
            </w:pPr>
            <w:r w:rsidRPr="003B6A69">
              <w:rPr>
                <w:rFonts w:cstheme="minorHAnsi"/>
                <w:sz w:val="20"/>
                <w:szCs w:val="20"/>
              </w:rPr>
              <w:t>M14 – Animal welfare</w:t>
            </w:r>
          </w:p>
        </w:tc>
        <w:tc>
          <w:tcPr>
            <w:tcW w:w="4110" w:type="dxa"/>
          </w:tcPr>
          <w:p w14:paraId="1FF5DCCD" w14:textId="77777777" w:rsidR="008C4F26" w:rsidRPr="003B6A69" w:rsidRDefault="008C4F26" w:rsidP="006C1C66">
            <w:pPr>
              <w:autoSpaceDE w:val="0"/>
              <w:autoSpaceDN w:val="0"/>
              <w:adjustRightInd w:val="0"/>
              <w:spacing w:after="120"/>
              <w:jc w:val="center"/>
              <w:rPr>
                <w:rFonts w:cstheme="minorHAnsi"/>
                <w:b/>
                <w:color w:val="000000"/>
                <w:sz w:val="20"/>
                <w:szCs w:val="20"/>
              </w:rPr>
            </w:pPr>
            <w:r w:rsidRPr="003B6A69">
              <w:rPr>
                <w:rFonts w:cstheme="minorHAnsi"/>
                <w:b/>
                <w:color w:val="000000"/>
                <w:sz w:val="20"/>
                <w:szCs w:val="20"/>
              </w:rPr>
              <w:t>Support for achieving standards in animal welfare in livestock production</w:t>
            </w:r>
          </w:p>
          <w:p w14:paraId="36246C41" w14:textId="77777777" w:rsidR="008C4F26" w:rsidRPr="003B6A69" w:rsidRDefault="008C4F26" w:rsidP="006C1C66">
            <w:pPr>
              <w:autoSpaceDE w:val="0"/>
              <w:autoSpaceDN w:val="0"/>
              <w:adjustRightInd w:val="0"/>
              <w:spacing w:after="120"/>
              <w:jc w:val="left"/>
              <w:rPr>
                <w:rFonts w:cstheme="minorHAnsi"/>
                <w:color w:val="000000"/>
                <w:sz w:val="20"/>
                <w:szCs w:val="20"/>
              </w:rPr>
            </w:pPr>
          </w:p>
          <w:p w14:paraId="2E59D3E7" w14:textId="77777777" w:rsidR="008C4F26" w:rsidRPr="003B6A69" w:rsidRDefault="008C4F26" w:rsidP="006C1C66">
            <w:pPr>
              <w:autoSpaceDE w:val="0"/>
              <w:autoSpaceDN w:val="0"/>
              <w:adjustRightInd w:val="0"/>
              <w:spacing w:after="120"/>
              <w:rPr>
                <w:rFonts w:cstheme="minorHAnsi"/>
                <w:color w:val="000000"/>
                <w:sz w:val="20"/>
                <w:szCs w:val="20"/>
              </w:rPr>
            </w:pPr>
            <w:r w:rsidRPr="003B6A69">
              <w:rPr>
                <w:rFonts w:cstheme="minorHAnsi"/>
                <w:b/>
                <w:i/>
                <w:color w:val="000000"/>
                <w:sz w:val="20"/>
                <w:szCs w:val="20"/>
              </w:rPr>
              <w:t>Description</w:t>
            </w:r>
            <w:r w:rsidRPr="003B6A69">
              <w:rPr>
                <w:rFonts w:cstheme="minorHAnsi"/>
                <w:color w:val="000000"/>
                <w:sz w:val="20"/>
                <w:szCs w:val="20"/>
              </w:rPr>
              <w:t>: Improvement of conditions for accommodation of production; preserving the health of production animals; improving the competitiveness of agricultural holdings.</w:t>
            </w:r>
          </w:p>
          <w:p w14:paraId="47231A09" w14:textId="77777777" w:rsidR="008C4F26" w:rsidRPr="003B6A69" w:rsidRDefault="008C4F26" w:rsidP="006C1C66">
            <w:pPr>
              <w:autoSpaceDE w:val="0"/>
              <w:autoSpaceDN w:val="0"/>
              <w:adjustRightInd w:val="0"/>
              <w:spacing w:after="120"/>
              <w:jc w:val="left"/>
              <w:rPr>
                <w:rFonts w:cstheme="minorHAnsi"/>
                <w:color w:val="000000"/>
                <w:sz w:val="20"/>
                <w:szCs w:val="20"/>
              </w:rPr>
            </w:pPr>
            <w:r w:rsidRPr="003B6A69">
              <w:rPr>
                <w:rFonts w:cstheme="minorHAnsi"/>
                <w:bCs/>
                <w:iCs/>
                <w:color w:val="000000"/>
                <w:sz w:val="20"/>
                <w:szCs w:val="20"/>
              </w:rPr>
              <w:t>Responsible institution: MARD;</w:t>
            </w:r>
            <w:r w:rsidRPr="003B6A69">
              <w:rPr>
                <w:rFonts w:cstheme="minorHAnsi"/>
                <w:color w:val="000000"/>
                <w:sz w:val="20"/>
                <w:szCs w:val="20"/>
              </w:rPr>
              <w:t xml:space="preserve"> Directorate for Rural Development, Advisory Services</w:t>
            </w:r>
          </w:p>
        </w:tc>
        <w:tc>
          <w:tcPr>
            <w:tcW w:w="4536" w:type="dxa"/>
          </w:tcPr>
          <w:tbl>
            <w:tblPr>
              <w:tblW w:w="8630" w:type="dxa"/>
              <w:tblBorders>
                <w:top w:val="nil"/>
                <w:left w:val="nil"/>
                <w:bottom w:val="nil"/>
                <w:right w:val="nil"/>
              </w:tblBorders>
              <w:tblLayout w:type="fixed"/>
              <w:tblLook w:val="0000" w:firstRow="0" w:lastRow="0" w:firstColumn="0" w:lastColumn="0" w:noHBand="0" w:noVBand="0"/>
            </w:tblPr>
            <w:tblGrid>
              <w:gridCol w:w="5295"/>
              <w:gridCol w:w="3335"/>
            </w:tblGrid>
            <w:tr w:rsidR="008C4F26" w:rsidRPr="003B6A69" w14:paraId="1D0B78D6" w14:textId="77777777" w:rsidTr="008C4F26">
              <w:trPr>
                <w:trHeight w:val="375"/>
              </w:trPr>
              <w:tc>
                <w:tcPr>
                  <w:tcW w:w="5295" w:type="dxa"/>
                </w:tcPr>
                <w:p w14:paraId="28AAB24C" w14:textId="77777777" w:rsidR="008C4F26" w:rsidRPr="003B6A69" w:rsidRDefault="008C4F26" w:rsidP="006C1C66">
                  <w:pPr>
                    <w:autoSpaceDE w:val="0"/>
                    <w:autoSpaceDN w:val="0"/>
                    <w:adjustRightInd w:val="0"/>
                    <w:spacing w:after="120"/>
                    <w:ind w:right="901"/>
                    <w:rPr>
                      <w:rFonts w:asciiTheme="minorHAnsi" w:hAnsiTheme="minorHAnsi" w:cstheme="minorHAnsi"/>
                      <w:szCs w:val="20"/>
                    </w:rPr>
                  </w:pPr>
                  <w:r w:rsidRPr="003B6A69">
                    <w:rPr>
                      <w:rFonts w:asciiTheme="minorHAnsi" w:hAnsiTheme="minorHAnsi" w:cstheme="minorHAnsi"/>
                      <w:szCs w:val="20"/>
                    </w:rPr>
                    <w:t>The Ministry has allocated funds for the improvement of livestock facilities through the IPARD II Program and similar programs. Based on insight into the situation on the ground, it was noticed that small producers, most of whom are in Montenegro, have problems with the procurement of equipment that would meet the needs of animals on their farms in terms of animal welfare.</w:t>
                  </w:r>
                </w:p>
              </w:tc>
              <w:tc>
                <w:tcPr>
                  <w:tcW w:w="3335" w:type="dxa"/>
                </w:tcPr>
                <w:p w14:paraId="3786DE15" w14:textId="77777777" w:rsidR="008C4F26" w:rsidRPr="003B6A69" w:rsidRDefault="008C4F26" w:rsidP="006C1C66">
                  <w:pPr>
                    <w:autoSpaceDE w:val="0"/>
                    <w:autoSpaceDN w:val="0"/>
                    <w:adjustRightInd w:val="0"/>
                    <w:spacing w:after="120"/>
                    <w:rPr>
                      <w:rFonts w:asciiTheme="minorHAnsi" w:hAnsiTheme="minorHAnsi" w:cstheme="minorHAnsi"/>
                      <w:szCs w:val="20"/>
                    </w:rPr>
                  </w:pPr>
                </w:p>
                <w:p w14:paraId="4C02A89D" w14:textId="77777777" w:rsidR="008C4F26" w:rsidRPr="003B6A69" w:rsidRDefault="008C4F26" w:rsidP="006C1C66">
                  <w:pPr>
                    <w:autoSpaceDE w:val="0"/>
                    <w:autoSpaceDN w:val="0"/>
                    <w:adjustRightInd w:val="0"/>
                    <w:spacing w:after="120"/>
                    <w:rPr>
                      <w:rFonts w:asciiTheme="minorHAnsi" w:hAnsiTheme="minorHAnsi" w:cstheme="minorHAnsi"/>
                      <w:color w:val="000000"/>
                      <w:szCs w:val="20"/>
                    </w:rPr>
                  </w:pPr>
                </w:p>
              </w:tc>
            </w:tr>
          </w:tbl>
          <w:p w14:paraId="5C276F80" w14:textId="77777777" w:rsidR="008C4F26" w:rsidRPr="003B6A69" w:rsidRDefault="008C4F26" w:rsidP="006C1C66">
            <w:pPr>
              <w:spacing w:after="120"/>
              <w:rPr>
                <w:rFonts w:cstheme="minorHAnsi"/>
                <w:sz w:val="20"/>
                <w:szCs w:val="20"/>
              </w:rPr>
            </w:pPr>
          </w:p>
        </w:tc>
      </w:tr>
      <w:tr w:rsidR="008C4F26" w:rsidRPr="003B6A69" w14:paraId="1A109C74" w14:textId="77777777" w:rsidTr="008C4F26">
        <w:tc>
          <w:tcPr>
            <w:tcW w:w="1135" w:type="dxa"/>
          </w:tcPr>
          <w:p w14:paraId="0074032B" w14:textId="77777777" w:rsidR="008C4F26" w:rsidRPr="003B6A69" w:rsidRDefault="008C4F26" w:rsidP="006C1C66">
            <w:pPr>
              <w:spacing w:after="120"/>
              <w:rPr>
                <w:rFonts w:cstheme="minorHAnsi"/>
                <w:sz w:val="20"/>
                <w:szCs w:val="20"/>
              </w:rPr>
            </w:pPr>
            <w:bookmarkStart w:id="116" w:name="_Hlk42932095"/>
            <w:r w:rsidRPr="003B6A69">
              <w:rPr>
                <w:rFonts w:cstheme="minorHAnsi"/>
                <w:sz w:val="20"/>
                <w:szCs w:val="20"/>
              </w:rPr>
              <w:t>M19 – LEADER</w:t>
            </w:r>
            <w:bookmarkEnd w:id="116"/>
          </w:p>
        </w:tc>
        <w:tc>
          <w:tcPr>
            <w:tcW w:w="4110" w:type="dxa"/>
          </w:tcPr>
          <w:p w14:paraId="7DAA3F3E" w14:textId="77777777" w:rsidR="008C4F26" w:rsidRPr="003B6A69" w:rsidRDefault="008C4F26" w:rsidP="006C1C66">
            <w:pPr>
              <w:spacing w:after="120"/>
              <w:rPr>
                <w:rFonts w:cstheme="minorHAnsi"/>
                <w:sz w:val="20"/>
                <w:szCs w:val="20"/>
              </w:rPr>
            </w:pPr>
          </w:p>
        </w:tc>
        <w:tc>
          <w:tcPr>
            <w:tcW w:w="4536" w:type="dxa"/>
          </w:tcPr>
          <w:p w14:paraId="07491754" w14:textId="77777777" w:rsidR="008C4F26" w:rsidRPr="003B6A69" w:rsidRDefault="008C4F26" w:rsidP="006C1C66">
            <w:pPr>
              <w:spacing w:after="120"/>
              <w:rPr>
                <w:rFonts w:cstheme="minorHAnsi"/>
                <w:sz w:val="20"/>
                <w:szCs w:val="20"/>
              </w:rPr>
            </w:pPr>
          </w:p>
        </w:tc>
      </w:tr>
      <w:tr w:rsidR="008C4F26" w:rsidRPr="003B6A69" w14:paraId="53FEC8BF" w14:textId="77777777" w:rsidTr="008C4F26">
        <w:trPr>
          <w:trHeight w:val="159"/>
        </w:trPr>
        <w:tc>
          <w:tcPr>
            <w:tcW w:w="1135" w:type="dxa"/>
          </w:tcPr>
          <w:p w14:paraId="0A4EC4B1" w14:textId="77777777" w:rsidR="008C4F26" w:rsidRPr="003B6A69" w:rsidRDefault="008C4F26" w:rsidP="006C1C66">
            <w:pPr>
              <w:autoSpaceDE w:val="0"/>
              <w:autoSpaceDN w:val="0"/>
              <w:adjustRightInd w:val="0"/>
              <w:spacing w:after="120"/>
              <w:jc w:val="left"/>
              <w:rPr>
                <w:rFonts w:cstheme="minorHAnsi"/>
                <w:color w:val="000000"/>
                <w:sz w:val="20"/>
                <w:szCs w:val="20"/>
                <w:lang w:val="nb-NO"/>
              </w:rPr>
            </w:pPr>
            <w:r w:rsidRPr="003B6A69">
              <w:rPr>
                <w:rFonts w:cstheme="minorHAnsi"/>
                <w:color w:val="000000"/>
                <w:sz w:val="20"/>
                <w:szCs w:val="20"/>
                <w:lang w:val="nb-NO"/>
              </w:rPr>
              <w:t>Fishery</w:t>
            </w:r>
          </w:p>
        </w:tc>
        <w:tc>
          <w:tcPr>
            <w:tcW w:w="4110" w:type="dxa"/>
          </w:tcPr>
          <w:p w14:paraId="0ADC76C6" w14:textId="77777777" w:rsidR="008C4F26" w:rsidRPr="003B6A69" w:rsidRDefault="008C4F26" w:rsidP="006C1C66">
            <w:pPr>
              <w:spacing w:after="120"/>
              <w:jc w:val="center"/>
              <w:rPr>
                <w:rFonts w:cstheme="minorHAnsi"/>
                <w:b/>
                <w:sz w:val="20"/>
                <w:szCs w:val="20"/>
              </w:rPr>
            </w:pPr>
            <w:r w:rsidRPr="003B6A69">
              <w:rPr>
                <w:rFonts w:cstheme="minorHAnsi"/>
                <w:b/>
                <w:sz w:val="20"/>
                <w:szCs w:val="20"/>
              </w:rPr>
              <w:t>Sustainable management and conservation of fish resources and other marine organisms</w:t>
            </w:r>
          </w:p>
          <w:p w14:paraId="46C52D72" w14:textId="77777777" w:rsidR="008C4F26" w:rsidRPr="003B6A69" w:rsidRDefault="008C4F26" w:rsidP="006C1C66">
            <w:pPr>
              <w:spacing w:after="120"/>
              <w:jc w:val="center"/>
              <w:rPr>
                <w:rFonts w:cstheme="minorHAnsi"/>
                <w:sz w:val="20"/>
                <w:szCs w:val="20"/>
              </w:rPr>
            </w:pPr>
          </w:p>
          <w:p w14:paraId="156D4C01" w14:textId="77777777" w:rsidR="008C4F26" w:rsidRPr="003B6A69" w:rsidRDefault="008C4F26" w:rsidP="006C1C66">
            <w:pPr>
              <w:spacing w:after="120"/>
              <w:rPr>
                <w:rFonts w:cstheme="minorHAnsi"/>
                <w:sz w:val="20"/>
                <w:szCs w:val="20"/>
              </w:rPr>
            </w:pPr>
            <w:r w:rsidRPr="003B6A69">
              <w:rPr>
                <w:rFonts w:cstheme="minorHAnsi"/>
                <w:b/>
                <w:i/>
                <w:sz w:val="20"/>
                <w:szCs w:val="20"/>
              </w:rPr>
              <w:t>Description</w:t>
            </w:r>
            <w:r w:rsidRPr="003B6A69">
              <w:rPr>
                <w:rFonts w:cstheme="minorHAnsi"/>
                <w:sz w:val="20"/>
                <w:szCs w:val="20"/>
              </w:rPr>
              <w:t xml:space="preserve">: Assessment of available resources of fish and other marine organisms; monitoring </w:t>
            </w:r>
            <w:r w:rsidRPr="003B6A69">
              <w:rPr>
                <w:rFonts w:cstheme="minorHAnsi"/>
                <w:sz w:val="20"/>
                <w:szCs w:val="20"/>
              </w:rPr>
              <w:lastRenderedPageBreak/>
              <w:t>the status and assessment of sustainable use of fish and other marine organisms; collection and processing of data on catch, fleet and fishing effort, as well as biological, ecological, and socio-economic data in marine fisheries; monitoring of population dynamics of fish, research of potential locations for mariculture on the high seas, conducting research and / or introduction of innovative solutions to improve the quality of the environment, introduction of more selective fishing tools in order to preserve and protect fish and other marine organisms and reduce catch costs</w:t>
            </w:r>
          </w:p>
          <w:p w14:paraId="1D0970D2" w14:textId="77777777" w:rsidR="008C4F26" w:rsidRPr="003B6A69" w:rsidRDefault="008C4F26" w:rsidP="006C1C66">
            <w:pPr>
              <w:spacing w:after="120"/>
              <w:rPr>
                <w:rFonts w:cstheme="minorHAnsi"/>
                <w:sz w:val="20"/>
                <w:szCs w:val="20"/>
              </w:rPr>
            </w:pPr>
            <w:r w:rsidRPr="003B6A69">
              <w:rPr>
                <w:rFonts w:cstheme="minorHAnsi"/>
                <w:b/>
                <w:i/>
                <w:sz w:val="20"/>
                <w:szCs w:val="20"/>
              </w:rPr>
              <w:t>Beneficiaries:</w:t>
            </w:r>
            <w:r w:rsidRPr="003B6A69">
              <w:rPr>
                <w:rFonts w:cstheme="minorHAnsi"/>
                <w:sz w:val="20"/>
                <w:szCs w:val="20"/>
              </w:rPr>
              <w:t xml:space="preserve"> Institute of Marine Biology. </w:t>
            </w:r>
          </w:p>
          <w:p w14:paraId="0E39F372" w14:textId="77777777" w:rsidR="008C4F26" w:rsidRPr="003B6A69" w:rsidRDefault="008C4F26" w:rsidP="006C1C66">
            <w:pPr>
              <w:spacing w:after="120"/>
              <w:rPr>
                <w:rFonts w:cstheme="minorHAnsi"/>
                <w:sz w:val="20"/>
                <w:szCs w:val="20"/>
              </w:rPr>
            </w:pPr>
            <w:r w:rsidRPr="003B6A69">
              <w:rPr>
                <w:rFonts w:cstheme="minorHAnsi"/>
                <w:b/>
                <w:bCs/>
                <w:i/>
                <w:iCs/>
                <w:sz w:val="20"/>
                <w:szCs w:val="20"/>
              </w:rPr>
              <w:t>Criteria:</w:t>
            </w:r>
            <w:r w:rsidRPr="003B6A69">
              <w:rPr>
                <w:rFonts w:cstheme="minorHAnsi"/>
                <w:sz w:val="20"/>
                <w:szCs w:val="20"/>
              </w:rPr>
              <w:t xml:space="preserve"> Support is provided to the project for the development of more selective fishing gear for nets, as well as training for fishermen to knit these nets.</w:t>
            </w:r>
          </w:p>
          <w:p w14:paraId="603D1702" w14:textId="77777777" w:rsidR="008C4F26" w:rsidRPr="003B6A69" w:rsidRDefault="008C4F26" w:rsidP="006C1C66">
            <w:pPr>
              <w:autoSpaceDE w:val="0"/>
              <w:autoSpaceDN w:val="0"/>
              <w:adjustRightInd w:val="0"/>
              <w:spacing w:after="120"/>
              <w:jc w:val="left"/>
              <w:rPr>
                <w:rFonts w:cstheme="minorHAnsi"/>
                <w:b/>
                <w:color w:val="000000" w:themeColor="text1"/>
                <w:sz w:val="20"/>
                <w:szCs w:val="20"/>
              </w:rPr>
            </w:pPr>
            <w:r w:rsidRPr="003B6A69">
              <w:rPr>
                <w:rFonts w:cstheme="minorHAnsi"/>
                <w:b/>
                <w:color w:val="000000" w:themeColor="text1"/>
                <w:sz w:val="20"/>
                <w:szCs w:val="20"/>
              </w:rPr>
              <w:t>A measure for the improvement of freshwater fisheries</w:t>
            </w:r>
          </w:p>
          <w:p w14:paraId="22A88337" w14:textId="77777777" w:rsidR="008C4F26" w:rsidRPr="003B6A69" w:rsidRDefault="008C4F26" w:rsidP="006C1C66">
            <w:pPr>
              <w:autoSpaceDE w:val="0"/>
              <w:autoSpaceDN w:val="0"/>
              <w:adjustRightInd w:val="0"/>
              <w:spacing w:after="120"/>
              <w:jc w:val="left"/>
              <w:rPr>
                <w:rFonts w:cstheme="minorHAnsi"/>
                <w:sz w:val="20"/>
                <w:szCs w:val="20"/>
              </w:rPr>
            </w:pPr>
          </w:p>
          <w:p w14:paraId="35BEA681" w14:textId="77777777" w:rsidR="008C4F26" w:rsidRPr="003B6A69" w:rsidRDefault="008C4F26" w:rsidP="006C1C66">
            <w:pPr>
              <w:spacing w:after="120"/>
              <w:rPr>
                <w:rFonts w:cstheme="minorHAnsi"/>
                <w:sz w:val="20"/>
                <w:szCs w:val="20"/>
              </w:rPr>
            </w:pPr>
            <w:r w:rsidRPr="003B6A69">
              <w:rPr>
                <w:rFonts w:cstheme="minorHAnsi"/>
                <w:b/>
                <w:i/>
                <w:sz w:val="20"/>
                <w:szCs w:val="20"/>
              </w:rPr>
              <w:t>Description</w:t>
            </w:r>
            <w:r w:rsidRPr="003B6A69">
              <w:rPr>
                <w:rFonts w:cstheme="minorHAnsi"/>
                <w:sz w:val="20"/>
                <w:szCs w:val="20"/>
              </w:rPr>
              <w:t xml:space="preserve">: Development of sports and fishing tourism; strengthening the control of sport-fishing activities </w:t>
            </w:r>
            <w:proofErr w:type="gramStart"/>
            <w:r w:rsidRPr="003B6A69">
              <w:rPr>
                <w:rFonts w:cstheme="minorHAnsi"/>
                <w:sz w:val="20"/>
                <w:szCs w:val="20"/>
              </w:rPr>
              <w:t>in order to</w:t>
            </w:r>
            <w:proofErr w:type="gramEnd"/>
            <w:r w:rsidRPr="003B6A69">
              <w:rPr>
                <w:rFonts w:cstheme="minorHAnsi"/>
                <w:sz w:val="20"/>
                <w:szCs w:val="20"/>
              </w:rPr>
              <w:t xml:space="preserve"> protect and improve fishing waters and fish resources; reliable assessment of available fish resources in freshwater fishing waters - fishing basis; and improve freshwater resource management based on available scientific data.</w:t>
            </w:r>
          </w:p>
          <w:p w14:paraId="6E066E50" w14:textId="77777777" w:rsidR="008C4F26" w:rsidRPr="003B6A69" w:rsidRDefault="008C4F26" w:rsidP="006C1C66">
            <w:pPr>
              <w:spacing w:after="120"/>
              <w:rPr>
                <w:rFonts w:cstheme="minorHAnsi"/>
                <w:sz w:val="20"/>
                <w:szCs w:val="20"/>
              </w:rPr>
            </w:pPr>
            <w:r w:rsidRPr="003B6A69">
              <w:rPr>
                <w:rFonts w:cstheme="minorHAnsi"/>
                <w:b/>
                <w:i/>
                <w:sz w:val="20"/>
                <w:szCs w:val="20"/>
              </w:rPr>
              <w:t>Beneficiaries</w:t>
            </w:r>
            <w:r w:rsidRPr="003B6A69">
              <w:rPr>
                <w:rFonts w:cstheme="minorHAnsi"/>
                <w:sz w:val="20"/>
                <w:szCs w:val="20"/>
              </w:rPr>
              <w:t xml:space="preserve">: Federation of Sport-Fishing Organizations of Montenegro and users of the fish fund. Scientific institution authorized by the Ministry. Faculty of Science - Department of Biology </w:t>
            </w:r>
          </w:p>
          <w:p w14:paraId="07C2EFE6" w14:textId="77777777" w:rsidR="008C4F26" w:rsidRPr="003B6A69" w:rsidRDefault="008C4F26" w:rsidP="006C1C66">
            <w:pPr>
              <w:spacing w:after="120"/>
              <w:rPr>
                <w:rFonts w:cstheme="minorHAnsi"/>
                <w:bCs/>
                <w:iCs/>
                <w:sz w:val="20"/>
                <w:szCs w:val="20"/>
              </w:rPr>
            </w:pPr>
            <w:r w:rsidRPr="003B6A69">
              <w:rPr>
                <w:rFonts w:cstheme="minorHAnsi"/>
                <w:b/>
                <w:bCs/>
                <w:i/>
                <w:iCs/>
                <w:sz w:val="20"/>
                <w:szCs w:val="20"/>
              </w:rPr>
              <w:t xml:space="preserve">Support mechanism: </w:t>
            </w:r>
            <w:proofErr w:type="spellStart"/>
            <w:r w:rsidRPr="003B6A69">
              <w:rPr>
                <w:rFonts w:cstheme="minorHAnsi"/>
                <w:bCs/>
                <w:iCs/>
                <w:sz w:val="20"/>
                <w:szCs w:val="20"/>
              </w:rPr>
              <w:t>Agro</w:t>
            </w:r>
            <w:proofErr w:type="spellEnd"/>
            <w:r w:rsidRPr="003B6A69">
              <w:rPr>
                <w:rFonts w:cstheme="minorHAnsi"/>
                <w:bCs/>
                <w:iCs/>
                <w:sz w:val="20"/>
                <w:szCs w:val="20"/>
              </w:rPr>
              <w:t>-budget, Support to the Fishery Sector- Measure for the sustainable management of sweet water fishery resources.</w:t>
            </w:r>
          </w:p>
          <w:p w14:paraId="5C79EF58" w14:textId="77777777" w:rsidR="008C4F26" w:rsidRPr="003B6A69" w:rsidRDefault="008C4F26" w:rsidP="006C1C66">
            <w:pPr>
              <w:spacing w:after="120"/>
              <w:rPr>
                <w:rFonts w:cstheme="minorHAnsi"/>
                <w:bCs/>
                <w:iCs/>
                <w:sz w:val="20"/>
                <w:szCs w:val="20"/>
              </w:rPr>
            </w:pPr>
            <w:r w:rsidRPr="003B6A69">
              <w:rPr>
                <w:rFonts w:cstheme="minorHAnsi"/>
                <w:b/>
                <w:bCs/>
                <w:i/>
                <w:iCs/>
                <w:sz w:val="20"/>
                <w:szCs w:val="20"/>
              </w:rPr>
              <w:t xml:space="preserve">Support mechanism: </w:t>
            </w:r>
            <w:proofErr w:type="spellStart"/>
            <w:r w:rsidRPr="003B6A69">
              <w:rPr>
                <w:rFonts w:cstheme="minorHAnsi"/>
                <w:bCs/>
                <w:iCs/>
                <w:sz w:val="20"/>
                <w:szCs w:val="20"/>
              </w:rPr>
              <w:t>Agro</w:t>
            </w:r>
            <w:proofErr w:type="spellEnd"/>
            <w:r w:rsidRPr="003B6A69">
              <w:rPr>
                <w:rFonts w:cstheme="minorHAnsi"/>
                <w:bCs/>
                <w:iCs/>
                <w:sz w:val="20"/>
                <w:szCs w:val="20"/>
              </w:rPr>
              <w:t xml:space="preserve">-budget, Support to the Fishery Sector - Measure for the sustainable management of the marine fishery resources. </w:t>
            </w:r>
          </w:p>
          <w:p w14:paraId="4CDFE3ED" w14:textId="77777777" w:rsidR="008C4F26" w:rsidRPr="003B6A69" w:rsidRDefault="008C4F26" w:rsidP="006C1C66">
            <w:pPr>
              <w:spacing w:after="120"/>
              <w:rPr>
                <w:rFonts w:cstheme="minorHAnsi"/>
                <w:sz w:val="20"/>
                <w:szCs w:val="20"/>
              </w:rPr>
            </w:pPr>
            <w:r w:rsidRPr="003B6A69">
              <w:rPr>
                <w:rFonts w:cstheme="minorHAnsi"/>
                <w:bCs/>
                <w:iCs/>
                <w:sz w:val="20"/>
                <w:szCs w:val="20"/>
              </w:rPr>
              <w:t>Responsible institution: MARD; Directorate for Fishery Sector</w:t>
            </w:r>
          </w:p>
        </w:tc>
        <w:tc>
          <w:tcPr>
            <w:tcW w:w="4536" w:type="dxa"/>
          </w:tcPr>
          <w:p w14:paraId="4437D696" w14:textId="77777777" w:rsidR="008C4F26" w:rsidRPr="003B6A69" w:rsidRDefault="008C4F26" w:rsidP="006C1C66">
            <w:pPr>
              <w:spacing w:after="120"/>
              <w:rPr>
                <w:rFonts w:cstheme="minorHAnsi"/>
                <w:sz w:val="20"/>
                <w:szCs w:val="20"/>
              </w:rPr>
            </w:pPr>
            <w:r w:rsidRPr="003B6A69">
              <w:rPr>
                <w:rFonts w:cstheme="minorHAnsi"/>
                <w:sz w:val="20"/>
                <w:szCs w:val="20"/>
              </w:rPr>
              <w:lastRenderedPageBreak/>
              <w:t xml:space="preserve">Support is provided to the Institute of Marine Biology to implement the annual marine fisheries data collection program (DCF-DCRF), conduct research on potential offshore mariculture sites and conduct </w:t>
            </w:r>
            <w:r w:rsidRPr="003B6A69">
              <w:rPr>
                <w:rFonts w:cstheme="minorHAnsi"/>
                <w:sz w:val="20"/>
                <w:szCs w:val="20"/>
              </w:rPr>
              <w:lastRenderedPageBreak/>
              <w:t>research and / or introduce innovative solutions to improve the quality of the environment.</w:t>
            </w:r>
          </w:p>
          <w:p w14:paraId="2D300A04" w14:textId="77777777" w:rsidR="008C4F26" w:rsidRPr="003B6A69" w:rsidRDefault="008C4F26" w:rsidP="006C1C66">
            <w:pPr>
              <w:spacing w:after="120"/>
              <w:rPr>
                <w:rFonts w:cstheme="minorHAnsi"/>
                <w:sz w:val="20"/>
                <w:szCs w:val="20"/>
              </w:rPr>
            </w:pPr>
            <w:r w:rsidRPr="003B6A69">
              <w:rPr>
                <w:rFonts w:cstheme="minorHAnsi"/>
                <w:sz w:val="20"/>
                <w:szCs w:val="20"/>
              </w:rPr>
              <w:t>Support is provided to the project for the development of more selective fishing gear for nets, as well as training for fishermen to knit these nets.</w:t>
            </w:r>
          </w:p>
          <w:p w14:paraId="26FD06E8" w14:textId="77777777" w:rsidR="008C4F26" w:rsidRPr="003B6A69" w:rsidRDefault="008C4F26" w:rsidP="006C1C66">
            <w:pPr>
              <w:spacing w:after="120"/>
              <w:rPr>
                <w:rFonts w:cstheme="minorHAnsi"/>
                <w:sz w:val="20"/>
                <w:szCs w:val="20"/>
              </w:rPr>
            </w:pPr>
          </w:p>
        </w:tc>
      </w:tr>
    </w:tbl>
    <w:p w14:paraId="706838C0" w14:textId="77777777" w:rsidR="008C4F26" w:rsidRPr="003B6A69" w:rsidRDefault="008C4F26" w:rsidP="006C1C66">
      <w:pPr>
        <w:spacing w:after="120"/>
        <w:rPr>
          <w:rFonts w:asciiTheme="minorHAnsi" w:hAnsiTheme="minorHAnsi" w:cstheme="minorHAnsi"/>
          <w:szCs w:val="20"/>
        </w:rPr>
      </w:pPr>
    </w:p>
    <w:p w14:paraId="69561722" w14:textId="77777777" w:rsidR="008C4F26" w:rsidRPr="003B6A69" w:rsidRDefault="008C4F26" w:rsidP="006C1C66">
      <w:pPr>
        <w:autoSpaceDE w:val="0"/>
        <w:autoSpaceDN w:val="0"/>
        <w:adjustRightInd w:val="0"/>
        <w:spacing w:after="120"/>
        <w:jc w:val="left"/>
        <w:rPr>
          <w:rFonts w:asciiTheme="minorHAnsi" w:eastAsiaTheme="minorHAnsi" w:hAnsiTheme="minorHAnsi" w:cstheme="minorHAnsi"/>
          <w:b/>
          <w:bCs/>
          <w:color w:val="000000"/>
          <w:szCs w:val="20"/>
        </w:rPr>
      </w:pPr>
      <w:r w:rsidRPr="003B6A69">
        <w:rPr>
          <w:rFonts w:asciiTheme="minorHAnsi" w:eastAsiaTheme="minorHAnsi" w:hAnsiTheme="minorHAnsi" w:cstheme="minorHAnsi"/>
          <w:b/>
          <w:bCs/>
          <w:color w:val="000000"/>
          <w:szCs w:val="20"/>
        </w:rPr>
        <w:t>Structural and rural development measures - Comparison to EU CAP</w:t>
      </w:r>
    </w:p>
    <w:p w14:paraId="26C25715" w14:textId="77777777" w:rsidR="008C4F26" w:rsidRPr="003B6A69" w:rsidRDefault="008C4F26" w:rsidP="006C1C66">
      <w:pPr>
        <w:autoSpaceDE w:val="0"/>
        <w:autoSpaceDN w:val="0"/>
        <w:adjustRightInd w:val="0"/>
        <w:spacing w:after="120"/>
        <w:rPr>
          <w:rFonts w:asciiTheme="minorHAnsi" w:eastAsiaTheme="minorHAnsi" w:hAnsiTheme="minorHAnsi" w:cstheme="minorHAnsi"/>
          <w:b/>
          <w:bCs/>
          <w:color w:val="000000"/>
          <w:szCs w:val="20"/>
        </w:rPr>
      </w:pPr>
    </w:p>
    <w:p w14:paraId="08939168" w14:textId="77777777" w:rsidR="008C4F26" w:rsidRPr="003B6A69" w:rsidRDefault="008C4F26" w:rsidP="006C1C66">
      <w:pPr>
        <w:autoSpaceDE w:val="0"/>
        <w:autoSpaceDN w:val="0"/>
        <w:adjustRightInd w:val="0"/>
        <w:spacing w:after="120"/>
        <w:rPr>
          <w:rFonts w:asciiTheme="minorHAnsi" w:eastAsiaTheme="minorHAnsi" w:hAnsiTheme="minorHAnsi" w:cstheme="minorHAnsi"/>
          <w:color w:val="000000"/>
          <w:szCs w:val="20"/>
        </w:rPr>
      </w:pPr>
      <w:r w:rsidRPr="003B6A69">
        <w:rPr>
          <w:rFonts w:asciiTheme="minorHAnsi" w:eastAsiaTheme="minorHAnsi" w:hAnsiTheme="minorHAnsi" w:cstheme="minorHAnsi"/>
          <w:color w:val="000000"/>
          <w:szCs w:val="20"/>
        </w:rPr>
        <w:t xml:space="preserve">In the field of EU harmonization, the process of harmonization and implementation of the IPARD II Program has started, with the inclusion of existing national measures within the </w:t>
      </w:r>
      <w:proofErr w:type="spellStart"/>
      <w:r w:rsidRPr="003B6A69">
        <w:rPr>
          <w:rFonts w:asciiTheme="minorHAnsi" w:eastAsiaTheme="minorHAnsi" w:hAnsiTheme="minorHAnsi" w:cstheme="minorHAnsi"/>
          <w:color w:val="000000"/>
          <w:szCs w:val="20"/>
        </w:rPr>
        <w:t>agro</w:t>
      </w:r>
      <w:proofErr w:type="spellEnd"/>
      <w:r w:rsidRPr="003B6A69">
        <w:rPr>
          <w:rFonts w:asciiTheme="minorHAnsi" w:eastAsiaTheme="minorHAnsi" w:hAnsiTheme="minorHAnsi" w:cstheme="minorHAnsi"/>
          <w:color w:val="000000"/>
          <w:szCs w:val="20"/>
        </w:rPr>
        <w:t xml:space="preserve">-budget (Axes I and III), inclusion of existing national agri-environmental measures (Axis II), and with introduction of new measures in line with the LEADER approach to CAP. Special </w:t>
      </w:r>
      <w:r w:rsidRPr="003B6A69">
        <w:rPr>
          <w:rFonts w:asciiTheme="minorHAnsi" w:eastAsiaTheme="minorHAnsi" w:hAnsiTheme="minorHAnsi" w:cstheme="minorHAnsi"/>
          <w:color w:val="000000"/>
          <w:szCs w:val="20"/>
        </w:rPr>
        <w:lastRenderedPageBreak/>
        <w:t xml:space="preserve">attention should be paid to encouraging the association of producers in associations or clusters, because in that way the entire supply chain is encouraged. </w:t>
      </w:r>
      <w:proofErr w:type="gramStart"/>
      <w:r w:rsidRPr="003B6A69">
        <w:rPr>
          <w:rFonts w:asciiTheme="minorHAnsi" w:eastAsiaTheme="minorHAnsi" w:hAnsiTheme="minorHAnsi" w:cstheme="minorHAnsi"/>
          <w:color w:val="000000"/>
          <w:szCs w:val="20"/>
        </w:rPr>
        <w:t>In order to</w:t>
      </w:r>
      <w:proofErr w:type="gramEnd"/>
      <w:r w:rsidRPr="003B6A69">
        <w:rPr>
          <w:rFonts w:asciiTheme="minorHAnsi" w:eastAsiaTheme="minorHAnsi" w:hAnsiTheme="minorHAnsi" w:cstheme="minorHAnsi"/>
          <w:color w:val="000000"/>
          <w:szCs w:val="20"/>
        </w:rPr>
        <w:t xml:space="preserve"> strengthen the direct payment support system, it is necessary to further improve the animal identification system and fully establish the LPIS system. Despite the relatively small overall agricultural budget in Montenegro, this country has the highest relative level of funding for structural and rural development measures among the WB countries/territories (2.8 % of agricultural output; 46 % of the EU level of 6 %)</w:t>
      </w:r>
      <w:r w:rsidRPr="003B6A69">
        <w:rPr>
          <w:rFonts w:asciiTheme="minorHAnsi" w:eastAsiaTheme="minorHAnsi" w:hAnsiTheme="minorHAnsi" w:cstheme="minorHAnsi"/>
          <w:color w:val="000000"/>
          <w:szCs w:val="20"/>
          <w:vertAlign w:val="superscript"/>
        </w:rPr>
        <w:footnoteReference w:id="91"/>
      </w:r>
      <w:r w:rsidRPr="003B6A69">
        <w:rPr>
          <w:rFonts w:asciiTheme="minorHAnsi" w:eastAsiaTheme="minorHAnsi" w:hAnsiTheme="minorHAnsi" w:cstheme="minorHAnsi"/>
          <w:color w:val="000000"/>
          <w:szCs w:val="20"/>
        </w:rPr>
        <w:t xml:space="preserve">. </w:t>
      </w:r>
    </w:p>
    <w:p w14:paraId="203DEEEB" w14:textId="77777777" w:rsidR="008C4F26" w:rsidRPr="003B6A69" w:rsidRDefault="008C4F26" w:rsidP="006C1C66">
      <w:pPr>
        <w:autoSpaceDE w:val="0"/>
        <w:autoSpaceDN w:val="0"/>
        <w:adjustRightInd w:val="0"/>
        <w:spacing w:after="120"/>
        <w:rPr>
          <w:rFonts w:asciiTheme="minorHAnsi" w:eastAsiaTheme="minorHAnsi" w:hAnsiTheme="minorHAnsi" w:cstheme="minorHAnsi"/>
          <w:color w:val="000000"/>
          <w:szCs w:val="20"/>
        </w:rPr>
      </w:pPr>
      <w:r w:rsidRPr="003B6A69">
        <w:rPr>
          <w:rFonts w:asciiTheme="minorHAnsi" w:eastAsiaTheme="minorHAnsi" w:hAnsiTheme="minorHAnsi" w:cstheme="minorHAnsi"/>
          <w:color w:val="000000"/>
          <w:szCs w:val="20"/>
        </w:rPr>
        <w:t xml:space="preserve">The composition of funding for structural and rural development policy, considering main groups of measures, is completely incompatible with the composition in the EU. The funds in this pillar are almost entirely aimed at improving the competitiveness of the agri-food sector, mostly as support for on-farm investments. In the EU, this group of measures represents less than a third of funds in this pillar (1.8 % of agricultural output). </w:t>
      </w:r>
    </w:p>
    <w:p w14:paraId="03036054" w14:textId="77777777" w:rsidR="008C4F26" w:rsidRPr="003B6A69" w:rsidRDefault="008C4F26" w:rsidP="006C1C66">
      <w:pPr>
        <w:tabs>
          <w:tab w:val="left" w:pos="1134"/>
        </w:tabs>
        <w:autoSpaceDE w:val="0"/>
        <w:autoSpaceDN w:val="0"/>
        <w:adjustRightInd w:val="0"/>
        <w:spacing w:after="120"/>
        <w:rPr>
          <w:rFonts w:asciiTheme="minorHAnsi" w:eastAsiaTheme="minorHAnsi" w:hAnsiTheme="minorHAnsi" w:cstheme="minorHAnsi"/>
          <w:color w:val="000000"/>
          <w:szCs w:val="20"/>
        </w:rPr>
      </w:pPr>
      <w:r w:rsidRPr="003B6A69">
        <w:rPr>
          <w:rFonts w:asciiTheme="minorHAnsi" w:eastAsiaTheme="minorHAnsi" w:hAnsiTheme="minorHAnsi" w:cstheme="minorHAnsi"/>
          <w:color w:val="000000"/>
          <w:szCs w:val="20"/>
        </w:rPr>
        <w:t xml:space="preserve">In the EU, rural development programs include significant measures for the support of farmers living in areas with natural and other constraints, for the </w:t>
      </w:r>
      <w:proofErr w:type="spellStart"/>
      <w:r w:rsidRPr="003B6A69">
        <w:rPr>
          <w:rFonts w:asciiTheme="minorHAnsi" w:eastAsiaTheme="minorHAnsi" w:hAnsiTheme="minorHAnsi" w:cstheme="minorHAnsi"/>
          <w:color w:val="000000"/>
          <w:szCs w:val="20"/>
        </w:rPr>
        <w:t>agro</w:t>
      </w:r>
      <w:proofErr w:type="spellEnd"/>
      <w:r w:rsidRPr="003B6A69">
        <w:rPr>
          <w:rFonts w:asciiTheme="minorHAnsi" w:eastAsiaTheme="minorHAnsi" w:hAnsiTheme="minorHAnsi" w:cstheme="minorHAnsi"/>
          <w:color w:val="000000"/>
          <w:szCs w:val="20"/>
        </w:rPr>
        <w:t>-environmental and climate support, and for support of organic agriculture (in the EU this is reflected by the fact that more than half of total rural development policy funds are devoted to this group of measures). Of this, about half are for ANC payments and half for the remaining measures within this group (</w:t>
      </w:r>
      <w:proofErr w:type="spellStart"/>
      <w:r w:rsidRPr="003B6A69">
        <w:rPr>
          <w:rFonts w:asciiTheme="minorHAnsi" w:eastAsiaTheme="minorHAnsi" w:hAnsiTheme="minorHAnsi" w:cstheme="minorHAnsi"/>
          <w:color w:val="000000"/>
          <w:szCs w:val="20"/>
        </w:rPr>
        <w:t>agro</w:t>
      </w:r>
      <w:proofErr w:type="spellEnd"/>
      <w:r w:rsidRPr="003B6A69">
        <w:rPr>
          <w:rFonts w:asciiTheme="minorHAnsi" w:eastAsiaTheme="minorHAnsi" w:hAnsiTheme="minorHAnsi" w:cstheme="minorHAnsi"/>
          <w:color w:val="000000"/>
          <w:szCs w:val="20"/>
        </w:rPr>
        <w:t>-environment, organic and animal welfare payments)</w:t>
      </w:r>
      <w:r w:rsidRPr="003B6A69">
        <w:rPr>
          <w:rFonts w:asciiTheme="minorHAnsi" w:eastAsiaTheme="minorHAnsi" w:hAnsiTheme="minorHAnsi" w:cstheme="minorHAnsi"/>
          <w:color w:val="000000"/>
          <w:szCs w:val="20"/>
          <w:vertAlign w:val="superscript"/>
        </w:rPr>
        <w:footnoteReference w:id="92"/>
      </w:r>
      <w:r w:rsidRPr="003B6A69">
        <w:rPr>
          <w:rFonts w:asciiTheme="minorHAnsi" w:eastAsiaTheme="minorHAnsi" w:hAnsiTheme="minorHAnsi" w:cstheme="minorHAnsi"/>
          <w:color w:val="000000"/>
          <w:szCs w:val="20"/>
        </w:rPr>
        <w:t xml:space="preserve">. In Montenegro, these funds are still </w:t>
      </w:r>
      <w:proofErr w:type="gramStart"/>
      <w:r w:rsidRPr="003B6A69">
        <w:rPr>
          <w:rFonts w:asciiTheme="minorHAnsi" w:eastAsiaTheme="minorHAnsi" w:hAnsiTheme="minorHAnsi" w:cstheme="minorHAnsi"/>
          <w:color w:val="000000"/>
          <w:szCs w:val="20"/>
        </w:rPr>
        <w:t>insufficient</w:t>
      </w:r>
      <w:proofErr w:type="gramEnd"/>
      <w:r w:rsidRPr="003B6A69">
        <w:rPr>
          <w:rFonts w:asciiTheme="minorHAnsi" w:eastAsiaTheme="minorHAnsi" w:hAnsiTheme="minorHAnsi" w:cstheme="minorHAnsi"/>
          <w:color w:val="000000"/>
          <w:szCs w:val="20"/>
        </w:rPr>
        <w:t xml:space="preserve"> and this issue has to be addressed, especially taking into consideration the percentage of the rural areas with natural constrains and other restrictions, along with considering the need for environmental protection.  </w:t>
      </w:r>
    </w:p>
    <w:p w14:paraId="33931769" w14:textId="77777777" w:rsidR="008C4F26" w:rsidRPr="003B6A69" w:rsidRDefault="008C4F26" w:rsidP="006C1C66">
      <w:pPr>
        <w:spacing w:after="120"/>
        <w:rPr>
          <w:rFonts w:asciiTheme="minorHAnsi" w:hAnsiTheme="minorHAnsi" w:cstheme="minorHAnsi"/>
          <w:szCs w:val="20"/>
        </w:rPr>
      </w:pPr>
    </w:p>
    <w:p w14:paraId="2CF5E706" w14:textId="77777777" w:rsidR="008C4F26" w:rsidRPr="003B6A69" w:rsidRDefault="008C4F26" w:rsidP="006C1C66">
      <w:pPr>
        <w:spacing w:after="120"/>
        <w:rPr>
          <w:rFonts w:asciiTheme="minorHAnsi" w:hAnsiTheme="minorHAnsi" w:cstheme="minorHAnsi"/>
          <w:b/>
          <w:szCs w:val="20"/>
        </w:rPr>
      </w:pPr>
      <w:r w:rsidRPr="003B6A69">
        <w:rPr>
          <w:rFonts w:asciiTheme="minorHAnsi" w:hAnsiTheme="minorHAnsi" w:cstheme="minorHAnsi"/>
          <w:b/>
          <w:szCs w:val="20"/>
        </w:rPr>
        <w:t>IPARD and IFAD Programs</w:t>
      </w:r>
    </w:p>
    <w:p w14:paraId="70AC8D6B" w14:textId="77777777" w:rsidR="008C4F26" w:rsidRPr="003B6A69" w:rsidRDefault="008C4F26" w:rsidP="006C1C66">
      <w:pPr>
        <w:spacing w:after="120"/>
        <w:rPr>
          <w:rFonts w:asciiTheme="minorHAnsi" w:hAnsiTheme="minorHAnsi" w:cstheme="minorHAnsi"/>
          <w:szCs w:val="20"/>
        </w:rPr>
      </w:pPr>
    </w:p>
    <w:p w14:paraId="26BA4393" w14:textId="77777777" w:rsidR="008C4F26" w:rsidRPr="003B6A69" w:rsidRDefault="008C4F26" w:rsidP="006C1C66">
      <w:pPr>
        <w:spacing w:after="120"/>
        <w:rPr>
          <w:rFonts w:asciiTheme="minorHAnsi" w:hAnsiTheme="minorHAnsi" w:cstheme="minorHAnsi"/>
          <w:szCs w:val="20"/>
        </w:rPr>
      </w:pPr>
      <w:r w:rsidRPr="003B6A69">
        <w:rPr>
          <w:rFonts w:asciiTheme="minorHAnsi" w:hAnsiTheme="minorHAnsi" w:cstheme="minorHAnsi"/>
          <w:szCs w:val="20"/>
        </w:rPr>
        <w:t xml:space="preserve">In 2018, the Payments Directorate successfully implemented public calls for grants under IPARD 2, where a total of 35 projects with a total investment value of EUR 4,562,426 were implemented, while a grant in the amount of EUR 1,911,339 was paid. During 2018, 2371 agricultural holdings were entered in the Register of Agricultural Holdings. Entry in the Register of Agricultural Holdings is the basis and condition for obtaining all incentives in agriculture and rural development, and at the same time provides records on actual data on all agricultural holdings in the territory of Montenegro. The total number of registered agricultural holdings as of 31.12.2018. 9557. The commission for valorization of state-owned agricultural land continues with the implementation of the procedure for leasing agricultural land. A project has been launched with the International Fund for Agricultural Development (IFAD), worth a total of EUR 13.6 million, with two components. During this year, 10 sections of road with a total length of about 7 km and a value of about 350,000 EUR, and 5 water supply road projects with a total value of about 110,000 EUR were asphalted. It is estimated that 8,800 beneficiaries directly benefit from these investments. The cluster support component supports 55 </w:t>
      </w:r>
      <w:proofErr w:type="gramStart"/>
      <w:r w:rsidRPr="003B6A69">
        <w:rPr>
          <w:rFonts w:asciiTheme="minorHAnsi" w:hAnsiTheme="minorHAnsi" w:cstheme="minorHAnsi"/>
          <w:szCs w:val="20"/>
        </w:rPr>
        <w:t>users</w:t>
      </w:r>
      <w:proofErr w:type="gramEnd"/>
      <w:r w:rsidRPr="003B6A69">
        <w:rPr>
          <w:rFonts w:asciiTheme="minorHAnsi" w:hAnsiTheme="minorHAnsi" w:cstheme="minorHAnsi"/>
          <w:szCs w:val="20"/>
        </w:rPr>
        <w:t xml:space="preserve"> and the total support is over EUR 60,000</w:t>
      </w:r>
      <w:r w:rsidRPr="003B6A69">
        <w:rPr>
          <w:rFonts w:asciiTheme="minorHAnsi" w:hAnsiTheme="minorHAnsi" w:cstheme="minorHAnsi"/>
          <w:szCs w:val="20"/>
          <w:vertAlign w:val="superscript"/>
        </w:rPr>
        <w:footnoteReference w:id="93"/>
      </w:r>
      <w:r w:rsidRPr="003B6A69">
        <w:rPr>
          <w:rFonts w:asciiTheme="minorHAnsi" w:hAnsiTheme="minorHAnsi" w:cstheme="minorHAnsi"/>
          <w:szCs w:val="20"/>
        </w:rPr>
        <w:t>.</w:t>
      </w:r>
    </w:p>
    <w:p w14:paraId="52BF2210" w14:textId="77777777" w:rsidR="008C4F26" w:rsidRPr="003B6A69" w:rsidRDefault="008C4F26" w:rsidP="006C1C66">
      <w:pPr>
        <w:spacing w:after="120"/>
        <w:rPr>
          <w:rFonts w:asciiTheme="minorHAnsi" w:hAnsiTheme="minorHAnsi" w:cstheme="minorHAnsi"/>
          <w:szCs w:val="20"/>
        </w:rPr>
      </w:pPr>
      <w:r w:rsidRPr="003B6A69">
        <w:rPr>
          <w:rFonts w:asciiTheme="minorHAnsi" w:hAnsiTheme="minorHAnsi" w:cstheme="minorHAnsi"/>
          <w:szCs w:val="20"/>
        </w:rPr>
        <w:t xml:space="preserve">The process of introducing a decentralized asset management system in Montenegro was especially emphasized when acquiring the status of a candidate for EU membership, when Montenegro had the right to use IPA (Instrument for Pre-Accession Assistance) III, IV and V. and II components of IPA. Within the MAFRD, new structures for the use of pre-accession assistance for rural development have been formed - the Managing Authority and the IPARD Agency. The Directorate for Rural Development has been appointed as the Managing Authority, whose programs IPARD measures and supervises their implementation. The Directorate for IPARD Payments is envisaged as a future IPARD agency. </w:t>
      </w:r>
      <w:proofErr w:type="gramStart"/>
      <w:r w:rsidRPr="003B6A69">
        <w:rPr>
          <w:rFonts w:asciiTheme="minorHAnsi" w:hAnsiTheme="minorHAnsi" w:cstheme="minorHAnsi"/>
          <w:szCs w:val="20"/>
        </w:rPr>
        <w:t>Taking into account</w:t>
      </w:r>
      <w:proofErr w:type="gramEnd"/>
      <w:r w:rsidRPr="003B6A69">
        <w:rPr>
          <w:rFonts w:asciiTheme="minorHAnsi" w:hAnsiTheme="minorHAnsi" w:cstheme="minorHAnsi"/>
          <w:szCs w:val="20"/>
        </w:rPr>
        <w:t xml:space="preserve"> the whole process of preparation for IPARD, it is important to emphasize that administrative capacity is one of the key preconditions for its implementation.</w:t>
      </w:r>
    </w:p>
    <w:p w14:paraId="098A9A7B" w14:textId="77777777" w:rsidR="008C4F26" w:rsidRPr="003B6A69" w:rsidRDefault="008C4F26" w:rsidP="006C1C66">
      <w:pPr>
        <w:spacing w:after="120"/>
        <w:rPr>
          <w:rFonts w:asciiTheme="minorHAnsi" w:hAnsiTheme="minorHAnsi" w:cstheme="minorHAnsi"/>
          <w:szCs w:val="20"/>
        </w:rPr>
      </w:pPr>
      <w:r w:rsidRPr="003B6A69">
        <w:rPr>
          <w:rFonts w:asciiTheme="minorHAnsi" w:hAnsiTheme="minorHAnsi" w:cstheme="minorHAnsi"/>
          <w:szCs w:val="20"/>
        </w:rPr>
        <w:t>Investments in the manufacturing industry have so far amounted to more than EUR 50 million. Given that the EU requirements related to the construction of facilities, hygiene requirements and product quality are quite high, it was assumed that a significant number of smaller capacity producers will not be able to respond to market demands and will cease to operate.</w:t>
      </w:r>
    </w:p>
    <w:p w14:paraId="25550BEB" w14:textId="77777777" w:rsidR="008C4F26" w:rsidRPr="003B6A69" w:rsidRDefault="008C4F26" w:rsidP="006C1C66">
      <w:pPr>
        <w:spacing w:after="120"/>
        <w:rPr>
          <w:rFonts w:asciiTheme="minorHAnsi" w:hAnsiTheme="minorHAnsi" w:cstheme="minorHAnsi"/>
          <w:szCs w:val="20"/>
        </w:rPr>
      </w:pPr>
      <w:r w:rsidRPr="003B6A69">
        <w:rPr>
          <w:rFonts w:asciiTheme="minorHAnsi" w:hAnsiTheme="minorHAnsi" w:cstheme="minorHAnsi"/>
          <w:szCs w:val="20"/>
        </w:rPr>
        <w:t xml:space="preserve">Montenegro continued with the implementation of a new World Bank project - MIDAS 2 in the amount of EUR 30 million to support: agriculture, rural development, </w:t>
      </w:r>
      <w:proofErr w:type="gramStart"/>
      <w:r w:rsidRPr="003B6A69">
        <w:rPr>
          <w:rFonts w:asciiTheme="minorHAnsi" w:hAnsiTheme="minorHAnsi" w:cstheme="minorHAnsi"/>
          <w:szCs w:val="20"/>
        </w:rPr>
        <w:t>fisheries</w:t>
      </w:r>
      <w:proofErr w:type="gramEnd"/>
      <w:r w:rsidRPr="003B6A69">
        <w:rPr>
          <w:rFonts w:asciiTheme="minorHAnsi" w:hAnsiTheme="minorHAnsi" w:cstheme="minorHAnsi"/>
          <w:szCs w:val="20"/>
        </w:rPr>
        <w:t xml:space="preserve"> and food security. Also, the continuation of the LPIS project is very important, through which we will work on the establishment of the LPIS system in Montenegro, as one of the key </w:t>
      </w:r>
      <w:r w:rsidRPr="003B6A69">
        <w:rPr>
          <w:rFonts w:asciiTheme="minorHAnsi" w:hAnsiTheme="minorHAnsi" w:cstheme="minorHAnsi"/>
          <w:szCs w:val="20"/>
        </w:rPr>
        <w:lastRenderedPageBreak/>
        <w:t>components of the Integrated Administration and Control System (IACS) of all payments in agriculture and rural development, and the establishment of which is one of the final criteria for closing negotiations for Montenegro's accession to the EU, for Chapter 11 Agriculture and Rural Development.</w:t>
      </w:r>
    </w:p>
    <w:p w14:paraId="4AB708CB" w14:textId="77777777" w:rsidR="008C4F26" w:rsidRPr="003B6A69" w:rsidRDefault="008C4F26" w:rsidP="006C1C66">
      <w:pPr>
        <w:spacing w:after="120"/>
        <w:rPr>
          <w:rFonts w:asciiTheme="minorHAnsi" w:hAnsiTheme="minorHAnsi" w:cstheme="minorHAnsi"/>
          <w:szCs w:val="20"/>
        </w:rPr>
      </w:pPr>
      <w:r w:rsidRPr="003B6A69">
        <w:rPr>
          <w:rFonts w:asciiTheme="minorHAnsi" w:hAnsiTheme="minorHAnsi" w:cstheme="minorHAnsi"/>
          <w:szCs w:val="20"/>
        </w:rPr>
        <w:t xml:space="preserve">Montenegro does not have an integrated management and control system (IACS) as defined in the acquis. Controls are carried out through a computer system: the register of animals, databases related to crop production (crops, tobacco, </w:t>
      </w:r>
      <w:proofErr w:type="gramStart"/>
      <w:r w:rsidRPr="003B6A69">
        <w:rPr>
          <w:rFonts w:asciiTheme="minorHAnsi" w:hAnsiTheme="minorHAnsi" w:cstheme="minorHAnsi"/>
          <w:szCs w:val="20"/>
        </w:rPr>
        <w:t>vegetables</w:t>
      </w:r>
      <w:proofErr w:type="gramEnd"/>
      <w:r w:rsidRPr="003B6A69">
        <w:rPr>
          <w:rFonts w:asciiTheme="minorHAnsi" w:hAnsiTheme="minorHAnsi" w:cstheme="minorHAnsi"/>
          <w:szCs w:val="20"/>
        </w:rPr>
        <w:t xml:space="preserve"> and greenhouses), the register of grape and wine producers, the register of olives and the register of holders of agricultural insurance policies. However, these databases are not integrated. Livestock and crop inspections are carried out on site. One of the goals of the World Bank's MIDAS project is to establish connected information systems.</w:t>
      </w:r>
    </w:p>
    <w:p w14:paraId="6AD92617" w14:textId="77777777" w:rsidR="008C4F26" w:rsidRPr="003B6A69" w:rsidRDefault="008C4F26" w:rsidP="006C1C66">
      <w:pPr>
        <w:spacing w:after="120"/>
        <w:rPr>
          <w:rFonts w:asciiTheme="minorHAnsi" w:hAnsiTheme="minorHAnsi" w:cstheme="minorHAnsi"/>
          <w:szCs w:val="20"/>
        </w:rPr>
      </w:pPr>
      <w:r w:rsidRPr="003B6A69">
        <w:rPr>
          <w:rFonts w:asciiTheme="minorHAnsi" w:hAnsiTheme="minorHAnsi" w:cstheme="minorHAnsi"/>
          <w:szCs w:val="20"/>
        </w:rPr>
        <w:t xml:space="preserve">The Paying Agency is responsible for the management of European Agricultural Funds (EAGF) and the European Agricultural Fund for Rural Development (EAFRD). Currently, the IPARD Payments Directorate is responsible for the implementation of rural development measures, </w:t>
      </w:r>
      <w:proofErr w:type="gramStart"/>
      <w:r w:rsidRPr="003B6A69">
        <w:rPr>
          <w:rFonts w:asciiTheme="minorHAnsi" w:hAnsiTheme="minorHAnsi" w:cstheme="minorHAnsi"/>
          <w:szCs w:val="20"/>
        </w:rPr>
        <w:t>in particular for</w:t>
      </w:r>
      <w:proofErr w:type="gramEnd"/>
      <w:r w:rsidRPr="003B6A69">
        <w:rPr>
          <w:rFonts w:asciiTheme="minorHAnsi" w:hAnsiTheme="minorHAnsi" w:cstheme="minorHAnsi"/>
          <w:szCs w:val="20"/>
        </w:rPr>
        <w:t xml:space="preserve"> the award of the grant component financed from the MIDAS project. The implementation of the MIDAS public call was very important for raising the awareness of all actors in Montenegro and their acquaintance with the EU approach in the implementation of rural development measures. Starting with the first call of MIDAS, the main IPARD requirements have been incorporated and respected, and these include pre-financing, introduction of a package of documents to be submitted by applicants, requirement that the investment can be realized only after signing the contract, etc. Over the past five MIDAS calls for grants, the IPARD Payments Authority's procedures and capacities have improved significantly in terms of meeting IPARD requirements.</w:t>
      </w:r>
    </w:p>
    <w:p w14:paraId="27973219" w14:textId="77777777" w:rsidR="008C4F26" w:rsidRPr="003B6A69" w:rsidRDefault="008C4F26" w:rsidP="006C1C66">
      <w:pPr>
        <w:spacing w:after="120"/>
        <w:rPr>
          <w:rFonts w:asciiTheme="minorHAnsi" w:hAnsiTheme="minorHAnsi" w:cstheme="minorHAnsi"/>
          <w:szCs w:val="20"/>
        </w:rPr>
      </w:pPr>
    </w:p>
    <w:p w14:paraId="6E69B8BA" w14:textId="77777777" w:rsidR="008C4F26" w:rsidRPr="003B6A69" w:rsidRDefault="008C4F26" w:rsidP="006C1C66">
      <w:pPr>
        <w:spacing w:after="120"/>
        <w:rPr>
          <w:rFonts w:asciiTheme="minorHAnsi" w:hAnsiTheme="minorHAnsi" w:cstheme="minorHAnsi"/>
          <w:szCs w:val="20"/>
        </w:rPr>
      </w:pPr>
      <w:r w:rsidRPr="003B6A69">
        <w:rPr>
          <w:rFonts w:asciiTheme="minorHAnsi" w:hAnsiTheme="minorHAnsi" w:cstheme="minorHAnsi"/>
          <w:szCs w:val="20"/>
        </w:rPr>
        <w:t xml:space="preserve">When analyzing the results so far, it is evident that significant improvement has been achieved </w:t>
      </w:r>
      <w:proofErr w:type="gramStart"/>
      <w:r w:rsidRPr="003B6A69">
        <w:rPr>
          <w:rFonts w:asciiTheme="minorHAnsi" w:hAnsiTheme="minorHAnsi" w:cstheme="minorHAnsi"/>
          <w:szCs w:val="20"/>
        </w:rPr>
        <w:t>in the area of</w:t>
      </w:r>
      <w:proofErr w:type="gramEnd"/>
      <w:r w:rsidRPr="003B6A69">
        <w:rPr>
          <w:rFonts w:asciiTheme="minorHAnsi" w:hAnsiTheme="minorHAnsi" w:cstheme="minorHAnsi"/>
          <w:szCs w:val="20"/>
        </w:rPr>
        <w:t xml:space="preserve"> legislative harmonization. However, administrative capacity to successfully enforce laws and regulations is still insufficient and needs to be significantly strengthened. In parallel with the strengthening of these capacities, it is necessary to continue further efficient implementation of the IPARD program, so that EU funds can be used to a greater extent to strengthen agriculture in Montenegro.</w:t>
      </w:r>
    </w:p>
    <w:p w14:paraId="68E0BAFE" w14:textId="77777777" w:rsidR="008C4F26" w:rsidRPr="003B6A69" w:rsidRDefault="008C4F26" w:rsidP="006C1C66">
      <w:pPr>
        <w:spacing w:after="120"/>
        <w:rPr>
          <w:rFonts w:asciiTheme="minorHAnsi" w:hAnsiTheme="minorHAnsi" w:cstheme="minorHAnsi"/>
          <w:szCs w:val="20"/>
        </w:rPr>
      </w:pPr>
      <w:r w:rsidRPr="003B6A69">
        <w:rPr>
          <w:rFonts w:asciiTheme="minorHAnsi" w:hAnsiTheme="minorHAnsi" w:cstheme="minorHAnsi"/>
          <w:szCs w:val="20"/>
        </w:rPr>
        <w:t xml:space="preserve">In addition to supporting measures such as the National </w:t>
      </w:r>
      <w:proofErr w:type="spellStart"/>
      <w:r w:rsidRPr="003B6A69">
        <w:rPr>
          <w:rFonts w:asciiTheme="minorHAnsi" w:hAnsiTheme="minorHAnsi" w:cstheme="minorHAnsi"/>
          <w:szCs w:val="20"/>
        </w:rPr>
        <w:t>Agro</w:t>
      </w:r>
      <w:proofErr w:type="spellEnd"/>
      <w:r w:rsidRPr="003B6A69">
        <w:rPr>
          <w:rFonts w:asciiTheme="minorHAnsi" w:hAnsiTheme="minorHAnsi" w:cstheme="minorHAnsi"/>
          <w:szCs w:val="20"/>
        </w:rPr>
        <w:t>-budget or IPARD, other opportunities for financial support are available in Montenegro. This includes credit and guarantee support offered by the Investment Development Fund and commercial banks, although lending through commercial banks is characterized by high interest rates and unfavorable conditions for farmers, thus limiting access to these sources of financing.</w:t>
      </w:r>
    </w:p>
    <w:p w14:paraId="10729332" w14:textId="77777777" w:rsidR="008C4F26" w:rsidRPr="003B6A69" w:rsidRDefault="008C4F26" w:rsidP="006C1C66">
      <w:pPr>
        <w:spacing w:after="120"/>
        <w:rPr>
          <w:rFonts w:asciiTheme="minorHAnsi" w:hAnsiTheme="minorHAnsi" w:cstheme="minorHAnsi"/>
          <w:szCs w:val="20"/>
        </w:rPr>
      </w:pPr>
    </w:p>
    <w:p w14:paraId="16858E61" w14:textId="77777777" w:rsidR="008C4F26" w:rsidRPr="003B6A69" w:rsidRDefault="008C4F26" w:rsidP="006C1C66">
      <w:pPr>
        <w:spacing w:after="120"/>
        <w:rPr>
          <w:rFonts w:asciiTheme="minorHAnsi" w:hAnsiTheme="minorHAnsi" w:cstheme="minorHAnsi"/>
          <w:szCs w:val="20"/>
        </w:rPr>
      </w:pPr>
      <w:r w:rsidRPr="003B6A69">
        <w:rPr>
          <w:rFonts w:asciiTheme="minorHAnsi" w:hAnsiTheme="minorHAnsi" w:cstheme="minorHAnsi"/>
          <w:szCs w:val="20"/>
        </w:rPr>
        <w:t xml:space="preserve">Agricultural policy, of course, should not refer only to the measures envisaged by the </w:t>
      </w:r>
      <w:proofErr w:type="spellStart"/>
      <w:r w:rsidRPr="003B6A69">
        <w:rPr>
          <w:rFonts w:asciiTheme="minorHAnsi" w:hAnsiTheme="minorHAnsi" w:cstheme="minorHAnsi"/>
          <w:szCs w:val="20"/>
        </w:rPr>
        <w:t>agro</w:t>
      </w:r>
      <w:proofErr w:type="spellEnd"/>
      <w:r w:rsidRPr="003B6A69">
        <w:rPr>
          <w:rFonts w:asciiTheme="minorHAnsi" w:hAnsiTheme="minorHAnsi" w:cstheme="minorHAnsi"/>
          <w:szCs w:val="20"/>
        </w:rPr>
        <w:t xml:space="preserve">-budget, but additional sources of financing should be used more, such as fiscal and credit relief measures, bank loans, international cooperation, EU IPA fund, etc. Therefore, it is necessary to gradually increase the funds of the </w:t>
      </w:r>
      <w:proofErr w:type="spellStart"/>
      <w:r w:rsidRPr="003B6A69">
        <w:rPr>
          <w:rFonts w:asciiTheme="minorHAnsi" w:hAnsiTheme="minorHAnsi" w:cstheme="minorHAnsi"/>
          <w:szCs w:val="20"/>
        </w:rPr>
        <w:t>agro</w:t>
      </w:r>
      <w:proofErr w:type="spellEnd"/>
      <w:r w:rsidRPr="003B6A69">
        <w:rPr>
          <w:rFonts w:asciiTheme="minorHAnsi" w:hAnsiTheme="minorHAnsi" w:cstheme="minorHAnsi"/>
          <w:szCs w:val="20"/>
        </w:rPr>
        <w:t xml:space="preserve">-budget in accordance with the projected increase in GDP in the coming years. The structure of budget expenditures for the agri-food sector and rural areas shows that it is necessary to strengthen the links between the research community and producers </w:t>
      </w:r>
      <w:proofErr w:type="gramStart"/>
      <w:r w:rsidRPr="003B6A69">
        <w:rPr>
          <w:rFonts w:asciiTheme="minorHAnsi" w:hAnsiTheme="minorHAnsi" w:cstheme="minorHAnsi"/>
          <w:szCs w:val="20"/>
        </w:rPr>
        <w:t>in order to</w:t>
      </w:r>
      <w:proofErr w:type="gramEnd"/>
      <w:r w:rsidRPr="003B6A69">
        <w:rPr>
          <w:rFonts w:asciiTheme="minorHAnsi" w:hAnsiTheme="minorHAnsi" w:cstheme="minorHAnsi"/>
          <w:szCs w:val="20"/>
        </w:rPr>
        <w:t xml:space="preserve"> improve the quality of production and increase the rate of product finalization.</w:t>
      </w:r>
    </w:p>
    <w:p w14:paraId="1CB3CEF8" w14:textId="77777777" w:rsidR="008C4F26" w:rsidRPr="003B6A69" w:rsidRDefault="008C4F26" w:rsidP="006C1C66">
      <w:pPr>
        <w:spacing w:after="120"/>
        <w:rPr>
          <w:rFonts w:asciiTheme="minorHAnsi" w:hAnsiTheme="minorHAnsi" w:cstheme="minorHAnsi"/>
          <w:b/>
          <w:szCs w:val="20"/>
        </w:rPr>
      </w:pPr>
      <w:r w:rsidRPr="003B6A69">
        <w:rPr>
          <w:rFonts w:asciiTheme="minorHAnsi" w:hAnsiTheme="minorHAnsi" w:cstheme="minorHAnsi"/>
          <w:b/>
          <w:szCs w:val="20"/>
        </w:rPr>
        <w:t xml:space="preserve">Figure 1. IPA funds for Competitiveness, innovation, </w:t>
      </w:r>
      <w:proofErr w:type="gramStart"/>
      <w:r w:rsidRPr="003B6A69">
        <w:rPr>
          <w:rFonts w:asciiTheme="minorHAnsi" w:hAnsiTheme="minorHAnsi" w:cstheme="minorHAnsi"/>
          <w:b/>
          <w:szCs w:val="20"/>
        </w:rPr>
        <w:t>agriculture</w:t>
      </w:r>
      <w:proofErr w:type="gramEnd"/>
      <w:r w:rsidRPr="003B6A69">
        <w:rPr>
          <w:rFonts w:asciiTheme="minorHAnsi" w:hAnsiTheme="minorHAnsi" w:cstheme="minorHAnsi"/>
          <w:b/>
          <w:szCs w:val="20"/>
        </w:rPr>
        <w:t xml:space="preserve"> and rural development- 8M EUR allocated to IPARD in 2020.  </w:t>
      </w:r>
    </w:p>
    <w:p w14:paraId="3917CE9F" w14:textId="77777777" w:rsidR="008C4F26" w:rsidRPr="003B6A69" w:rsidRDefault="008C4F26" w:rsidP="006C1C66">
      <w:pPr>
        <w:spacing w:after="120"/>
        <w:rPr>
          <w:rFonts w:asciiTheme="minorHAnsi" w:hAnsiTheme="minorHAnsi" w:cstheme="minorHAnsi"/>
          <w:szCs w:val="20"/>
        </w:rPr>
      </w:pPr>
      <w:r w:rsidRPr="003B6A69">
        <w:rPr>
          <w:noProof/>
          <w:szCs w:val="20"/>
        </w:rPr>
        <w:lastRenderedPageBreak/>
        <w:drawing>
          <wp:inline distT="0" distB="0" distL="0" distR="0" wp14:anchorId="2202DE00" wp14:editId="630B7BA4">
            <wp:extent cx="5943600" cy="2239507"/>
            <wp:effectExtent l="0" t="0" r="0" b="8890"/>
            <wp:docPr id="35" name="Picture 35" descr="https://ec.europa.eu/neighbourhood-enlargement/sites/near/files/montenegro-key-figu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c.europa.eu/neighbourhood-enlargement/sites/near/files/montenegro-key-figures.pn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43600" cy="2239507"/>
                    </a:xfrm>
                    <a:prstGeom prst="rect">
                      <a:avLst/>
                    </a:prstGeom>
                    <a:noFill/>
                    <a:ln>
                      <a:noFill/>
                    </a:ln>
                  </pic:spPr>
                </pic:pic>
              </a:graphicData>
            </a:graphic>
          </wp:inline>
        </w:drawing>
      </w:r>
    </w:p>
    <w:p w14:paraId="615E6B06" w14:textId="77777777" w:rsidR="008C4F26" w:rsidRPr="003B6A69" w:rsidRDefault="008C4F26" w:rsidP="006C1C66">
      <w:pPr>
        <w:spacing w:after="120"/>
        <w:rPr>
          <w:rFonts w:asciiTheme="minorHAnsi" w:hAnsiTheme="minorHAnsi" w:cstheme="minorHAnsi"/>
          <w:b/>
          <w:i/>
          <w:szCs w:val="20"/>
        </w:rPr>
      </w:pPr>
    </w:p>
    <w:p w14:paraId="7E3CA708" w14:textId="77777777" w:rsidR="008C4F26" w:rsidRPr="003B6A69" w:rsidRDefault="008C4F26" w:rsidP="006C1C66">
      <w:pPr>
        <w:spacing w:after="120"/>
        <w:rPr>
          <w:rFonts w:asciiTheme="minorHAnsi" w:hAnsiTheme="minorHAnsi" w:cstheme="minorHAnsi"/>
          <w:b/>
          <w:i/>
          <w:szCs w:val="20"/>
        </w:rPr>
      </w:pPr>
      <w:r w:rsidRPr="003B6A69">
        <w:rPr>
          <w:rFonts w:asciiTheme="minorHAnsi" w:hAnsiTheme="minorHAnsi" w:cstheme="minorHAnsi"/>
          <w:b/>
          <w:i/>
          <w:szCs w:val="20"/>
        </w:rPr>
        <w:t>Livestock production and animal welfare</w:t>
      </w:r>
    </w:p>
    <w:p w14:paraId="77E0E6A6" w14:textId="77777777" w:rsidR="008C4F26" w:rsidRPr="003B6A69" w:rsidRDefault="008C4F26" w:rsidP="006C1C66">
      <w:pPr>
        <w:spacing w:after="120"/>
        <w:rPr>
          <w:rFonts w:asciiTheme="minorHAnsi" w:hAnsiTheme="minorHAnsi" w:cstheme="minorHAnsi"/>
          <w:b/>
          <w:i/>
          <w:szCs w:val="20"/>
        </w:rPr>
      </w:pPr>
    </w:p>
    <w:p w14:paraId="09FD5B2E" w14:textId="77777777" w:rsidR="008C4F26" w:rsidRPr="003B6A69" w:rsidRDefault="008C4F26" w:rsidP="006C1C66">
      <w:pPr>
        <w:spacing w:after="120"/>
        <w:rPr>
          <w:rFonts w:asciiTheme="minorHAnsi" w:hAnsiTheme="minorHAnsi" w:cstheme="minorHAnsi"/>
          <w:szCs w:val="20"/>
        </w:rPr>
      </w:pPr>
      <w:r w:rsidRPr="003B6A69">
        <w:rPr>
          <w:rFonts w:asciiTheme="minorHAnsi" w:hAnsiTheme="minorHAnsi" w:cstheme="minorHAnsi"/>
          <w:szCs w:val="20"/>
        </w:rPr>
        <w:t>Market interventions refer to the needs of annual interventions for the purchase of up to 20,000 market surplus lambs in predominantly rural areas, which have a seasonal character (September, October), and measures related to risk management in agriculture, financing part of the costs of crop damage insurance and livestock for registered agricultural holdings.</w:t>
      </w:r>
    </w:p>
    <w:p w14:paraId="579FA457" w14:textId="77777777" w:rsidR="008C4F26" w:rsidRPr="003B6A69" w:rsidRDefault="008C4F26" w:rsidP="006C1C66">
      <w:pPr>
        <w:spacing w:after="120"/>
        <w:rPr>
          <w:rFonts w:asciiTheme="minorHAnsi" w:hAnsiTheme="minorHAnsi" w:cstheme="minorHAnsi"/>
          <w:szCs w:val="20"/>
        </w:rPr>
      </w:pPr>
      <w:r w:rsidRPr="003B6A69">
        <w:rPr>
          <w:rFonts w:asciiTheme="minorHAnsi" w:hAnsiTheme="minorHAnsi" w:cstheme="minorHAnsi"/>
          <w:szCs w:val="20"/>
        </w:rPr>
        <w:t xml:space="preserve">Payments per animal are limited to households raising more than four cows or heifers, more than 40 sheep or more than 30 goats, without the possibility of cumulative application for premiums for different animal species, for households raising different animals, which means that farmers who breed more animals are favored by this set of support measures. On the other hand, the real fact is that in Montenegro the average number of cows per farm is 3.5, so this measure should be </w:t>
      </w:r>
      <w:proofErr w:type="gramStart"/>
      <w:r w:rsidRPr="003B6A69">
        <w:rPr>
          <w:rFonts w:asciiTheme="minorHAnsi" w:hAnsiTheme="minorHAnsi" w:cstheme="minorHAnsi"/>
          <w:szCs w:val="20"/>
        </w:rPr>
        <w:t>reconsidered</w:t>
      </w:r>
      <w:proofErr w:type="gramEnd"/>
      <w:r w:rsidRPr="003B6A69">
        <w:rPr>
          <w:rFonts w:asciiTheme="minorHAnsi" w:hAnsiTheme="minorHAnsi" w:cstheme="minorHAnsi"/>
          <w:szCs w:val="20"/>
        </w:rPr>
        <w:t xml:space="preserve"> and the threshold reduced in order to stimulate small farmers, and at the same time the upper limit of animals should support larger producers from not using their economic market advantage. This adjustment is also in line with CAP measures.</w:t>
      </w:r>
    </w:p>
    <w:p w14:paraId="22707307" w14:textId="77777777" w:rsidR="008C4F26" w:rsidRPr="003B6A69" w:rsidRDefault="008C4F26" w:rsidP="003C6B7B">
      <w:pPr>
        <w:numPr>
          <w:ilvl w:val="0"/>
          <w:numId w:val="30"/>
        </w:numPr>
        <w:autoSpaceDE w:val="0"/>
        <w:autoSpaceDN w:val="0"/>
        <w:adjustRightInd w:val="0"/>
        <w:spacing w:after="120"/>
        <w:jc w:val="left"/>
        <w:rPr>
          <w:rFonts w:asciiTheme="minorHAnsi" w:eastAsiaTheme="minorHAnsi" w:hAnsiTheme="minorHAnsi" w:cstheme="minorHAnsi"/>
          <w:i/>
          <w:color w:val="000000"/>
          <w:szCs w:val="20"/>
        </w:rPr>
      </w:pPr>
      <w:r w:rsidRPr="003B6A69">
        <w:rPr>
          <w:rFonts w:asciiTheme="minorHAnsi" w:eastAsiaTheme="minorHAnsi" w:hAnsiTheme="minorHAnsi" w:cstheme="minorHAnsi"/>
          <w:i/>
          <w:color w:val="000000"/>
          <w:szCs w:val="20"/>
        </w:rPr>
        <w:t xml:space="preserve">Green added value particularly can be connected to the lamb production, since this production in Montenegro is almost exclusively related to the open pastures and widespread in the area in the proximity of KBAs. Better valorization of the meat and wool can stimulate local production, thus respecting the environmental component and including production located in these areas. The guidelines for the animal welfare, grazing density and QA recommendations can be developed. The connection to the </w:t>
      </w:r>
      <w:proofErr w:type="spellStart"/>
      <w:r w:rsidRPr="003B6A69">
        <w:rPr>
          <w:rFonts w:asciiTheme="minorHAnsi" w:eastAsiaTheme="minorHAnsi" w:hAnsiTheme="minorHAnsi" w:cstheme="minorHAnsi"/>
          <w:i/>
          <w:color w:val="000000"/>
          <w:szCs w:val="20"/>
        </w:rPr>
        <w:t>HoReCa</w:t>
      </w:r>
      <w:proofErr w:type="spellEnd"/>
      <w:r w:rsidRPr="003B6A69">
        <w:rPr>
          <w:rFonts w:asciiTheme="minorHAnsi" w:eastAsiaTheme="minorHAnsi" w:hAnsiTheme="minorHAnsi" w:cstheme="minorHAnsi"/>
          <w:i/>
          <w:color w:val="000000"/>
          <w:szCs w:val="20"/>
        </w:rPr>
        <w:t xml:space="preserve"> sector should be explored </w:t>
      </w:r>
      <w:proofErr w:type="gramStart"/>
      <w:r w:rsidRPr="003B6A69">
        <w:rPr>
          <w:rFonts w:asciiTheme="minorHAnsi" w:eastAsiaTheme="minorHAnsi" w:hAnsiTheme="minorHAnsi" w:cstheme="minorHAnsi"/>
          <w:i/>
          <w:color w:val="000000"/>
          <w:szCs w:val="20"/>
        </w:rPr>
        <w:t>in order to</w:t>
      </w:r>
      <w:proofErr w:type="gramEnd"/>
      <w:r w:rsidRPr="003B6A69">
        <w:rPr>
          <w:rFonts w:asciiTheme="minorHAnsi" w:eastAsiaTheme="minorHAnsi" w:hAnsiTheme="minorHAnsi" w:cstheme="minorHAnsi"/>
          <w:i/>
          <w:color w:val="000000"/>
          <w:szCs w:val="20"/>
        </w:rPr>
        <w:t xml:space="preserve"> ensure the placement of these products. </w:t>
      </w:r>
    </w:p>
    <w:p w14:paraId="4EF989B7" w14:textId="77777777" w:rsidR="008C4F26" w:rsidRPr="003B6A69" w:rsidRDefault="008C4F26" w:rsidP="006C1C66">
      <w:pPr>
        <w:autoSpaceDE w:val="0"/>
        <w:autoSpaceDN w:val="0"/>
        <w:adjustRightInd w:val="0"/>
        <w:spacing w:after="120"/>
        <w:jc w:val="left"/>
        <w:rPr>
          <w:rFonts w:asciiTheme="minorHAnsi" w:eastAsiaTheme="minorHAnsi" w:hAnsiTheme="minorHAnsi" w:cstheme="minorHAnsi"/>
          <w:color w:val="000000"/>
          <w:szCs w:val="20"/>
        </w:rPr>
      </w:pPr>
    </w:p>
    <w:p w14:paraId="562517D5" w14:textId="77777777" w:rsidR="008C4F26" w:rsidRPr="003B6A69" w:rsidRDefault="008C4F26" w:rsidP="006C1C66">
      <w:pPr>
        <w:spacing w:after="120"/>
        <w:rPr>
          <w:rFonts w:asciiTheme="minorHAnsi" w:hAnsiTheme="minorHAnsi" w:cstheme="minorHAnsi"/>
          <w:szCs w:val="20"/>
        </w:rPr>
      </w:pPr>
      <w:r w:rsidRPr="003B6A69">
        <w:rPr>
          <w:rFonts w:asciiTheme="minorHAnsi" w:hAnsiTheme="minorHAnsi" w:cstheme="minorHAnsi"/>
          <w:szCs w:val="20"/>
        </w:rPr>
        <w:t xml:space="preserve">Animal welfare seems to be the area in which the goals in the pre-accession model will be the most difficult to achieve. Firstly, it is necessary to plan measures well and to build the entire implementation framework for ANC and </w:t>
      </w:r>
      <w:proofErr w:type="spellStart"/>
      <w:r w:rsidRPr="003B6A69">
        <w:rPr>
          <w:rFonts w:asciiTheme="minorHAnsi" w:hAnsiTheme="minorHAnsi" w:cstheme="minorHAnsi"/>
          <w:szCs w:val="20"/>
        </w:rPr>
        <w:t>agro</w:t>
      </w:r>
      <w:proofErr w:type="spellEnd"/>
      <w:r w:rsidRPr="003B6A69">
        <w:rPr>
          <w:rFonts w:asciiTheme="minorHAnsi" w:hAnsiTheme="minorHAnsi" w:cstheme="minorHAnsi"/>
          <w:szCs w:val="20"/>
        </w:rPr>
        <w:t xml:space="preserve">-environmental measures (defining areas, </w:t>
      </w:r>
      <w:proofErr w:type="gramStart"/>
      <w:r w:rsidRPr="003B6A69">
        <w:rPr>
          <w:rFonts w:asciiTheme="minorHAnsi" w:hAnsiTheme="minorHAnsi" w:cstheme="minorHAnsi"/>
          <w:szCs w:val="20"/>
        </w:rPr>
        <w:t>criteria</w:t>
      </w:r>
      <w:proofErr w:type="gramEnd"/>
      <w:r w:rsidRPr="003B6A69">
        <w:rPr>
          <w:rFonts w:asciiTheme="minorHAnsi" w:hAnsiTheme="minorHAnsi" w:cstheme="minorHAnsi"/>
          <w:szCs w:val="20"/>
        </w:rPr>
        <w:t xml:space="preserve"> and rules). </w:t>
      </w:r>
    </w:p>
    <w:p w14:paraId="681024DD" w14:textId="77777777" w:rsidR="008C4F26" w:rsidRPr="003B6A69" w:rsidRDefault="008C4F26" w:rsidP="003C6B7B">
      <w:pPr>
        <w:numPr>
          <w:ilvl w:val="0"/>
          <w:numId w:val="30"/>
        </w:numPr>
        <w:spacing w:after="120"/>
        <w:contextualSpacing/>
        <w:jc w:val="left"/>
        <w:rPr>
          <w:rFonts w:asciiTheme="minorHAnsi" w:hAnsiTheme="minorHAnsi" w:cstheme="minorHAnsi"/>
          <w:i/>
          <w:szCs w:val="20"/>
        </w:rPr>
      </w:pPr>
      <w:r w:rsidRPr="003B6A69">
        <w:rPr>
          <w:rFonts w:asciiTheme="minorHAnsi" w:hAnsiTheme="minorHAnsi" w:cstheme="minorHAnsi"/>
          <w:i/>
          <w:szCs w:val="20"/>
        </w:rPr>
        <w:t>Pilot measures should be implemented as soon as possible, as these shifts are demanding and time-consuming; the timeframe depends on the candidate’s accession status. Since this is a matter of modernizing policy, the shift should be made regardless of the pressures of the accession process.</w:t>
      </w:r>
    </w:p>
    <w:p w14:paraId="4E630DFF" w14:textId="77777777" w:rsidR="008C4F26" w:rsidRPr="003B6A69" w:rsidRDefault="008C4F26" w:rsidP="006C1C66">
      <w:pPr>
        <w:spacing w:after="120"/>
        <w:rPr>
          <w:szCs w:val="20"/>
        </w:rPr>
      </w:pPr>
    </w:p>
    <w:p w14:paraId="491CD610" w14:textId="77777777" w:rsidR="008C4F26" w:rsidRPr="003B6A69" w:rsidRDefault="008C4F26" w:rsidP="006C1C66">
      <w:pPr>
        <w:spacing w:after="120"/>
        <w:rPr>
          <w:rFonts w:asciiTheme="minorHAnsi" w:hAnsiTheme="minorHAnsi" w:cstheme="minorHAnsi"/>
          <w:b/>
          <w:i/>
          <w:szCs w:val="20"/>
        </w:rPr>
      </w:pPr>
      <w:r w:rsidRPr="003B6A69">
        <w:rPr>
          <w:rFonts w:asciiTheme="minorHAnsi" w:hAnsiTheme="minorHAnsi" w:cstheme="minorHAnsi"/>
          <w:b/>
          <w:i/>
          <w:szCs w:val="20"/>
        </w:rPr>
        <w:t>Connection to tourism sector</w:t>
      </w:r>
    </w:p>
    <w:p w14:paraId="724D0943" w14:textId="77777777" w:rsidR="008C4F26" w:rsidRPr="003B6A69" w:rsidRDefault="008C4F26" w:rsidP="006C1C66">
      <w:pPr>
        <w:spacing w:after="120"/>
        <w:rPr>
          <w:rFonts w:asciiTheme="minorHAnsi" w:hAnsiTheme="minorHAnsi" w:cstheme="minorHAnsi"/>
          <w:szCs w:val="20"/>
        </w:rPr>
      </w:pPr>
      <w:r w:rsidRPr="003B6A69">
        <w:rPr>
          <w:rFonts w:asciiTheme="minorHAnsi" w:hAnsiTheme="minorHAnsi" w:cstheme="minorHAnsi"/>
          <w:szCs w:val="20"/>
        </w:rPr>
        <w:t>The tourism sector provides 23% of the GDP of Montenegro and has a significant role in the field of employment and increasing living standards. During 2017, the contribution to employment from the tourism sector was 19.3% (36,500 jobs). Food production accounts for more than 30% of tourism consumption, very often through provision by local businesses. Tourists are in a constant search for authentic, new experiences that are directly related to the sites they want to visit. From a regional and national perspective, food can become a unique element of a specific brand that makes a given area unique.</w:t>
      </w:r>
    </w:p>
    <w:p w14:paraId="10694D4C" w14:textId="77777777" w:rsidR="008C4F26" w:rsidRPr="003B6A69" w:rsidRDefault="008C4F26" w:rsidP="006C1C66">
      <w:pPr>
        <w:spacing w:after="120"/>
        <w:rPr>
          <w:rFonts w:asciiTheme="minorHAnsi" w:hAnsiTheme="minorHAnsi" w:cstheme="minorHAnsi"/>
          <w:szCs w:val="20"/>
        </w:rPr>
      </w:pPr>
      <w:r w:rsidRPr="003B6A69">
        <w:rPr>
          <w:rFonts w:asciiTheme="minorHAnsi" w:hAnsiTheme="minorHAnsi" w:cstheme="minorHAnsi"/>
          <w:szCs w:val="20"/>
        </w:rPr>
        <w:lastRenderedPageBreak/>
        <w:t xml:space="preserve">Gastro tourism, identified as a strong element in the promotion and empowerment of the national culinary tradition, is inextricably linked to the consumer experience in a tourist destination. </w:t>
      </w:r>
    </w:p>
    <w:p w14:paraId="32C71D20" w14:textId="77777777" w:rsidR="008C4F26" w:rsidRPr="003B6A69" w:rsidRDefault="008C4F26" w:rsidP="003C6B7B">
      <w:pPr>
        <w:numPr>
          <w:ilvl w:val="0"/>
          <w:numId w:val="31"/>
        </w:numPr>
        <w:spacing w:after="120"/>
        <w:contextualSpacing/>
        <w:jc w:val="left"/>
        <w:rPr>
          <w:rFonts w:asciiTheme="minorHAnsi" w:hAnsiTheme="minorHAnsi" w:cstheme="minorHAnsi"/>
          <w:i/>
          <w:szCs w:val="20"/>
        </w:rPr>
      </w:pPr>
      <w:r w:rsidRPr="003B6A69">
        <w:rPr>
          <w:rFonts w:asciiTheme="minorHAnsi" w:hAnsiTheme="minorHAnsi" w:cstheme="minorHAnsi"/>
          <w:i/>
          <w:szCs w:val="20"/>
        </w:rPr>
        <w:t xml:space="preserve">One of the models for strengthening gastro tourism is development of various thematic routes, which have come to life in Montenegro, and which are associated with the tasting of honey, wine, cheese, olive oil and prosciutto. </w:t>
      </w:r>
    </w:p>
    <w:p w14:paraId="1BB5172A" w14:textId="77777777" w:rsidR="008C4F26" w:rsidRPr="003B6A69" w:rsidRDefault="008C4F26" w:rsidP="003C6B7B">
      <w:pPr>
        <w:numPr>
          <w:ilvl w:val="0"/>
          <w:numId w:val="31"/>
        </w:numPr>
        <w:spacing w:after="120"/>
        <w:contextualSpacing/>
        <w:jc w:val="left"/>
        <w:rPr>
          <w:rFonts w:asciiTheme="minorHAnsi" w:hAnsiTheme="minorHAnsi" w:cstheme="minorHAnsi"/>
          <w:i/>
          <w:szCs w:val="20"/>
        </w:rPr>
      </w:pPr>
      <w:r w:rsidRPr="003B6A69">
        <w:rPr>
          <w:rFonts w:asciiTheme="minorHAnsi" w:hAnsiTheme="minorHAnsi" w:cstheme="minorHAnsi"/>
          <w:i/>
          <w:szCs w:val="20"/>
        </w:rPr>
        <w:t>Another chance for Montenegrin producers is the promotion of products protected by quality schemes that create added value for products within the gastronomic offerings.</w:t>
      </w:r>
    </w:p>
    <w:p w14:paraId="0D466520" w14:textId="77777777" w:rsidR="008C4F26" w:rsidRPr="003B6A69" w:rsidRDefault="008C4F26" w:rsidP="006C1C66">
      <w:pPr>
        <w:spacing w:after="120"/>
        <w:rPr>
          <w:rFonts w:asciiTheme="minorHAnsi" w:hAnsiTheme="minorHAnsi" w:cstheme="minorHAnsi"/>
          <w:szCs w:val="20"/>
        </w:rPr>
      </w:pPr>
      <w:r w:rsidRPr="003B6A69">
        <w:rPr>
          <w:rFonts w:asciiTheme="minorHAnsi" w:hAnsiTheme="minorHAnsi" w:cstheme="minorHAnsi"/>
          <w:szCs w:val="20"/>
        </w:rPr>
        <w:t xml:space="preserve">Within the </w:t>
      </w:r>
      <w:proofErr w:type="spellStart"/>
      <w:r w:rsidRPr="003B6A69">
        <w:rPr>
          <w:rFonts w:asciiTheme="minorHAnsi" w:hAnsiTheme="minorHAnsi" w:cstheme="minorHAnsi"/>
          <w:szCs w:val="20"/>
        </w:rPr>
        <w:t>Agro</w:t>
      </w:r>
      <w:proofErr w:type="spellEnd"/>
      <w:r w:rsidRPr="003B6A69">
        <w:rPr>
          <w:rFonts w:asciiTheme="minorHAnsi" w:hAnsiTheme="minorHAnsi" w:cstheme="minorHAnsi"/>
          <w:szCs w:val="20"/>
        </w:rPr>
        <w:t xml:space="preserve">-budget, measures are planned for supporting the establishment of collection and purchase centers, as well as providing support for investments in rural tourism through the MIDAS II project financed by the Government of Montenegro and the World Bank. The National </w:t>
      </w:r>
      <w:proofErr w:type="spellStart"/>
      <w:r w:rsidRPr="003B6A69">
        <w:rPr>
          <w:rFonts w:asciiTheme="minorHAnsi" w:hAnsiTheme="minorHAnsi" w:cstheme="minorHAnsi"/>
          <w:szCs w:val="20"/>
        </w:rPr>
        <w:t>Agro</w:t>
      </w:r>
      <w:proofErr w:type="spellEnd"/>
      <w:r w:rsidRPr="003B6A69">
        <w:rPr>
          <w:rFonts w:asciiTheme="minorHAnsi" w:hAnsiTheme="minorHAnsi" w:cstheme="minorHAnsi"/>
          <w:szCs w:val="20"/>
        </w:rPr>
        <w:t>-Budget provided funds (EUR 350,000) for the implementation of the Program of Food Safety Measures and the improvement of food control and analysis at each stage of the chain</w:t>
      </w:r>
      <w:r w:rsidRPr="003B6A69">
        <w:rPr>
          <w:rFonts w:asciiTheme="minorHAnsi" w:hAnsiTheme="minorHAnsi" w:cstheme="minorHAnsi"/>
          <w:color w:val="000000" w:themeColor="text1" w:themeShade="BF"/>
          <w:szCs w:val="20"/>
          <w:vertAlign w:val="superscript"/>
        </w:rPr>
        <w:footnoteReference w:id="94"/>
      </w:r>
      <w:r w:rsidRPr="003B6A69">
        <w:rPr>
          <w:rFonts w:asciiTheme="minorHAnsi" w:hAnsiTheme="minorHAnsi" w:cstheme="minorHAnsi"/>
          <w:szCs w:val="20"/>
        </w:rPr>
        <w:t xml:space="preserve">. The MIDAS II grant program, which operates in parallel with IPARD measures, will provide support to small producers, </w:t>
      </w:r>
      <w:proofErr w:type="gramStart"/>
      <w:r w:rsidRPr="003B6A69">
        <w:rPr>
          <w:rFonts w:asciiTheme="minorHAnsi" w:hAnsiTheme="minorHAnsi" w:cstheme="minorHAnsi"/>
          <w:szCs w:val="20"/>
        </w:rPr>
        <w:t>and also</w:t>
      </w:r>
      <w:proofErr w:type="gramEnd"/>
      <w:r w:rsidRPr="003B6A69">
        <w:rPr>
          <w:rFonts w:asciiTheme="minorHAnsi" w:hAnsiTheme="minorHAnsi" w:cstheme="minorHAnsi"/>
          <w:szCs w:val="20"/>
        </w:rPr>
        <w:t xml:space="preserve"> to larger capacity producers, to enable investments aimed at increasing compliance with EU requirements, mainly in terms of food safety. </w:t>
      </w:r>
      <w:proofErr w:type="gramStart"/>
      <w:r w:rsidRPr="003B6A69">
        <w:rPr>
          <w:rFonts w:asciiTheme="minorHAnsi" w:hAnsiTheme="minorHAnsi" w:cstheme="minorHAnsi"/>
          <w:szCs w:val="20"/>
        </w:rPr>
        <w:t>With regard to</w:t>
      </w:r>
      <w:proofErr w:type="gramEnd"/>
      <w:r w:rsidRPr="003B6A69">
        <w:rPr>
          <w:rFonts w:asciiTheme="minorHAnsi" w:hAnsiTheme="minorHAnsi" w:cstheme="minorHAnsi"/>
          <w:szCs w:val="20"/>
        </w:rPr>
        <w:t xml:space="preserve"> IPARD, Montenegro now has two additional measures: Investments in physical assets in agriculture</w:t>
      </w:r>
      <w:r w:rsidRPr="003B6A69">
        <w:rPr>
          <w:rFonts w:asciiTheme="minorHAnsi" w:hAnsiTheme="minorHAnsi" w:cstheme="minorHAnsi"/>
          <w:color w:val="000000" w:themeColor="text1" w:themeShade="BF"/>
          <w:szCs w:val="20"/>
          <w:vertAlign w:val="superscript"/>
        </w:rPr>
        <w:footnoteReference w:id="95"/>
      </w:r>
      <w:r w:rsidRPr="003B6A69">
        <w:rPr>
          <w:rFonts w:asciiTheme="minorHAnsi" w:hAnsiTheme="minorHAnsi" w:cstheme="minorHAnsi"/>
          <w:szCs w:val="20"/>
        </w:rPr>
        <w:t xml:space="preserve"> and Investments in physical assets related to the processing and trade of agricultural and fishery products.</w:t>
      </w:r>
    </w:p>
    <w:p w14:paraId="60A23F4F" w14:textId="77777777" w:rsidR="008C4F26" w:rsidRPr="003B6A69" w:rsidRDefault="008C4F26" w:rsidP="006C1C66">
      <w:pPr>
        <w:spacing w:after="120"/>
        <w:rPr>
          <w:rFonts w:asciiTheme="minorHAnsi" w:hAnsiTheme="minorHAnsi" w:cstheme="minorHAnsi"/>
          <w:b/>
          <w:szCs w:val="20"/>
        </w:rPr>
      </w:pPr>
    </w:p>
    <w:p w14:paraId="4B63ACDD" w14:textId="77777777" w:rsidR="008C4F26" w:rsidRPr="003B6A69" w:rsidRDefault="008C4F26" w:rsidP="006C1C66">
      <w:pPr>
        <w:spacing w:after="120"/>
        <w:rPr>
          <w:rFonts w:asciiTheme="minorHAnsi" w:hAnsiTheme="minorHAnsi" w:cstheme="minorHAnsi"/>
          <w:szCs w:val="20"/>
        </w:rPr>
      </w:pPr>
      <w:r w:rsidRPr="003B6A69">
        <w:rPr>
          <w:rFonts w:asciiTheme="minorHAnsi" w:hAnsiTheme="minorHAnsi" w:cstheme="minorHAnsi"/>
          <w:szCs w:val="20"/>
        </w:rPr>
        <w:t>In Montenegro, a strengthened link between tourism and agriculture strategically contributes to income diversification and promotes sustainable management of natural resources and sustainable economic development. The link can improve the economy of the rural population, reduce unemployment, revitalize villages and rural life, and influence a more balanced regional development to finally meet the demand of an increasing number of tourists.</w:t>
      </w:r>
    </w:p>
    <w:p w14:paraId="49EB7B18" w14:textId="77777777" w:rsidR="008C4F26" w:rsidRPr="003B6A69" w:rsidRDefault="008C4F26" w:rsidP="003C6B7B">
      <w:pPr>
        <w:numPr>
          <w:ilvl w:val="0"/>
          <w:numId w:val="31"/>
        </w:numPr>
        <w:autoSpaceDE w:val="0"/>
        <w:autoSpaceDN w:val="0"/>
        <w:adjustRightInd w:val="0"/>
        <w:spacing w:after="120"/>
        <w:contextualSpacing/>
        <w:jc w:val="left"/>
        <w:rPr>
          <w:rFonts w:asciiTheme="minorHAnsi" w:eastAsiaTheme="minorHAnsi" w:hAnsiTheme="minorHAnsi" w:cstheme="minorHAnsi"/>
          <w:i/>
          <w:color w:val="000000"/>
          <w:szCs w:val="20"/>
        </w:rPr>
      </w:pPr>
      <w:r w:rsidRPr="003B6A69">
        <w:rPr>
          <w:rFonts w:asciiTheme="minorHAnsi" w:eastAsiaTheme="minorHAnsi" w:hAnsiTheme="minorHAnsi" w:cstheme="minorHAnsi"/>
          <w:i/>
          <w:color w:val="000000"/>
          <w:szCs w:val="20"/>
        </w:rPr>
        <w:t>Farmers’ markets and farm shops are well-known ways to highlight green credentials in selling directly to consumers. An increasing trend is that many rural restaurants and hotels now emphasize their green credentials by using high-quality local produce.</w:t>
      </w:r>
    </w:p>
    <w:p w14:paraId="69DE1544" w14:textId="77777777" w:rsidR="008C4F26" w:rsidRPr="003B6A69" w:rsidRDefault="008C4F26" w:rsidP="006C1C66">
      <w:pPr>
        <w:spacing w:after="120"/>
        <w:rPr>
          <w:rFonts w:asciiTheme="minorHAnsi" w:hAnsiTheme="minorHAnsi" w:cstheme="minorHAnsi"/>
          <w:szCs w:val="20"/>
        </w:rPr>
      </w:pPr>
    </w:p>
    <w:p w14:paraId="07E2D1D6" w14:textId="77777777" w:rsidR="008C4F26" w:rsidRPr="003B6A69" w:rsidRDefault="008C4F26" w:rsidP="006C1C66">
      <w:pPr>
        <w:spacing w:after="120"/>
        <w:rPr>
          <w:rFonts w:asciiTheme="minorHAnsi" w:hAnsiTheme="minorHAnsi" w:cstheme="minorHAnsi"/>
          <w:szCs w:val="20"/>
        </w:rPr>
      </w:pPr>
      <w:r w:rsidRPr="003B6A69">
        <w:rPr>
          <w:rFonts w:asciiTheme="minorHAnsi" w:hAnsiTheme="minorHAnsi" w:cstheme="minorHAnsi"/>
          <w:szCs w:val="20"/>
        </w:rPr>
        <w:t xml:space="preserve">In Montenegro, in accordance with the Law on Quality Schemes of Agricultural and Food Products, there is a wide range of official modalities for the protection of product quality and their promotion. The quality of traditional food products has been identified as a key link in improving competitiveness. </w:t>
      </w:r>
    </w:p>
    <w:p w14:paraId="2398A316" w14:textId="77777777" w:rsidR="008C4F26" w:rsidRPr="003B6A69" w:rsidRDefault="008C4F26" w:rsidP="003C6B7B">
      <w:pPr>
        <w:numPr>
          <w:ilvl w:val="0"/>
          <w:numId w:val="31"/>
        </w:numPr>
        <w:spacing w:after="120"/>
        <w:contextualSpacing/>
        <w:jc w:val="left"/>
        <w:rPr>
          <w:rFonts w:asciiTheme="minorHAnsi" w:hAnsiTheme="minorHAnsi" w:cstheme="minorHAnsi"/>
          <w:i/>
          <w:szCs w:val="20"/>
        </w:rPr>
      </w:pPr>
      <w:r w:rsidRPr="003B6A69">
        <w:rPr>
          <w:rFonts w:asciiTheme="minorHAnsi" w:hAnsiTheme="minorHAnsi" w:cstheme="minorHAnsi"/>
          <w:i/>
          <w:szCs w:val="20"/>
        </w:rPr>
        <w:t>Quality labels are an effective way to point out the quality of products to consumers and tourists and can serve as a means of highlighting the products offered by Montenegrin gastronomy.</w:t>
      </w:r>
    </w:p>
    <w:p w14:paraId="31B53A24" w14:textId="77777777" w:rsidR="008C4F26" w:rsidRPr="003B6A69" w:rsidRDefault="008C4F26" w:rsidP="006C1C66">
      <w:pPr>
        <w:spacing w:after="120"/>
        <w:rPr>
          <w:rFonts w:asciiTheme="minorHAnsi" w:hAnsiTheme="minorHAnsi" w:cstheme="minorHAnsi"/>
          <w:szCs w:val="20"/>
        </w:rPr>
      </w:pPr>
      <w:r w:rsidRPr="003B6A69">
        <w:rPr>
          <w:rFonts w:asciiTheme="minorHAnsi" w:hAnsiTheme="minorHAnsi" w:cstheme="minorHAnsi"/>
          <w:szCs w:val="20"/>
        </w:rPr>
        <w:t>From all the above, it can be concluded that the rural tourism sector in Montenegro is an emerging sector, with the fact that for now the tools of national monitoring in statistics for this sector are not applied, but only estimates and localized data are available.</w:t>
      </w:r>
    </w:p>
    <w:p w14:paraId="108444EF" w14:textId="77777777" w:rsidR="008C4F26" w:rsidRPr="003B6A69" w:rsidRDefault="008C4F26" w:rsidP="003C6B7B">
      <w:pPr>
        <w:numPr>
          <w:ilvl w:val="0"/>
          <w:numId w:val="31"/>
        </w:numPr>
        <w:spacing w:after="120"/>
        <w:contextualSpacing/>
        <w:jc w:val="left"/>
        <w:rPr>
          <w:rFonts w:asciiTheme="minorHAnsi" w:hAnsiTheme="minorHAnsi" w:cstheme="minorHAnsi"/>
          <w:i/>
          <w:szCs w:val="20"/>
        </w:rPr>
      </w:pPr>
      <w:r w:rsidRPr="003B6A69">
        <w:rPr>
          <w:rFonts w:asciiTheme="minorHAnsi" w:hAnsiTheme="minorHAnsi" w:cstheme="minorHAnsi"/>
          <w:i/>
          <w:szCs w:val="20"/>
        </w:rPr>
        <w:t xml:space="preserve">Apart from several initiatives that aim towards increasing the competitiveness of domestic food production, a special network Slow Food can be </w:t>
      </w:r>
      <w:proofErr w:type="gramStart"/>
      <w:r w:rsidRPr="003B6A69">
        <w:rPr>
          <w:rFonts w:asciiTheme="minorHAnsi" w:hAnsiTheme="minorHAnsi" w:cstheme="minorHAnsi"/>
          <w:i/>
          <w:szCs w:val="20"/>
        </w:rPr>
        <w:t>finely-tuned</w:t>
      </w:r>
      <w:proofErr w:type="gramEnd"/>
      <w:r w:rsidRPr="003B6A69">
        <w:rPr>
          <w:rFonts w:asciiTheme="minorHAnsi" w:hAnsiTheme="minorHAnsi" w:cstheme="minorHAnsi"/>
          <w:i/>
          <w:szCs w:val="20"/>
        </w:rPr>
        <w:t xml:space="preserve"> with the aims of the </w:t>
      </w:r>
      <w:r w:rsidRPr="003B6A69">
        <w:rPr>
          <w:rFonts w:asciiTheme="minorHAnsi" w:hAnsiTheme="minorHAnsi" w:cstheme="minorHAnsi"/>
          <w:bCs/>
          <w:i/>
          <w:szCs w:val="20"/>
        </w:rPr>
        <w:t xml:space="preserve">UNDP/GEF project. The </w:t>
      </w:r>
      <w:r w:rsidRPr="003B6A69">
        <w:rPr>
          <w:rFonts w:asciiTheme="minorHAnsi" w:hAnsiTheme="minorHAnsi" w:cstheme="minorHAnsi"/>
          <w:b/>
          <w:bCs/>
          <w:i/>
          <w:szCs w:val="20"/>
        </w:rPr>
        <w:t>Slow Food</w:t>
      </w:r>
      <w:r w:rsidRPr="003B6A69">
        <w:rPr>
          <w:rFonts w:asciiTheme="minorHAnsi" w:hAnsiTheme="minorHAnsi" w:cstheme="minorHAnsi"/>
          <w:i/>
          <w:szCs w:val="20"/>
          <w:vertAlign w:val="superscript"/>
        </w:rPr>
        <w:footnoteReference w:id="96"/>
      </w:r>
      <w:r w:rsidRPr="003B6A69">
        <w:rPr>
          <w:rFonts w:asciiTheme="minorHAnsi" w:hAnsiTheme="minorHAnsi" w:cstheme="minorHAnsi"/>
          <w:bCs/>
          <w:i/>
          <w:szCs w:val="20"/>
        </w:rPr>
        <w:t xml:space="preserve">network with its internationally recognized logo is presented in the northern region and has about 30 members engaged in various types of production (honey, herbs, milk, meat, flour, </w:t>
      </w:r>
      <w:proofErr w:type="gramStart"/>
      <w:r w:rsidRPr="003B6A69">
        <w:rPr>
          <w:rFonts w:asciiTheme="minorHAnsi" w:hAnsiTheme="minorHAnsi" w:cstheme="minorHAnsi"/>
          <w:bCs/>
          <w:i/>
          <w:szCs w:val="20"/>
        </w:rPr>
        <w:t>fruits</w:t>
      </w:r>
      <w:proofErr w:type="gramEnd"/>
      <w:r w:rsidRPr="003B6A69">
        <w:rPr>
          <w:rFonts w:asciiTheme="minorHAnsi" w:hAnsiTheme="minorHAnsi" w:cstheme="minorHAnsi"/>
          <w:bCs/>
          <w:i/>
          <w:szCs w:val="20"/>
        </w:rPr>
        <w:t xml:space="preserve"> and vegetables)</w:t>
      </w:r>
    </w:p>
    <w:p w14:paraId="3D552DBC" w14:textId="77777777" w:rsidR="008C4F26" w:rsidRPr="003B6A69" w:rsidRDefault="008C4F26" w:rsidP="006C1C66">
      <w:pPr>
        <w:spacing w:after="120"/>
        <w:rPr>
          <w:rFonts w:asciiTheme="minorHAnsi" w:hAnsiTheme="minorHAnsi" w:cstheme="minorHAnsi"/>
          <w:szCs w:val="20"/>
        </w:rPr>
      </w:pPr>
    </w:p>
    <w:p w14:paraId="07C865E2" w14:textId="77777777" w:rsidR="008C4F26" w:rsidRPr="003B6A69" w:rsidRDefault="008C4F26" w:rsidP="006C1C66">
      <w:pPr>
        <w:spacing w:after="120"/>
        <w:rPr>
          <w:rFonts w:asciiTheme="minorHAnsi" w:hAnsiTheme="minorHAnsi" w:cstheme="minorHAnsi"/>
          <w:b/>
          <w:szCs w:val="20"/>
        </w:rPr>
      </w:pPr>
      <w:r w:rsidRPr="003B6A69">
        <w:rPr>
          <w:rFonts w:asciiTheme="minorHAnsi" w:hAnsiTheme="minorHAnsi" w:cstheme="minorHAnsi"/>
          <w:b/>
          <w:szCs w:val="20"/>
        </w:rPr>
        <w:t>ANC- Areas with natural constrains</w:t>
      </w:r>
    </w:p>
    <w:p w14:paraId="2DF947C0" w14:textId="27F02AED" w:rsidR="008C4F26" w:rsidRPr="003B6A69" w:rsidRDefault="008C4F26" w:rsidP="006C1C66">
      <w:pPr>
        <w:tabs>
          <w:tab w:val="left" w:pos="1134"/>
        </w:tabs>
        <w:autoSpaceDE w:val="0"/>
        <w:autoSpaceDN w:val="0"/>
        <w:adjustRightInd w:val="0"/>
        <w:spacing w:after="120"/>
        <w:rPr>
          <w:rFonts w:asciiTheme="minorHAnsi" w:eastAsiaTheme="minorHAnsi" w:hAnsiTheme="minorHAnsi" w:cstheme="minorHAnsi"/>
          <w:color w:val="000000"/>
          <w:szCs w:val="20"/>
        </w:rPr>
      </w:pPr>
      <w:r w:rsidRPr="003B6A69">
        <w:rPr>
          <w:rFonts w:asciiTheme="minorHAnsi" w:eastAsiaTheme="minorHAnsi" w:hAnsiTheme="minorHAnsi" w:cstheme="minorHAnsi"/>
          <w:color w:val="000000"/>
          <w:szCs w:val="20"/>
        </w:rPr>
        <w:t xml:space="preserve">In the EU, rural development programs implement significant measures for the support of farmers living in areas with natural and other constraints, for </w:t>
      </w:r>
      <w:proofErr w:type="spellStart"/>
      <w:r w:rsidRPr="003B6A69">
        <w:rPr>
          <w:rFonts w:asciiTheme="minorHAnsi" w:eastAsiaTheme="minorHAnsi" w:hAnsiTheme="minorHAnsi" w:cstheme="minorHAnsi"/>
          <w:color w:val="000000"/>
          <w:szCs w:val="20"/>
        </w:rPr>
        <w:t>agro</w:t>
      </w:r>
      <w:proofErr w:type="spellEnd"/>
      <w:r w:rsidRPr="003B6A69">
        <w:rPr>
          <w:rFonts w:asciiTheme="minorHAnsi" w:eastAsiaTheme="minorHAnsi" w:hAnsiTheme="minorHAnsi" w:cstheme="minorHAnsi"/>
          <w:color w:val="000000"/>
          <w:szCs w:val="20"/>
        </w:rPr>
        <w:t>-environmental and climate support, and support for organic agriculture (in the EU this is reflected in the fact that more than half of total rural development policy funds are devoted to this group of measures). Of this, about half are for ANC payments and half for the remaining measures within this group (</w:t>
      </w:r>
      <w:proofErr w:type="spellStart"/>
      <w:r w:rsidRPr="003B6A69">
        <w:rPr>
          <w:rFonts w:asciiTheme="minorHAnsi" w:eastAsiaTheme="minorHAnsi" w:hAnsiTheme="minorHAnsi" w:cstheme="minorHAnsi"/>
          <w:color w:val="000000"/>
          <w:szCs w:val="20"/>
        </w:rPr>
        <w:t>agro</w:t>
      </w:r>
      <w:proofErr w:type="spellEnd"/>
      <w:r w:rsidRPr="003B6A69">
        <w:rPr>
          <w:rFonts w:asciiTheme="minorHAnsi" w:eastAsiaTheme="minorHAnsi" w:hAnsiTheme="minorHAnsi" w:cstheme="minorHAnsi"/>
          <w:color w:val="000000"/>
          <w:szCs w:val="20"/>
        </w:rPr>
        <w:t xml:space="preserve">-environment, organic and animal welfare payments). In Montenegro, these funds are still </w:t>
      </w:r>
      <w:proofErr w:type="gramStart"/>
      <w:r w:rsidRPr="003B6A69">
        <w:rPr>
          <w:rFonts w:asciiTheme="minorHAnsi" w:eastAsiaTheme="minorHAnsi" w:hAnsiTheme="minorHAnsi" w:cstheme="minorHAnsi"/>
          <w:color w:val="000000"/>
          <w:szCs w:val="20"/>
        </w:rPr>
        <w:t>insufficient</w:t>
      </w:r>
      <w:proofErr w:type="gramEnd"/>
      <w:r w:rsidRPr="003B6A69">
        <w:rPr>
          <w:rFonts w:asciiTheme="minorHAnsi" w:eastAsiaTheme="minorHAnsi" w:hAnsiTheme="minorHAnsi" w:cstheme="minorHAnsi"/>
          <w:color w:val="000000"/>
          <w:szCs w:val="20"/>
        </w:rPr>
        <w:t xml:space="preserve"> and this issue has to be addressed especially taking into consideration the percentage of the rural areas with natural constrains and other restrictions, along with considering the need for environment protection.  </w:t>
      </w:r>
    </w:p>
    <w:p w14:paraId="4F425083" w14:textId="77777777" w:rsidR="008C4F26" w:rsidRPr="003B6A69" w:rsidRDefault="008C4F26" w:rsidP="006C1C66">
      <w:pPr>
        <w:spacing w:after="120"/>
        <w:rPr>
          <w:rFonts w:asciiTheme="minorHAnsi" w:hAnsiTheme="minorHAnsi" w:cstheme="minorHAnsi"/>
          <w:szCs w:val="20"/>
        </w:rPr>
      </w:pPr>
      <w:r w:rsidRPr="003B6A69">
        <w:rPr>
          <w:rFonts w:asciiTheme="minorHAnsi" w:hAnsiTheme="minorHAnsi" w:cstheme="minorHAnsi"/>
          <w:szCs w:val="20"/>
        </w:rPr>
        <w:lastRenderedPageBreak/>
        <w:t>The bulk of funds from this policy pillar are allocated to the group of measures intended to improve the competitiveness of agriculture, while less attention is given to the other two aspects of rural development policy (environment and rural economy; population).</w:t>
      </w:r>
    </w:p>
    <w:p w14:paraId="3E17A188" w14:textId="77777777" w:rsidR="008C4F26" w:rsidRPr="003B6A69" w:rsidRDefault="008C4F26" w:rsidP="006C1C66">
      <w:pPr>
        <w:spacing w:after="120"/>
        <w:rPr>
          <w:rFonts w:asciiTheme="minorHAnsi" w:hAnsiTheme="minorHAnsi" w:cstheme="minorHAnsi"/>
          <w:szCs w:val="20"/>
        </w:rPr>
      </w:pPr>
    </w:p>
    <w:p w14:paraId="2B9CC67C" w14:textId="77777777" w:rsidR="008C4F26" w:rsidRPr="003B6A69" w:rsidRDefault="008C4F26" w:rsidP="006C1C66">
      <w:pPr>
        <w:spacing w:after="120"/>
        <w:rPr>
          <w:rFonts w:asciiTheme="minorHAnsi" w:eastAsia="Times New Roman" w:hAnsiTheme="minorHAnsi" w:cstheme="minorHAnsi"/>
          <w:color w:val="000000" w:themeColor="text1"/>
          <w:szCs w:val="20"/>
          <w:lang w:eastAsia="ar-SA"/>
        </w:rPr>
      </w:pPr>
      <w:r w:rsidRPr="003B6A69">
        <w:rPr>
          <w:rFonts w:asciiTheme="minorHAnsi" w:eastAsia="Times New Roman" w:hAnsiTheme="minorHAnsi" w:cstheme="minorHAnsi"/>
          <w:color w:val="000000" w:themeColor="text1"/>
          <w:szCs w:val="20"/>
          <w:lang w:eastAsia="ar-SA"/>
        </w:rPr>
        <w:t xml:space="preserve">Support for providing environmental and societal benefits is not sufficient in Montenegro. </w:t>
      </w:r>
      <w:proofErr w:type="spellStart"/>
      <w:r w:rsidRPr="003B6A69">
        <w:rPr>
          <w:rFonts w:asciiTheme="minorHAnsi" w:eastAsia="Times New Roman" w:hAnsiTheme="minorHAnsi" w:cstheme="minorHAnsi"/>
          <w:color w:val="000000" w:themeColor="text1"/>
          <w:szCs w:val="20"/>
          <w:lang w:eastAsia="ar-SA"/>
        </w:rPr>
        <w:t>Agro</w:t>
      </w:r>
      <w:proofErr w:type="spellEnd"/>
      <w:r w:rsidRPr="003B6A69">
        <w:rPr>
          <w:rFonts w:asciiTheme="minorHAnsi" w:eastAsia="Times New Roman" w:hAnsiTheme="minorHAnsi" w:cstheme="minorHAnsi"/>
          <w:color w:val="000000" w:themeColor="text1"/>
          <w:szCs w:val="20"/>
          <w:lang w:eastAsia="ar-SA"/>
        </w:rPr>
        <w:t xml:space="preserve">-environmental schemes are not used on a large scale in the country. Organic farming is regularly supported, but funds are still very modest. </w:t>
      </w:r>
    </w:p>
    <w:p w14:paraId="387741FD" w14:textId="77777777" w:rsidR="008C4F26" w:rsidRPr="003B6A69" w:rsidRDefault="008C4F26" w:rsidP="006C1C66">
      <w:pPr>
        <w:spacing w:after="120"/>
        <w:rPr>
          <w:rFonts w:asciiTheme="minorHAnsi" w:hAnsiTheme="minorHAnsi" w:cstheme="minorHAnsi"/>
          <w:b/>
          <w:szCs w:val="20"/>
        </w:rPr>
      </w:pPr>
    </w:p>
    <w:p w14:paraId="522B5090" w14:textId="77777777" w:rsidR="008C4F26" w:rsidRPr="003B6A69" w:rsidRDefault="008C4F26" w:rsidP="003C6B7B">
      <w:pPr>
        <w:numPr>
          <w:ilvl w:val="1"/>
          <w:numId w:val="29"/>
        </w:numPr>
        <w:spacing w:after="120"/>
        <w:contextualSpacing/>
        <w:jc w:val="left"/>
        <w:rPr>
          <w:rFonts w:asciiTheme="minorHAnsi" w:hAnsiTheme="minorHAnsi" w:cstheme="minorHAnsi"/>
          <w:i/>
          <w:szCs w:val="20"/>
        </w:rPr>
      </w:pPr>
      <w:r w:rsidRPr="003B6A69">
        <w:rPr>
          <w:rFonts w:asciiTheme="minorHAnsi" w:hAnsiTheme="minorHAnsi" w:cstheme="minorHAnsi"/>
          <w:i/>
          <w:szCs w:val="20"/>
        </w:rPr>
        <w:t>Since there is the absence of the effective ANC policy, it is necessary to strengthen this component and suppress depopulation of these areas. The strengthened measures in this segment can lead to better and more efficient conservation of the natural and cultural heritage that, when properly managed and connected to tourism, can yield significant overall benefits.</w:t>
      </w:r>
    </w:p>
    <w:p w14:paraId="62BE935B" w14:textId="77777777" w:rsidR="008C4F26" w:rsidRPr="003B6A69" w:rsidRDefault="008C4F26" w:rsidP="006C1C66">
      <w:pPr>
        <w:spacing w:after="120"/>
        <w:rPr>
          <w:rFonts w:asciiTheme="minorHAnsi" w:hAnsiTheme="minorHAnsi" w:cstheme="minorHAnsi"/>
          <w:i/>
          <w:szCs w:val="20"/>
        </w:rPr>
      </w:pPr>
    </w:p>
    <w:p w14:paraId="4427EB3E" w14:textId="77777777" w:rsidR="008C4F26" w:rsidRPr="003B6A69" w:rsidRDefault="008C4F26" w:rsidP="006C1C66">
      <w:pPr>
        <w:spacing w:after="120"/>
        <w:rPr>
          <w:rFonts w:asciiTheme="minorHAnsi" w:hAnsiTheme="minorHAnsi" w:cstheme="minorHAnsi"/>
          <w:b/>
          <w:szCs w:val="20"/>
        </w:rPr>
      </w:pPr>
      <w:r w:rsidRPr="003B6A69">
        <w:rPr>
          <w:rFonts w:asciiTheme="minorHAnsi" w:hAnsiTheme="minorHAnsi" w:cstheme="minorHAnsi"/>
          <w:b/>
          <w:szCs w:val="20"/>
        </w:rPr>
        <w:t>Organic production and quality labels</w:t>
      </w:r>
    </w:p>
    <w:p w14:paraId="4A78738D" w14:textId="77777777" w:rsidR="008C4F26" w:rsidRPr="003B6A69" w:rsidRDefault="008C4F26" w:rsidP="006C1C66">
      <w:pPr>
        <w:autoSpaceDE w:val="0"/>
        <w:autoSpaceDN w:val="0"/>
        <w:adjustRightInd w:val="0"/>
        <w:spacing w:after="120"/>
        <w:rPr>
          <w:rFonts w:asciiTheme="minorHAnsi" w:hAnsiTheme="minorHAnsi" w:cstheme="minorHAnsi"/>
          <w:szCs w:val="20"/>
        </w:rPr>
      </w:pPr>
      <w:r w:rsidRPr="003B6A69">
        <w:rPr>
          <w:rFonts w:asciiTheme="minorHAnsi" w:hAnsiTheme="minorHAnsi" w:cstheme="minorHAnsi"/>
          <w:szCs w:val="20"/>
        </w:rPr>
        <w:t xml:space="preserve">The utilization of environmental benefits in a way that they also provide the economic value will be one of the goals of the GEF project. It will also be focused on the exploration and identification of new and evolving markets for such products. </w:t>
      </w:r>
    </w:p>
    <w:p w14:paraId="09F5D3C0" w14:textId="77777777" w:rsidR="008C4F26" w:rsidRPr="003B6A69" w:rsidRDefault="008C4F26" w:rsidP="006C1C66">
      <w:pPr>
        <w:autoSpaceDE w:val="0"/>
        <w:autoSpaceDN w:val="0"/>
        <w:adjustRightInd w:val="0"/>
        <w:spacing w:after="120"/>
        <w:jc w:val="left"/>
        <w:rPr>
          <w:rFonts w:asciiTheme="minorHAnsi" w:eastAsiaTheme="minorHAnsi" w:hAnsiTheme="minorHAnsi" w:cstheme="minorHAnsi"/>
          <w:color w:val="000000"/>
          <w:szCs w:val="20"/>
        </w:rPr>
      </w:pPr>
      <w:r w:rsidRPr="003B6A69">
        <w:rPr>
          <w:rFonts w:asciiTheme="minorHAnsi" w:eastAsiaTheme="minorHAnsi" w:hAnsiTheme="minorHAnsi" w:cstheme="minorHAnsi"/>
          <w:color w:val="000000"/>
          <w:szCs w:val="20"/>
        </w:rPr>
        <w:t xml:space="preserve">There is somewhat more understanding for the support of organic agriculture, which is gaining ground, but not reaching support levels comparable to the EU. More decisive steps are needed. </w:t>
      </w:r>
    </w:p>
    <w:p w14:paraId="36C912F7" w14:textId="77777777" w:rsidR="008C4F26" w:rsidRPr="003B6A69" w:rsidRDefault="008C4F26" w:rsidP="006C1C66">
      <w:pPr>
        <w:autoSpaceDE w:val="0"/>
        <w:autoSpaceDN w:val="0"/>
        <w:adjustRightInd w:val="0"/>
        <w:spacing w:after="120"/>
        <w:rPr>
          <w:rFonts w:asciiTheme="minorHAnsi" w:hAnsiTheme="minorHAnsi" w:cstheme="minorHAnsi"/>
          <w:szCs w:val="20"/>
        </w:rPr>
      </w:pPr>
    </w:p>
    <w:p w14:paraId="5AE959A2" w14:textId="77777777" w:rsidR="008C4F26" w:rsidRPr="003B6A69" w:rsidRDefault="008C4F26" w:rsidP="003C6B7B">
      <w:pPr>
        <w:numPr>
          <w:ilvl w:val="0"/>
          <w:numId w:val="32"/>
        </w:numPr>
        <w:spacing w:after="120"/>
        <w:contextualSpacing/>
        <w:jc w:val="left"/>
        <w:rPr>
          <w:i/>
          <w:szCs w:val="20"/>
        </w:rPr>
      </w:pPr>
      <w:r w:rsidRPr="003B6A69">
        <w:rPr>
          <w:i/>
          <w:szCs w:val="20"/>
        </w:rPr>
        <w:t>One of the opportunities for the development of Montenegrin agriculture, both on the domestic and international market, is to direct as many products as possible to quality schemes that ensure the realization of added value. In this way, the agricultural sector will benefit from increased sales opportunities, and at the same time contribute to the development of tourism in Montenegro. In addition, it is important for Montenegro to be able to meet the demand for agri-food products that can be produced locally throughout the year.</w:t>
      </w:r>
    </w:p>
    <w:p w14:paraId="452075C4" w14:textId="77777777" w:rsidR="008C4F26" w:rsidRPr="003B6A69" w:rsidRDefault="008C4F26" w:rsidP="003C6B7B">
      <w:pPr>
        <w:numPr>
          <w:ilvl w:val="0"/>
          <w:numId w:val="32"/>
        </w:numPr>
        <w:autoSpaceDE w:val="0"/>
        <w:autoSpaceDN w:val="0"/>
        <w:adjustRightInd w:val="0"/>
        <w:spacing w:after="120"/>
        <w:contextualSpacing/>
        <w:jc w:val="left"/>
        <w:rPr>
          <w:rFonts w:asciiTheme="minorHAnsi" w:hAnsiTheme="minorHAnsi" w:cstheme="minorHAnsi"/>
          <w:i/>
          <w:szCs w:val="20"/>
        </w:rPr>
      </w:pPr>
      <w:r w:rsidRPr="003B6A69">
        <w:rPr>
          <w:rFonts w:asciiTheme="minorHAnsi" w:hAnsiTheme="minorHAnsi" w:cstheme="minorHAnsi"/>
          <w:i/>
          <w:szCs w:val="20"/>
        </w:rPr>
        <w:t xml:space="preserve">Meat, cheeses, olives, </w:t>
      </w:r>
      <w:proofErr w:type="gramStart"/>
      <w:r w:rsidRPr="003B6A69">
        <w:rPr>
          <w:rFonts w:asciiTheme="minorHAnsi" w:hAnsiTheme="minorHAnsi" w:cstheme="minorHAnsi"/>
          <w:i/>
          <w:szCs w:val="20"/>
        </w:rPr>
        <w:t>wine</w:t>
      </w:r>
      <w:proofErr w:type="gramEnd"/>
      <w:r w:rsidRPr="003B6A69">
        <w:rPr>
          <w:rFonts w:asciiTheme="minorHAnsi" w:hAnsiTheme="minorHAnsi" w:cstheme="minorHAnsi"/>
          <w:i/>
          <w:szCs w:val="20"/>
        </w:rPr>
        <w:t xml:space="preserve"> and nuts are suitable to be explored as having potential for quality and organic labels, originating from the areas in vicinity to KBAs. The launching of the initiative for </w:t>
      </w:r>
      <w:r w:rsidRPr="003B6A69">
        <w:rPr>
          <w:rFonts w:asciiTheme="minorHAnsi" w:hAnsiTheme="minorHAnsi" w:cstheme="minorHAnsi"/>
          <w:b/>
          <w:i/>
          <w:szCs w:val="20"/>
        </w:rPr>
        <w:t>the establishment of environmental quality labels</w:t>
      </w:r>
      <w:r w:rsidRPr="003B6A69">
        <w:rPr>
          <w:rFonts w:asciiTheme="minorHAnsi" w:hAnsiTheme="minorHAnsi" w:cstheme="minorHAnsi"/>
          <w:i/>
          <w:szCs w:val="20"/>
        </w:rPr>
        <w:t xml:space="preserve"> (</w:t>
      </w:r>
      <w:proofErr w:type="gramStart"/>
      <w:r w:rsidRPr="003B6A69">
        <w:rPr>
          <w:rFonts w:asciiTheme="minorHAnsi" w:hAnsiTheme="minorHAnsi" w:cstheme="minorHAnsi"/>
          <w:i/>
          <w:szCs w:val="20"/>
        </w:rPr>
        <w:t>e.g.</w:t>
      </w:r>
      <w:proofErr w:type="gramEnd"/>
      <w:r w:rsidRPr="003B6A69">
        <w:rPr>
          <w:rFonts w:asciiTheme="minorHAnsi" w:hAnsiTheme="minorHAnsi" w:cstheme="minorHAnsi"/>
          <w:i/>
          <w:szCs w:val="20"/>
        </w:rPr>
        <w:t xml:space="preserve"> Natura 2000 labeling) for agricultural products having a price premium on the market could be another initiative. </w:t>
      </w:r>
    </w:p>
    <w:p w14:paraId="0952B8D9" w14:textId="77777777" w:rsidR="008C4F26" w:rsidRPr="003B6A69" w:rsidRDefault="008C4F26" w:rsidP="003C6B7B">
      <w:pPr>
        <w:numPr>
          <w:ilvl w:val="0"/>
          <w:numId w:val="32"/>
        </w:numPr>
        <w:autoSpaceDE w:val="0"/>
        <w:autoSpaceDN w:val="0"/>
        <w:adjustRightInd w:val="0"/>
        <w:spacing w:after="120"/>
        <w:contextualSpacing/>
        <w:jc w:val="left"/>
        <w:rPr>
          <w:rFonts w:ascii="EC Square Sans Pro" w:eastAsiaTheme="minorHAnsi" w:hAnsi="EC Square Sans Pro" w:cs="EC Square Sans Pro"/>
          <w:i/>
          <w:color w:val="000000"/>
          <w:szCs w:val="20"/>
        </w:rPr>
      </w:pPr>
      <w:r w:rsidRPr="003B6A69">
        <w:rPr>
          <w:rFonts w:asciiTheme="minorHAnsi" w:hAnsiTheme="minorHAnsi" w:cstheme="minorHAnsi"/>
          <w:i/>
          <w:szCs w:val="20"/>
        </w:rPr>
        <w:t xml:space="preserve">The </w:t>
      </w:r>
      <w:proofErr w:type="spellStart"/>
      <w:r w:rsidRPr="003B6A69">
        <w:rPr>
          <w:rFonts w:asciiTheme="minorHAnsi" w:hAnsiTheme="minorHAnsi" w:cstheme="minorHAnsi"/>
          <w:i/>
          <w:szCs w:val="20"/>
        </w:rPr>
        <w:t>agri</w:t>
      </w:r>
      <w:proofErr w:type="spellEnd"/>
      <w:r w:rsidRPr="003B6A69">
        <w:rPr>
          <w:rFonts w:asciiTheme="minorHAnsi" w:hAnsiTheme="minorHAnsi" w:cstheme="minorHAnsi"/>
          <w:i/>
          <w:szCs w:val="20"/>
        </w:rPr>
        <w:t xml:space="preserve">-environment-climate activities should be initiated with the existing producer associations within the KBAs. In addition, the cooperation initiatives between farmers, local authorities and nature conservation groups should be initiated. </w:t>
      </w:r>
    </w:p>
    <w:p w14:paraId="458A0BBD" w14:textId="77777777" w:rsidR="008C4F26" w:rsidRPr="003B6A69" w:rsidRDefault="008C4F26" w:rsidP="006C1C66">
      <w:pPr>
        <w:spacing w:after="120"/>
        <w:rPr>
          <w:rFonts w:ascii="EC Square Sans Pro Light" w:eastAsiaTheme="minorHAnsi" w:hAnsi="EC Square Sans Pro Light" w:cs="EC Square Sans Pro Light"/>
          <w:color w:val="000000"/>
          <w:szCs w:val="20"/>
        </w:rPr>
      </w:pPr>
    </w:p>
    <w:p w14:paraId="5BF12042" w14:textId="77777777" w:rsidR="008C4F26" w:rsidRPr="003B6A69" w:rsidRDefault="008C4F26" w:rsidP="006C1C66">
      <w:pPr>
        <w:spacing w:after="120"/>
        <w:jc w:val="left"/>
        <w:rPr>
          <w:rFonts w:asciiTheme="minorHAnsi" w:hAnsiTheme="minorHAnsi" w:cstheme="minorHAnsi"/>
          <w:b/>
          <w:szCs w:val="20"/>
        </w:rPr>
      </w:pPr>
      <w:r w:rsidRPr="003B6A69">
        <w:rPr>
          <w:rFonts w:asciiTheme="minorHAnsi" w:hAnsiTheme="minorHAnsi" w:cstheme="minorHAnsi"/>
          <w:b/>
          <w:szCs w:val="20"/>
        </w:rPr>
        <w:t>Sustainable utilization of the resources</w:t>
      </w:r>
    </w:p>
    <w:p w14:paraId="4C6F7292" w14:textId="77777777" w:rsidR="008C4F26" w:rsidRPr="003B6A69" w:rsidRDefault="008C4F26" w:rsidP="006C1C66">
      <w:pPr>
        <w:autoSpaceDE w:val="0"/>
        <w:autoSpaceDN w:val="0"/>
        <w:adjustRightInd w:val="0"/>
        <w:spacing w:after="120"/>
        <w:rPr>
          <w:rFonts w:asciiTheme="minorHAnsi" w:eastAsiaTheme="minorHAnsi" w:hAnsiTheme="minorHAnsi" w:cstheme="minorHAnsi"/>
          <w:color w:val="000000"/>
          <w:szCs w:val="20"/>
        </w:rPr>
      </w:pPr>
      <w:r w:rsidRPr="003B6A69">
        <w:rPr>
          <w:rFonts w:asciiTheme="minorHAnsi" w:eastAsiaTheme="minorHAnsi" w:hAnsiTheme="minorHAnsi" w:cstheme="minorHAnsi"/>
          <w:color w:val="000000"/>
          <w:szCs w:val="20"/>
        </w:rPr>
        <w:t xml:space="preserve">Montenegro has clearly expressed its commitment to sustainability in the strategy papers, and has underlined the economic, </w:t>
      </w:r>
      <w:proofErr w:type="gramStart"/>
      <w:r w:rsidRPr="003B6A69">
        <w:rPr>
          <w:rFonts w:asciiTheme="minorHAnsi" w:eastAsiaTheme="minorHAnsi" w:hAnsiTheme="minorHAnsi" w:cstheme="minorHAnsi"/>
          <w:color w:val="000000"/>
          <w:szCs w:val="20"/>
        </w:rPr>
        <w:t>environmental</w:t>
      </w:r>
      <w:proofErr w:type="gramEnd"/>
      <w:r w:rsidRPr="003B6A69">
        <w:rPr>
          <w:rFonts w:asciiTheme="minorHAnsi" w:eastAsiaTheme="minorHAnsi" w:hAnsiTheme="minorHAnsi" w:cstheme="minorHAnsi"/>
          <w:color w:val="000000"/>
          <w:szCs w:val="20"/>
        </w:rPr>
        <w:t xml:space="preserve"> and social objectives of agricultural policy. This is part of general commitment by candidate countries to EU orientation. By contrast, analysis of measures has revealed an almost exclusively production-oriented agricultural policy. Production support in the form of direct payments and investment support prevails, mostly for investments on agricultural holdings. </w:t>
      </w:r>
    </w:p>
    <w:p w14:paraId="6A8B28C6" w14:textId="77777777" w:rsidR="008C4F26" w:rsidRPr="003B6A69" w:rsidRDefault="008C4F26" w:rsidP="006C1C66">
      <w:pPr>
        <w:autoSpaceDE w:val="0"/>
        <w:autoSpaceDN w:val="0"/>
        <w:adjustRightInd w:val="0"/>
        <w:spacing w:after="120"/>
        <w:rPr>
          <w:rFonts w:asciiTheme="minorHAnsi" w:eastAsiaTheme="minorHAnsi" w:hAnsiTheme="minorHAnsi" w:cstheme="minorHAnsi"/>
          <w:color w:val="000000"/>
          <w:szCs w:val="20"/>
        </w:rPr>
      </w:pPr>
      <w:r w:rsidRPr="003B6A69">
        <w:rPr>
          <w:rFonts w:asciiTheme="minorHAnsi" w:eastAsiaTheme="minorHAnsi" w:hAnsiTheme="minorHAnsi" w:cstheme="minorHAnsi"/>
          <w:color w:val="000000"/>
          <w:szCs w:val="20"/>
        </w:rPr>
        <w:t>The farmers should be stimulated to continue managing their land in a way that preserves environmental and social benefits, such as farmland biodi</w:t>
      </w:r>
      <w:r w:rsidRPr="003B6A69">
        <w:rPr>
          <w:rFonts w:asciiTheme="minorHAnsi" w:eastAsiaTheme="minorHAnsi" w:hAnsiTheme="minorHAnsi" w:cstheme="minorHAnsi"/>
          <w:color w:val="000000"/>
          <w:szCs w:val="20"/>
        </w:rPr>
        <w:softHyphen/>
        <w:t xml:space="preserve">versity, cultural landscapes and rural vitality. </w:t>
      </w:r>
    </w:p>
    <w:p w14:paraId="77A816AF" w14:textId="77777777" w:rsidR="008C4F26" w:rsidRPr="003B6A69" w:rsidRDefault="008C4F26" w:rsidP="006C1C66">
      <w:pPr>
        <w:autoSpaceDE w:val="0"/>
        <w:autoSpaceDN w:val="0"/>
        <w:adjustRightInd w:val="0"/>
        <w:spacing w:after="120"/>
        <w:rPr>
          <w:rFonts w:asciiTheme="minorHAnsi" w:eastAsiaTheme="minorHAnsi" w:hAnsiTheme="minorHAnsi" w:cstheme="minorHAnsi"/>
          <w:color w:val="000000"/>
          <w:szCs w:val="20"/>
        </w:rPr>
      </w:pPr>
    </w:p>
    <w:p w14:paraId="067B20DA" w14:textId="77777777" w:rsidR="008C4F26" w:rsidRPr="003B6A69" w:rsidRDefault="008C4F26" w:rsidP="003C6B7B">
      <w:pPr>
        <w:numPr>
          <w:ilvl w:val="0"/>
          <w:numId w:val="24"/>
        </w:numPr>
        <w:autoSpaceDE w:val="0"/>
        <w:autoSpaceDN w:val="0"/>
        <w:adjustRightInd w:val="0"/>
        <w:spacing w:after="120"/>
        <w:jc w:val="left"/>
        <w:rPr>
          <w:rFonts w:asciiTheme="minorHAnsi" w:eastAsiaTheme="minorHAnsi" w:hAnsiTheme="minorHAnsi" w:cstheme="minorHAnsi"/>
          <w:i/>
          <w:color w:val="000000"/>
          <w:szCs w:val="20"/>
        </w:rPr>
      </w:pPr>
      <w:r w:rsidRPr="003B6A69">
        <w:rPr>
          <w:rFonts w:asciiTheme="minorHAnsi" w:eastAsiaTheme="minorHAnsi" w:hAnsiTheme="minorHAnsi" w:cstheme="minorHAnsi"/>
          <w:i/>
          <w:color w:val="000000"/>
          <w:szCs w:val="20"/>
        </w:rPr>
        <w:t xml:space="preserve">As an example, growing nectar producing wildflowers on arable land can help to alleviate the decline of bees and other essential pollinating insects. The concept of environmental services should be established and structured. </w:t>
      </w:r>
    </w:p>
    <w:p w14:paraId="1491F439" w14:textId="77777777" w:rsidR="00862DB0" w:rsidRPr="003B6A69" w:rsidRDefault="008C4F26" w:rsidP="003C6B7B">
      <w:pPr>
        <w:numPr>
          <w:ilvl w:val="0"/>
          <w:numId w:val="24"/>
        </w:numPr>
        <w:autoSpaceDE w:val="0"/>
        <w:autoSpaceDN w:val="0"/>
        <w:adjustRightInd w:val="0"/>
        <w:spacing w:after="0"/>
        <w:contextualSpacing/>
        <w:jc w:val="left"/>
        <w:rPr>
          <w:rFonts w:asciiTheme="minorHAnsi" w:hAnsiTheme="minorHAnsi" w:cstheme="minorHAnsi"/>
          <w:bCs/>
          <w:lang w:val="en-GB"/>
        </w:rPr>
      </w:pPr>
      <w:r w:rsidRPr="003B6A69">
        <w:rPr>
          <w:rFonts w:asciiTheme="minorHAnsi" w:hAnsiTheme="minorHAnsi" w:cstheme="minorHAnsi"/>
          <w:i/>
          <w:szCs w:val="20"/>
        </w:rPr>
        <w:t xml:space="preserve">In this context, it is needed to identify the gaps between the </w:t>
      </w:r>
      <w:proofErr w:type="gramStart"/>
      <w:r w:rsidRPr="003B6A69">
        <w:rPr>
          <w:rFonts w:asciiTheme="minorHAnsi" w:hAnsiTheme="minorHAnsi" w:cstheme="minorHAnsi"/>
          <w:i/>
          <w:szCs w:val="20"/>
        </w:rPr>
        <w:t>set up</w:t>
      </w:r>
      <w:proofErr w:type="gramEnd"/>
      <w:r w:rsidRPr="003B6A69">
        <w:rPr>
          <w:rFonts w:asciiTheme="minorHAnsi" w:hAnsiTheme="minorHAnsi" w:cstheme="minorHAnsi"/>
          <w:i/>
          <w:szCs w:val="20"/>
        </w:rPr>
        <w:t xml:space="preserve"> biodiversity objectives and </w:t>
      </w:r>
      <w:proofErr w:type="spellStart"/>
      <w:r w:rsidRPr="003B6A69">
        <w:rPr>
          <w:rFonts w:asciiTheme="minorHAnsi" w:hAnsiTheme="minorHAnsi" w:cstheme="minorHAnsi"/>
          <w:i/>
          <w:szCs w:val="20"/>
        </w:rPr>
        <w:t>agri</w:t>
      </w:r>
      <w:proofErr w:type="spellEnd"/>
      <w:r w:rsidRPr="003B6A69">
        <w:rPr>
          <w:rFonts w:asciiTheme="minorHAnsi" w:hAnsiTheme="minorHAnsi" w:cstheme="minorHAnsi"/>
          <w:i/>
          <w:szCs w:val="20"/>
        </w:rPr>
        <w:t xml:space="preserve">-programming measures in the selected areas. It is necessary to increase the priority of biodiversity conservation within </w:t>
      </w:r>
      <w:proofErr w:type="spellStart"/>
      <w:r w:rsidRPr="003B6A69">
        <w:rPr>
          <w:rFonts w:asciiTheme="minorHAnsi" w:hAnsiTheme="minorHAnsi" w:cstheme="minorHAnsi"/>
          <w:i/>
          <w:szCs w:val="20"/>
        </w:rPr>
        <w:t>agro</w:t>
      </w:r>
      <w:proofErr w:type="spellEnd"/>
      <w:r w:rsidRPr="003B6A69">
        <w:rPr>
          <w:rFonts w:asciiTheme="minorHAnsi" w:hAnsiTheme="minorHAnsi" w:cstheme="minorHAnsi"/>
          <w:i/>
          <w:szCs w:val="20"/>
        </w:rPr>
        <w:t xml:space="preserve">-budget policy objectives. Montenegro can ideally serve as a pilot for this kind of research and initiatives given the fact that it has high diversity and has a relatively high level of budgetary expenditure for rural development. Therefore, emphasis should be given to defining the mechanisms of stimulation of the increase of farm </w:t>
      </w:r>
      <w:r w:rsidRPr="003B6A69">
        <w:rPr>
          <w:rFonts w:asciiTheme="minorHAnsi" w:hAnsiTheme="minorHAnsi" w:cstheme="minorHAnsi"/>
          <w:i/>
          <w:szCs w:val="20"/>
        </w:rPr>
        <w:lastRenderedPageBreak/>
        <w:t xml:space="preserve">biodiversity and enforcement of the incentives in this field.  This involves both public systems in the fields of research, </w:t>
      </w:r>
      <w:proofErr w:type="gramStart"/>
      <w:r w:rsidRPr="003B6A69">
        <w:rPr>
          <w:rFonts w:asciiTheme="minorHAnsi" w:hAnsiTheme="minorHAnsi" w:cstheme="minorHAnsi"/>
          <w:i/>
          <w:szCs w:val="20"/>
        </w:rPr>
        <w:t>education</w:t>
      </w:r>
      <w:proofErr w:type="gramEnd"/>
      <w:r w:rsidRPr="003B6A69">
        <w:rPr>
          <w:rFonts w:asciiTheme="minorHAnsi" w:hAnsiTheme="minorHAnsi" w:cstheme="minorHAnsi"/>
          <w:i/>
          <w:szCs w:val="20"/>
        </w:rPr>
        <w:t xml:space="preserve"> and extension, and also a more prominent role for the private sector and a commitment to achieving sustainability objectives at the level of agricultural holdings and agricultural policy in general. </w:t>
      </w:r>
    </w:p>
    <w:p w14:paraId="56842754" w14:textId="18C3A3B9" w:rsidR="00862DB0" w:rsidRPr="003B6A69" w:rsidRDefault="00862DB0" w:rsidP="003C6B7B">
      <w:pPr>
        <w:numPr>
          <w:ilvl w:val="0"/>
          <w:numId w:val="24"/>
        </w:numPr>
        <w:autoSpaceDE w:val="0"/>
        <w:autoSpaceDN w:val="0"/>
        <w:adjustRightInd w:val="0"/>
        <w:spacing w:after="0"/>
        <w:contextualSpacing/>
        <w:jc w:val="left"/>
        <w:rPr>
          <w:rFonts w:asciiTheme="minorHAnsi" w:hAnsiTheme="minorHAnsi" w:cstheme="minorHAnsi"/>
          <w:b/>
          <w:bCs/>
          <w:lang w:val="en-GB"/>
        </w:rPr>
      </w:pPr>
      <w:r w:rsidRPr="003B6A69">
        <w:rPr>
          <w:rFonts w:asciiTheme="minorHAnsi" w:hAnsiTheme="minorHAnsi" w:cstheme="minorHAnsi"/>
          <w:i/>
          <w:szCs w:val="20"/>
        </w:rPr>
        <w:t xml:space="preserve"> </w:t>
      </w:r>
      <w:r w:rsidR="008C4F26" w:rsidRPr="003B6A69">
        <w:rPr>
          <w:rFonts w:asciiTheme="minorHAnsi" w:hAnsiTheme="minorHAnsi" w:cstheme="minorHAnsi"/>
          <w:i/>
          <w:szCs w:val="20"/>
        </w:rPr>
        <w:t xml:space="preserve">Special attention should be given to the modalities of growing, </w:t>
      </w:r>
      <w:proofErr w:type="gramStart"/>
      <w:r w:rsidR="008C4F26" w:rsidRPr="003B6A69">
        <w:rPr>
          <w:rFonts w:asciiTheme="minorHAnsi" w:hAnsiTheme="minorHAnsi" w:cstheme="minorHAnsi"/>
          <w:i/>
          <w:szCs w:val="20"/>
        </w:rPr>
        <w:t>exploration</w:t>
      </w:r>
      <w:proofErr w:type="gramEnd"/>
      <w:r w:rsidR="008C4F26" w:rsidRPr="003B6A69">
        <w:rPr>
          <w:rFonts w:asciiTheme="minorHAnsi" w:hAnsiTheme="minorHAnsi" w:cstheme="minorHAnsi"/>
          <w:i/>
          <w:szCs w:val="20"/>
        </w:rPr>
        <w:t xml:space="preserve"> and preservation of the abundant areas with medicinal plants.</w:t>
      </w:r>
    </w:p>
    <w:p w14:paraId="246CA8EE" w14:textId="77777777" w:rsidR="00862DB0" w:rsidRPr="003B6A69" w:rsidRDefault="00862DB0" w:rsidP="00862DB0">
      <w:pPr>
        <w:autoSpaceDE w:val="0"/>
        <w:autoSpaceDN w:val="0"/>
        <w:adjustRightInd w:val="0"/>
        <w:spacing w:after="0"/>
        <w:ind w:left="720"/>
        <w:contextualSpacing/>
        <w:jc w:val="left"/>
        <w:rPr>
          <w:rFonts w:asciiTheme="minorHAnsi" w:hAnsiTheme="minorHAnsi" w:cstheme="minorHAnsi"/>
          <w:i/>
          <w:szCs w:val="20"/>
        </w:rPr>
      </w:pPr>
    </w:p>
    <w:p w14:paraId="70481449" w14:textId="77777777" w:rsidR="00862DB0" w:rsidRPr="003B6A69" w:rsidRDefault="00862DB0" w:rsidP="00862DB0">
      <w:pPr>
        <w:autoSpaceDE w:val="0"/>
        <w:autoSpaceDN w:val="0"/>
        <w:adjustRightInd w:val="0"/>
        <w:spacing w:after="0"/>
        <w:ind w:left="720"/>
        <w:contextualSpacing/>
        <w:jc w:val="left"/>
        <w:rPr>
          <w:rFonts w:asciiTheme="minorHAnsi" w:hAnsiTheme="minorHAnsi" w:cstheme="minorHAnsi"/>
          <w:b/>
          <w:bCs/>
          <w:lang w:val="en-GB"/>
        </w:rPr>
        <w:sectPr w:rsidR="00862DB0" w:rsidRPr="003B6A69" w:rsidSect="00F164CA">
          <w:pgSz w:w="12240" w:h="15840" w:code="1"/>
          <w:pgMar w:top="1134" w:right="1134" w:bottom="1134" w:left="1134" w:header="720" w:footer="720" w:gutter="0"/>
          <w:cols w:space="720"/>
          <w:docGrid w:linePitch="360"/>
        </w:sectPr>
      </w:pPr>
    </w:p>
    <w:p w14:paraId="77997931" w14:textId="55CB389F" w:rsidR="00862DB0" w:rsidRPr="003B6A69" w:rsidRDefault="00862DB0" w:rsidP="00862DB0">
      <w:pPr>
        <w:autoSpaceDE w:val="0"/>
        <w:autoSpaceDN w:val="0"/>
        <w:adjustRightInd w:val="0"/>
        <w:spacing w:after="0"/>
        <w:ind w:left="720"/>
        <w:contextualSpacing/>
        <w:jc w:val="left"/>
        <w:rPr>
          <w:rFonts w:asciiTheme="minorHAnsi" w:hAnsiTheme="minorHAnsi" w:cstheme="minorHAnsi"/>
          <w:b/>
          <w:bCs/>
          <w:lang w:val="en-GB"/>
        </w:rPr>
      </w:pPr>
    </w:p>
    <w:p w14:paraId="26E5AF4A" w14:textId="11B616A5" w:rsidR="00862DB0" w:rsidRPr="003B6A69" w:rsidRDefault="00862DB0" w:rsidP="00862DB0">
      <w:pPr>
        <w:pStyle w:val="Heading2"/>
        <w:rPr>
          <w:lang w:val="en-GB"/>
        </w:rPr>
      </w:pPr>
      <w:bookmarkStart w:id="117" w:name="_Annex_20:_Project"/>
      <w:bookmarkStart w:id="118" w:name="_Toc82018293"/>
      <w:bookmarkEnd w:id="117"/>
      <w:r w:rsidRPr="003B6A69">
        <w:rPr>
          <w:lang w:val="en-GB"/>
        </w:rPr>
        <w:t>Annex 20: Project co-financing</w:t>
      </w:r>
      <w:bookmarkEnd w:id="118"/>
    </w:p>
    <w:p w14:paraId="610DC4BF" w14:textId="3D74B639" w:rsidR="00862DB0" w:rsidRPr="003B6A69" w:rsidRDefault="00862DB0" w:rsidP="00862DB0">
      <w:pPr>
        <w:rPr>
          <w:szCs w:val="20"/>
          <w:lang w:eastAsia="ja-JP"/>
        </w:rPr>
      </w:pPr>
      <w:r w:rsidRPr="003B6A69">
        <w:fldChar w:fldCharType="begin"/>
      </w:r>
      <w:r w:rsidRPr="003B6A69">
        <w:instrText xml:space="preserve"> LINK Excel.Sheet.12 "C:\\Users\\ibredneva\\Documents\\Montenegro GEF-7\\Co-financing\\AMENDED _Montenegro BD Mainstreaming Co-financing table_March2021.xlsx" "Co-financing!R1C1:R33C9" \a \f 4 \h </w:instrText>
      </w:r>
      <w:r w:rsidR="002720C6" w:rsidRPr="003B6A69">
        <w:instrText xml:space="preserve"> \* MERGEFORMAT </w:instrText>
      </w:r>
      <w:r w:rsidRPr="003B6A69">
        <w:fldChar w:fldCharType="separate"/>
      </w:r>
    </w:p>
    <w:tbl>
      <w:tblPr>
        <w:tblW w:w="13889" w:type="dxa"/>
        <w:tblLook w:val="04A0" w:firstRow="1" w:lastRow="0" w:firstColumn="1" w:lastColumn="0" w:noHBand="0" w:noVBand="1"/>
      </w:tblPr>
      <w:tblGrid>
        <w:gridCol w:w="1647"/>
        <w:gridCol w:w="1387"/>
        <w:gridCol w:w="1698"/>
        <w:gridCol w:w="1819"/>
        <w:gridCol w:w="1439"/>
        <w:gridCol w:w="1797"/>
        <w:gridCol w:w="4421"/>
      </w:tblGrid>
      <w:tr w:rsidR="00862DB0" w:rsidRPr="003B6A69" w14:paraId="087B2690" w14:textId="77777777" w:rsidTr="00B76926">
        <w:trPr>
          <w:trHeight w:val="1452"/>
        </w:trPr>
        <w:tc>
          <w:tcPr>
            <w:tcW w:w="16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B7743C" w14:textId="77777777" w:rsidR="00862DB0" w:rsidRPr="003B6A69" w:rsidRDefault="00862DB0" w:rsidP="00862DB0">
            <w:pPr>
              <w:spacing w:after="0"/>
              <w:jc w:val="center"/>
              <w:rPr>
                <w:rFonts w:eastAsia="Times New Roman"/>
                <w:b/>
                <w:bCs/>
                <w:color w:val="000000"/>
                <w:sz w:val="16"/>
                <w:szCs w:val="16"/>
              </w:rPr>
            </w:pPr>
            <w:r w:rsidRPr="003B6A69">
              <w:rPr>
                <w:rFonts w:eastAsia="Times New Roman"/>
                <w:b/>
                <w:bCs/>
                <w:color w:val="000000"/>
                <w:sz w:val="16"/>
                <w:szCs w:val="16"/>
              </w:rPr>
              <w:t>Sources of Co-financing/</w:t>
            </w:r>
            <w:r w:rsidRPr="003B6A69">
              <w:rPr>
                <w:rFonts w:eastAsia="Times New Roman"/>
                <w:color w:val="000000"/>
                <w:sz w:val="16"/>
                <w:szCs w:val="16"/>
              </w:rPr>
              <w:t>Co-financing line</w:t>
            </w:r>
          </w:p>
        </w:tc>
        <w:tc>
          <w:tcPr>
            <w:tcW w:w="1068" w:type="dxa"/>
            <w:tcBorders>
              <w:top w:val="single" w:sz="4" w:space="0" w:color="auto"/>
              <w:left w:val="nil"/>
              <w:bottom w:val="single" w:sz="4" w:space="0" w:color="auto"/>
              <w:right w:val="single" w:sz="4" w:space="0" w:color="auto"/>
            </w:tcBorders>
            <w:shd w:val="clear" w:color="auto" w:fill="auto"/>
            <w:vAlign w:val="center"/>
            <w:hideMark/>
          </w:tcPr>
          <w:p w14:paraId="63F2E9E0" w14:textId="77777777" w:rsidR="00862DB0" w:rsidRPr="003B6A69" w:rsidRDefault="00862DB0" w:rsidP="00862DB0">
            <w:pPr>
              <w:spacing w:after="0"/>
              <w:jc w:val="center"/>
              <w:rPr>
                <w:rFonts w:eastAsia="Times New Roman"/>
                <w:b/>
                <w:bCs/>
                <w:color w:val="000000"/>
                <w:sz w:val="16"/>
                <w:szCs w:val="16"/>
              </w:rPr>
            </w:pPr>
            <w:r w:rsidRPr="003B6A69">
              <w:rPr>
                <w:rFonts w:eastAsia="Times New Roman"/>
                <w:b/>
                <w:bCs/>
                <w:color w:val="000000"/>
                <w:sz w:val="16"/>
                <w:szCs w:val="16"/>
              </w:rPr>
              <w:t>Type of Co-financing</w:t>
            </w:r>
          </w:p>
        </w:tc>
        <w:tc>
          <w:tcPr>
            <w:tcW w:w="1698" w:type="dxa"/>
            <w:tcBorders>
              <w:top w:val="single" w:sz="4" w:space="0" w:color="auto"/>
              <w:left w:val="nil"/>
              <w:bottom w:val="single" w:sz="4" w:space="0" w:color="auto"/>
              <w:right w:val="single" w:sz="4" w:space="0" w:color="auto"/>
            </w:tcBorders>
            <w:shd w:val="clear" w:color="auto" w:fill="auto"/>
            <w:vAlign w:val="center"/>
            <w:hideMark/>
          </w:tcPr>
          <w:p w14:paraId="79032C89" w14:textId="77777777" w:rsidR="00862DB0" w:rsidRPr="003B6A69" w:rsidRDefault="00862DB0" w:rsidP="00862DB0">
            <w:pPr>
              <w:spacing w:after="0"/>
              <w:jc w:val="center"/>
              <w:rPr>
                <w:rFonts w:eastAsia="Times New Roman"/>
                <w:b/>
                <w:bCs/>
                <w:color w:val="000000"/>
                <w:sz w:val="16"/>
                <w:szCs w:val="16"/>
              </w:rPr>
            </w:pPr>
            <w:r w:rsidRPr="003B6A69">
              <w:rPr>
                <w:rFonts w:eastAsia="Times New Roman"/>
                <w:b/>
                <w:bCs/>
                <w:color w:val="000000"/>
                <w:sz w:val="16"/>
                <w:szCs w:val="16"/>
              </w:rPr>
              <w:t>Co-financing amount for FSP, USD</w:t>
            </w:r>
          </w:p>
        </w:tc>
        <w:tc>
          <w:tcPr>
            <w:tcW w:w="1819" w:type="dxa"/>
            <w:tcBorders>
              <w:top w:val="single" w:sz="4" w:space="0" w:color="auto"/>
              <w:left w:val="nil"/>
              <w:bottom w:val="single" w:sz="4" w:space="0" w:color="auto"/>
              <w:right w:val="single" w:sz="4" w:space="0" w:color="auto"/>
            </w:tcBorders>
            <w:shd w:val="clear" w:color="auto" w:fill="auto"/>
            <w:vAlign w:val="center"/>
            <w:hideMark/>
          </w:tcPr>
          <w:p w14:paraId="09D06EC5" w14:textId="77777777" w:rsidR="00862DB0" w:rsidRPr="003B6A69" w:rsidRDefault="00862DB0" w:rsidP="00862DB0">
            <w:pPr>
              <w:spacing w:after="0"/>
              <w:jc w:val="center"/>
              <w:rPr>
                <w:rFonts w:eastAsia="Times New Roman"/>
                <w:b/>
                <w:bCs/>
                <w:color w:val="000000"/>
                <w:sz w:val="16"/>
                <w:szCs w:val="16"/>
              </w:rPr>
            </w:pPr>
            <w:proofErr w:type="spellStart"/>
            <w:r w:rsidRPr="003B6A69">
              <w:rPr>
                <w:rFonts w:eastAsia="Times New Roman"/>
                <w:b/>
                <w:bCs/>
                <w:color w:val="000000"/>
                <w:sz w:val="16"/>
                <w:szCs w:val="16"/>
              </w:rPr>
              <w:t>Сomments</w:t>
            </w:r>
            <w:proofErr w:type="spellEnd"/>
          </w:p>
        </w:tc>
        <w:tc>
          <w:tcPr>
            <w:tcW w:w="1439" w:type="dxa"/>
            <w:tcBorders>
              <w:top w:val="single" w:sz="4" w:space="0" w:color="auto"/>
              <w:left w:val="nil"/>
              <w:bottom w:val="single" w:sz="4" w:space="0" w:color="auto"/>
              <w:right w:val="single" w:sz="4" w:space="0" w:color="auto"/>
            </w:tcBorders>
            <w:shd w:val="clear" w:color="auto" w:fill="auto"/>
            <w:vAlign w:val="center"/>
            <w:hideMark/>
          </w:tcPr>
          <w:p w14:paraId="1C363DBB" w14:textId="77777777" w:rsidR="00862DB0" w:rsidRPr="003B6A69" w:rsidRDefault="00862DB0" w:rsidP="00862DB0">
            <w:pPr>
              <w:spacing w:after="0"/>
              <w:jc w:val="center"/>
              <w:rPr>
                <w:rFonts w:eastAsia="Times New Roman"/>
                <w:b/>
                <w:bCs/>
                <w:color w:val="000000"/>
                <w:sz w:val="16"/>
                <w:szCs w:val="16"/>
              </w:rPr>
            </w:pPr>
            <w:r w:rsidRPr="003B6A69">
              <w:rPr>
                <w:rFonts w:eastAsia="Times New Roman"/>
                <w:b/>
                <w:bCs/>
                <w:color w:val="000000"/>
                <w:sz w:val="16"/>
                <w:szCs w:val="16"/>
              </w:rPr>
              <w:t>Planned Co-financing Activities/Outputs</w:t>
            </w:r>
          </w:p>
        </w:tc>
        <w:tc>
          <w:tcPr>
            <w:tcW w:w="1797" w:type="dxa"/>
            <w:tcBorders>
              <w:top w:val="single" w:sz="4" w:space="0" w:color="auto"/>
              <w:left w:val="nil"/>
              <w:bottom w:val="single" w:sz="4" w:space="0" w:color="auto"/>
              <w:right w:val="single" w:sz="4" w:space="0" w:color="auto"/>
            </w:tcBorders>
            <w:shd w:val="clear" w:color="auto" w:fill="auto"/>
            <w:vAlign w:val="center"/>
            <w:hideMark/>
          </w:tcPr>
          <w:p w14:paraId="67EAF151" w14:textId="77777777" w:rsidR="00862DB0" w:rsidRPr="003B6A69" w:rsidRDefault="00862DB0" w:rsidP="00862DB0">
            <w:pPr>
              <w:spacing w:after="0"/>
              <w:jc w:val="center"/>
              <w:rPr>
                <w:rFonts w:eastAsia="Times New Roman"/>
                <w:b/>
                <w:bCs/>
                <w:color w:val="000000"/>
                <w:sz w:val="16"/>
                <w:szCs w:val="16"/>
              </w:rPr>
            </w:pPr>
            <w:r w:rsidRPr="003B6A69">
              <w:rPr>
                <w:rFonts w:eastAsia="Times New Roman"/>
                <w:b/>
                <w:bCs/>
                <w:color w:val="000000"/>
                <w:sz w:val="16"/>
                <w:szCs w:val="16"/>
              </w:rPr>
              <w:t>Risks</w:t>
            </w:r>
          </w:p>
        </w:tc>
        <w:tc>
          <w:tcPr>
            <w:tcW w:w="4421" w:type="dxa"/>
            <w:tcBorders>
              <w:top w:val="single" w:sz="4" w:space="0" w:color="auto"/>
              <w:left w:val="nil"/>
              <w:bottom w:val="single" w:sz="4" w:space="0" w:color="auto"/>
              <w:right w:val="single" w:sz="4" w:space="0" w:color="auto"/>
            </w:tcBorders>
            <w:shd w:val="clear" w:color="auto" w:fill="auto"/>
            <w:vAlign w:val="center"/>
            <w:hideMark/>
          </w:tcPr>
          <w:p w14:paraId="3B38AE15" w14:textId="77777777" w:rsidR="00862DB0" w:rsidRPr="003B6A69" w:rsidRDefault="00862DB0" w:rsidP="00862DB0">
            <w:pPr>
              <w:spacing w:after="0"/>
              <w:jc w:val="center"/>
              <w:rPr>
                <w:rFonts w:eastAsia="Times New Roman"/>
                <w:b/>
                <w:bCs/>
                <w:color w:val="000000"/>
                <w:sz w:val="16"/>
                <w:szCs w:val="16"/>
              </w:rPr>
            </w:pPr>
            <w:r w:rsidRPr="003B6A69">
              <w:rPr>
                <w:rFonts w:eastAsia="Times New Roman"/>
                <w:b/>
                <w:bCs/>
                <w:color w:val="000000"/>
                <w:sz w:val="16"/>
                <w:szCs w:val="16"/>
              </w:rPr>
              <w:t>Risk Mitigation Measures</w:t>
            </w:r>
          </w:p>
        </w:tc>
      </w:tr>
      <w:tr w:rsidR="00862DB0" w:rsidRPr="003B6A69" w14:paraId="78D6CFD9" w14:textId="77777777" w:rsidTr="00B76926">
        <w:trPr>
          <w:trHeight w:val="600"/>
        </w:trPr>
        <w:tc>
          <w:tcPr>
            <w:tcW w:w="13889" w:type="dxa"/>
            <w:gridSpan w:val="7"/>
            <w:tcBorders>
              <w:top w:val="single" w:sz="4" w:space="0" w:color="auto"/>
              <w:left w:val="single" w:sz="4" w:space="0" w:color="auto"/>
              <w:bottom w:val="single" w:sz="4" w:space="0" w:color="auto"/>
              <w:right w:val="nil"/>
            </w:tcBorders>
            <w:shd w:val="clear" w:color="auto" w:fill="auto"/>
            <w:vAlign w:val="center"/>
            <w:hideMark/>
          </w:tcPr>
          <w:p w14:paraId="77830800" w14:textId="77777777" w:rsidR="00862DB0" w:rsidRPr="003B6A69" w:rsidRDefault="00862DB0" w:rsidP="00862DB0">
            <w:pPr>
              <w:spacing w:after="0"/>
              <w:jc w:val="left"/>
              <w:rPr>
                <w:rFonts w:eastAsia="Times New Roman"/>
                <w:b/>
                <w:bCs/>
                <w:color w:val="000000"/>
                <w:sz w:val="16"/>
                <w:szCs w:val="16"/>
              </w:rPr>
            </w:pPr>
            <w:r w:rsidRPr="003B6A69">
              <w:rPr>
                <w:rFonts w:eastAsia="Times New Roman"/>
                <w:b/>
                <w:bCs/>
                <w:color w:val="000000"/>
                <w:sz w:val="16"/>
                <w:szCs w:val="16"/>
              </w:rPr>
              <w:t>Ministry of Ecology, Spatial Planning and Urbanism - MESPU (previously Ministry of Sustainable Development and Tourism)</w:t>
            </w:r>
          </w:p>
        </w:tc>
      </w:tr>
      <w:tr w:rsidR="00862DB0" w:rsidRPr="003B6A69" w14:paraId="6A770AFB" w14:textId="77777777" w:rsidTr="00B76926">
        <w:trPr>
          <w:trHeight w:val="1020"/>
        </w:trPr>
        <w:tc>
          <w:tcPr>
            <w:tcW w:w="1647" w:type="dxa"/>
            <w:tcBorders>
              <w:top w:val="nil"/>
              <w:left w:val="single" w:sz="4" w:space="0" w:color="auto"/>
              <w:bottom w:val="single" w:sz="4" w:space="0" w:color="auto"/>
              <w:right w:val="single" w:sz="4" w:space="0" w:color="auto"/>
            </w:tcBorders>
            <w:shd w:val="clear" w:color="auto" w:fill="auto"/>
            <w:hideMark/>
          </w:tcPr>
          <w:p w14:paraId="63F0AEBE"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 xml:space="preserve">Contribution to the establishment of the Natura 2000 Network for Montenegro </w:t>
            </w:r>
          </w:p>
        </w:tc>
        <w:tc>
          <w:tcPr>
            <w:tcW w:w="1068" w:type="dxa"/>
            <w:tcBorders>
              <w:top w:val="nil"/>
              <w:left w:val="nil"/>
              <w:bottom w:val="single" w:sz="4" w:space="0" w:color="auto"/>
              <w:right w:val="single" w:sz="4" w:space="0" w:color="auto"/>
            </w:tcBorders>
            <w:shd w:val="clear" w:color="auto" w:fill="auto"/>
            <w:noWrap/>
            <w:hideMark/>
          </w:tcPr>
          <w:p w14:paraId="236C930E" w14:textId="6105013C" w:rsidR="00862DB0" w:rsidRPr="00FB1AF4" w:rsidRDefault="00E479E4" w:rsidP="00862DB0">
            <w:pPr>
              <w:spacing w:after="0"/>
              <w:jc w:val="left"/>
              <w:rPr>
                <w:rFonts w:eastAsia="Times New Roman"/>
                <w:color w:val="000000"/>
                <w:sz w:val="16"/>
                <w:szCs w:val="16"/>
                <w:highlight w:val="green"/>
              </w:rPr>
            </w:pPr>
            <w:r w:rsidRPr="00FB1AF4">
              <w:rPr>
                <w:rFonts w:eastAsia="Times New Roman"/>
                <w:color w:val="000000"/>
                <w:sz w:val="16"/>
                <w:szCs w:val="16"/>
                <w:highlight w:val="green"/>
              </w:rPr>
              <w:t>Public Investment</w:t>
            </w:r>
          </w:p>
        </w:tc>
        <w:tc>
          <w:tcPr>
            <w:tcW w:w="1698" w:type="dxa"/>
            <w:tcBorders>
              <w:top w:val="nil"/>
              <w:left w:val="nil"/>
              <w:bottom w:val="single" w:sz="4" w:space="0" w:color="auto"/>
              <w:right w:val="single" w:sz="4" w:space="0" w:color="auto"/>
            </w:tcBorders>
            <w:shd w:val="clear" w:color="auto" w:fill="auto"/>
            <w:noWrap/>
            <w:hideMark/>
          </w:tcPr>
          <w:p w14:paraId="1752465F"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 xml:space="preserve">                          3,089,404 </w:t>
            </w:r>
          </w:p>
        </w:tc>
        <w:tc>
          <w:tcPr>
            <w:tcW w:w="1819" w:type="dxa"/>
            <w:tcBorders>
              <w:top w:val="nil"/>
              <w:left w:val="nil"/>
              <w:bottom w:val="single" w:sz="4" w:space="0" w:color="auto"/>
              <w:right w:val="single" w:sz="4" w:space="0" w:color="auto"/>
            </w:tcBorders>
            <w:shd w:val="clear" w:color="auto" w:fill="auto"/>
            <w:hideMark/>
          </w:tcPr>
          <w:p w14:paraId="4A626C86"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 </w:t>
            </w:r>
          </w:p>
        </w:tc>
        <w:tc>
          <w:tcPr>
            <w:tcW w:w="1439" w:type="dxa"/>
            <w:tcBorders>
              <w:top w:val="nil"/>
              <w:left w:val="nil"/>
              <w:bottom w:val="single" w:sz="4" w:space="0" w:color="auto"/>
              <w:right w:val="single" w:sz="4" w:space="0" w:color="auto"/>
            </w:tcBorders>
            <w:shd w:val="clear" w:color="auto" w:fill="auto"/>
            <w:hideMark/>
          </w:tcPr>
          <w:p w14:paraId="3CEA2B7E"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Output 2.1</w:t>
            </w:r>
          </w:p>
        </w:tc>
        <w:tc>
          <w:tcPr>
            <w:tcW w:w="1797" w:type="dxa"/>
            <w:tcBorders>
              <w:top w:val="nil"/>
              <w:left w:val="nil"/>
              <w:bottom w:val="single" w:sz="4" w:space="0" w:color="auto"/>
              <w:right w:val="single" w:sz="4" w:space="0" w:color="auto"/>
            </w:tcBorders>
            <w:shd w:val="clear" w:color="auto" w:fill="auto"/>
            <w:hideMark/>
          </w:tcPr>
          <w:p w14:paraId="7E93604E"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EU finance restrictions due to COVID 19 pandemic crisis</w:t>
            </w:r>
          </w:p>
        </w:tc>
        <w:tc>
          <w:tcPr>
            <w:tcW w:w="4421" w:type="dxa"/>
            <w:tcBorders>
              <w:top w:val="nil"/>
              <w:left w:val="nil"/>
              <w:bottom w:val="single" w:sz="4" w:space="0" w:color="auto"/>
              <w:right w:val="single" w:sz="4" w:space="0" w:color="auto"/>
            </w:tcBorders>
            <w:shd w:val="clear" w:color="auto" w:fill="auto"/>
            <w:hideMark/>
          </w:tcPr>
          <w:p w14:paraId="76E280E0"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 xml:space="preserve">The project team will be in regular contact with the Natura 2000 focal points in MESPU and the Natura 2000 project team (once in </w:t>
            </w:r>
            <w:proofErr w:type="gramStart"/>
            <w:r w:rsidRPr="003B6A69">
              <w:rPr>
                <w:rFonts w:eastAsia="Times New Roman"/>
                <w:color w:val="000000"/>
                <w:sz w:val="16"/>
                <w:szCs w:val="16"/>
              </w:rPr>
              <w:t>place)  in</w:t>
            </w:r>
            <w:proofErr w:type="gramEnd"/>
            <w:r w:rsidRPr="003B6A69">
              <w:rPr>
                <w:rFonts w:eastAsia="Times New Roman"/>
                <w:color w:val="000000"/>
                <w:sz w:val="16"/>
                <w:szCs w:val="16"/>
              </w:rPr>
              <w:t xml:space="preserve"> order to monitor the status of planned expenditures and committed co-financing</w:t>
            </w:r>
          </w:p>
        </w:tc>
      </w:tr>
      <w:tr w:rsidR="00862DB0" w:rsidRPr="003B6A69" w14:paraId="64C3BE66" w14:textId="77777777" w:rsidTr="00B76926">
        <w:trPr>
          <w:trHeight w:val="1392"/>
        </w:trPr>
        <w:tc>
          <w:tcPr>
            <w:tcW w:w="1647" w:type="dxa"/>
            <w:tcBorders>
              <w:top w:val="nil"/>
              <w:left w:val="single" w:sz="4" w:space="0" w:color="auto"/>
              <w:bottom w:val="single" w:sz="4" w:space="0" w:color="auto"/>
              <w:right w:val="single" w:sz="4" w:space="0" w:color="auto"/>
            </w:tcBorders>
            <w:shd w:val="clear" w:color="auto" w:fill="auto"/>
            <w:hideMark/>
          </w:tcPr>
          <w:p w14:paraId="73ED37E4" w14:textId="77777777" w:rsidR="00862DB0" w:rsidRPr="003B6A69" w:rsidRDefault="00862DB0" w:rsidP="00862DB0">
            <w:pPr>
              <w:spacing w:after="0"/>
              <w:jc w:val="left"/>
              <w:rPr>
                <w:rFonts w:eastAsia="Times New Roman"/>
                <w:sz w:val="16"/>
                <w:szCs w:val="16"/>
              </w:rPr>
            </w:pPr>
            <w:r w:rsidRPr="003B6A69">
              <w:rPr>
                <w:rFonts w:eastAsia="Times New Roman"/>
                <w:sz w:val="16"/>
                <w:szCs w:val="16"/>
              </w:rPr>
              <w:t>Management of the Ulcinj Salina Nature park from the Capital budget of Montenegro</w:t>
            </w:r>
          </w:p>
        </w:tc>
        <w:tc>
          <w:tcPr>
            <w:tcW w:w="1068" w:type="dxa"/>
            <w:tcBorders>
              <w:top w:val="nil"/>
              <w:left w:val="nil"/>
              <w:bottom w:val="single" w:sz="4" w:space="0" w:color="auto"/>
              <w:right w:val="single" w:sz="4" w:space="0" w:color="auto"/>
            </w:tcBorders>
            <w:shd w:val="clear" w:color="auto" w:fill="auto"/>
            <w:noWrap/>
            <w:hideMark/>
          </w:tcPr>
          <w:p w14:paraId="6E861791" w14:textId="7F94482A" w:rsidR="00862DB0" w:rsidRPr="00FB1AF4" w:rsidRDefault="00E479E4" w:rsidP="00862DB0">
            <w:pPr>
              <w:spacing w:after="0"/>
              <w:jc w:val="left"/>
              <w:rPr>
                <w:rFonts w:eastAsia="Times New Roman"/>
                <w:color w:val="000000"/>
                <w:sz w:val="16"/>
                <w:szCs w:val="16"/>
                <w:highlight w:val="green"/>
              </w:rPr>
            </w:pPr>
            <w:r w:rsidRPr="00FB1AF4">
              <w:rPr>
                <w:rFonts w:eastAsia="Times New Roman"/>
                <w:color w:val="000000"/>
                <w:sz w:val="16"/>
                <w:szCs w:val="16"/>
                <w:highlight w:val="green"/>
              </w:rPr>
              <w:t>Public Investment</w:t>
            </w:r>
          </w:p>
        </w:tc>
        <w:tc>
          <w:tcPr>
            <w:tcW w:w="1698" w:type="dxa"/>
            <w:tcBorders>
              <w:top w:val="nil"/>
              <w:left w:val="nil"/>
              <w:bottom w:val="single" w:sz="4" w:space="0" w:color="auto"/>
              <w:right w:val="single" w:sz="4" w:space="0" w:color="auto"/>
            </w:tcBorders>
            <w:shd w:val="clear" w:color="auto" w:fill="auto"/>
            <w:noWrap/>
            <w:hideMark/>
          </w:tcPr>
          <w:p w14:paraId="29430BB1"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 xml:space="preserve">                          1,194,743 </w:t>
            </w:r>
          </w:p>
        </w:tc>
        <w:tc>
          <w:tcPr>
            <w:tcW w:w="1819" w:type="dxa"/>
            <w:tcBorders>
              <w:top w:val="nil"/>
              <w:left w:val="nil"/>
              <w:bottom w:val="single" w:sz="4" w:space="0" w:color="auto"/>
              <w:right w:val="single" w:sz="4" w:space="0" w:color="auto"/>
            </w:tcBorders>
            <w:shd w:val="clear" w:color="auto" w:fill="auto"/>
            <w:hideMark/>
          </w:tcPr>
          <w:p w14:paraId="0C243C14" w14:textId="77777777" w:rsidR="00862DB0" w:rsidRPr="003B6A69" w:rsidRDefault="00862DB0" w:rsidP="00862DB0">
            <w:pPr>
              <w:spacing w:after="0"/>
              <w:jc w:val="left"/>
              <w:rPr>
                <w:rFonts w:eastAsia="Times New Roman"/>
                <w:sz w:val="16"/>
                <w:szCs w:val="16"/>
              </w:rPr>
            </w:pPr>
            <w:r w:rsidRPr="003B6A69">
              <w:rPr>
                <w:rFonts w:eastAsia="Times New Roman"/>
                <w:sz w:val="16"/>
                <w:szCs w:val="16"/>
              </w:rPr>
              <w:t>In cooperation with Public Enterprise National Parks (PENP) which is temporarily managing this area until 21 August 2021</w:t>
            </w:r>
          </w:p>
        </w:tc>
        <w:tc>
          <w:tcPr>
            <w:tcW w:w="1439" w:type="dxa"/>
            <w:tcBorders>
              <w:top w:val="nil"/>
              <w:left w:val="nil"/>
              <w:bottom w:val="single" w:sz="4" w:space="0" w:color="auto"/>
              <w:right w:val="single" w:sz="4" w:space="0" w:color="auto"/>
            </w:tcBorders>
            <w:shd w:val="clear" w:color="auto" w:fill="auto"/>
            <w:hideMark/>
          </w:tcPr>
          <w:p w14:paraId="65217646"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Output 1.1</w:t>
            </w:r>
          </w:p>
        </w:tc>
        <w:tc>
          <w:tcPr>
            <w:tcW w:w="1797" w:type="dxa"/>
            <w:tcBorders>
              <w:top w:val="nil"/>
              <w:left w:val="nil"/>
              <w:bottom w:val="single" w:sz="4" w:space="0" w:color="auto"/>
              <w:right w:val="single" w:sz="4" w:space="0" w:color="auto"/>
            </w:tcBorders>
            <w:shd w:val="clear" w:color="auto" w:fill="auto"/>
            <w:hideMark/>
          </w:tcPr>
          <w:p w14:paraId="4FC33F4F"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Changes in the budget following administrative reform and MSDT re-</w:t>
            </w:r>
            <w:proofErr w:type="spellStart"/>
            <w:r w:rsidRPr="003B6A69">
              <w:rPr>
                <w:rFonts w:eastAsia="Times New Roman"/>
                <w:color w:val="000000"/>
                <w:sz w:val="16"/>
                <w:szCs w:val="16"/>
              </w:rPr>
              <w:t>organisation</w:t>
            </w:r>
            <w:proofErr w:type="spellEnd"/>
          </w:p>
        </w:tc>
        <w:tc>
          <w:tcPr>
            <w:tcW w:w="4421" w:type="dxa"/>
            <w:tcBorders>
              <w:top w:val="nil"/>
              <w:left w:val="nil"/>
              <w:bottom w:val="single" w:sz="4" w:space="0" w:color="auto"/>
              <w:right w:val="single" w:sz="4" w:space="0" w:color="auto"/>
            </w:tcBorders>
            <w:shd w:val="clear" w:color="auto" w:fill="auto"/>
            <w:hideMark/>
          </w:tcPr>
          <w:p w14:paraId="10609869" w14:textId="271C3693" w:rsidR="00862DB0" w:rsidRPr="003B6A69" w:rsidRDefault="00862DB0" w:rsidP="00AE6C8E">
            <w:pPr>
              <w:spacing w:after="0"/>
              <w:jc w:val="left"/>
              <w:rPr>
                <w:rFonts w:eastAsia="Times New Roman"/>
                <w:color w:val="000000"/>
                <w:sz w:val="16"/>
                <w:szCs w:val="16"/>
              </w:rPr>
            </w:pPr>
            <w:r w:rsidRPr="003B6A69">
              <w:rPr>
                <w:rFonts w:eastAsia="Times New Roman"/>
                <w:color w:val="000000"/>
                <w:sz w:val="16"/>
                <w:szCs w:val="16"/>
              </w:rPr>
              <w:t>UNDP CO will re-confirm that the budget for 2021 is secured with the new Mini</w:t>
            </w:r>
            <w:r w:rsidR="00AE6C8E" w:rsidRPr="003B6A69">
              <w:rPr>
                <w:rFonts w:eastAsia="Times New Roman"/>
                <w:color w:val="000000"/>
                <w:sz w:val="16"/>
                <w:szCs w:val="16"/>
              </w:rPr>
              <w:t xml:space="preserve">stry </w:t>
            </w:r>
            <w:proofErr w:type="gramStart"/>
            <w:r w:rsidR="00AE6C8E" w:rsidRPr="003B6A69">
              <w:rPr>
                <w:rFonts w:eastAsia="Times New Roman"/>
                <w:color w:val="000000"/>
                <w:sz w:val="16"/>
                <w:szCs w:val="16"/>
              </w:rPr>
              <w:t xml:space="preserve">of </w:t>
            </w:r>
            <w:r w:rsidRPr="003B6A69">
              <w:rPr>
                <w:rFonts w:eastAsia="Times New Roman"/>
                <w:color w:val="000000"/>
                <w:sz w:val="16"/>
                <w:szCs w:val="16"/>
              </w:rPr>
              <w:t xml:space="preserve"> Ecology</w:t>
            </w:r>
            <w:proofErr w:type="gramEnd"/>
            <w:r w:rsidRPr="003B6A69">
              <w:rPr>
                <w:rFonts w:eastAsia="Times New Roman"/>
                <w:color w:val="000000"/>
                <w:sz w:val="16"/>
                <w:szCs w:val="16"/>
              </w:rPr>
              <w:t>, Spatial Planning and Urbanism (MESPU) and get a confirmation of management arrangements for Ulcinj Salina in 2021 before the pro</w:t>
            </w:r>
            <w:r w:rsidR="00AE6C8E" w:rsidRPr="003B6A69">
              <w:rPr>
                <w:rFonts w:eastAsia="Times New Roman"/>
                <w:color w:val="000000"/>
                <w:sz w:val="16"/>
                <w:szCs w:val="16"/>
              </w:rPr>
              <w:t>je</w:t>
            </w:r>
            <w:r w:rsidRPr="003B6A69">
              <w:rPr>
                <w:rFonts w:eastAsia="Times New Roman"/>
                <w:color w:val="000000"/>
                <w:sz w:val="16"/>
                <w:szCs w:val="16"/>
              </w:rPr>
              <w:t xml:space="preserve">ct inception.  </w:t>
            </w:r>
          </w:p>
        </w:tc>
      </w:tr>
      <w:tr w:rsidR="00862DB0" w:rsidRPr="003B6A69" w14:paraId="581D39F6" w14:textId="77777777" w:rsidTr="00B76926">
        <w:trPr>
          <w:trHeight w:val="2220"/>
        </w:trPr>
        <w:tc>
          <w:tcPr>
            <w:tcW w:w="1647" w:type="dxa"/>
            <w:tcBorders>
              <w:top w:val="nil"/>
              <w:left w:val="single" w:sz="4" w:space="0" w:color="auto"/>
              <w:bottom w:val="single" w:sz="4" w:space="0" w:color="auto"/>
              <w:right w:val="single" w:sz="4" w:space="0" w:color="auto"/>
            </w:tcBorders>
            <w:shd w:val="clear" w:color="auto" w:fill="auto"/>
            <w:hideMark/>
          </w:tcPr>
          <w:p w14:paraId="446C291E"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 xml:space="preserve">Annual calls for projects in support to tourism development </w:t>
            </w:r>
          </w:p>
        </w:tc>
        <w:tc>
          <w:tcPr>
            <w:tcW w:w="1068" w:type="dxa"/>
            <w:tcBorders>
              <w:top w:val="nil"/>
              <w:left w:val="nil"/>
              <w:bottom w:val="single" w:sz="4" w:space="0" w:color="auto"/>
              <w:right w:val="single" w:sz="4" w:space="0" w:color="auto"/>
            </w:tcBorders>
            <w:shd w:val="clear" w:color="auto" w:fill="auto"/>
            <w:noWrap/>
            <w:hideMark/>
          </w:tcPr>
          <w:p w14:paraId="04724A7B" w14:textId="14AAAF38" w:rsidR="00862DB0" w:rsidRPr="00FB1AF4" w:rsidRDefault="00E479E4" w:rsidP="00862DB0">
            <w:pPr>
              <w:spacing w:after="0"/>
              <w:jc w:val="left"/>
              <w:rPr>
                <w:rFonts w:eastAsia="Times New Roman"/>
                <w:color w:val="000000"/>
                <w:sz w:val="16"/>
                <w:szCs w:val="16"/>
                <w:highlight w:val="green"/>
              </w:rPr>
            </w:pPr>
            <w:r w:rsidRPr="00FB1AF4">
              <w:rPr>
                <w:rFonts w:eastAsia="Times New Roman"/>
                <w:color w:val="000000"/>
                <w:sz w:val="16"/>
                <w:szCs w:val="16"/>
                <w:highlight w:val="green"/>
              </w:rPr>
              <w:t>Public Investment</w:t>
            </w:r>
          </w:p>
        </w:tc>
        <w:tc>
          <w:tcPr>
            <w:tcW w:w="1698" w:type="dxa"/>
            <w:tcBorders>
              <w:top w:val="nil"/>
              <w:left w:val="nil"/>
              <w:bottom w:val="single" w:sz="4" w:space="0" w:color="auto"/>
              <w:right w:val="single" w:sz="4" w:space="0" w:color="auto"/>
            </w:tcBorders>
            <w:shd w:val="clear" w:color="auto" w:fill="auto"/>
            <w:noWrap/>
            <w:hideMark/>
          </w:tcPr>
          <w:p w14:paraId="2F9FF759" w14:textId="70CD3631"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 xml:space="preserve">                          3,285,54</w:t>
            </w:r>
            <w:r w:rsidR="004727B7" w:rsidRPr="003B6A69">
              <w:rPr>
                <w:rFonts w:eastAsia="Times New Roman"/>
                <w:color w:val="000000"/>
                <w:sz w:val="16"/>
                <w:szCs w:val="16"/>
              </w:rPr>
              <w:t>3</w:t>
            </w:r>
            <w:r w:rsidRPr="003B6A69">
              <w:rPr>
                <w:rFonts w:eastAsia="Times New Roman"/>
                <w:color w:val="000000"/>
                <w:sz w:val="16"/>
                <w:szCs w:val="16"/>
              </w:rPr>
              <w:t xml:space="preserve"> </w:t>
            </w:r>
          </w:p>
        </w:tc>
        <w:tc>
          <w:tcPr>
            <w:tcW w:w="1819" w:type="dxa"/>
            <w:tcBorders>
              <w:top w:val="nil"/>
              <w:left w:val="nil"/>
              <w:bottom w:val="single" w:sz="4" w:space="0" w:color="auto"/>
              <w:right w:val="single" w:sz="4" w:space="0" w:color="auto"/>
            </w:tcBorders>
            <w:shd w:val="clear" w:color="auto" w:fill="auto"/>
            <w:hideMark/>
          </w:tcPr>
          <w:p w14:paraId="26E0E0AF"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 </w:t>
            </w:r>
          </w:p>
        </w:tc>
        <w:tc>
          <w:tcPr>
            <w:tcW w:w="1439" w:type="dxa"/>
            <w:tcBorders>
              <w:top w:val="nil"/>
              <w:left w:val="nil"/>
              <w:bottom w:val="single" w:sz="4" w:space="0" w:color="auto"/>
              <w:right w:val="single" w:sz="4" w:space="0" w:color="auto"/>
            </w:tcBorders>
            <w:shd w:val="clear" w:color="auto" w:fill="auto"/>
            <w:hideMark/>
          </w:tcPr>
          <w:p w14:paraId="1C185AC4"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Output 3.2</w:t>
            </w:r>
          </w:p>
        </w:tc>
        <w:tc>
          <w:tcPr>
            <w:tcW w:w="1797" w:type="dxa"/>
            <w:tcBorders>
              <w:top w:val="nil"/>
              <w:left w:val="nil"/>
              <w:bottom w:val="single" w:sz="4" w:space="0" w:color="auto"/>
              <w:right w:val="single" w:sz="4" w:space="0" w:color="auto"/>
            </w:tcBorders>
            <w:shd w:val="clear" w:color="auto" w:fill="auto"/>
            <w:hideMark/>
          </w:tcPr>
          <w:p w14:paraId="6D5EC5BA"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Changes in the budget following administrative reform and MSDT re-</w:t>
            </w:r>
            <w:proofErr w:type="spellStart"/>
            <w:r w:rsidRPr="003B6A69">
              <w:rPr>
                <w:rFonts w:eastAsia="Times New Roman"/>
                <w:color w:val="000000"/>
                <w:sz w:val="16"/>
                <w:szCs w:val="16"/>
              </w:rPr>
              <w:t>organisation</w:t>
            </w:r>
            <w:proofErr w:type="spellEnd"/>
            <w:r w:rsidRPr="003B6A69">
              <w:rPr>
                <w:rFonts w:eastAsia="Times New Roman"/>
                <w:color w:val="000000"/>
                <w:sz w:val="16"/>
                <w:szCs w:val="16"/>
              </w:rPr>
              <w:t>. As of January 2021, the tourism development sector is under the newly established Ministry of Economic Development</w:t>
            </w:r>
          </w:p>
        </w:tc>
        <w:tc>
          <w:tcPr>
            <w:tcW w:w="4421" w:type="dxa"/>
            <w:tcBorders>
              <w:top w:val="nil"/>
              <w:left w:val="nil"/>
              <w:bottom w:val="single" w:sz="4" w:space="0" w:color="auto"/>
              <w:right w:val="single" w:sz="4" w:space="0" w:color="auto"/>
            </w:tcBorders>
            <w:shd w:val="clear" w:color="auto" w:fill="auto"/>
            <w:hideMark/>
          </w:tcPr>
          <w:p w14:paraId="67D45712"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 xml:space="preserve">The budget is secured with the MED. UNDP CO and </w:t>
            </w:r>
            <w:proofErr w:type="gramStart"/>
            <w:r w:rsidRPr="003B6A69">
              <w:rPr>
                <w:rFonts w:eastAsia="Times New Roman"/>
                <w:color w:val="000000"/>
                <w:sz w:val="16"/>
                <w:szCs w:val="16"/>
              </w:rPr>
              <w:t>MESPU  will</w:t>
            </w:r>
            <w:proofErr w:type="gramEnd"/>
            <w:r w:rsidRPr="003B6A69">
              <w:rPr>
                <w:rFonts w:eastAsia="Times New Roman"/>
                <w:color w:val="000000"/>
                <w:sz w:val="16"/>
                <w:szCs w:val="16"/>
              </w:rPr>
              <w:t xml:space="preserve"> conduct additional consultations with the MED regarding the institutional mechanisms for implementing an incentive scheme for  tourism business that are willing to introduce biodiversity-sensitive business models, and synergies with the granting schemes for the tourism businesses available within MED, MESPU and the relevant national finance institutions (IDF and </w:t>
            </w:r>
            <w:proofErr w:type="spellStart"/>
            <w:r w:rsidRPr="003B6A69">
              <w:rPr>
                <w:rFonts w:eastAsia="Times New Roman"/>
                <w:color w:val="000000"/>
                <w:sz w:val="16"/>
                <w:szCs w:val="16"/>
              </w:rPr>
              <w:t>EcoFund</w:t>
            </w:r>
            <w:proofErr w:type="spellEnd"/>
            <w:r w:rsidRPr="003B6A69">
              <w:rPr>
                <w:rFonts w:eastAsia="Times New Roman"/>
                <w:color w:val="000000"/>
                <w:sz w:val="16"/>
                <w:szCs w:val="16"/>
              </w:rPr>
              <w:t>)</w:t>
            </w:r>
          </w:p>
        </w:tc>
      </w:tr>
      <w:tr w:rsidR="00862DB0" w:rsidRPr="003B6A69" w14:paraId="31FEAB3D" w14:textId="77777777" w:rsidTr="00B76926">
        <w:trPr>
          <w:trHeight w:val="1884"/>
        </w:trPr>
        <w:tc>
          <w:tcPr>
            <w:tcW w:w="1647" w:type="dxa"/>
            <w:tcBorders>
              <w:top w:val="nil"/>
              <w:left w:val="single" w:sz="4" w:space="0" w:color="auto"/>
              <w:bottom w:val="single" w:sz="4" w:space="0" w:color="auto"/>
              <w:right w:val="single" w:sz="4" w:space="0" w:color="auto"/>
            </w:tcBorders>
            <w:shd w:val="clear" w:color="auto" w:fill="auto"/>
            <w:hideMark/>
          </w:tcPr>
          <w:p w14:paraId="744565D6"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 xml:space="preserve">“DUE MARI – next generation tourism development” (INTERREG IPA CBC Italy-Albania-Montenegro) regional project </w:t>
            </w:r>
          </w:p>
        </w:tc>
        <w:tc>
          <w:tcPr>
            <w:tcW w:w="1068" w:type="dxa"/>
            <w:tcBorders>
              <w:top w:val="nil"/>
              <w:left w:val="nil"/>
              <w:bottom w:val="single" w:sz="4" w:space="0" w:color="auto"/>
              <w:right w:val="single" w:sz="4" w:space="0" w:color="auto"/>
            </w:tcBorders>
            <w:shd w:val="clear" w:color="auto" w:fill="auto"/>
            <w:noWrap/>
            <w:hideMark/>
          </w:tcPr>
          <w:p w14:paraId="2560A9EC"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Grant</w:t>
            </w:r>
          </w:p>
        </w:tc>
        <w:tc>
          <w:tcPr>
            <w:tcW w:w="1698" w:type="dxa"/>
            <w:tcBorders>
              <w:top w:val="nil"/>
              <w:left w:val="nil"/>
              <w:bottom w:val="single" w:sz="4" w:space="0" w:color="auto"/>
              <w:right w:val="single" w:sz="4" w:space="0" w:color="auto"/>
            </w:tcBorders>
            <w:shd w:val="clear" w:color="auto" w:fill="auto"/>
            <w:noWrap/>
            <w:hideMark/>
          </w:tcPr>
          <w:p w14:paraId="08637ADC"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 xml:space="preserve">                             298,686 </w:t>
            </w:r>
          </w:p>
        </w:tc>
        <w:tc>
          <w:tcPr>
            <w:tcW w:w="1819" w:type="dxa"/>
            <w:tcBorders>
              <w:top w:val="nil"/>
              <w:left w:val="nil"/>
              <w:bottom w:val="single" w:sz="4" w:space="0" w:color="auto"/>
              <w:right w:val="single" w:sz="4" w:space="0" w:color="auto"/>
            </w:tcBorders>
            <w:shd w:val="clear" w:color="auto" w:fill="auto"/>
            <w:hideMark/>
          </w:tcPr>
          <w:p w14:paraId="6B6CFF45"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 xml:space="preserve">A parallel project focused on promotion of sustainable tourism development for lesser-known destinations, local </w:t>
            </w:r>
            <w:proofErr w:type="gramStart"/>
            <w:r w:rsidRPr="003B6A69">
              <w:rPr>
                <w:rFonts w:eastAsia="Times New Roman"/>
                <w:color w:val="000000"/>
                <w:sz w:val="16"/>
                <w:szCs w:val="16"/>
              </w:rPr>
              <w:t>products</w:t>
            </w:r>
            <w:proofErr w:type="gramEnd"/>
            <w:r w:rsidRPr="003B6A69">
              <w:rPr>
                <w:rFonts w:eastAsia="Times New Roman"/>
                <w:color w:val="000000"/>
                <w:sz w:val="16"/>
                <w:szCs w:val="16"/>
              </w:rPr>
              <w:t xml:space="preserve"> and innovative services for new tourist routes</w:t>
            </w:r>
          </w:p>
        </w:tc>
        <w:tc>
          <w:tcPr>
            <w:tcW w:w="1439" w:type="dxa"/>
            <w:tcBorders>
              <w:top w:val="nil"/>
              <w:left w:val="nil"/>
              <w:bottom w:val="single" w:sz="4" w:space="0" w:color="auto"/>
              <w:right w:val="single" w:sz="4" w:space="0" w:color="auto"/>
            </w:tcBorders>
            <w:shd w:val="clear" w:color="auto" w:fill="auto"/>
            <w:hideMark/>
          </w:tcPr>
          <w:p w14:paraId="4F89E07E"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Outcome 3</w:t>
            </w:r>
          </w:p>
        </w:tc>
        <w:tc>
          <w:tcPr>
            <w:tcW w:w="1797" w:type="dxa"/>
            <w:tcBorders>
              <w:top w:val="nil"/>
              <w:left w:val="nil"/>
              <w:bottom w:val="single" w:sz="4" w:space="0" w:color="auto"/>
              <w:right w:val="single" w:sz="4" w:space="0" w:color="auto"/>
            </w:tcBorders>
            <w:shd w:val="clear" w:color="auto" w:fill="auto"/>
            <w:hideMark/>
          </w:tcPr>
          <w:p w14:paraId="7776274C"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 </w:t>
            </w:r>
          </w:p>
        </w:tc>
        <w:tc>
          <w:tcPr>
            <w:tcW w:w="4421" w:type="dxa"/>
            <w:tcBorders>
              <w:top w:val="nil"/>
              <w:left w:val="nil"/>
              <w:bottom w:val="single" w:sz="4" w:space="0" w:color="auto"/>
              <w:right w:val="single" w:sz="4" w:space="0" w:color="auto"/>
            </w:tcBorders>
            <w:shd w:val="clear" w:color="auto" w:fill="auto"/>
            <w:hideMark/>
          </w:tcPr>
          <w:p w14:paraId="0ACE9389"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 xml:space="preserve">The project team will be in regular contact with the parallel project </w:t>
            </w:r>
            <w:proofErr w:type="gramStart"/>
            <w:r w:rsidRPr="003B6A69">
              <w:rPr>
                <w:rFonts w:eastAsia="Times New Roman"/>
                <w:color w:val="000000"/>
                <w:sz w:val="16"/>
                <w:szCs w:val="16"/>
              </w:rPr>
              <w:t>team  in</w:t>
            </w:r>
            <w:proofErr w:type="gramEnd"/>
            <w:r w:rsidRPr="003B6A69">
              <w:rPr>
                <w:rFonts w:eastAsia="Times New Roman"/>
                <w:color w:val="000000"/>
                <w:sz w:val="16"/>
                <w:szCs w:val="16"/>
              </w:rPr>
              <w:t xml:space="preserve"> order to monitor the status of planned expenditures and committed co-financing</w:t>
            </w:r>
          </w:p>
        </w:tc>
      </w:tr>
      <w:tr w:rsidR="00862DB0" w:rsidRPr="003B6A69" w14:paraId="2FD2FDFD" w14:textId="77777777" w:rsidTr="00B76926">
        <w:trPr>
          <w:trHeight w:val="1788"/>
        </w:trPr>
        <w:tc>
          <w:tcPr>
            <w:tcW w:w="1647" w:type="dxa"/>
            <w:tcBorders>
              <w:top w:val="nil"/>
              <w:left w:val="single" w:sz="4" w:space="0" w:color="auto"/>
              <w:bottom w:val="single" w:sz="4" w:space="0" w:color="auto"/>
              <w:right w:val="single" w:sz="4" w:space="0" w:color="auto"/>
            </w:tcBorders>
            <w:shd w:val="clear" w:color="auto" w:fill="auto"/>
            <w:hideMark/>
          </w:tcPr>
          <w:p w14:paraId="11FC0D0B"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lastRenderedPageBreak/>
              <w:t>SMARTMED regional project</w:t>
            </w:r>
          </w:p>
        </w:tc>
        <w:tc>
          <w:tcPr>
            <w:tcW w:w="1068" w:type="dxa"/>
            <w:tcBorders>
              <w:top w:val="nil"/>
              <w:left w:val="nil"/>
              <w:bottom w:val="single" w:sz="4" w:space="0" w:color="auto"/>
              <w:right w:val="single" w:sz="4" w:space="0" w:color="auto"/>
            </w:tcBorders>
            <w:shd w:val="clear" w:color="auto" w:fill="auto"/>
            <w:noWrap/>
            <w:hideMark/>
          </w:tcPr>
          <w:p w14:paraId="0D8D1639"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Grant</w:t>
            </w:r>
          </w:p>
        </w:tc>
        <w:tc>
          <w:tcPr>
            <w:tcW w:w="1698" w:type="dxa"/>
            <w:tcBorders>
              <w:top w:val="nil"/>
              <w:left w:val="nil"/>
              <w:bottom w:val="single" w:sz="4" w:space="0" w:color="auto"/>
              <w:right w:val="single" w:sz="4" w:space="0" w:color="auto"/>
            </w:tcBorders>
            <w:shd w:val="clear" w:color="auto" w:fill="auto"/>
            <w:noWrap/>
            <w:hideMark/>
          </w:tcPr>
          <w:p w14:paraId="789A3729"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 xml:space="preserve">                                25,090 </w:t>
            </w:r>
          </w:p>
        </w:tc>
        <w:tc>
          <w:tcPr>
            <w:tcW w:w="1819" w:type="dxa"/>
            <w:tcBorders>
              <w:top w:val="nil"/>
              <w:left w:val="nil"/>
              <w:bottom w:val="single" w:sz="4" w:space="0" w:color="auto"/>
              <w:right w:val="single" w:sz="4" w:space="0" w:color="auto"/>
            </w:tcBorders>
            <w:shd w:val="clear" w:color="auto" w:fill="auto"/>
            <w:hideMark/>
          </w:tcPr>
          <w:p w14:paraId="4F431169"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 xml:space="preserve">As part of Interred Mediterranean </w:t>
            </w:r>
            <w:proofErr w:type="spellStart"/>
            <w:r w:rsidRPr="003B6A69">
              <w:rPr>
                <w:rFonts w:eastAsia="Times New Roman"/>
                <w:color w:val="000000"/>
                <w:sz w:val="16"/>
                <w:szCs w:val="16"/>
              </w:rPr>
              <w:t>Programme</w:t>
            </w:r>
            <w:proofErr w:type="spellEnd"/>
            <w:r w:rsidRPr="003B6A69">
              <w:rPr>
                <w:rFonts w:eastAsia="Times New Roman"/>
                <w:color w:val="000000"/>
                <w:sz w:val="16"/>
                <w:szCs w:val="16"/>
              </w:rPr>
              <w:t xml:space="preserve">, which is focused on of smart, </w:t>
            </w:r>
            <w:proofErr w:type="gramStart"/>
            <w:r w:rsidRPr="003B6A69">
              <w:rPr>
                <w:rFonts w:eastAsia="Times New Roman"/>
                <w:color w:val="000000"/>
                <w:sz w:val="16"/>
                <w:szCs w:val="16"/>
              </w:rPr>
              <w:t>inclusive</w:t>
            </w:r>
            <w:proofErr w:type="gramEnd"/>
            <w:r w:rsidRPr="003B6A69">
              <w:rPr>
                <w:rFonts w:eastAsia="Times New Roman"/>
                <w:color w:val="000000"/>
                <w:sz w:val="16"/>
                <w:szCs w:val="16"/>
              </w:rPr>
              <w:t xml:space="preserve"> and sustainable tourism development in the Mediterranean region</w:t>
            </w:r>
          </w:p>
        </w:tc>
        <w:tc>
          <w:tcPr>
            <w:tcW w:w="1439" w:type="dxa"/>
            <w:tcBorders>
              <w:top w:val="nil"/>
              <w:left w:val="nil"/>
              <w:bottom w:val="single" w:sz="4" w:space="0" w:color="auto"/>
              <w:right w:val="single" w:sz="4" w:space="0" w:color="auto"/>
            </w:tcBorders>
            <w:shd w:val="clear" w:color="auto" w:fill="auto"/>
            <w:hideMark/>
          </w:tcPr>
          <w:p w14:paraId="5AFFCA2D"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Outcome 3</w:t>
            </w:r>
          </w:p>
        </w:tc>
        <w:tc>
          <w:tcPr>
            <w:tcW w:w="1797" w:type="dxa"/>
            <w:tcBorders>
              <w:top w:val="nil"/>
              <w:left w:val="nil"/>
              <w:bottom w:val="single" w:sz="4" w:space="0" w:color="auto"/>
              <w:right w:val="single" w:sz="4" w:space="0" w:color="auto"/>
            </w:tcBorders>
            <w:shd w:val="clear" w:color="auto" w:fill="auto"/>
            <w:hideMark/>
          </w:tcPr>
          <w:p w14:paraId="21FC02CE"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 </w:t>
            </w:r>
          </w:p>
        </w:tc>
        <w:tc>
          <w:tcPr>
            <w:tcW w:w="4421" w:type="dxa"/>
            <w:tcBorders>
              <w:top w:val="nil"/>
              <w:left w:val="nil"/>
              <w:bottom w:val="single" w:sz="4" w:space="0" w:color="auto"/>
              <w:right w:val="single" w:sz="4" w:space="0" w:color="auto"/>
            </w:tcBorders>
            <w:shd w:val="clear" w:color="auto" w:fill="auto"/>
            <w:hideMark/>
          </w:tcPr>
          <w:p w14:paraId="5C04663C"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 xml:space="preserve">The project team will be in regular contact with the parallel project </w:t>
            </w:r>
            <w:proofErr w:type="gramStart"/>
            <w:r w:rsidRPr="003B6A69">
              <w:rPr>
                <w:rFonts w:eastAsia="Times New Roman"/>
                <w:color w:val="000000"/>
                <w:sz w:val="16"/>
                <w:szCs w:val="16"/>
              </w:rPr>
              <w:t>team  in</w:t>
            </w:r>
            <w:proofErr w:type="gramEnd"/>
            <w:r w:rsidRPr="003B6A69">
              <w:rPr>
                <w:rFonts w:eastAsia="Times New Roman"/>
                <w:color w:val="000000"/>
                <w:sz w:val="16"/>
                <w:szCs w:val="16"/>
              </w:rPr>
              <w:t xml:space="preserve"> order to monitor the status of planned expenditures and committed co-financing</w:t>
            </w:r>
          </w:p>
        </w:tc>
      </w:tr>
      <w:tr w:rsidR="00862DB0" w:rsidRPr="003B6A69" w14:paraId="7409743A" w14:textId="77777777" w:rsidTr="00E479E4">
        <w:trPr>
          <w:trHeight w:val="1808"/>
        </w:trPr>
        <w:tc>
          <w:tcPr>
            <w:tcW w:w="1647" w:type="dxa"/>
            <w:tcBorders>
              <w:top w:val="nil"/>
              <w:left w:val="single" w:sz="4" w:space="0" w:color="auto"/>
              <w:bottom w:val="single" w:sz="4" w:space="0" w:color="auto"/>
              <w:right w:val="single" w:sz="4" w:space="0" w:color="auto"/>
            </w:tcBorders>
            <w:shd w:val="clear" w:color="auto" w:fill="auto"/>
            <w:hideMark/>
          </w:tcPr>
          <w:p w14:paraId="4C66A5DB"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Preparation and development of the Spatial plan of Montenegro and the General Regulation plan of Montenegro</w:t>
            </w:r>
          </w:p>
        </w:tc>
        <w:tc>
          <w:tcPr>
            <w:tcW w:w="1068" w:type="dxa"/>
            <w:tcBorders>
              <w:top w:val="nil"/>
              <w:left w:val="nil"/>
              <w:bottom w:val="single" w:sz="4" w:space="0" w:color="auto"/>
              <w:right w:val="single" w:sz="4" w:space="0" w:color="auto"/>
            </w:tcBorders>
            <w:shd w:val="clear" w:color="auto" w:fill="auto"/>
            <w:noWrap/>
            <w:hideMark/>
          </w:tcPr>
          <w:p w14:paraId="18F59F53" w14:textId="36B76B5E" w:rsidR="00862DB0" w:rsidRPr="00FB1AF4" w:rsidRDefault="00E479E4" w:rsidP="00862DB0">
            <w:pPr>
              <w:spacing w:after="0"/>
              <w:jc w:val="left"/>
              <w:rPr>
                <w:rFonts w:eastAsia="Times New Roman"/>
                <w:color w:val="000000"/>
                <w:sz w:val="16"/>
                <w:szCs w:val="16"/>
                <w:highlight w:val="green"/>
              </w:rPr>
            </w:pPr>
            <w:r w:rsidRPr="00FB1AF4">
              <w:rPr>
                <w:rFonts w:eastAsia="Times New Roman"/>
                <w:color w:val="000000"/>
                <w:sz w:val="16"/>
                <w:szCs w:val="16"/>
                <w:highlight w:val="green"/>
              </w:rPr>
              <w:t>Public Investment</w:t>
            </w:r>
          </w:p>
        </w:tc>
        <w:tc>
          <w:tcPr>
            <w:tcW w:w="1698" w:type="dxa"/>
            <w:tcBorders>
              <w:top w:val="nil"/>
              <w:left w:val="nil"/>
              <w:bottom w:val="single" w:sz="4" w:space="0" w:color="auto"/>
              <w:right w:val="single" w:sz="4" w:space="0" w:color="auto"/>
            </w:tcBorders>
            <w:shd w:val="clear" w:color="auto" w:fill="auto"/>
            <w:noWrap/>
            <w:hideMark/>
          </w:tcPr>
          <w:p w14:paraId="21EDE1AF"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 xml:space="preserve">                          2,986,858 </w:t>
            </w:r>
          </w:p>
        </w:tc>
        <w:tc>
          <w:tcPr>
            <w:tcW w:w="1819" w:type="dxa"/>
            <w:tcBorders>
              <w:top w:val="nil"/>
              <w:left w:val="nil"/>
              <w:bottom w:val="single" w:sz="4" w:space="0" w:color="auto"/>
              <w:right w:val="single" w:sz="4" w:space="0" w:color="auto"/>
            </w:tcBorders>
            <w:shd w:val="clear" w:color="auto" w:fill="auto"/>
            <w:hideMark/>
          </w:tcPr>
          <w:p w14:paraId="3DF7C8B2"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 xml:space="preserve">Development of both regulatory framework documents re-phased to 2021 </w:t>
            </w:r>
          </w:p>
        </w:tc>
        <w:tc>
          <w:tcPr>
            <w:tcW w:w="1439" w:type="dxa"/>
            <w:tcBorders>
              <w:top w:val="nil"/>
              <w:left w:val="nil"/>
              <w:bottom w:val="single" w:sz="4" w:space="0" w:color="auto"/>
              <w:right w:val="single" w:sz="4" w:space="0" w:color="auto"/>
            </w:tcBorders>
            <w:shd w:val="clear" w:color="auto" w:fill="auto"/>
            <w:hideMark/>
          </w:tcPr>
          <w:p w14:paraId="65DB3180"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Output 2.2</w:t>
            </w:r>
          </w:p>
        </w:tc>
        <w:tc>
          <w:tcPr>
            <w:tcW w:w="1797" w:type="dxa"/>
            <w:tcBorders>
              <w:top w:val="nil"/>
              <w:left w:val="nil"/>
              <w:bottom w:val="single" w:sz="4" w:space="0" w:color="auto"/>
              <w:right w:val="single" w:sz="4" w:space="0" w:color="auto"/>
            </w:tcBorders>
            <w:shd w:val="clear" w:color="auto" w:fill="auto"/>
            <w:hideMark/>
          </w:tcPr>
          <w:p w14:paraId="2506D75D"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Development of both documents will be in the final phase before the GEF 7 FSP starts.</w:t>
            </w:r>
          </w:p>
        </w:tc>
        <w:tc>
          <w:tcPr>
            <w:tcW w:w="4421" w:type="dxa"/>
            <w:tcBorders>
              <w:top w:val="nil"/>
              <w:left w:val="nil"/>
              <w:bottom w:val="single" w:sz="4" w:space="0" w:color="auto"/>
              <w:right w:val="single" w:sz="4" w:space="0" w:color="auto"/>
            </w:tcBorders>
            <w:shd w:val="clear" w:color="auto" w:fill="auto"/>
            <w:hideMark/>
          </w:tcPr>
          <w:p w14:paraId="1280D8CA" w14:textId="5A82E9FE" w:rsidR="00862DB0" w:rsidRPr="003B6A69" w:rsidRDefault="00862DB0" w:rsidP="00AE6C8E">
            <w:pPr>
              <w:spacing w:after="0"/>
              <w:jc w:val="left"/>
              <w:rPr>
                <w:rFonts w:eastAsia="Times New Roman"/>
                <w:color w:val="000000"/>
                <w:sz w:val="16"/>
                <w:szCs w:val="16"/>
              </w:rPr>
            </w:pPr>
            <w:r w:rsidRPr="003B6A69">
              <w:rPr>
                <w:rFonts w:eastAsia="Times New Roman"/>
                <w:color w:val="000000"/>
                <w:sz w:val="16"/>
                <w:szCs w:val="16"/>
              </w:rPr>
              <w:t xml:space="preserve">There is a PPG funds reserve for an </w:t>
            </w:r>
            <w:r w:rsidRPr="003B6A69">
              <w:rPr>
                <w:rFonts w:eastAsia="Times New Roman"/>
                <w:i/>
                <w:iCs/>
                <w:color w:val="000000"/>
                <w:sz w:val="16"/>
                <w:szCs w:val="16"/>
              </w:rPr>
              <w:t xml:space="preserve">ad hoc </w:t>
            </w:r>
            <w:r w:rsidRPr="003B6A69">
              <w:rPr>
                <w:rFonts w:eastAsia="Times New Roman"/>
                <w:color w:val="000000"/>
                <w:sz w:val="16"/>
                <w:szCs w:val="16"/>
              </w:rPr>
              <w:t xml:space="preserve">consulting service that might be required to prepare input to </w:t>
            </w:r>
            <w:proofErr w:type="gramStart"/>
            <w:r w:rsidRPr="003B6A69">
              <w:rPr>
                <w:rFonts w:eastAsia="Times New Roman"/>
                <w:color w:val="000000"/>
                <w:sz w:val="16"/>
                <w:szCs w:val="16"/>
              </w:rPr>
              <w:t>the  Spatial</w:t>
            </w:r>
            <w:proofErr w:type="gramEnd"/>
            <w:r w:rsidRPr="003B6A69">
              <w:rPr>
                <w:rFonts w:eastAsia="Times New Roman"/>
                <w:color w:val="000000"/>
                <w:sz w:val="16"/>
                <w:szCs w:val="16"/>
              </w:rPr>
              <w:t xml:space="preserve"> plan of Montenegro and the General Regulation plan of Montenegro, as described in the FSP Project strategy. This decision is vested with </w:t>
            </w:r>
            <w:proofErr w:type="gramStart"/>
            <w:r w:rsidRPr="003B6A69">
              <w:rPr>
                <w:rFonts w:eastAsia="Times New Roman"/>
                <w:color w:val="000000"/>
                <w:sz w:val="16"/>
                <w:szCs w:val="16"/>
              </w:rPr>
              <w:t>the  UNDP</w:t>
            </w:r>
            <w:proofErr w:type="gramEnd"/>
            <w:r w:rsidRPr="003B6A69">
              <w:rPr>
                <w:rFonts w:eastAsia="Times New Roman"/>
                <w:color w:val="000000"/>
                <w:sz w:val="16"/>
                <w:szCs w:val="16"/>
              </w:rPr>
              <w:t xml:space="preserve"> CO that will be in consultation with the MESPU Spatial Planning Directorate on the timing and content for the possible GEF 7 project expert input for the draft regulat</w:t>
            </w:r>
            <w:r w:rsidR="00AE6C8E" w:rsidRPr="003B6A69">
              <w:rPr>
                <w:rFonts w:eastAsia="Times New Roman"/>
                <w:color w:val="000000"/>
                <w:sz w:val="16"/>
                <w:szCs w:val="16"/>
              </w:rPr>
              <w:t>o</w:t>
            </w:r>
            <w:r w:rsidRPr="003B6A69">
              <w:rPr>
                <w:rFonts w:eastAsia="Times New Roman"/>
                <w:color w:val="000000"/>
                <w:sz w:val="16"/>
                <w:szCs w:val="16"/>
              </w:rPr>
              <w:t xml:space="preserve">ry framework; preliminary agreements with the responsible officials within MESPU are in place. </w:t>
            </w:r>
          </w:p>
        </w:tc>
      </w:tr>
      <w:tr w:rsidR="00862DB0" w:rsidRPr="003B6A69" w14:paraId="031983D8" w14:textId="77777777" w:rsidTr="00B76926">
        <w:trPr>
          <w:trHeight w:val="408"/>
        </w:trPr>
        <w:tc>
          <w:tcPr>
            <w:tcW w:w="1647" w:type="dxa"/>
            <w:tcBorders>
              <w:top w:val="nil"/>
              <w:left w:val="single" w:sz="4" w:space="0" w:color="auto"/>
              <w:bottom w:val="single" w:sz="4" w:space="0" w:color="auto"/>
              <w:right w:val="single" w:sz="4" w:space="0" w:color="auto"/>
            </w:tcBorders>
            <w:shd w:val="clear" w:color="auto" w:fill="auto"/>
            <w:hideMark/>
          </w:tcPr>
          <w:p w14:paraId="29BCD3C7"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 xml:space="preserve">In kind contribution </w:t>
            </w:r>
          </w:p>
        </w:tc>
        <w:tc>
          <w:tcPr>
            <w:tcW w:w="1068" w:type="dxa"/>
            <w:tcBorders>
              <w:top w:val="nil"/>
              <w:left w:val="nil"/>
              <w:bottom w:val="single" w:sz="4" w:space="0" w:color="auto"/>
              <w:right w:val="single" w:sz="4" w:space="0" w:color="auto"/>
            </w:tcBorders>
            <w:shd w:val="clear" w:color="auto" w:fill="auto"/>
            <w:noWrap/>
            <w:hideMark/>
          </w:tcPr>
          <w:p w14:paraId="4C1532C3"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In-kind</w:t>
            </w:r>
          </w:p>
        </w:tc>
        <w:tc>
          <w:tcPr>
            <w:tcW w:w="1698" w:type="dxa"/>
            <w:tcBorders>
              <w:top w:val="nil"/>
              <w:left w:val="nil"/>
              <w:bottom w:val="single" w:sz="4" w:space="0" w:color="auto"/>
              <w:right w:val="single" w:sz="4" w:space="0" w:color="auto"/>
            </w:tcBorders>
            <w:shd w:val="clear" w:color="auto" w:fill="auto"/>
            <w:noWrap/>
            <w:hideMark/>
          </w:tcPr>
          <w:p w14:paraId="644948E4"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 xml:space="preserve">                                41,816 </w:t>
            </w:r>
          </w:p>
        </w:tc>
        <w:tc>
          <w:tcPr>
            <w:tcW w:w="1819" w:type="dxa"/>
            <w:tcBorders>
              <w:top w:val="nil"/>
              <w:left w:val="nil"/>
              <w:bottom w:val="single" w:sz="4" w:space="0" w:color="auto"/>
              <w:right w:val="single" w:sz="4" w:space="0" w:color="auto"/>
            </w:tcBorders>
            <w:shd w:val="clear" w:color="auto" w:fill="auto"/>
            <w:hideMark/>
          </w:tcPr>
          <w:p w14:paraId="6A7E3BCD"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Staff time, logistics and premises</w:t>
            </w:r>
          </w:p>
        </w:tc>
        <w:tc>
          <w:tcPr>
            <w:tcW w:w="1439" w:type="dxa"/>
            <w:tcBorders>
              <w:top w:val="nil"/>
              <w:left w:val="nil"/>
              <w:bottom w:val="single" w:sz="4" w:space="0" w:color="auto"/>
              <w:right w:val="single" w:sz="4" w:space="0" w:color="auto"/>
            </w:tcBorders>
            <w:shd w:val="clear" w:color="auto" w:fill="auto"/>
            <w:hideMark/>
          </w:tcPr>
          <w:p w14:paraId="07C913AC"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 </w:t>
            </w:r>
          </w:p>
        </w:tc>
        <w:tc>
          <w:tcPr>
            <w:tcW w:w="1797" w:type="dxa"/>
            <w:tcBorders>
              <w:top w:val="nil"/>
              <w:left w:val="nil"/>
              <w:bottom w:val="single" w:sz="4" w:space="0" w:color="auto"/>
              <w:right w:val="single" w:sz="4" w:space="0" w:color="auto"/>
            </w:tcBorders>
            <w:shd w:val="clear" w:color="auto" w:fill="auto"/>
            <w:noWrap/>
            <w:hideMark/>
          </w:tcPr>
          <w:p w14:paraId="48046C0D"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 </w:t>
            </w:r>
          </w:p>
        </w:tc>
        <w:tc>
          <w:tcPr>
            <w:tcW w:w="4421" w:type="dxa"/>
            <w:tcBorders>
              <w:top w:val="nil"/>
              <w:left w:val="nil"/>
              <w:bottom w:val="single" w:sz="4" w:space="0" w:color="auto"/>
              <w:right w:val="single" w:sz="4" w:space="0" w:color="auto"/>
            </w:tcBorders>
            <w:shd w:val="clear" w:color="auto" w:fill="auto"/>
            <w:noWrap/>
            <w:hideMark/>
          </w:tcPr>
          <w:p w14:paraId="6CB1FBE5"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 </w:t>
            </w:r>
          </w:p>
        </w:tc>
      </w:tr>
      <w:tr w:rsidR="00862DB0" w:rsidRPr="003B6A69" w14:paraId="7C6133BF" w14:textId="77777777" w:rsidTr="00B76926">
        <w:trPr>
          <w:trHeight w:val="936"/>
        </w:trPr>
        <w:tc>
          <w:tcPr>
            <w:tcW w:w="2715"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04E3AE7E" w14:textId="77777777" w:rsidR="00862DB0" w:rsidRPr="003B6A69" w:rsidRDefault="00862DB0" w:rsidP="00862DB0">
            <w:pPr>
              <w:spacing w:after="0"/>
              <w:jc w:val="center"/>
              <w:rPr>
                <w:rFonts w:eastAsia="Times New Roman"/>
                <w:b/>
                <w:bCs/>
                <w:color w:val="000000"/>
                <w:sz w:val="16"/>
                <w:szCs w:val="16"/>
              </w:rPr>
            </w:pPr>
            <w:r w:rsidRPr="003B6A69">
              <w:rPr>
                <w:rFonts w:eastAsia="Times New Roman"/>
                <w:b/>
                <w:bCs/>
                <w:color w:val="000000"/>
                <w:sz w:val="16"/>
                <w:szCs w:val="16"/>
              </w:rPr>
              <w:t>Subtotal for the Ministry of Ecology, Spatial Planning and Urbanism - MESPU</w:t>
            </w:r>
          </w:p>
        </w:tc>
        <w:tc>
          <w:tcPr>
            <w:tcW w:w="1698" w:type="dxa"/>
            <w:tcBorders>
              <w:top w:val="nil"/>
              <w:left w:val="nil"/>
              <w:bottom w:val="single" w:sz="4" w:space="0" w:color="auto"/>
              <w:right w:val="single" w:sz="4" w:space="0" w:color="auto"/>
            </w:tcBorders>
            <w:shd w:val="clear" w:color="auto" w:fill="auto"/>
            <w:noWrap/>
            <w:hideMark/>
          </w:tcPr>
          <w:p w14:paraId="2DA9D405" w14:textId="77777777" w:rsidR="00862DB0" w:rsidRPr="003B6A69" w:rsidRDefault="00862DB0" w:rsidP="00862DB0">
            <w:pPr>
              <w:spacing w:after="0"/>
              <w:jc w:val="left"/>
              <w:rPr>
                <w:rFonts w:eastAsia="Times New Roman"/>
                <w:b/>
                <w:bCs/>
                <w:color w:val="000000"/>
                <w:sz w:val="16"/>
                <w:szCs w:val="16"/>
              </w:rPr>
            </w:pPr>
            <w:r w:rsidRPr="003B6A69">
              <w:rPr>
                <w:rFonts w:eastAsia="Times New Roman"/>
                <w:b/>
                <w:bCs/>
                <w:color w:val="000000"/>
                <w:sz w:val="16"/>
                <w:szCs w:val="16"/>
              </w:rPr>
              <w:t xml:space="preserve">                        10,922,140 </w:t>
            </w:r>
          </w:p>
        </w:tc>
        <w:tc>
          <w:tcPr>
            <w:tcW w:w="1819" w:type="dxa"/>
            <w:tcBorders>
              <w:top w:val="nil"/>
              <w:left w:val="nil"/>
              <w:bottom w:val="single" w:sz="4" w:space="0" w:color="auto"/>
              <w:right w:val="single" w:sz="4" w:space="0" w:color="auto"/>
            </w:tcBorders>
            <w:shd w:val="clear" w:color="auto" w:fill="auto"/>
            <w:hideMark/>
          </w:tcPr>
          <w:p w14:paraId="67378FC8"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 </w:t>
            </w:r>
          </w:p>
        </w:tc>
        <w:tc>
          <w:tcPr>
            <w:tcW w:w="1439" w:type="dxa"/>
            <w:tcBorders>
              <w:top w:val="nil"/>
              <w:left w:val="nil"/>
              <w:bottom w:val="single" w:sz="4" w:space="0" w:color="auto"/>
              <w:right w:val="single" w:sz="4" w:space="0" w:color="auto"/>
            </w:tcBorders>
            <w:shd w:val="clear" w:color="auto" w:fill="auto"/>
            <w:hideMark/>
          </w:tcPr>
          <w:p w14:paraId="5993E3A7"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 </w:t>
            </w:r>
          </w:p>
        </w:tc>
        <w:tc>
          <w:tcPr>
            <w:tcW w:w="1797" w:type="dxa"/>
            <w:tcBorders>
              <w:top w:val="nil"/>
              <w:left w:val="nil"/>
              <w:bottom w:val="single" w:sz="4" w:space="0" w:color="auto"/>
              <w:right w:val="single" w:sz="4" w:space="0" w:color="auto"/>
            </w:tcBorders>
            <w:shd w:val="clear" w:color="auto" w:fill="auto"/>
            <w:noWrap/>
            <w:hideMark/>
          </w:tcPr>
          <w:p w14:paraId="199166B8"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 </w:t>
            </w:r>
          </w:p>
        </w:tc>
        <w:tc>
          <w:tcPr>
            <w:tcW w:w="4421" w:type="dxa"/>
            <w:tcBorders>
              <w:top w:val="nil"/>
              <w:left w:val="nil"/>
              <w:bottom w:val="single" w:sz="4" w:space="0" w:color="auto"/>
              <w:right w:val="single" w:sz="4" w:space="0" w:color="auto"/>
            </w:tcBorders>
            <w:shd w:val="clear" w:color="auto" w:fill="auto"/>
            <w:noWrap/>
            <w:hideMark/>
          </w:tcPr>
          <w:p w14:paraId="7A1E6DA4"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 </w:t>
            </w:r>
          </w:p>
        </w:tc>
      </w:tr>
      <w:tr w:rsidR="00862DB0" w:rsidRPr="003B6A69" w14:paraId="1CFCD5D0" w14:textId="77777777" w:rsidTr="00B76926">
        <w:trPr>
          <w:trHeight w:val="528"/>
        </w:trPr>
        <w:tc>
          <w:tcPr>
            <w:tcW w:w="13889" w:type="dxa"/>
            <w:gridSpan w:val="7"/>
            <w:tcBorders>
              <w:top w:val="single" w:sz="4" w:space="0" w:color="auto"/>
              <w:left w:val="single" w:sz="4" w:space="0" w:color="auto"/>
              <w:bottom w:val="single" w:sz="4" w:space="0" w:color="auto"/>
              <w:right w:val="nil"/>
            </w:tcBorders>
            <w:shd w:val="clear" w:color="auto" w:fill="auto"/>
            <w:vAlign w:val="center"/>
            <w:hideMark/>
          </w:tcPr>
          <w:p w14:paraId="380B1A4D" w14:textId="77777777" w:rsidR="00862DB0" w:rsidRPr="003B6A69" w:rsidRDefault="00862DB0" w:rsidP="00862DB0">
            <w:pPr>
              <w:spacing w:after="0"/>
              <w:jc w:val="left"/>
              <w:rPr>
                <w:rFonts w:eastAsia="Times New Roman"/>
                <w:b/>
                <w:bCs/>
                <w:color w:val="000000"/>
                <w:sz w:val="16"/>
                <w:szCs w:val="16"/>
              </w:rPr>
            </w:pPr>
            <w:r w:rsidRPr="003B6A69">
              <w:rPr>
                <w:rFonts w:eastAsia="Times New Roman"/>
                <w:b/>
                <w:bCs/>
                <w:color w:val="000000"/>
                <w:sz w:val="16"/>
                <w:szCs w:val="16"/>
              </w:rPr>
              <w:t xml:space="preserve">Ministry of Agriculture, Forestry and Water </w:t>
            </w:r>
            <w:proofErr w:type="gramStart"/>
            <w:r w:rsidRPr="003B6A69">
              <w:rPr>
                <w:rFonts w:eastAsia="Times New Roman"/>
                <w:b/>
                <w:bCs/>
                <w:color w:val="000000"/>
                <w:sz w:val="16"/>
                <w:szCs w:val="16"/>
              </w:rPr>
              <w:t>Management  -</w:t>
            </w:r>
            <w:proofErr w:type="gramEnd"/>
            <w:r w:rsidRPr="003B6A69">
              <w:rPr>
                <w:rFonts w:eastAsia="Times New Roman"/>
                <w:b/>
                <w:bCs/>
                <w:color w:val="000000"/>
                <w:sz w:val="16"/>
                <w:szCs w:val="16"/>
              </w:rPr>
              <w:t xml:space="preserve"> MAFWM, previously Ministry of Agriculture and Rural Development</w:t>
            </w:r>
          </w:p>
        </w:tc>
      </w:tr>
      <w:tr w:rsidR="00862DB0" w:rsidRPr="003B6A69" w14:paraId="02C4BC3E" w14:textId="77777777" w:rsidTr="00B76926">
        <w:trPr>
          <w:trHeight w:val="2352"/>
        </w:trPr>
        <w:tc>
          <w:tcPr>
            <w:tcW w:w="1647" w:type="dxa"/>
            <w:tcBorders>
              <w:top w:val="nil"/>
              <w:left w:val="single" w:sz="4" w:space="0" w:color="auto"/>
              <w:bottom w:val="single" w:sz="4" w:space="0" w:color="auto"/>
              <w:right w:val="single" w:sz="4" w:space="0" w:color="auto"/>
            </w:tcBorders>
            <w:shd w:val="clear" w:color="auto" w:fill="auto"/>
            <w:hideMark/>
          </w:tcPr>
          <w:p w14:paraId="2AA35E3C"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 xml:space="preserve">Market price policy measures within the </w:t>
            </w:r>
            <w:proofErr w:type="spellStart"/>
            <w:r w:rsidRPr="003B6A69">
              <w:rPr>
                <w:rFonts w:eastAsia="Times New Roman"/>
                <w:color w:val="000000"/>
                <w:sz w:val="16"/>
                <w:szCs w:val="16"/>
              </w:rPr>
              <w:t>Agro</w:t>
            </w:r>
            <w:proofErr w:type="spellEnd"/>
            <w:r w:rsidRPr="003B6A69">
              <w:rPr>
                <w:rFonts w:eastAsia="Times New Roman"/>
                <w:color w:val="000000"/>
                <w:sz w:val="16"/>
                <w:szCs w:val="16"/>
              </w:rPr>
              <w:t>-budget including direct payments to farmers, measures for special support to wine production and bee growing and honey production, as well as agriculture risk management measures</w:t>
            </w:r>
          </w:p>
        </w:tc>
        <w:tc>
          <w:tcPr>
            <w:tcW w:w="1068" w:type="dxa"/>
            <w:tcBorders>
              <w:top w:val="nil"/>
              <w:left w:val="nil"/>
              <w:bottom w:val="single" w:sz="4" w:space="0" w:color="auto"/>
              <w:right w:val="single" w:sz="4" w:space="0" w:color="auto"/>
            </w:tcBorders>
            <w:shd w:val="clear" w:color="auto" w:fill="auto"/>
            <w:noWrap/>
            <w:hideMark/>
          </w:tcPr>
          <w:p w14:paraId="5862FD2F" w14:textId="4AB329B7" w:rsidR="00862DB0" w:rsidRPr="00FB1AF4" w:rsidRDefault="009E297C" w:rsidP="00862DB0">
            <w:pPr>
              <w:spacing w:after="0"/>
              <w:jc w:val="left"/>
              <w:rPr>
                <w:rFonts w:eastAsia="Times New Roman"/>
                <w:color w:val="000000"/>
                <w:sz w:val="16"/>
                <w:szCs w:val="16"/>
                <w:highlight w:val="green"/>
              </w:rPr>
            </w:pPr>
            <w:r w:rsidRPr="00FB1AF4">
              <w:rPr>
                <w:rFonts w:eastAsia="Times New Roman"/>
                <w:color w:val="000000"/>
                <w:sz w:val="16"/>
                <w:szCs w:val="16"/>
                <w:highlight w:val="green"/>
              </w:rPr>
              <w:t>Public Investment</w:t>
            </w:r>
          </w:p>
        </w:tc>
        <w:tc>
          <w:tcPr>
            <w:tcW w:w="1698" w:type="dxa"/>
            <w:tcBorders>
              <w:top w:val="nil"/>
              <w:left w:val="nil"/>
              <w:bottom w:val="single" w:sz="4" w:space="0" w:color="auto"/>
              <w:right w:val="single" w:sz="4" w:space="0" w:color="auto"/>
            </w:tcBorders>
            <w:shd w:val="clear" w:color="auto" w:fill="auto"/>
            <w:noWrap/>
            <w:hideMark/>
          </w:tcPr>
          <w:p w14:paraId="6897E8A9"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 xml:space="preserve">                          4,966,887 </w:t>
            </w:r>
          </w:p>
        </w:tc>
        <w:tc>
          <w:tcPr>
            <w:tcW w:w="1819" w:type="dxa"/>
            <w:tcBorders>
              <w:top w:val="nil"/>
              <w:left w:val="nil"/>
              <w:bottom w:val="single" w:sz="4" w:space="0" w:color="auto"/>
              <w:right w:val="single" w:sz="4" w:space="0" w:color="auto"/>
            </w:tcBorders>
            <w:shd w:val="clear" w:color="auto" w:fill="auto"/>
            <w:hideMark/>
          </w:tcPr>
          <w:p w14:paraId="26C58D83"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Agricultural subsidies (direct payments) and support to production and processing associations</w:t>
            </w:r>
          </w:p>
        </w:tc>
        <w:tc>
          <w:tcPr>
            <w:tcW w:w="1439" w:type="dxa"/>
            <w:tcBorders>
              <w:top w:val="nil"/>
              <w:left w:val="nil"/>
              <w:bottom w:val="single" w:sz="4" w:space="0" w:color="auto"/>
              <w:right w:val="single" w:sz="4" w:space="0" w:color="auto"/>
            </w:tcBorders>
            <w:shd w:val="clear" w:color="auto" w:fill="auto"/>
            <w:hideMark/>
          </w:tcPr>
          <w:p w14:paraId="03D2A692"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Output 5.2</w:t>
            </w:r>
          </w:p>
        </w:tc>
        <w:tc>
          <w:tcPr>
            <w:tcW w:w="1797" w:type="dxa"/>
            <w:tcBorders>
              <w:top w:val="nil"/>
              <w:left w:val="nil"/>
              <w:bottom w:val="single" w:sz="4" w:space="0" w:color="auto"/>
              <w:right w:val="single" w:sz="4" w:space="0" w:color="auto"/>
            </w:tcBorders>
            <w:shd w:val="clear" w:color="auto" w:fill="auto"/>
            <w:hideMark/>
          </w:tcPr>
          <w:p w14:paraId="434CE98F"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The loan agreement with IBRD is secured. However, the internal effects of COVID 19 pandemic on the individual farming businesses may negatively impact on the businesses meeting the requirements for MIDAS 2 financing lines</w:t>
            </w:r>
          </w:p>
        </w:tc>
        <w:tc>
          <w:tcPr>
            <w:tcW w:w="4421" w:type="dxa"/>
            <w:tcBorders>
              <w:top w:val="nil"/>
              <w:left w:val="nil"/>
              <w:bottom w:val="single" w:sz="4" w:space="0" w:color="auto"/>
              <w:right w:val="single" w:sz="4" w:space="0" w:color="auto"/>
            </w:tcBorders>
            <w:shd w:val="clear" w:color="auto" w:fill="auto"/>
            <w:hideMark/>
          </w:tcPr>
          <w:p w14:paraId="78A8E777"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 xml:space="preserve">The project team will be in regular contact with the MIDAS focal points in MAFWM and specifically the MAFWM </w:t>
            </w:r>
            <w:proofErr w:type="spellStart"/>
            <w:r w:rsidRPr="003B6A69">
              <w:rPr>
                <w:rFonts w:eastAsia="Times New Roman"/>
                <w:color w:val="000000"/>
                <w:sz w:val="16"/>
                <w:szCs w:val="16"/>
              </w:rPr>
              <w:t>DIrectorate</w:t>
            </w:r>
            <w:proofErr w:type="spellEnd"/>
            <w:r w:rsidRPr="003B6A69">
              <w:rPr>
                <w:rFonts w:eastAsia="Times New Roman"/>
                <w:color w:val="000000"/>
                <w:sz w:val="16"/>
                <w:szCs w:val="16"/>
              </w:rPr>
              <w:t xml:space="preserve"> for Payments </w:t>
            </w:r>
            <w:proofErr w:type="gramStart"/>
            <w:r w:rsidRPr="003B6A69">
              <w:rPr>
                <w:rFonts w:eastAsia="Times New Roman"/>
                <w:color w:val="000000"/>
                <w:sz w:val="16"/>
                <w:szCs w:val="16"/>
              </w:rPr>
              <w:t>in order to</w:t>
            </w:r>
            <w:proofErr w:type="gramEnd"/>
            <w:r w:rsidRPr="003B6A69">
              <w:rPr>
                <w:rFonts w:eastAsia="Times New Roman"/>
                <w:color w:val="000000"/>
                <w:sz w:val="16"/>
                <w:szCs w:val="16"/>
              </w:rPr>
              <w:t xml:space="preserve"> monitor the status of planned expenditures and committed co-financing</w:t>
            </w:r>
          </w:p>
        </w:tc>
      </w:tr>
      <w:tr w:rsidR="00862DB0" w:rsidRPr="003B6A69" w14:paraId="4F1C16C1" w14:textId="77777777" w:rsidTr="00B76926">
        <w:trPr>
          <w:trHeight w:val="3396"/>
        </w:trPr>
        <w:tc>
          <w:tcPr>
            <w:tcW w:w="1647" w:type="dxa"/>
            <w:tcBorders>
              <w:top w:val="nil"/>
              <w:left w:val="single" w:sz="4" w:space="0" w:color="auto"/>
              <w:bottom w:val="single" w:sz="4" w:space="0" w:color="auto"/>
              <w:right w:val="single" w:sz="4" w:space="0" w:color="auto"/>
            </w:tcBorders>
            <w:shd w:val="clear" w:color="auto" w:fill="auto"/>
            <w:hideMark/>
          </w:tcPr>
          <w:p w14:paraId="50763B50" w14:textId="77777777" w:rsidR="00862DB0" w:rsidRPr="003B6A69" w:rsidRDefault="00862DB0" w:rsidP="00862DB0">
            <w:pPr>
              <w:spacing w:after="0"/>
              <w:jc w:val="left"/>
              <w:rPr>
                <w:rFonts w:eastAsia="Times New Roman"/>
                <w:sz w:val="16"/>
                <w:szCs w:val="16"/>
              </w:rPr>
            </w:pPr>
            <w:r w:rsidRPr="003B6A69">
              <w:rPr>
                <w:rFonts w:eastAsia="Times New Roman"/>
                <w:sz w:val="16"/>
                <w:szCs w:val="16"/>
              </w:rPr>
              <w:lastRenderedPageBreak/>
              <w:t xml:space="preserve"> Axis I of the </w:t>
            </w:r>
            <w:proofErr w:type="spellStart"/>
            <w:r w:rsidRPr="003B6A69">
              <w:rPr>
                <w:rFonts w:eastAsia="Times New Roman"/>
                <w:sz w:val="16"/>
                <w:szCs w:val="16"/>
              </w:rPr>
              <w:t>Agro</w:t>
            </w:r>
            <w:proofErr w:type="spellEnd"/>
            <w:r w:rsidRPr="003B6A69">
              <w:rPr>
                <w:rFonts w:eastAsia="Times New Roman"/>
                <w:sz w:val="16"/>
                <w:szCs w:val="16"/>
              </w:rPr>
              <w:t xml:space="preserve">-budget where it concerns strengthening the competitiveness of wine, fruit, vegetable, olive, and medicine plant producers </w:t>
            </w:r>
          </w:p>
        </w:tc>
        <w:tc>
          <w:tcPr>
            <w:tcW w:w="1068" w:type="dxa"/>
            <w:tcBorders>
              <w:top w:val="nil"/>
              <w:left w:val="nil"/>
              <w:bottom w:val="single" w:sz="4" w:space="0" w:color="auto"/>
              <w:right w:val="single" w:sz="4" w:space="0" w:color="auto"/>
            </w:tcBorders>
            <w:shd w:val="clear" w:color="auto" w:fill="auto"/>
            <w:noWrap/>
            <w:hideMark/>
          </w:tcPr>
          <w:p w14:paraId="62CE4D05" w14:textId="57C7D724" w:rsidR="00862DB0" w:rsidRPr="00FB1AF4" w:rsidRDefault="009E297C" w:rsidP="00862DB0">
            <w:pPr>
              <w:spacing w:after="0"/>
              <w:jc w:val="left"/>
              <w:rPr>
                <w:rFonts w:eastAsia="Times New Roman"/>
                <w:color w:val="000000"/>
                <w:sz w:val="16"/>
                <w:szCs w:val="16"/>
                <w:highlight w:val="green"/>
              </w:rPr>
            </w:pPr>
            <w:r w:rsidRPr="00FB1AF4">
              <w:rPr>
                <w:rFonts w:eastAsia="Times New Roman"/>
                <w:color w:val="000000"/>
                <w:sz w:val="16"/>
                <w:szCs w:val="16"/>
                <w:highlight w:val="green"/>
              </w:rPr>
              <w:t>Public Investment/Grant</w:t>
            </w:r>
          </w:p>
        </w:tc>
        <w:tc>
          <w:tcPr>
            <w:tcW w:w="1698" w:type="dxa"/>
            <w:tcBorders>
              <w:top w:val="nil"/>
              <w:left w:val="nil"/>
              <w:bottom w:val="single" w:sz="4" w:space="0" w:color="auto"/>
              <w:right w:val="single" w:sz="4" w:space="0" w:color="auto"/>
            </w:tcBorders>
            <w:shd w:val="clear" w:color="auto" w:fill="auto"/>
            <w:noWrap/>
            <w:hideMark/>
          </w:tcPr>
          <w:p w14:paraId="1F6DAB4F"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 xml:space="preserve">                          1,655,629 </w:t>
            </w:r>
          </w:p>
        </w:tc>
        <w:tc>
          <w:tcPr>
            <w:tcW w:w="1819" w:type="dxa"/>
            <w:tcBorders>
              <w:top w:val="nil"/>
              <w:left w:val="nil"/>
              <w:bottom w:val="single" w:sz="4" w:space="0" w:color="auto"/>
              <w:right w:val="single" w:sz="4" w:space="0" w:color="auto"/>
            </w:tcBorders>
            <w:shd w:val="clear" w:color="auto" w:fill="auto"/>
            <w:hideMark/>
          </w:tcPr>
          <w:p w14:paraId="4D51BE28" w14:textId="77777777" w:rsidR="00862DB0" w:rsidRPr="003B6A69" w:rsidRDefault="00862DB0" w:rsidP="00862DB0">
            <w:pPr>
              <w:spacing w:after="0"/>
              <w:jc w:val="left"/>
              <w:rPr>
                <w:rFonts w:eastAsia="Times New Roman"/>
                <w:sz w:val="16"/>
                <w:szCs w:val="16"/>
              </w:rPr>
            </w:pPr>
            <w:r w:rsidRPr="003B6A69">
              <w:rPr>
                <w:rFonts w:eastAsia="Times New Roman"/>
                <w:sz w:val="16"/>
                <w:szCs w:val="16"/>
              </w:rPr>
              <w:t xml:space="preserve">Investments in agricultural farms through the EU/IPA and IPARD II program, state budget aimed at strengthening the competitiveness of producers, support family farms, improve product quality, and promote local agricultural products. The grant </w:t>
            </w:r>
            <w:proofErr w:type="spellStart"/>
            <w:r w:rsidRPr="003B6A69">
              <w:rPr>
                <w:rFonts w:eastAsia="Times New Roman"/>
                <w:sz w:val="16"/>
                <w:szCs w:val="16"/>
              </w:rPr>
              <w:t>programmes</w:t>
            </w:r>
            <w:proofErr w:type="spellEnd"/>
            <w:r w:rsidRPr="003B6A69">
              <w:rPr>
                <w:rFonts w:eastAsia="Times New Roman"/>
                <w:sz w:val="16"/>
                <w:szCs w:val="16"/>
              </w:rPr>
              <w:t xml:space="preserve"> financed by IPARD (Instrument for Pre-Accession Rural Development) of specific relevance for the project are those related to the support of traditional models of seasonal grazing on natural and semi-natural pastures, support to the local economy of farmers in mountainous areas, contributions to preserved biodiversity, and helping farmers to start applying good agricultural practices</w:t>
            </w:r>
          </w:p>
        </w:tc>
        <w:tc>
          <w:tcPr>
            <w:tcW w:w="1439" w:type="dxa"/>
            <w:tcBorders>
              <w:top w:val="nil"/>
              <w:left w:val="nil"/>
              <w:bottom w:val="single" w:sz="4" w:space="0" w:color="auto"/>
              <w:right w:val="single" w:sz="4" w:space="0" w:color="auto"/>
            </w:tcBorders>
            <w:shd w:val="clear" w:color="auto" w:fill="auto"/>
            <w:hideMark/>
          </w:tcPr>
          <w:p w14:paraId="53F8D0CF"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Output 5.2</w:t>
            </w:r>
          </w:p>
        </w:tc>
        <w:tc>
          <w:tcPr>
            <w:tcW w:w="1797" w:type="dxa"/>
            <w:tcBorders>
              <w:top w:val="nil"/>
              <w:left w:val="nil"/>
              <w:bottom w:val="single" w:sz="4" w:space="0" w:color="auto"/>
              <w:right w:val="single" w:sz="4" w:space="0" w:color="auto"/>
            </w:tcBorders>
            <w:shd w:val="clear" w:color="auto" w:fill="auto"/>
            <w:hideMark/>
          </w:tcPr>
          <w:p w14:paraId="0B6F6B98" w14:textId="77777777" w:rsidR="00862DB0" w:rsidRPr="003B6A69" w:rsidRDefault="00862DB0" w:rsidP="00862DB0">
            <w:pPr>
              <w:spacing w:after="0"/>
              <w:jc w:val="left"/>
              <w:rPr>
                <w:rFonts w:eastAsia="Times New Roman"/>
                <w:color w:val="000000"/>
                <w:sz w:val="16"/>
                <w:szCs w:val="16"/>
              </w:rPr>
            </w:pPr>
            <w:proofErr w:type="spellStart"/>
            <w:r w:rsidRPr="003B6A69">
              <w:rPr>
                <w:rFonts w:eastAsia="Times New Roman"/>
                <w:color w:val="000000"/>
                <w:sz w:val="16"/>
                <w:szCs w:val="16"/>
              </w:rPr>
              <w:t>Agrobudet</w:t>
            </w:r>
            <w:proofErr w:type="spellEnd"/>
            <w:r w:rsidRPr="003B6A69">
              <w:rPr>
                <w:rFonts w:eastAsia="Times New Roman"/>
                <w:color w:val="000000"/>
                <w:sz w:val="16"/>
                <w:szCs w:val="16"/>
              </w:rPr>
              <w:t xml:space="preserve"> for </w:t>
            </w:r>
            <w:proofErr w:type="gramStart"/>
            <w:r w:rsidRPr="003B6A69">
              <w:rPr>
                <w:rFonts w:eastAsia="Times New Roman"/>
                <w:color w:val="000000"/>
                <w:sz w:val="16"/>
                <w:szCs w:val="16"/>
              </w:rPr>
              <w:t>2021  is</w:t>
            </w:r>
            <w:proofErr w:type="gramEnd"/>
            <w:r w:rsidRPr="003B6A69">
              <w:rPr>
                <w:rFonts w:eastAsia="Times New Roman"/>
                <w:color w:val="000000"/>
                <w:sz w:val="16"/>
                <w:szCs w:val="16"/>
              </w:rPr>
              <w:t xml:space="preserve"> secured. </w:t>
            </w:r>
            <w:proofErr w:type="spellStart"/>
            <w:r w:rsidRPr="003B6A69">
              <w:rPr>
                <w:rFonts w:eastAsia="Times New Roman"/>
                <w:color w:val="000000"/>
                <w:sz w:val="16"/>
                <w:szCs w:val="16"/>
              </w:rPr>
              <w:t>Agrobudget</w:t>
            </w:r>
            <w:proofErr w:type="spellEnd"/>
            <w:r w:rsidRPr="003B6A69">
              <w:rPr>
                <w:rFonts w:eastAsia="Times New Roman"/>
                <w:color w:val="000000"/>
                <w:sz w:val="16"/>
                <w:szCs w:val="16"/>
              </w:rPr>
              <w:t xml:space="preserve"> for future years might be affected by the negative economic trends caused by COVID 19 pandemic and other recession factors</w:t>
            </w:r>
          </w:p>
        </w:tc>
        <w:tc>
          <w:tcPr>
            <w:tcW w:w="4421" w:type="dxa"/>
            <w:tcBorders>
              <w:top w:val="nil"/>
              <w:left w:val="nil"/>
              <w:bottom w:val="single" w:sz="4" w:space="0" w:color="auto"/>
              <w:right w:val="single" w:sz="4" w:space="0" w:color="auto"/>
            </w:tcBorders>
            <w:shd w:val="clear" w:color="auto" w:fill="auto"/>
            <w:hideMark/>
          </w:tcPr>
          <w:p w14:paraId="4C7F6A41"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 xml:space="preserve">The project team will be in regular contact with </w:t>
            </w:r>
            <w:proofErr w:type="gramStart"/>
            <w:r w:rsidRPr="003B6A69">
              <w:rPr>
                <w:rFonts w:eastAsia="Times New Roman"/>
                <w:color w:val="000000"/>
                <w:sz w:val="16"/>
                <w:szCs w:val="16"/>
              </w:rPr>
              <w:t>the  MAFWM</w:t>
            </w:r>
            <w:proofErr w:type="gramEnd"/>
            <w:r w:rsidRPr="003B6A69">
              <w:rPr>
                <w:rFonts w:eastAsia="Times New Roman"/>
                <w:color w:val="000000"/>
                <w:sz w:val="16"/>
                <w:szCs w:val="16"/>
              </w:rPr>
              <w:t xml:space="preserve"> </w:t>
            </w:r>
            <w:proofErr w:type="spellStart"/>
            <w:r w:rsidRPr="003B6A69">
              <w:rPr>
                <w:rFonts w:eastAsia="Times New Roman"/>
                <w:color w:val="000000"/>
                <w:sz w:val="16"/>
                <w:szCs w:val="16"/>
              </w:rPr>
              <w:t>DIrectorate</w:t>
            </w:r>
            <w:proofErr w:type="spellEnd"/>
            <w:r w:rsidRPr="003B6A69">
              <w:rPr>
                <w:rFonts w:eastAsia="Times New Roman"/>
                <w:color w:val="000000"/>
                <w:sz w:val="16"/>
                <w:szCs w:val="16"/>
              </w:rPr>
              <w:t xml:space="preserve"> for Payments in order to monitor the status of planned expenditures and committed co-financing within the </w:t>
            </w:r>
            <w:proofErr w:type="spellStart"/>
            <w:r w:rsidRPr="003B6A69">
              <w:rPr>
                <w:rFonts w:eastAsia="Times New Roman"/>
                <w:color w:val="000000"/>
                <w:sz w:val="16"/>
                <w:szCs w:val="16"/>
              </w:rPr>
              <w:t>Agrobudget</w:t>
            </w:r>
            <w:proofErr w:type="spellEnd"/>
            <w:r w:rsidRPr="003B6A69">
              <w:rPr>
                <w:rFonts w:eastAsia="Times New Roman"/>
                <w:color w:val="000000"/>
                <w:sz w:val="16"/>
                <w:szCs w:val="16"/>
              </w:rPr>
              <w:t xml:space="preserve"> relevant finance lines</w:t>
            </w:r>
          </w:p>
        </w:tc>
      </w:tr>
      <w:tr w:rsidR="00862DB0" w:rsidRPr="003B6A69" w14:paraId="5C7455A7" w14:textId="77777777" w:rsidTr="00464028">
        <w:trPr>
          <w:trHeight w:val="3059"/>
        </w:trPr>
        <w:tc>
          <w:tcPr>
            <w:tcW w:w="1647" w:type="dxa"/>
            <w:tcBorders>
              <w:top w:val="nil"/>
              <w:left w:val="single" w:sz="4" w:space="0" w:color="auto"/>
              <w:bottom w:val="single" w:sz="4" w:space="0" w:color="auto"/>
              <w:right w:val="single" w:sz="4" w:space="0" w:color="auto"/>
            </w:tcBorders>
            <w:shd w:val="clear" w:color="auto" w:fill="auto"/>
            <w:hideMark/>
          </w:tcPr>
          <w:p w14:paraId="03A1CD79" w14:textId="77777777" w:rsidR="00862DB0" w:rsidRPr="003B6A69" w:rsidRDefault="00862DB0" w:rsidP="00862DB0">
            <w:pPr>
              <w:spacing w:after="0"/>
              <w:jc w:val="left"/>
              <w:rPr>
                <w:rFonts w:eastAsia="Times New Roman"/>
                <w:sz w:val="16"/>
                <w:szCs w:val="16"/>
              </w:rPr>
            </w:pPr>
            <w:r w:rsidRPr="003B6A69">
              <w:rPr>
                <w:rFonts w:eastAsia="Times New Roman"/>
                <w:sz w:val="16"/>
                <w:szCs w:val="16"/>
              </w:rPr>
              <w:t xml:space="preserve">Axis 2 of the </w:t>
            </w:r>
            <w:proofErr w:type="spellStart"/>
            <w:r w:rsidRPr="003B6A69">
              <w:rPr>
                <w:rFonts w:eastAsia="Times New Roman"/>
                <w:sz w:val="16"/>
                <w:szCs w:val="16"/>
              </w:rPr>
              <w:t>Agro</w:t>
            </w:r>
            <w:proofErr w:type="spellEnd"/>
            <w:r w:rsidRPr="003B6A69">
              <w:rPr>
                <w:rFonts w:eastAsia="Times New Roman"/>
                <w:sz w:val="16"/>
                <w:szCs w:val="16"/>
              </w:rPr>
              <w:t xml:space="preserve">-budget where it concerns measures for sustainable management of natural resources related to the support of traditional models of seasonal grazing on natural and semi-natural pastures, support to the local economy of farmers in mountainous areas, contributions to preserved </w:t>
            </w:r>
            <w:r w:rsidRPr="003B6A69">
              <w:rPr>
                <w:rFonts w:eastAsia="Times New Roman"/>
                <w:sz w:val="16"/>
                <w:szCs w:val="16"/>
              </w:rPr>
              <w:lastRenderedPageBreak/>
              <w:t xml:space="preserve">biodiversity and genetic resources in agriculture, support to organic production and helping farmers to start applying good agricultural practices. </w:t>
            </w:r>
          </w:p>
        </w:tc>
        <w:tc>
          <w:tcPr>
            <w:tcW w:w="1068" w:type="dxa"/>
            <w:tcBorders>
              <w:top w:val="nil"/>
              <w:left w:val="nil"/>
              <w:bottom w:val="single" w:sz="4" w:space="0" w:color="auto"/>
              <w:right w:val="single" w:sz="4" w:space="0" w:color="auto"/>
            </w:tcBorders>
            <w:shd w:val="clear" w:color="auto" w:fill="auto"/>
            <w:noWrap/>
            <w:hideMark/>
          </w:tcPr>
          <w:p w14:paraId="715448E3" w14:textId="20221D39" w:rsidR="00862DB0" w:rsidRPr="00FB1AF4" w:rsidRDefault="009E297C" w:rsidP="00862DB0">
            <w:pPr>
              <w:spacing w:after="0"/>
              <w:jc w:val="left"/>
              <w:rPr>
                <w:rFonts w:eastAsia="Times New Roman"/>
                <w:color w:val="000000"/>
                <w:sz w:val="16"/>
                <w:szCs w:val="16"/>
                <w:highlight w:val="green"/>
              </w:rPr>
            </w:pPr>
            <w:r w:rsidRPr="00FB1AF4">
              <w:rPr>
                <w:rFonts w:eastAsia="Times New Roman"/>
                <w:color w:val="000000"/>
                <w:sz w:val="16"/>
                <w:szCs w:val="16"/>
                <w:highlight w:val="green"/>
              </w:rPr>
              <w:lastRenderedPageBreak/>
              <w:t>Public Investment/Grant</w:t>
            </w:r>
          </w:p>
        </w:tc>
        <w:tc>
          <w:tcPr>
            <w:tcW w:w="1698" w:type="dxa"/>
            <w:tcBorders>
              <w:top w:val="nil"/>
              <w:left w:val="nil"/>
              <w:bottom w:val="single" w:sz="4" w:space="0" w:color="auto"/>
              <w:right w:val="single" w:sz="4" w:space="0" w:color="auto"/>
            </w:tcBorders>
            <w:shd w:val="clear" w:color="auto" w:fill="auto"/>
            <w:noWrap/>
            <w:hideMark/>
          </w:tcPr>
          <w:p w14:paraId="497D1391"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 xml:space="preserve">                          4,304,636 </w:t>
            </w:r>
          </w:p>
        </w:tc>
        <w:tc>
          <w:tcPr>
            <w:tcW w:w="1819" w:type="dxa"/>
            <w:tcBorders>
              <w:top w:val="nil"/>
              <w:left w:val="nil"/>
              <w:bottom w:val="single" w:sz="4" w:space="0" w:color="auto"/>
              <w:right w:val="single" w:sz="4" w:space="0" w:color="auto"/>
            </w:tcBorders>
            <w:shd w:val="clear" w:color="auto" w:fill="auto"/>
            <w:hideMark/>
          </w:tcPr>
          <w:p w14:paraId="5E64791E" w14:textId="77777777" w:rsidR="00862DB0" w:rsidRPr="003B6A69" w:rsidRDefault="00862DB0" w:rsidP="00862DB0">
            <w:pPr>
              <w:spacing w:after="0"/>
              <w:jc w:val="left"/>
              <w:rPr>
                <w:rFonts w:eastAsia="Times New Roman"/>
                <w:sz w:val="16"/>
                <w:szCs w:val="16"/>
              </w:rPr>
            </w:pPr>
            <w:r w:rsidRPr="003B6A69">
              <w:rPr>
                <w:rFonts w:eastAsia="Times New Roman"/>
                <w:sz w:val="16"/>
                <w:szCs w:val="16"/>
              </w:rPr>
              <w:t xml:space="preserve">Investments in agricultural farms through the EU/IPA and IPARD II program, state budget aimed at strengthening the competitiveness of producers, support family farms, improve product quality, and promote local agricultural products. The grant </w:t>
            </w:r>
            <w:proofErr w:type="spellStart"/>
            <w:r w:rsidRPr="003B6A69">
              <w:rPr>
                <w:rFonts w:eastAsia="Times New Roman"/>
                <w:sz w:val="16"/>
                <w:szCs w:val="16"/>
              </w:rPr>
              <w:t>programmes</w:t>
            </w:r>
            <w:proofErr w:type="spellEnd"/>
            <w:r w:rsidRPr="003B6A69">
              <w:rPr>
                <w:rFonts w:eastAsia="Times New Roman"/>
                <w:sz w:val="16"/>
                <w:szCs w:val="16"/>
              </w:rPr>
              <w:t xml:space="preserve"> financed by IPARD (Instrument for Pre-Accession Rural Development) of </w:t>
            </w:r>
            <w:r w:rsidRPr="003B6A69">
              <w:rPr>
                <w:rFonts w:eastAsia="Times New Roman"/>
                <w:sz w:val="16"/>
                <w:szCs w:val="16"/>
              </w:rPr>
              <w:lastRenderedPageBreak/>
              <w:t>specific relevance for the project are those related to the support of traditional models of seasonal grazing on natural and semi-natural pastures, support to the local economy of farmers in mountainous areas, contributions to preserved biodiversity, and helping farmers to start applying good agricultural practices</w:t>
            </w:r>
          </w:p>
        </w:tc>
        <w:tc>
          <w:tcPr>
            <w:tcW w:w="1439" w:type="dxa"/>
            <w:tcBorders>
              <w:top w:val="nil"/>
              <w:left w:val="nil"/>
              <w:bottom w:val="single" w:sz="4" w:space="0" w:color="auto"/>
              <w:right w:val="single" w:sz="4" w:space="0" w:color="auto"/>
            </w:tcBorders>
            <w:shd w:val="clear" w:color="auto" w:fill="auto"/>
            <w:hideMark/>
          </w:tcPr>
          <w:p w14:paraId="4F874CC3"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lastRenderedPageBreak/>
              <w:t>Output 5.3, 4.2</w:t>
            </w:r>
          </w:p>
        </w:tc>
        <w:tc>
          <w:tcPr>
            <w:tcW w:w="1797" w:type="dxa"/>
            <w:tcBorders>
              <w:top w:val="nil"/>
              <w:left w:val="nil"/>
              <w:bottom w:val="single" w:sz="4" w:space="0" w:color="auto"/>
              <w:right w:val="single" w:sz="4" w:space="0" w:color="auto"/>
            </w:tcBorders>
            <w:shd w:val="clear" w:color="auto" w:fill="auto"/>
            <w:hideMark/>
          </w:tcPr>
          <w:p w14:paraId="1498BF04" w14:textId="77777777" w:rsidR="00862DB0" w:rsidRPr="003B6A69" w:rsidRDefault="00862DB0" w:rsidP="00862DB0">
            <w:pPr>
              <w:spacing w:after="0"/>
              <w:jc w:val="left"/>
              <w:rPr>
                <w:rFonts w:eastAsia="Times New Roman"/>
                <w:color w:val="000000"/>
                <w:sz w:val="16"/>
                <w:szCs w:val="16"/>
              </w:rPr>
            </w:pPr>
            <w:proofErr w:type="spellStart"/>
            <w:r w:rsidRPr="003B6A69">
              <w:rPr>
                <w:rFonts w:eastAsia="Times New Roman"/>
                <w:color w:val="000000"/>
                <w:sz w:val="16"/>
                <w:szCs w:val="16"/>
              </w:rPr>
              <w:t>Agrobudet</w:t>
            </w:r>
            <w:proofErr w:type="spellEnd"/>
            <w:r w:rsidRPr="003B6A69">
              <w:rPr>
                <w:rFonts w:eastAsia="Times New Roman"/>
                <w:color w:val="000000"/>
                <w:sz w:val="16"/>
                <w:szCs w:val="16"/>
              </w:rPr>
              <w:t xml:space="preserve"> for </w:t>
            </w:r>
            <w:proofErr w:type="gramStart"/>
            <w:r w:rsidRPr="003B6A69">
              <w:rPr>
                <w:rFonts w:eastAsia="Times New Roman"/>
                <w:color w:val="000000"/>
                <w:sz w:val="16"/>
                <w:szCs w:val="16"/>
              </w:rPr>
              <w:t>2021  is</w:t>
            </w:r>
            <w:proofErr w:type="gramEnd"/>
            <w:r w:rsidRPr="003B6A69">
              <w:rPr>
                <w:rFonts w:eastAsia="Times New Roman"/>
                <w:color w:val="000000"/>
                <w:sz w:val="16"/>
                <w:szCs w:val="16"/>
              </w:rPr>
              <w:t xml:space="preserve"> secured. </w:t>
            </w:r>
            <w:proofErr w:type="spellStart"/>
            <w:r w:rsidRPr="003B6A69">
              <w:rPr>
                <w:rFonts w:eastAsia="Times New Roman"/>
                <w:color w:val="000000"/>
                <w:sz w:val="16"/>
                <w:szCs w:val="16"/>
              </w:rPr>
              <w:t>Agrobudget</w:t>
            </w:r>
            <w:proofErr w:type="spellEnd"/>
            <w:r w:rsidRPr="003B6A69">
              <w:rPr>
                <w:rFonts w:eastAsia="Times New Roman"/>
                <w:color w:val="000000"/>
                <w:sz w:val="16"/>
                <w:szCs w:val="16"/>
              </w:rPr>
              <w:t xml:space="preserve"> for future years might be affected by the negative economic trends caused by COVID 19 pandemic and other recession factors</w:t>
            </w:r>
          </w:p>
        </w:tc>
        <w:tc>
          <w:tcPr>
            <w:tcW w:w="4421" w:type="dxa"/>
            <w:tcBorders>
              <w:top w:val="nil"/>
              <w:left w:val="nil"/>
              <w:bottom w:val="single" w:sz="4" w:space="0" w:color="auto"/>
              <w:right w:val="single" w:sz="4" w:space="0" w:color="auto"/>
            </w:tcBorders>
            <w:shd w:val="clear" w:color="auto" w:fill="auto"/>
            <w:hideMark/>
          </w:tcPr>
          <w:p w14:paraId="42E4BEB1"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 xml:space="preserve">The project team will be in regular contact with </w:t>
            </w:r>
            <w:proofErr w:type="gramStart"/>
            <w:r w:rsidRPr="003B6A69">
              <w:rPr>
                <w:rFonts w:eastAsia="Times New Roman"/>
                <w:color w:val="000000"/>
                <w:sz w:val="16"/>
                <w:szCs w:val="16"/>
              </w:rPr>
              <w:t>the  MAFWM</w:t>
            </w:r>
            <w:proofErr w:type="gramEnd"/>
            <w:r w:rsidRPr="003B6A69">
              <w:rPr>
                <w:rFonts w:eastAsia="Times New Roman"/>
                <w:color w:val="000000"/>
                <w:sz w:val="16"/>
                <w:szCs w:val="16"/>
              </w:rPr>
              <w:t xml:space="preserve"> </w:t>
            </w:r>
            <w:proofErr w:type="spellStart"/>
            <w:r w:rsidRPr="003B6A69">
              <w:rPr>
                <w:rFonts w:eastAsia="Times New Roman"/>
                <w:color w:val="000000"/>
                <w:sz w:val="16"/>
                <w:szCs w:val="16"/>
              </w:rPr>
              <w:t>DIrectorate</w:t>
            </w:r>
            <w:proofErr w:type="spellEnd"/>
            <w:r w:rsidRPr="003B6A69">
              <w:rPr>
                <w:rFonts w:eastAsia="Times New Roman"/>
                <w:color w:val="000000"/>
                <w:sz w:val="16"/>
                <w:szCs w:val="16"/>
              </w:rPr>
              <w:t xml:space="preserve"> for Payments in order to monitor the status of planned expenditures and committed co-financing within the </w:t>
            </w:r>
            <w:proofErr w:type="spellStart"/>
            <w:r w:rsidRPr="003B6A69">
              <w:rPr>
                <w:rFonts w:eastAsia="Times New Roman"/>
                <w:color w:val="000000"/>
                <w:sz w:val="16"/>
                <w:szCs w:val="16"/>
              </w:rPr>
              <w:t>Agrobudget</w:t>
            </w:r>
            <w:proofErr w:type="spellEnd"/>
            <w:r w:rsidRPr="003B6A69">
              <w:rPr>
                <w:rFonts w:eastAsia="Times New Roman"/>
                <w:color w:val="000000"/>
                <w:sz w:val="16"/>
                <w:szCs w:val="16"/>
              </w:rPr>
              <w:t xml:space="preserve"> relevant finance lines</w:t>
            </w:r>
          </w:p>
        </w:tc>
      </w:tr>
      <w:tr w:rsidR="00862DB0" w:rsidRPr="003B6A69" w14:paraId="602DDE68" w14:textId="77777777" w:rsidTr="00464028">
        <w:trPr>
          <w:trHeight w:val="1079"/>
        </w:trPr>
        <w:tc>
          <w:tcPr>
            <w:tcW w:w="1647" w:type="dxa"/>
            <w:tcBorders>
              <w:top w:val="nil"/>
              <w:left w:val="single" w:sz="4" w:space="0" w:color="auto"/>
              <w:bottom w:val="single" w:sz="4" w:space="0" w:color="auto"/>
              <w:right w:val="single" w:sz="4" w:space="0" w:color="auto"/>
            </w:tcBorders>
            <w:shd w:val="clear" w:color="auto" w:fill="auto"/>
            <w:hideMark/>
          </w:tcPr>
          <w:p w14:paraId="7606E133"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 xml:space="preserve">Implementation of the National Forest Management Policy </w:t>
            </w:r>
          </w:p>
        </w:tc>
        <w:tc>
          <w:tcPr>
            <w:tcW w:w="1068" w:type="dxa"/>
            <w:tcBorders>
              <w:top w:val="nil"/>
              <w:left w:val="nil"/>
              <w:bottom w:val="single" w:sz="4" w:space="0" w:color="auto"/>
              <w:right w:val="single" w:sz="4" w:space="0" w:color="auto"/>
            </w:tcBorders>
            <w:shd w:val="clear" w:color="auto" w:fill="auto"/>
            <w:noWrap/>
            <w:hideMark/>
          </w:tcPr>
          <w:p w14:paraId="00FA5333" w14:textId="3FC5B38F" w:rsidR="00862DB0" w:rsidRPr="00FB1AF4" w:rsidRDefault="009E297C" w:rsidP="00862DB0">
            <w:pPr>
              <w:spacing w:after="0"/>
              <w:jc w:val="left"/>
              <w:rPr>
                <w:rFonts w:eastAsia="Times New Roman"/>
                <w:color w:val="000000"/>
                <w:sz w:val="16"/>
                <w:szCs w:val="16"/>
                <w:highlight w:val="green"/>
              </w:rPr>
            </w:pPr>
            <w:r w:rsidRPr="00FB1AF4">
              <w:rPr>
                <w:rFonts w:eastAsia="Times New Roman"/>
                <w:color w:val="000000"/>
                <w:sz w:val="16"/>
                <w:szCs w:val="16"/>
                <w:highlight w:val="green"/>
              </w:rPr>
              <w:t>Public Investment</w:t>
            </w:r>
          </w:p>
        </w:tc>
        <w:tc>
          <w:tcPr>
            <w:tcW w:w="1698" w:type="dxa"/>
            <w:tcBorders>
              <w:top w:val="nil"/>
              <w:left w:val="nil"/>
              <w:bottom w:val="single" w:sz="4" w:space="0" w:color="auto"/>
              <w:right w:val="single" w:sz="4" w:space="0" w:color="auto"/>
            </w:tcBorders>
            <w:shd w:val="clear" w:color="auto" w:fill="auto"/>
            <w:noWrap/>
            <w:hideMark/>
          </w:tcPr>
          <w:p w14:paraId="1E566DC6"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 xml:space="preserve">                          1,655,629 </w:t>
            </w:r>
          </w:p>
        </w:tc>
        <w:tc>
          <w:tcPr>
            <w:tcW w:w="1819" w:type="dxa"/>
            <w:tcBorders>
              <w:top w:val="nil"/>
              <w:left w:val="nil"/>
              <w:bottom w:val="single" w:sz="4" w:space="0" w:color="auto"/>
              <w:right w:val="single" w:sz="4" w:space="0" w:color="auto"/>
            </w:tcBorders>
            <w:shd w:val="clear" w:color="auto" w:fill="auto"/>
            <w:hideMark/>
          </w:tcPr>
          <w:p w14:paraId="74BDF8C7" w14:textId="3C31F542" w:rsidR="00862DB0" w:rsidRPr="003B6A69" w:rsidRDefault="00862DB0" w:rsidP="009E297C">
            <w:pPr>
              <w:spacing w:after="0"/>
              <w:jc w:val="left"/>
              <w:rPr>
                <w:rFonts w:eastAsia="Times New Roman"/>
                <w:color w:val="000000"/>
                <w:sz w:val="16"/>
                <w:szCs w:val="16"/>
              </w:rPr>
            </w:pPr>
            <w:r w:rsidRPr="003B6A69">
              <w:rPr>
                <w:rFonts w:eastAsia="Times New Roman"/>
                <w:color w:val="000000"/>
                <w:sz w:val="16"/>
                <w:szCs w:val="16"/>
              </w:rPr>
              <w:t xml:space="preserve"> Ecosystem services of protection forests</w:t>
            </w:r>
          </w:p>
        </w:tc>
        <w:tc>
          <w:tcPr>
            <w:tcW w:w="1439" w:type="dxa"/>
            <w:tcBorders>
              <w:top w:val="nil"/>
              <w:left w:val="nil"/>
              <w:bottom w:val="single" w:sz="4" w:space="0" w:color="auto"/>
              <w:right w:val="single" w:sz="4" w:space="0" w:color="auto"/>
            </w:tcBorders>
            <w:shd w:val="clear" w:color="auto" w:fill="auto"/>
            <w:hideMark/>
          </w:tcPr>
          <w:p w14:paraId="36FDEA4F"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Output 4.2</w:t>
            </w:r>
          </w:p>
        </w:tc>
        <w:tc>
          <w:tcPr>
            <w:tcW w:w="1797" w:type="dxa"/>
            <w:tcBorders>
              <w:top w:val="nil"/>
              <w:left w:val="nil"/>
              <w:bottom w:val="single" w:sz="4" w:space="0" w:color="auto"/>
              <w:right w:val="single" w:sz="4" w:space="0" w:color="auto"/>
            </w:tcBorders>
            <w:shd w:val="clear" w:color="auto" w:fill="auto"/>
            <w:hideMark/>
          </w:tcPr>
          <w:p w14:paraId="4612AC3F"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Changes in the budget following administrative reform and MARD re-</w:t>
            </w:r>
            <w:proofErr w:type="spellStart"/>
            <w:r w:rsidRPr="003B6A69">
              <w:rPr>
                <w:rFonts w:eastAsia="Times New Roman"/>
                <w:color w:val="000000"/>
                <w:sz w:val="16"/>
                <w:szCs w:val="16"/>
              </w:rPr>
              <w:t>organisation</w:t>
            </w:r>
            <w:proofErr w:type="spellEnd"/>
            <w:r w:rsidRPr="003B6A69">
              <w:rPr>
                <w:rFonts w:eastAsia="Times New Roman"/>
                <w:color w:val="000000"/>
                <w:sz w:val="16"/>
                <w:szCs w:val="16"/>
              </w:rPr>
              <w:t>.</w:t>
            </w:r>
          </w:p>
        </w:tc>
        <w:tc>
          <w:tcPr>
            <w:tcW w:w="4421" w:type="dxa"/>
            <w:tcBorders>
              <w:top w:val="nil"/>
              <w:left w:val="nil"/>
              <w:bottom w:val="single" w:sz="4" w:space="0" w:color="auto"/>
              <w:right w:val="single" w:sz="4" w:space="0" w:color="auto"/>
            </w:tcBorders>
            <w:shd w:val="clear" w:color="auto" w:fill="auto"/>
            <w:hideMark/>
          </w:tcPr>
          <w:p w14:paraId="5566B4AB"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 xml:space="preserve">The project team will be in regular contact with </w:t>
            </w:r>
            <w:proofErr w:type="gramStart"/>
            <w:r w:rsidRPr="003B6A69">
              <w:rPr>
                <w:rFonts w:eastAsia="Times New Roman"/>
                <w:color w:val="000000"/>
                <w:sz w:val="16"/>
                <w:szCs w:val="16"/>
              </w:rPr>
              <w:t>the  MAFWM</w:t>
            </w:r>
            <w:proofErr w:type="gramEnd"/>
            <w:r w:rsidRPr="003B6A69">
              <w:rPr>
                <w:rFonts w:eastAsia="Times New Roman"/>
                <w:color w:val="000000"/>
                <w:sz w:val="16"/>
                <w:szCs w:val="16"/>
              </w:rPr>
              <w:t xml:space="preserve"> </w:t>
            </w:r>
            <w:proofErr w:type="spellStart"/>
            <w:r w:rsidRPr="003B6A69">
              <w:rPr>
                <w:rFonts w:eastAsia="Times New Roman"/>
                <w:color w:val="000000"/>
                <w:sz w:val="16"/>
                <w:szCs w:val="16"/>
              </w:rPr>
              <w:t>DIrectorate</w:t>
            </w:r>
            <w:proofErr w:type="spellEnd"/>
            <w:r w:rsidRPr="003B6A69">
              <w:rPr>
                <w:rFonts w:eastAsia="Times New Roman"/>
                <w:color w:val="000000"/>
                <w:sz w:val="16"/>
                <w:szCs w:val="16"/>
              </w:rPr>
              <w:t xml:space="preserve"> for Forestry in order to monitor the status of planned expenditures and committed co-financing within the </w:t>
            </w:r>
            <w:proofErr w:type="spellStart"/>
            <w:r w:rsidRPr="003B6A69">
              <w:rPr>
                <w:rFonts w:eastAsia="Times New Roman"/>
                <w:color w:val="000000"/>
                <w:sz w:val="16"/>
                <w:szCs w:val="16"/>
              </w:rPr>
              <w:t>Agrobudget</w:t>
            </w:r>
            <w:proofErr w:type="spellEnd"/>
            <w:r w:rsidRPr="003B6A69">
              <w:rPr>
                <w:rFonts w:eastAsia="Times New Roman"/>
                <w:color w:val="000000"/>
                <w:sz w:val="16"/>
                <w:szCs w:val="16"/>
              </w:rPr>
              <w:t xml:space="preserve"> relevant finance lines</w:t>
            </w:r>
          </w:p>
        </w:tc>
      </w:tr>
      <w:tr w:rsidR="00862DB0" w:rsidRPr="003B6A69" w14:paraId="08905A21" w14:textId="77777777" w:rsidTr="00B76926">
        <w:trPr>
          <w:trHeight w:val="1416"/>
        </w:trPr>
        <w:tc>
          <w:tcPr>
            <w:tcW w:w="2715"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5ABA3743" w14:textId="77777777" w:rsidR="00862DB0" w:rsidRPr="003B6A69" w:rsidRDefault="00862DB0" w:rsidP="00862DB0">
            <w:pPr>
              <w:spacing w:after="0"/>
              <w:jc w:val="center"/>
              <w:rPr>
                <w:rFonts w:eastAsia="Times New Roman"/>
                <w:b/>
                <w:bCs/>
                <w:color w:val="000000"/>
                <w:sz w:val="16"/>
                <w:szCs w:val="16"/>
              </w:rPr>
            </w:pPr>
            <w:r w:rsidRPr="003B6A69">
              <w:rPr>
                <w:rFonts w:eastAsia="Times New Roman"/>
                <w:b/>
                <w:bCs/>
                <w:color w:val="000000"/>
                <w:sz w:val="16"/>
                <w:szCs w:val="16"/>
              </w:rPr>
              <w:t xml:space="preserve">Subtotal for the Ministry of Agriculture, Forestry and Water </w:t>
            </w:r>
            <w:proofErr w:type="gramStart"/>
            <w:r w:rsidRPr="003B6A69">
              <w:rPr>
                <w:rFonts w:eastAsia="Times New Roman"/>
                <w:b/>
                <w:bCs/>
                <w:color w:val="000000"/>
                <w:sz w:val="16"/>
                <w:szCs w:val="16"/>
              </w:rPr>
              <w:t>Management  -</w:t>
            </w:r>
            <w:proofErr w:type="gramEnd"/>
            <w:r w:rsidRPr="003B6A69">
              <w:rPr>
                <w:rFonts w:eastAsia="Times New Roman"/>
                <w:b/>
                <w:bCs/>
                <w:color w:val="000000"/>
                <w:sz w:val="16"/>
                <w:szCs w:val="16"/>
              </w:rPr>
              <w:t xml:space="preserve"> MAFWM, previously Ministry of Agriculture and Rural Development</w:t>
            </w:r>
          </w:p>
        </w:tc>
        <w:tc>
          <w:tcPr>
            <w:tcW w:w="1698" w:type="dxa"/>
            <w:tcBorders>
              <w:top w:val="nil"/>
              <w:left w:val="nil"/>
              <w:bottom w:val="single" w:sz="4" w:space="0" w:color="auto"/>
              <w:right w:val="single" w:sz="4" w:space="0" w:color="auto"/>
            </w:tcBorders>
            <w:shd w:val="clear" w:color="auto" w:fill="auto"/>
            <w:noWrap/>
            <w:hideMark/>
          </w:tcPr>
          <w:p w14:paraId="34E6EC5E" w14:textId="77777777" w:rsidR="00862DB0" w:rsidRPr="003B6A69" w:rsidRDefault="00862DB0" w:rsidP="00862DB0">
            <w:pPr>
              <w:spacing w:after="0"/>
              <w:jc w:val="left"/>
              <w:rPr>
                <w:rFonts w:eastAsia="Times New Roman"/>
                <w:b/>
                <w:bCs/>
                <w:color w:val="000000"/>
                <w:sz w:val="16"/>
                <w:szCs w:val="16"/>
              </w:rPr>
            </w:pPr>
            <w:r w:rsidRPr="003B6A69">
              <w:rPr>
                <w:rFonts w:eastAsia="Times New Roman"/>
                <w:b/>
                <w:bCs/>
                <w:color w:val="000000"/>
                <w:sz w:val="16"/>
                <w:szCs w:val="16"/>
              </w:rPr>
              <w:t xml:space="preserve">                        12,582,781 </w:t>
            </w:r>
          </w:p>
        </w:tc>
        <w:tc>
          <w:tcPr>
            <w:tcW w:w="1819" w:type="dxa"/>
            <w:tcBorders>
              <w:top w:val="nil"/>
              <w:left w:val="nil"/>
              <w:bottom w:val="single" w:sz="4" w:space="0" w:color="auto"/>
              <w:right w:val="single" w:sz="4" w:space="0" w:color="auto"/>
            </w:tcBorders>
            <w:shd w:val="clear" w:color="auto" w:fill="auto"/>
            <w:hideMark/>
          </w:tcPr>
          <w:p w14:paraId="1A06A2A0"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 </w:t>
            </w:r>
          </w:p>
        </w:tc>
        <w:tc>
          <w:tcPr>
            <w:tcW w:w="1439" w:type="dxa"/>
            <w:tcBorders>
              <w:top w:val="nil"/>
              <w:left w:val="nil"/>
              <w:bottom w:val="single" w:sz="4" w:space="0" w:color="auto"/>
              <w:right w:val="single" w:sz="4" w:space="0" w:color="auto"/>
            </w:tcBorders>
            <w:shd w:val="clear" w:color="auto" w:fill="auto"/>
            <w:hideMark/>
          </w:tcPr>
          <w:p w14:paraId="0B998AC0"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 </w:t>
            </w:r>
          </w:p>
        </w:tc>
        <w:tc>
          <w:tcPr>
            <w:tcW w:w="1797" w:type="dxa"/>
            <w:tcBorders>
              <w:top w:val="nil"/>
              <w:left w:val="nil"/>
              <w:bottom w:val="single" w:sz="4" w:space="0" w:color="auto"/>
              <w:right w:val="single" w:sz="4" w:space="0" w:color="auto"/>
            </w:tcBorders>
            <w:shd w:val="clear" w:color="auto" w:fill="auto"/>
            <w:noWrap/>
            <w:hideMark/>
          </w:tcPr>
          <w:p w14:paraId="1C6CAB30"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 </w:t>
            </w:r>
          </w:p>
        </w:tc>
        <w:tc>
          <w:tcPr>
            <w:tcW w:w="4421" w:type="dxa"/>
            <w:tcBorders>
              <w:top w:val="nil"/>
              <w:left w:val="nil"/>
              <w:bottom w:val="single" w:sz="4" w:space="0" w:color="auto"/>
              <w:right w:val="single" w:sz="4" w:space="0" w:color="auto"/>
            </w:tcBorders>
            <w:shd w:val="clear" w:color="auto" w:fill="auto"/>
            <w:noWrap/>
            <w:hideMark/>
          </w:tcPr>
          <w:p w14:paraId="0FF01633"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 </w:t>
            </w:r>
          </w:p>
        </w:tc>
      </w:tr>
      <w:tr w:rsidR="00862DB0" w:rsidRPr="003B6A69" w14:paraId="36D5807A" w14:textId="77777777" w:rsidTr="00464028">
        <w:trPr>
          <w:trHeight w:val="548"/>
        </w:trPr>
        <w:tc>
          <w:tcPr>
            <w:tcW w:w="13889" w:type="dxa"/>
            <w:gridSpan w:val="7"/>
            <w:tcBorders>
              <w:top w:val="single" w:sz="4" w:space="0" w:color="auto"/>
              <w:left w:val="single" w:sz="4" w:space="0" w:color="auto"/>
              <w:bottom w:val="single" w:sz="4" w:space="0" w:color="auto"/>
              <w:right w:val="nil"/>
            </w:tcBorders>
            <w:shd w:val="clear" w:color="auto" w:fill="auto"/>
            <w:vAlign w:val="center"/>
            <w:hideMark/>
          </w:tcPr>
          <w:p w14:paraId="6206B834" w14:textId="77777777" w:rsidR="00862DB0" w:rsidRPr="003B6A69" w:rsidRDefault="00862DB0" w:rsidP="00862DB0">
            <w:pPr>
              <w:spacing w:after="0"/>
              <w:jc w:val="left"/>
              <w:rPr>
                <w:rFonts w:eastAsia="Times New Roman"/>
                <w:b/>
                <w:bCs/>
                <w:color w:val="000000"/>
                <w:sz w:val="16"/>
                <w:szCs w:val="16"/>
              </w:rPr>
            </w:pPr>
            <w:r w:rsidRPr="003B6A69">
              <w:rPr>
                <w:rFonts w:eastAsia="Times New Roman"/>
                <w:b/>
                <w:bCs/>
                <w:color w:val="000000"/>
                <w:sz w:val="16"/>
                <w:szCs w:val="16"/>
              </w:rPr>
              <w:t>Investment for Development Fund</w:t>
            </w:r>
          </w:p>
        </w:tc>
      </w:tr>
      <w:tr w:rsidR="00862DB0" w:rsidRPr="003B6A69" w14:paraId="4FB3DFEC" w14:textId="77777777" w:rsidTr="009E297C">
        <w:trPr>
          <w:trHeight w:val="1529"/>
        </w:trPr>
        <w:tc>
          <w:tcPr>
            <w:tcW w:w="1647" w:type="dxa"/>
            <w:tcBorders>
              <w:top w:val="single" w:sz="4" w:space="0" w:color="auto"/>
              <w:left w:val="single" w:sz="4" w:space="0" w:color="auto"/>
              <w:bottom w:val="single" w:sz="4" w:space="0" w:color="auto"/>
              <w:right w:val="nil"/>
            </w:tcBorders>
            <w:shd w:val="clear" w:color="auto" w:fill="auto"/>
            <w:hideMark/>
          </w:tcPr>
          <w:p w14:paraId="37AE9D24"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Green finance for private businesses</w:t>
            </w:r>
          </w:p>
        </w:tc>
        <w:tc>
          <w:tcPr>
            <w:tcW w:w="1068" w:type="dxa"/>
            <w:tcBorders>
              <w:top w:val="nil"/>
              <w:left w:val="single" w:sz="4" w:space="0" w:color="auto"/>
              <w:bottom w:val="single" w:sz="4" w:space="0" w:color="auto"/>
              <w:right w:val="single" w:sz="4" w:space="0" w:color="auto"/>
            </w:tcBorders>
            <w:shd w:val="clear" w:color="auto" w:fill="auto"/>
            <w:noWrap/>
            <w:hideMark/>
          </w:tcPr>
          <w:p w14:paraId="40CF393B" w14:textId="32DBF5ED" w:rsidR="00862DB0" w:rsidRPr="00FB1AF4" w:rsidRDefault="009E297C" w:rsidP="00862DB0">
            <w:pPr>
              <w:spacing w:after="0"/>
              <w:jc w:val="left"/>
              <w:rPr>
                <w:rFonts w:eastAsia="Times New Roman"/>
                <w:color w:val="000000"/>
                <w:sz w:val="16"/>
                <w:szCs w:val="16"/>
                <w:highlight w:val="green"/>
              </w:rPr>
            </w:pPr>
            <w:r w:rsidRPr="00FB1AF4">
              <w:rPr>
                <w:rFonts w:eastAsia="Times New Roman"/>
                <w:color w:val="000000"/>
                <w:sz w:val="16"/>
                <w:szCs w:val="16"/>
                <w:highlight w:val="green"/>
              </w:rPr>
              <w:t>Public Investment</w:t>
            </w:r>
          </w:p>
        </w:tc>
        <w:tc>
          <w:tcPr>
            <w:tcW w:w="1698" w:type="dxa"/>
            <w:tcBorders>
              <w:top w:val="nil"/>
              <w:left w:val="nil"/>
              <w:bottom w:val="single" w:sz="4" w:space="0" w:color="auto"/>
              <w:right w:val="single" w:sz="4" w:space="0" w:color="auto"/>
            </w:tcBorders>
            <w:shd w:val="clear" w:color="auto" w:fill="auto"/>
            <w:noWrap/>
            <w:hideMark/>
          </w:tcPr>
          <w:p w14:paraId="68D36D63"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 xml:space="preserve">                          5,518,764 </w:t>
            </w:r>
          </w:p>
        </w:tc>
        <w:tc>
          <w:tcPr>
            <w:tcW w:w="1819" w:type="dxa"/>
            <w:tcBorders>
              <w:top w:val="nil"/>
              <w:left w:val="nil"/>
              <w:bottom w:val="single" w:sz="4" w:space="0" w:color="auto"/>
              <w:right w:val="single" w:sz="4" w:space="0" w:color="auto"/>
            </w:tcBorders>
            <w:shd w:val="clear" w:color="auto" w:fill="auto"/>
            <w:hideMark/>
          </w:tcPr>
          <w:p w14:paraId="121870D2" w14:textId="47B314CE" w:rsidR="00862DB0" w:rsidRPr="003B6A69" w:rsidRDefault="00862DB0" w:rsidP="009E297C">
            <w:pPr>
              <w:spacing w:after="0"/>
              <w:jc w:val="left"/>
              <w:rPr>
                <w:rFonts w:eastAsia="Times New Roman"/>
                <w:color w:val="000000"/>
                <w:sz w:val="16"/>
                <w:szCs w:val="16"/>
              </w:rPr>
            </w:pPr>
            <w:r w:rsidRPr="003B6A69">
              <w:rPr>
                <w:rFonts w:eastAsia="Times New Roman"/>
                <w:color w:val="000000"/>
                <w:sz w:val="16"/>
                <w:szCs w:val="16"/>
              </w:rPr>
              <w:t xml:space="preserve">Green finance strategy and </w:t>
            </w:r>
            <w:r w:rsidR="009E297C">
              <w:rPr>
                <w:rFonts w:eastAsia="Times New Roman"/>
                <w:color w:val="000000"/>
                <w:sz w:val="16"/>
                <w:szCs w:val="16"/>
              </w:rPr>
              <w:t>extra</w:t>
            </w:r>
            <w:r w:rsidRPr="003B6A69">
              <w:rPr>
                <w:rFonts w:eastAsia="Times New Roman"/>
                <w:color w:val="000000"/>
                <w:sz w:val="16"/>
                <w:szCs w:val="16"/>
              </w:rPr>
              <w:t xml:space="preserve"> funds to support vulnerable groups and to improve living conditions in rural areas</w:t>
            </w:r>
          </w:p>
        </w:tc>
        <w:tc>
          <w:tcPr>
            <w:tcW w:w="1439" w:type="dxa"/>
            <w:tcBorders>
              <w:top w:val="nil"/>
              <w:left w:val="nil"/>
              <w:bottom w:val="single" w:sz="4" w:space="0" w:color="auto"/>
              <w:right w:val="single" w:sz="4" w:space="0" w:color="auto"/>
            </w:tcBorders>
            <w:shd w:val="clear" w:color="auto" w:fill="auto"/>
            <w:hideMark/>
          </w:tcPr>
          <w:p w14:paraId="4EACD372"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Output 4.2</w:t>
            </w:r>
          </w:p>
        </w:tc>
        <w:tc>
          <w:tcPr>
            <w:tcW w:w="1797" w:type="dxa"/>
            <w:tcBorders>
              <w:top w:val="nil"/>
              <w:left w:val="nil"/>
              <w:bottom w:val="single" w:sz="4" w:space="0" w:color="auto"/>
              <w:right w:val="single" w:sz="4" w:space="0" w:color="auto"/>
            </w:tcBorders>
            <w:shd w:val="clear" w:color="auto" w:fill="auto"/>
            <w:hideMark/>
          </w:tcPr>
          <w:p w14:paraId="5738AE3B"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Insufficient coordination between the two parallel projects may result of lower efficiency of inputs/funding</w:t>
            </w:r>
          </w:p>
        </w:tc>
        <w:tc>
          <w:tcPr>
            <w:tcW w:w="4421" w:type="dxa"/>
            <w:tcBorders>
              <w:top w:val="nil"/>
              <w:left w:val="nil"/>
              <w:bottom w:val="single" w:sz="4" w:space="0" w:color="auto"/>
              <w:right w:val="single" w:sz="4" w:space="0" w:color="auto"/>
            </w:tcBorders>
            <w:shd w:val="clear" w:color="auto" w:fill="auto"/>
            <w:hideMark/>
          </w:tcPr>
          <w:p w14:paraId="3480E3E7" w14:textId="6B57A510"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 xml:space="preserve">The project team will be in regular contact with the </w:t>
            </w:r>
            <w:proofErr w:type="gramStart"/>
            <w:r w:rsidRPr="003B6A69">
              <w:rPr>
                <w:rFonts w:eastAsia="Times New Roman"/>
                <w:color w:val="000000"/>
                <w:sz w:val="16"/>
                <w:szCs w:val="16"/>
              </w:rPr>
              <w:t>project  focal</w:t>
            </w:r>
            <w:proofErr w:type="gramEnd"/>
            <w:r w:rsidRPr="003B6A69">
              <w:rPr>
                <w:rFonts w:eastAsia="Times New Roman"/>
                <w:color w:val="000000"/>
                <w:sz w:val="16"/>
                <w:szCs w:val="16"/>
              </w:rPr>
              <w:t xml:space="preserve"> points in MAFWM in order to monitor the status of planned expenditures and committed co-financing, and ensure synergies between  the two projects for better finance eff</w:t>
            </w:r>
            <w:r w:rsidR="00AE6C8E" w:rsidRPr="003B6A69">
              <w:rPr>
                <w:rFonts w:eastAsia="Times New Roman"/>
                <w:color w:val="000000"/>
                <w:sz w:val="16"/>
                <w:szCs w:val="16"/>
              </w:rPr>
              <w:t>ic</w:t>
            </w:r>
            <w:r w:rsidRPr="003B6A69">
              <w:rPr>
                <w:rFonts w:eastAsia="Times New Roman"/>
                <w:color w:val="000000"/>
                <w:sz w:val="16"/>
                <w:szCs w:val="16"/>
              </w:rPr>
              <w:t xml:space="preserve">iency </w:t>
            </w:r>
          </w:p>
        </w:tc>
      </w:tr>
      <w:tr w:rsidR="00862DB0" w:rsidRPr="003B6A69" w14:paraId="4F40E28B" w14:textId="77777777" w:rsidTr="00B76926">
        <w:trPr>
          <w:trHeight w:val="1416"/>
        </w:trPr>
        <w:tc>
          <w:tcPr>
            <w:tcW w:w="2715"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42A233C1" w14:textId="77777777" w:rsidR="00862DB0" w:rsidRPr="003B6A69" w:rsidRDefault="00862DB0" w:rsidP="00862DB0">
            <w:pPr>
              <w:spacing w:after="0"/>
              <w:jc w:val="center"/>
              <w:rPr>
                <w:rFonts w:eastAsia="Times New Roman"/>
                <w:b/>
                <w:bCs/>
                <w:color w:val="000000"/>
                <w:sz w:val="16"/>
                <w:szCs w:val="16"/>
              </w:rPr>
            </w:pPr>
            <w:r w:rsidRPr="003B6A69">
              <w:rPr>
                <w:rFonts w:eastAsia="Times New Roman"/>
                <w:b/>
                <w:bCs/>
                <w:color w:val="000000"/>
                <w:sz w:val="16"/>
                <w:szCs w:val="16"/>
              </w:rPr>
              <w:t>Subtotal for the Investment for Development Fund</w:t>
            </w:r>
          </w:p>
        </w:tc>
        <w:tc>
          <w:tcPr>
            <w:tcW w:w="1698" w:type="dxa"/>
            <w:tcBorders>
              <w:top w:val="nil"/>
              <w:left w:val="nil"/>
              <w:bottom w:val="single" w:sz="4" w:space="0" w:color="auto"/>
              <w:right w:val="single" w:sz="4" w:space="0" w:color="auto"/>
            </w:tcBorders>
            <w:shd w:val="clear" w:color="auto" w:fill="auto"/>
            <w:noWrap/>
            <w:hideMark/>
          </w:tcPr>
          <w:p w14:paraId="63A856D7" w14:textId="77777777" w:rsidR="00862DB0" w:rsidRPr="003B6A69" w:rsidRDefault="00862DB0" w:rsidP="00862DB0">
            <w:pPr>
              <w:spacing w:after="0"/>
              <w:jc w:val="left"/>
              <w:rPr>
                <w:rFonts w:eastAsia="Times New Roman"/>
                <w:b/>
                <w:bCs/>
                <w:color w:val="000000"/>
                <w:sz w:val="16"/>
                <w:szCs w:val="16"/>
              </w:rPr>
            </w:pPr>
            <w:r w:rsidRPr="003B6A69">
              <w:rPr>
                <w:rFonts w:eastAsia="Times New Roman"/>
                <w:b/>
                <w:bCs/>
                <w:color w:val="000000"/>
                <w:sz w:val="16"/>
                <w:szCs w:val="16"/>
              </w:rPr>
              <w:t xml:space="preserve">                          5,518,764 </w:t>
            </w:r>
          </w:p>
        </w:tc>
        <w:tc>
          <w:tcPr>
            <w:tcW w:w="1819" w:type="dxa"/>
            <w:tcBorders>
              <w:top w:val="nil"/>
              <w:left w:val="nil"/>
              <w:bottom w:val="single" w:sz="4" w:space="0" w:color="auto"/>
              <w:right w:val="single" w:sz="4" w:space="0" w:color="auto"/>
            </w:tcBorders>
            <w:shd w:val="clear" w:color="auto" w:fill="auto"/>
            <w:hideMark/>
          </w:tcPr>
          <w:p w14:paraId="4C186D3E"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 </w:t>
            </w:r>
          </w:p>
        </w:tc>
        <w:tc>
          <w:tcPr>
            <w:tcW w:w="1439" w:type="dxa"/>
            <w:tcBorders>
              <w:top w:val="nil"/>
              <w:left w:val="nil"/>
              <w:bottom w:val="single" w:sz="4" w:space="0" w:color="auto"/>
              <w:right w:val="single" w:sz="4" w:space="0" w:color="auto"/>
            </w:tcBorders>
            <w:shd w:val="clear" w:color="auto" w:fill="auto"/>
            <w:hideMark/>
          </w:tcPr>
          <w:p w14:paraId="6023B605"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 </w:t>
            </w:r>
          </w:p>
        </w:tc>
        <w:tc>
          <w:tcPr>
            <w:tcW w:w="1797" w:type="dxa"/>
            <w:tcBorders>
              <w:top w:val="nil"/>
              <w:left w:val="nil"/>
              <w:bottom w:val="single" w:sz="4" w:space="0" w:color="auto"/>
              <w:right w:val="single" w:sz="4" w:space="0" w:color="auto"/>
            </w:tcBorders>
            <w:shd w:val="clear" w:color="auto" w:fill="auto"/>
            <w:noWrap/>
            <w:hideMark/>
          </w:tcPr>
          <w:p w14:paraId="550AB721"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 </w:t>
            </w:r>
          </w:p>
        </w:tc>
        <w:tc>
          <w:tcPr>
            <w:tcW w:w="4421" w:type="dxa"/>
            <w:tcBorders>
              <w:top w:val="nil"/>
              <w:left w:val="nil"/>
              <w:bottom w:val="single" w:sz="4" w:space="0" w:color="auto"/>
              <w:right w:val="single" w:sz="4" w:space="0" w:color="auto"/>
            </w:tcBorders>
            <w:shd w:val="clear" w:color="auto" w:fill="auto"/>
            <w:noWrap/>
            <w:hideMark/>
          </w:tcPr>
          <w:p w14:paraId="17205A9C"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 </w:t>
            </w:r>
          </w:p>
        </w:tc>
      </w:tr>
      <w:tr w:rsidR="00862DB0" w:rsidRPr="003B6A69" w14:paraId="3892F346" w14:textId="77777777" w:rsidTr="00B76926">
        <w:trPr>
          <w:trHeight w:val="660"/>
        </w:trPr>
        <w:tc>
          <w:tcPr>
            <w:tcW w:w="13889" w:type="dxa"/>
            <w:gridSpan w:val="7"/>
            <w:tcBorders>
              <w:top w:val="single" w:sz="4" w:space="0" w:color="auto"/>
              <w:left w:val="single" w:sz="4" w:space="0" w:color="auto"/>
              <w:bottom w:val="single" w:sz="4" w:space="0" w:color="auto"/>
              <w:right w:val="nil"/>
            </w:tcBorders>
            <w:shd w:val="clear" w:color="auto" w:fill="auto"/>
            <w:vAlign w:val="center"/>
            <w:hideMark/>
          </w:tcPr>
          <w:p w14:paraId="073FE077" w14:textId="77777777" w:rsidR="00862DB0" w:rsidRPr="003B6A69" w:rsidRDefault="00862DB0" w:rsidP="00862DB0">
            <w:pPr>
              <w:spacing w:after="0"/>
              <w:jc w:val="left"/>
              <w:rPr>
                <w:rFonts w:eastAsia="Times New Roman"/>
                <w:b/>
                <w:bCs/>
                <w:color w:val="000000"/>
                <w:sz w:val="16"/>
                <w:szCs w:val="16"/>
              </w:rPr>
            </w:pPr>
            <w:r w:rsidRPr="003B6A69">
              <w:rPr>
                <w:rFonts w:eastAsia="Times New Roman"/>
                <w:b/>
                <w:bCs/>
                <w:color w:val="000000"/>
                <w:sz w:val="16"/>
                <w:szCs w:val="16"/>
              </w:rPr>
              <w:lastRenderedPageBreak/>
              <w:t>Nature and Environmental Protection Agency (NEPA)</w:t>
            </w:r>
          </w:p>
        </w:tc>
      </w:tr>
      <w:tr w:rsidR="00862DB0" w:rsidRPr="003B6A69" w14:paraId="32F53754" w14:textId="77777777" w:rsidTr="00B76926">
        <w:trPr>
          <w:trHeight w:val="1224"/>
        </w:trPr>
        <w:tc>
          <w:tcPr>
            <w:tcW w:w="1647" w:type="dxa"/>
            <w:tcBorders>
              <w:top w:val="nil"/>
              <w:left w:val="single" w:sz="4" w:space="0" w:color="auto"/>
              <w:bottom w:val="single" w:sz="4" w:space="0" w:color="auto"/>
              <w:right w:val="single" w:sz="4" w:space="0" w:color="auto"/>
            </w:tcBorders>
            <w:shd w:val="clear" w:color="auto" w:fill="auto"/>
            <w:hideMark/>
          </w:tcPr>
          <w:p w14:paraId="788B8730"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Establishment of the Natura 2000 network in Montenegro financed through the state budget</w:t>
            </w:r>
          </w:p>
        </w:tc>
        <w:tc>
          <w:tcPr>
            <w:tcW w:w="1068" w:type="dxa"/>
            <w:tcBorders>
              <w:top w:val="nil"/>
              <w:left w:val="nil"/>
              <w:bottom w:val="single" w:sz="4" w:space="0" w:color="auto"/>
              <w:right w:val="single" w:sz="4" w:space="0" w:color="auto"/>
            </w:tcBorders>
            <w:shd w:val="clear" w:color="auto" w:fill="auto"/>
            <w:noWrap/>
            <w:hideMark/>
          </w:tcPr>
          <w:p w14:paraId="1BCE3693" w14:textId="72E01CD3" w:rsidR="00862DB0" w:rsidRPr="00FB1AF4" w:rsidRDefault="009E297C" w:rsidP="00862DB0">
            <w:pPr>
              <w:spacing w:after="0"/>
              <w:jc w:val="left"/>
              <w:rPr>
                <w:rFonts w:eastAsia="Times New Roman"/>
                <w:color w:val="000000"/>
                <w:sz w:val="16"/>
                <w:szCs w:val="16"/>
                <w:highlight w:val="green"/>
              </w:rPr>
            </w:pPr>
            <w:r w:rsidRPr="00FB1AF4">
              <w:rPr>
                <w:rFonts w:eastAsia="Times New Roman"/>
                <w:color w:val="000000"/>
                <w:sz w:val="16"/>
                <w:szCs w:val="16"/>
                <w:highlight w:val="green"/>
              </w:rPr>
              <w:t>Public Investment</w:t>
            </w:r>
          </w:p>
        </w:tc>
        <w:tc>
          <w:tcPr>
            <w:tcW w:w="1698" w:type="dxa"/>
            <w:tcBorders>
              <w:top w:val="nil"/>
              <w:left w:val="nil"/>
              <w:bottom w:val="single" w:sz="4" w:space="0" w:color="auto"/>
              <w:right w:val="single" w:sz="4" w:space="0" w:color="auto"/>
            </w:tcBorders>
            <w:shd w:val="clear" w:color="auto" w:fill="auto"/>
            <w:noWrap/>
            <w:hideMark/>
          </w:tcPr>
          <w:p w14:paraId="51105BE0"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 xml:space="preserve">                          1,173,709 </w:t>
            </w:r>
          </w:p>
        </w:tc>
        <w:tc>
          <w:tcPr>
            <w:tcW w:w="1819" w:type="dxa"/>
            <w:tcBorders>
              <w:top w:val="nil"/>
              <w:left w:val="nil"/>
              <w:bottom w:val="single" w:sz="4" w:space="0" w:color="auto"/>
              <w:right w:val="single" w:sz="4" w:space="0" w:color="auto"/>
            </w:tcBorders>
            <w:shd w:val="clear" w:color="auto" w:fill="auto"/>
            <w:hideMark/>
          </w:tcPr>
          <w:p w14:paraId="7BA17C3C"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2021 state budget only</w:t>
            </w:r>
          </w:p>
        </w:tc>
        <w:tc>
          <w:tcPr>
            <w:tcW w:w="1439" w:type="dxa"/>
            <w:tcBorders>
              <w:top w:val="nil"/>
              <w:left w:val="nil"/>
              <w:bottom w:val="single" w:sz="4" w:space="0" w:color="auto"/>
              <w:right w:val="single" w:sz="4" w:space="0" w:color="auto"/>
            </w:tcBorders>
            <w:shd w:val="clear" w:color="auto" w:fill="auto"/>
            <w:hideMark/>
          </w:tcPr>
          <w:p w14:paraId="7D27FE28"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Output 2.1</w:t>
            </w:r>
          </w:p>
        </w:tc>
        <w:tc>
          <w:tcPr>
            <w:tcW w:w="1797" w:type="dxa"/>
            <w:tcBorders>
              <w:top w:val="nil"/>
              <w:left w:val="nil"/>
              <w:bottom w:val="single" w:sz="4" w:space="0" w:color="auto"/>
              <w:right w:val="single" w:sz="4" w:space="0" w:color="auto"/>
            </w:tcBorders>
            <w:shd w:val="clear" w:color="auto" w:fill="auto"/>
            <w:hideMark/>
          </w:tcPr>
          <w:p w14:paraId="024E482F"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Budget sequestration</w:t>
            </w:r>
          </w:p>
        </w:tc>
        <w:tc>
          <w:tcPr>
            <w:tcW w:w="4421" w:type="dxa"/>
            <w:tcBorders>
              <w:top w:val="nil"/>
              <w:left w:val="nil"/>
              <w:bottom w:val="single" w:sz="4" w:space="0" w:color="auto"/>
              <w:right w:val="single" w:sz="4" w:space="0" w:color="auto"/>
            </w:tcBorders>
            <w:shd w:val="clear" w:color="auto" w:fill="auto"/>
            <w:hideMark/>
          </w:tcPr>
          <w:p w14:paraId="1033EC19"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 xml:space="preserve">The project team will be in regular contact NEPA </w:t>
            </w:r>
            <w:proofErr w:type="gramStart"/>
            <w:r w:rsidRPr="003B6A69">
              <w:rPr>
                <w:rFonts w:eastAsia="Times New Roman"/>
                <w:color w:val="000000"/>
                <w:sz w:val="16"/>
                <w:szCs w:val="16"/>
              </w:rPr>
              <w:t>and  the</w:t>
            </w:r>
            <w:proofErr w:type="gramEnd"/>
            <w:r w:rsidRPr="003B6A69">
              <w:rPr>
                <w:rFonts w:eastAsia="Times New Roman"/>
                <w:color w:val="000000"/>
                <w:sz w:val="16"/>
                <w:szCs w:val="16"/>
              </w:rPr>
              <w:t xml:space="preserve"> Natura 2000 project team (once in place)  in order to monitor the status of planned expenditures and committed co-financing</w:t>
            </w:r>
          </w:p>
        </w:tc>
      </w:tr>
      <w:tr w:rsidR="00862DB0" w:rsidRPr="003B6A69" w14:paraId="007E1A1A" w14:textId="77777777" w:rsidTr="00B76926">
        <w:trPr>
          <w:trHeight w:val="1752"/>
        </w:trPr>
        <w:tc>
          <w:tcPr>
            <w:tcW w:w="1647" w:type="dxa"/>
            <w:tcBorders>
              <w:top w:val="nil"/>
              <w:left w:val="single" w:sz="4" w:space="0" w:color="auto"/>
              <w:bottom w:val="single" w:sz="4" w:space="0" w:color="auto"/>
              <w:right w:val="single" w:sz="4" w:space="0" w:color="auto"/>
            </w:tcBorders>
            <w:shd w:val="clear" w:color="auto" w:fill="auto"/>
            <w:hideMark/>
          </w:tcPr>
          <w:p w14:paraId="04585D7F" w14:textId="77777777" w:rsidR="00862DB0" w:rsidRPr="003B6A69" w:rsidRDefault="00862DB0" w:rsidP="00862DB0">
            <w:pPr>
              <w:spacing w:after="0"/>
              <w:jc w:val="left"/>
              <w:rPr>
                <w:rFonts w:eastAsia="Times New Roman"/>
                <w:sz w:val="16"/>
                <w:szCs w:val="16"/>
              </w:rPr>
            </w:pPr>
            <w:r w:rsidRPr="003B6A69">
              <w:rPr>
                <w:rFonts w:eastAsia="Times New Roman"/>
                <w:sz w:val="16"/>
                <w:szCs w:val="16"/>
              </w:rPr>
              <w:t xml:space="preserve">Supporting the Western Balkan region </w:t>
            </w:r>
            <w:proofErr w:type="gramStart"/>
            <w:r w:rsidRPr="003B6A69">
              <w:rPr>
                <w:rFonts w:eastAsia="Times New Roman"/>
                <w:sz w:val="16"/>
                <w:szCs w:val="16"/>
              </w:rPr>
              <w:t>with regard to</w:t>
            </w:r>
            <w:proofErr w:type="gramEnd"/>
            <w:r w:rsidRPr="003B6A69">
              <w:rPr>
                <w:rFonts w:eastAsia="Times New Roman"/>
                <w:sz w:val="16"/>
                <w:szCs w:val="16"/>
              </w:rPr>
              <w:t xml:space="preserve"> harmonization with EU conservation and climate directives, in order to promote Hungarian knowledge transfer into the Balkans' nature conservation sector as financed by the Government of Hungary and </w:t>
            </w:r>
            <w:proofErr w:type="spellStart"/>
            <w:r w:rsidRPr="003B6A69">
              <w:rPr>
                <w:rFonts w:eastAsia="Times New Roman"/>
                <w:sz w:val="16"/>
                <w:szCs w:val="16"/>
              </w:rPr>
              <w:t>Bioaqua</w:t>
            </w:r>
            <w:proofErr w:type="spellEnd"/>
            <w:r w:rsidRPr="003B6A69">
              <w:rPr>
                <w:rFonts w:eastAsia="Times New Roman"/>
                <w:sz w:val="16"/>
                <w:szCs w:val="16"/>
              </w:rPr>
              <w:t xml:space="preserve"> Pro </w:t>
            </w:r>
            <w:proofErr w:type="spellStart"/>
            <w:r w:rsidRPr="003B6A69">
              <w:rPr>
                <w:rFonts w:eastAsia="Times New Roman"/>
                <w:sz w:val="16"/>
                <w:szCs w:val="16"/>
              </w:rPr>
              <w:t>Kft</w:t>
            </w:r>
            <w:proofErr w:type="spellEnd"/>
            <w:r w:rsidRPr="003B6A69">
              <w:rPr>
                <w:rFonts w:eastAsia="Times New Roman"/>
                <w:sz w:val="16"/>
                <w:szCs w:val="16"/>
              </w:rPr>
              <w:t>. The Project duration is 2020-2022</w:t>
            </w:r>
          </w:p>
        </w:tc>
        <w:tc>
          <w:tcPr>
            <w:tcW w:w="1068" w:type="dxa"/>
            <w:tcBorders>
              <w:top w:val="nil"/>
              <w:left w:val="nil"/>
              <w:bottom w:val="single" w:sz="4" w:space="0" w:color="auto"/>
              <w:right w:val="single" w:sz="4" w:space="0" w:color="auto"/>
            </w:tcBorders>
            <w:shd w:val="clear" w:color="auto" w:fill="auto"/>
            <w:noWrap/>
            <w:hideMark/>
          </w:tcPr>
          <w:p w14:paraId="4D078BA8"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Grant</w:t>
            </w:r>
          </w:p>
        </w:tc>
        <w:tc>
          <w:tcPr>
            <w:tcW w:w="1698" w:type="dxa"/>
            <w:tcBorders>
              <w:top w:val="nil"/>
              <w:left w:val="nil"/>
              <w:bottom w:val="single" w:sz="4" w:space="0" w:color="auto"/>
              <w:right w:val="single" w:sz="4" w:space="0" w:color="auto"/>
            </w:tcBorders>
            <w:shd w:val="clear" w:color="auto" w:fill="auto"/>
            <w:noWrap/>
            <w:hideMark/>
          </w:tcPr>
          <w:p w14:paraId="3585808D"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 xml:space="preserve">                                31,690 </w:t>
            </w:r>
          </w:p>
        </w:tc>
        <w:tc>
          <w:tcPr>
            <w:tcW w:w="1819" w:type="dxa"/>
            <w:tcBorders>
              <w:top w:val="nil"/>
              <w:left w:val="nil"/>
              <w:bottom w:val="single" w:sz="4" w:space="0" w:color="auto"/>
              <w:right w:val="single" w:sz="4" w:space="0" w:color="auto"/>
            </w:tcBorders>
            <w:shd w:val="clear" w:color="auto" w:fill="auto"/>
            <w:hideMark/>
          </w:tcPr>
          <w:p w14:paraId="5DA176DD" w14:textId="77777777" w:rsidR="00862DB0" w:rsidRPr="003B6A69" w:rsidRDefault="00862DB0" w:rsidP="00862DB0">
            <w:pPr>
              <w:spacing w:after="0"/>
              <w:jc w:val="left"/>
              <w:rPr>
                <w:rFonts w:eastAsia="Times New Roman"/>
                <w:sz w:val="16"/>
                <w:szCs w:val="16"/>
              </w:rPr>
            </w:pPr>
            <w:r w:rsidRPr="003B6A69">
              <w:rPr>
                <w:rFonts w:eastAsia="Times New Roman"/>
                <w:sz w:val="16"/>
                <w:szCs w:val="16"/>
              </w:rPr>
              <w:t>The Project duration is 2020-2022</w:t>
            </w:r>
          </w:p>
        </w:tc>
        <w:tc>
          <w:tcPr>
            <w:tcW w:w="1439" w:type="dxa"/>
            <w:tcBorders>
              <w:top w:val="nil"/>
              <w:left w:val="nil"/>
              <w:bottom w:val="single" w:sz="4" w:space="0" w:color="auto"/>
              <w:right w:val="single" w:sz="4" w:space="0" w:color="auto"/>
            </w:tcBorders>
            <w:shd w:val="clear" w:color="auto" w:fill="auto"/>
            <w:hideMark/>
          </w:tcPr>
          <w:p w14:paraId="1659EDBB"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Output 2.1</w:t>
            </w:r>
          </w:p>
        </w:tc>
        <w:tc>
          <w:tcPr>
            <w:tcW w:w="1797" w:type="dxa"/>
            <w:tcBorders>
              <w:top w:val="nil"/>
              <w:left w:val="nil"/>
              <w:bottom w:val="single" w:sz="4" w:space="0" w:color="auto"/>
              <w:right w:val="single" w:sz="4" w:space="0" w:color="auto"/>
            </w:tcBorders>
            <w:shd w:val="clear" w:color="auto" w:fill="auto"/>
            <w:hideMark/>
          </w:tcPr>
          <w:p w14:paraId="1301D290"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 </w:t>
            </w:r>
          </w:p>
        </w:tc>
        <w:tc>
          <w:tcPr>
            <w:tcW w:w="4421" w:type="dxa"/>
            <w:tcBorders>
              <w:top w:val="nil"/>
              <w:left w:val="nil"/>
              <w:bottom w:val="single" w:sz="4" w:space="0" w:color="auto"/>
              <w:right w:val="single" w:sz="4" w:space="0" w:color="auto"/>
            </w:tcBorders>
            <w:shd w:val="clear" w:color="auto" w:fill="auto"/>
            <w:hideMark/>
          </w:tcPr>
          <w:p w14:paraId="47F7978F"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 xml:space="preserve">The project team will be in regular contact with the parallel project </w:t>
            </w:r>
            <w:proofErr w:type="gramStart"/>
            <w:r w:rsidRPr="003B6A69">
              <w:rPr>
                <w:rFonts w:eastAsia="Times New Roman"/>
                <w:color w:val="000000"/>
                <w:sz w:val="16"/>
                <w:szCs w:val="16"/>
              </w:rPr>
              <w:t>team  in</w:t>
            </w:r>
            <w:proofErr w:type="gramEnd"/>
            <w:r w:rsidRPr="003B6A69">
              <w:rPr>
                <w:rFonts w:eastAsia="Times New Roman"/>
                <w:color w:val="000000"/>
                <w:sz w:val="16"/>
                <w:szCs w:val="16"/>
              </w:rPr>
              <w:t xml:space="preserve"> order to monitor the status of planned expenditures and committed co-financing</w:t>
            </w:r>
          </w:p>
        </w:tc>
      </w:tr>
      <w:tr w:rsidR="00862DB0" w:rsidRPr="003B6A69" w14:paraId="16E0A25A" w14:textId="77777777" w:rsidTr="00B76926">
        <w:trPr>
          <w:trHeight w:val="408"/>
        </w:trPr>
        <w:tc>
          <w:tcPr>
            <w:tcW w:w="1647" w:type="dxa"/>
            <w:tcBorders>
              <w:top w:val="nil"/>
              <w:left w:val="single" w:sz="4" w:space="0" w:color="auto"/>
              <w:bottom w:val="single" w:sz="4" w:space="0" w:color="auto"/>
              <w:right w:val="single" w:sz="4" w:space="0" w:color="auto"/>
            </w:tcBorders>
            <w:shd w:val="clear" w:color="auto" w:fill="auto"/>
            <w:hideMark/>
          </w:tcPr>
          <w:p w14:paraId="00BC0010"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 xml:space="preserve">In kind contribution </w:t>
            </w:r>
          </w:p>
        </w:tc>
        <w:tc>
          <w:tcPr>
            <w:tcW w:w="1068" w:type="dxa"/>
            <w:tcBorders>
              <w:top w:val="nil"/>
              <w:left w:val="nil"/>
              <w:bottom w:val="single" w:sz="4" w:space="0" w:color="auto"/>
              <w:right w:val="single" w:sz="4" w:space="0" w:color="auto"/>
            </w:tcBorders>
            <w:shd w:val="clear" w:color="auto" w:fill="auto"/>
            <w:noWrap/>
            <w:hideMark/>
          </w:tcPr>
          <w:p w14:paraId="475B0429"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In-kind</w:t>
            </w:r>
          </w:p>
        </w:tc>
        <w:tc>
          <w:tcPr>
            <w:tcW w:w="1698" w:type="dxa"/>
            <w:tcBorders>
              <w:top w:val="nil"/>
              <w:left w:val="nil"/>
              <w:bottom w:val="single" w:sz="4" w:space="0" w:color="auto"/>
              <w:right w:val="single" w:sz="4" w:space="0" w:color="auto"/>
            </w:tcBorders>
            <w:shd w:val="clear" w:color="auto" w:fill="auto"/>
            <w:noWrap/>
            <w:hideMark/>
          </w:tcPr>
          <w:p w14:paraId="09BB6D87"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 xml:space="preserve">                                14,085 </w:t>
            </w:r>
          </w:p>
        </w:tc>
        <w:tc>
          <w:tcPr>
            <w:tcW w:w="1819" w:type="dxa"/>
            <w:tcBorders>
              <w:top w:val="nil"/>
              <w:left w:val="nil"/>
              <w:bottom w:val="single" w:sz="4" w:space="0" w:color="auto"/>
              <w:right w:val="single" w:sz="4" w:space="0" w:color="auto"/>
            </w:tcBorders>
            <w:shd w:val="clear" w:color="auto" w:fill="auto"/>
            <w:hideMark/>
          </w:tcPr>
          <w:p w14:paraId="766589FD"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staff time, logistics and premises</w:t>
            </w:r>
          </w:p>
        </w:tc>
        <w:tc>
          <w:tcPr>
            <w:tcW w:w="1439" w:type="dxa"/>
            <w:tcBorders>
              <w:top w:val="nil"/>
              <w:left w:val="nil"/>
              <w:bottom w:val="single" w:sz="4" w:space="0" w:color="auto"/>
              <w:right w:val="single" w:sz="4" w:space="0" w:color="auto"/>
            </w:tcBorders>
            <w:shd w:val="clear" w:color="auto" w:fill="auto"/>
            <w:hideMark/>
          </w:tcPr>
          <w:p w14:paraId="306BA6B9"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 </w:t>
            </w:r>
          </w:p>
        </w:tc>
        <w:tc>
          <w:tcPr>
            <w:tcW w:w="1797" w:type="dxa"/>
            <w:tcBorders>
              <w:top w:val="nil"/>
              <w:left w:val="nil"/>
              <w:bottom w:val="single" w:sz="4" w:space="0" w:color="auto"/>
              <w:right w:val="single" w:sz="4" w:space="0" w:color="auto"/>
            </w:tcBorders>
            <w:shd w:val="clear" w:color="auto" w:fill="auto"/>
            <w:noWrap/>
            <w:hideMark/>
          </w:tcPr>
          <w:p w14:paraId="2CE7CBC5"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 </w:t>
            </w:r>
          </w:p>
        </w:tc>
        <w:tc>
          <w:tcPr>
            <w:tcW w:w="4421" w:type="dxa"/>
            <w:tcBorders>
              <w:top w:val="nil"/>
              <w:left w:val="nil"/>
              <w:bottom w:val="single" w:sz="4" w:space="0" w:color="auto"/>
              <w:right w:val="single" w:sz="4" w:space="0" w:color="auto"/>
            </w:tcBorders>
            <w:shd w:val="clear" w:color="auto" w:fill="auto"/>
            <w:noWrap/>
            <w:hideMark/>
          </w:tcPr>
          <w:p w14:paraId="5380FFC2"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 </w:t>
            </w:r>
          </w:p>
        </w:tc>
      </w:tr>
      <w:tr w:rsidR="00862DB0" w:rsidRPr="003B6A69" w14:paraId="60147CF3" w14:textId="77777777" w:rsidTr="00B76926">
        <w:trPr>
          <w:trHeight w:val="1416"/>
        </w:trPr>
        <w:tc>
          <w:tcPr>
            <w:tcW w:w="2715"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42C10740" w14:textId="77777777" w:rsidR="00862DB0" w:rsidRPr="003B6A69" w:rsidRDefault="00862DB0" w:rsidP="00862DB0">
            <w:pPr>
              <w:spacing w:after="0"/>
              <w:jc w:val="center"/>
              <w:rPr>
                <w:rFonts w:eastAsia="Times New Roman"/>
                <w:b/>
                <w:bCs/>
                <w:color w:val="000000"/>
                <w:sz w:val="16"/>
                <w:szCs w:val="16"/>
              </w:rPr>
            </w:pPr>
            <w:r w:rsidRPr="003B6A69">
              <w:rPr>
                <w:rFonts w:eastAsia="Times New Roman"/>
                <w:b/>
                <w:bCs/>
                <w:color w:val="000000"/>
                <w:sz w:val="16"/>
                <w:szCs w:val="16"/>
              </w:rPr>
              <w:t>Subtotal for Nature and Environmental Protection Agency (NEPA)</w:t>
            </w:r>
          </w:p>
        </w:tc>
        <w:tc>
          <w:tcPr>
            <w:tcW w:w="1698" w:type="dxa"/>
            <w:tcBorders>
              <w:top w:val="nil"/>
              <w:left w:val="nil"/>
              <w:bottom w:val="single" w:sz="4" w:space="0" w:color="auto"/>
              <w:right w:val="single" w:sz="4" w:space="0" w:color="auto"/>
            </w:tcBorders>
            <w:shd w:val="clear" w:color="auto" w:fill="auto"/>
            <w:noWrap/>
            <w:hideMark/>
          </w:tcPr>
          <w:p w14:paraId="023FF0B4" w14:textId="77777777" w:rsidR="00862DB0" w:rsidRPr="003B6A69" w:rsidRDefault="00862DB0" w:rsidP="00862DB0">
            <w:pPr>
              <w:spacing w:after="0"/>
              <w:jc w:val="left"/>
              <w:rPr>
                <w:rFonts w:eastAsia="Times New Roman"/>
                <w:b/>
                <w:bCs/>
                <w:color w:val="000000"/>
                <w:sz w:val="16"/>
                <w:szCs w:val="16"/>
              </w:rPr>
            </w:pPr>
            <w:r w:rsidRPr="003B6A69">
              <w:rPr>
                <w:rFonts w:eastAsia="Times New Roman"/>
                <w:b/>
                <w:bCs/>
                <w:color w:val="000000"/>
                <w:sz w:val="16"/>
                <w:szCs w:val="16"/>
              </w:rPr>
              <w:t xml:space="preserve">                          1,219,484 </w:t>
            </w:r>
          </w:p>
        </w:tc>
        <w:tc>
          <w:tcPr>
            <w:tcW w:w="1819" w:type="dxa"/>
            <w:tcBorders>
              <w:top w:val="nil"/>
              <w:left w:val="nil"/>
              <w:bottom w:val="single" w:sz="4" w:space="0" w:color="auto"/>
              <w:right w:val="single" w:sz="4" w:space="0" w:color="auto"/>
            </w:tcBorders>
            <w:shd w:val="clear" w:color="auto" w:fill="auto"/>
            <w:hideMark/>
          </w:tcPr>
          <w:p w14:paraId="6A01E3AF"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 </w:t>
            </w:r>
          </w:p>
        </w:tc>
        <w:tc>
          <w:tcPr>
            <w:tcW w:w="1439" w:type="dxa"/>
            <w:tcBorders>
              <w:top w:val="nil"/>
              <w:left w:val="nil"/>
              <w:bottom w:val="single" w:sz="4" w:space="0" w:color="auto"/>
              <w:right w:val="single" w:sz="4" w:space="0" w:color="auto"/>
            </w:tcBorders>
            <w:shd w:val="clear" w:color="auto" w:fill="auto"/>
            <w:hideMark/>
          </w:tcPr>
          <w:p w14:paraId="6588968D"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 </w:t>
            </w:r>
          </w:p>
        </w:tc>
        <w:tc>
          <w:tcPr>
            <w:tcW w:w="1797" w:type="dxa"/>
            <w:tcBorders>
              <w:top w:val="nil"/>
              <w:left w:val="nil"/>
              <w:bottom w:val="single" w:sz="4" w:space="0" w:color="auto"/>
              <w:right w:val="single" w:sz="4" w:space="0" w:color="auto"/>
            </w:tcBorders>
            <w:shd w:val="clear" w:color="auto" w:fill="auto"/>
            <w:noWrap/>
            <w:hideMark/>
          </w:tcPr>
          <w:p w14:paraId="4404983B"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 </w:t>
            </w:r>
          </w:p>
        </w:tc>
        <w:tc>
          <w:tcPr>
            <w:tcW w:w="4421" w:type="dxa"/>
            <w:tcBorders>
              <w:top w:val="nil"/>
              <w:left w:val="nil"/>
              <w:bottom w:val="single" w:sz="4" w:space="0" w:color="auto"/>
              <w:right w:val="single" w:sz="4" w:space="0" w:color="auto"/>
            </w:tcBorders>
            <w:shd w:val="clear" w:color="auto" w:fill="auto"/>
            <w:noWrap/>
            <w:hideMark/>
          </w:tcPr>
          <w:p w14:paraId="7F50F6AE"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 </w:t>
            </w:r>
          </w:p>
        </w:tc>
      </w:tr>
      <w:tr w:rsidR="00862DB0" w:rsidRPr="003B6A69" w14:paraId="64116E22" w14:textId="77777777" w:rsidTr="00B76926">
        <w:trPr>
          <w:trHeight w:val="636"/>
        </w:trPr>
        <w:tc>
          <w:tcPr>
            <w:tcW w:w="13889" w:type="dxa"/>
            <w:gridSpan w:val="7"/>
            <w:tcBorders>
              <w:top w:val="single" w:sz="4" w:space="0" w:color="auto"/>
              <w:left w:val="single" w:sz="4" w:space="0" w:color="auto"/>
              <w:bottom w:val="single" w:sz="4" w:space="0" w:color="auto"/>
              <w:right w:val="nil"/>
            </w:tcBorders>
            <w:shd w:val="clear" w:color="auto" w:fill="auto"/>
            <w:vAlign w:val="center"/>
            <w:hideMark/>
          </w:tcPr>
          <w:p w14:paraId="0D0A6D58" w14:textId="77777777" w:rsidR="00862DB0" w:rsidRPr="003B6A69" w:rsidRDefault="00862DB0" w:rsidP="00862DB0">
            <w:pPr>
              <w:spacing w:after="0"/>
              <w:jc w:val="left"/>
              <w:rPr>
                <w:rFonts w:eastAsia="Times New Roman"/>
                <w:b/>
                <w:bCs/>
                <w:color w:val="000000"/>
                <w:sz w:val="16"/>
                <w:szCs w:val="16"/>
              </w:rPr>
            </w:pPr>
            <w:r w:rsidRPr="003B6A69">
              <w:rPr>
                <w:rFonts w:eastAsia="Times New Roman"/>
                <w:b/>
                <w:bCs/>
                <w:color w:val="000000"/>
                <w:sz w:val="16"/>
                <w:szCs w:val="16"/>
              </w:rPr>
              <w:t>Public Enterprise National Parks of Montenegro (PENP)</w:t>
            </w:r>
          </w:p>
        </w:tc>
      </w:tr>
      <w:tr w:rsidR="00862DB0" w:rsidRPr="003B6A69" w14:paraId="025CC4BD" w14:textId="77777777" w:rsidTr="00B76926">
        <w:trPr>
          <w:trHeight w:val="1224"/>
        </w:trPr>
        <w:tc>
          <w:tcPr>
            <w:tcW w:w="1647" w:type="dxa"/>
            <w:tcBorders>
              <w:top w:val="nil"/>
              <w:left w:val="single" w:sz="4" w:space="0" w:color="auto"/>
              <w:bottom w:val="single" w:sz="4" w:space="0" w:color="auto"/>
              <w:right w:val="single" w:sz="4" w:space="0" w:color="auto"/>
            </w:tcBorders>
            <w:shd w:val="clear" w:color="auto" w:fill="auto"/>
            <w:hideMark/>
          </w:tcPr>
          <w:p w14:paraId="0BBAEBCA"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Management of the Ulcinj Salina Nature park from the budget of PENP</w:t>
            </w:r>
            <w:r w:rsidRPr="003B6A69">
              <w:rPr>
                <w:rFonts w:eastAsia="Times New Roman"/>
                <w:color w:val="000000"/>
                <w:sz w:val="16"/>
                <w:szCs w:val="16"/>
              </w:rPr>
              <w:br w:type="page"/>
            </w:r>
          </w:p>
        </w:tc>
        <w:tc>
          <w:tcPr>
            <w:tcW w:w="1068" w:type="dxa"/>
            <w:tcBorders>
              <w:top w:val="nil"/>
              <w:left w:val="nil"/>
              <w:bottom w:val="single" w:sz="4" w:space="0" w:color="auto"/>
              <w:right w:val="single" w:sz="4" w:space="0" w:color="auto"/>
            </w:tcBorders>
            <w:shd w:val="clear" w:color="auto" w:fill="auto"/>
            <w:noWrap/>
            <w:hideMark/>
          </w:tcPr>
          <w:p w14:paraId="1CF46B44" w14:textId="3AAAE3BA" w:rsidR="00862DB0" w:rsidRPr="00FB1AF4" w:rsidRDefault="009E297C" w:rsidP="00862DB0">
            <w:pPr>
              <w:spacing w:after="0"/>
              <w:jc w:val="left"/>
              <w:rPr>
                <w:rFonts w:eastAsia="Times New Roman"/>
                <w:color w:val="000000"/>
                <w:sz w:val="16"/>
                <w:szCs w:val="16"/>
                <w:highlight w:val="green"/>
              </w:rPr>
            </w:pPr>
            <w:r w:rsidRPr="00FB1AF4">
              <w:rPr>
                <w:rFonts w:eastAsia="Times New Roman"/>
                <w:color w:val="000000"/>
                <w:sz w:val="16"/>
                <w:szCs w:val="16"/>
                <w:highlight w:val="green"/>
              </w:rPr>
              <w:t>Public Investment</w:t>
            </w:r>
          </w:p>
        </w:tc>
        <w:tc>
          <w:tcPr>
            <w:tcW w:w="1698" w:type="dxa"/>
            <w:tcBorders>
              <w:top w:val="nil"/>
              <w:left w:val="nil"/>
              <w:bottom w:val="single" w:sz="4" w:space="0" w:color="auto"/>
              <w:right w:val="single" w:sz="4" w:space="0" w:color="auto"/>
            </w:tcBorders>
            <w:shd w:val="clear" w:color="auto" w:fill="auto"/>
            <w:noWrap/>
            <w:hideMark/>
          </w:tcPr>
          <w:p w14:paraId="67C3E319"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 xml:space="preserve">                             182,139 </w:t>
            </w:r>
          </w:p>
        </w:tc>
        <w:tc>
          <w:tcPr>
            <w:tcW w:w="1819" w:type="dxa"/>
            <w:tcBorders>
              <w:top w:val="nil"/>
              <w:left w:val="nil"/>
              <w:bottom w:val="single" w:sz="4" w:space="0" w:color="auto"/>
              <w:right w:val="single" w:sz="4" w:space="0" w:color="auto"/>
            </w:tcBorders>
            <w:shd w:val="clear" w:color="auto" w:fill="auto"/>
            <w:hideMark/>
          </w:tcPr>
          <w:p w14:paraId="60EC164A"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PENP budget for 2021</w:t>
            </w:r>
          </w:p>
        </w:tc>
        <w:tc>
          <w:tcPr>
            <w:tcW w:w="1439" w:type="dxa"/>
            <w:tcBorders>
              <w:top w:val="nil"/>
              <w:left w:val="nil"/>
              <w:bottom w:val="single" w:sz="4" w:space="0" w:color="auto"/>
              <w:right w:val="single" w:sz="4" w:space="0" w:color="auto"/>
            </w:tcBorders>
            <w:shd w:val="clear" w:color="auto" w:fill="auto"/>
            <w:hideMark/>
          </w:tcPr>
          <w:p w14:paraId="5C1FF76A"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Output 1.1</w:t>
            </w:r>
          </w:p>
        </w:tc>
        <w:tc>
          <w:tcPr>
            <w:tcW w:w="1797" w:type="dxa"/>
            <w:tcBorders>
              <w:top w:val="nil"/>
              <w:left w:val="nil"/>
              <w:bottom w:val="single" w:sz="4" w:space="0" w:color="auto"/>
              <w:right w:val="single" w:sz="4" w:space="0" w:color="auto"/>
            </w:tcBorders>
            <w:shd w:val="clear" w:color="auto" w:fill="auto"/>
            <w:hideMark/>
          </w:tcPr>
          <w:p w14:paraId="516371E0"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Budget secured</w:t>
            </w:r>
          </w:p>
        </w:tc>
        <w:tc>
          <w:tcPr>
            <w:tcW w:w="4421" w:type="dxa"/>
            <w:tcBorders>
              <w:top w:val="nil"/>
              <w:left w:val="nil"/>
              <w:bottom w:val="single" w:sz="4" w:space="0" w:color="auto"/>
              <w:right w:val="single" w:sz="4" w:space="0" w:color="auto"/>
            </w:tcBorders>
            <w:shd w:val="clear" w:color="auto" w:fill="auto"/>
            <w:hideMark/>
          </w:tcPr>
          <w:p w14:paraId="6F148C71"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n/a</w:t>
            </w:r>
          </w:p>
        </w:tc>
      </w:tr>
      <w:tr w:rsidR="00862DB0" w:rsidRPr="003B6A69" w14:paraId="4991740A" w14:textId="77777777" w:rsidTr="00B76926">
        <w:trPr>
          <w:trHeight w:val="1428"/>
        </w:trPr>
        <w:tc>
          <w:tcPr>
            <w:tcW w:w="1647" w:type="dxa"/>
            <w:tcBorders>
              <w:top w:val="nil"/>
              <w:left w:val="single" w:sz="4" w:space="0" w:color="auto"/>
              <w:bottom w:val="single" w:sz="4" w:space="0" w:color="auto"/>
              <w:right w:val="single" w:sz="4" w:space="0" w:color="auto"/>
            </w:tcBorders>
            <w:shd w:val="clear" w:color="auto" w:fill="auto"/>
            <w:hideMark/>
          </w:tcPr>
          <w:p w14:paraId="3BF43989" w14:textId="77777777" w:rsidR="00862DB0" w:rsidRPr="003B6A69" w:rsidRDefault="00862DB0" w:rsidP="00862DB0">
            <w:pPr>
              <w:spacing w:after="0"/>
              <w:jc w:val="left"/>
              <w:rPr>
                <w:rFonts w:eastAsia="Times New Roman"/>
                <w:sz w:val="16"/>
                <w:szCs w:val="16"/>
              </w:rPr>
            </w:pPr>
            <w:r w:rsidRPr="003B6A69">
              <w:rPr>
                <w:rFonts w:eastAsia="Times New Roman"/>
                <w:sz w:val="16"/>
                <w:szCs w:val="16"/>
              </w:rPr>
              <w:lastRenderedPageBreak/>
              <w:t>Strengthening of the protection of biodiversity of Montenegrin national parks (</w:t>
            </w:r>
            <w:proofErr w:type="spellStart"/>
            <w:r w:rsidRPr="003B6A69">
              <w:rPr>
                <w:rFonts w:eastAsia="Times New Roman"/>
                <w:sz w:val="16"/>
                <w:szCs w:val="16"/>
              </w:rPr>
              <w:t>Skadar</w:t>
            </w:r>
            <w:proofErr w:type="spellEnd"/>
            <w:r w:rsidRPr="003B6A69">
              <w:rPr>
                <w:rFonts w:eastAsia="Times New Roman"/>
                <w:sz w:val="16"/>
                <w:szCs w:val="16"/>
              </w:rPr>
              <w:t xml:space="preserve"> Lake, </w:t>
            </w:r>
            <w:proofErr w:type="spellStart"/>
            <w:r w:rsidRPr="003B6A69">
              <w:rPr>
                <w:rFonts w:eastAsia="Times New Roman"/>
                <w:sz w:val="16"/>
                <w:szCs w:val="16"/>
              </w:rPr>
              <w:t>Durmitor</w:t>
            </w:r>
            <w:proofErr w:type="spellEnd"/>
            <w:r w:rsidRPr="003B6A69">
              <w:rPr>
                <w:rFonts w:eastAsia="Times New Roman"/>
                <w:sz w:val="16"/>
                <w:szCs w:val="16"/>
              </w:rPr>
              <w:t xml:space="preserve"> and </w:t>
            </w:r>
            <w:proofErr w:type="spellStart"/>
            <w:r w:rsidRPr="003B6A69">
              <w:rPr>
                <w:rFonts w:eastAsia="Times New Roman"/>
                <w:sz w:val="16"/>
                <w:szCs w:val="16"/>
              </w:rPr>
              <w:t>Biogradska</w:t>
            </w:r>
            <w:proofErr w:type="spellEnd"/>
            <w:r w:rsidRPr="003B6A69">
              <w:rPr>
                <w:rFonts w:eastAsia="Times New Roman"/>
                <w:sz w:val="16"/>
                <w:szCs w:val="16"/>
              </w:rPr>
              <w:t xml:space="preserve"> Gora)</w:t>
            </w:r>
          </w:p>
        </w:tc>
        <w:tc>
          <w:tcPr>
            <w:tcW w:w="1068" w:type="dxa"/>
            <w:tcBorders>
              <w:top w:val="nil"/>
              <w:left w:val="nil"/>
              <w:bottom w:val="single" w:sz="4" w:space="0" w:color="auto"/>
              <w:right w:val="single" w:sz="4" w:space="0" w:color="auto"/>
            </w:tcBorders>
            <w:shd w:val="clear" w:color="auto" w:fill="auto"/>
            <w:noWrap/>
            <w:hideMark/>
          </w:tcPr>
          <w:p w14:paraId="2350236D" w14:textId="17A8D13F" w:rsidR="00862DB0" w:rsidRPr="00FB1AF4" w:rsidRDefault="009E297C" w:rsidP="00862DB0">
            <w:pPr>
              <w:spacing w:after="0"/>
              <w:jc w:val="left"/>
              <w:rPr>
                <w:rFonts w:eastAsia="Times New Roman"/>
                <w:color w:val="000000"/>
                <w:sz w:val="16"/>
                <w:szCs w:val="16"/>
                <w:highlight w:val="green"/>
              </w:rPr>
            </w:pPr>
            <w:r w:rsidRPr="00FB1AF4">
              <w:rPr>
                <w:rFonts w:eastAsia="Times New Roman"/>
                <w:color w:val="000000"/>
                <w:sz w:val="16"/>
                <w:szCs w:val="16"/>
                <w:highlight w:val="green"/>
              </w:rPr>
              <w:t>Public Investment</w:t>
            </w:r>
          </w:p>
        </w:tc>
        <w:tc>
          <w:tcPr>
            <w:tcW w:w="1698" w:type="dxa"/>
            <w:tcBorders>
              <w:top w:val="nil"/>
              <w:left w:val="nil"/>
              <w:bottom w:val="single" w:sz="4" w:space="0" w:color="auto"/>
              <w:right w:val="single" w:sz="4" w:space="0" w:color="auto"/>
            </w:tcBorders>
            <w:shd w:val="clear" w:color="auto" w:fill="auto"/>
            <w:noWrap/>
            <w:hideMark/>
          </w:tcPr>
          <w:p w14:paraId="546BD13B"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 xml:space="preserve">                          2,350,176 </w:t>
            </w:r>
          </w:p>
        </w:tc>
        <w:tc>
          <w:tcPr>
            <w:tcW w:w="1819" w:type="dxa"/>
            <w:tcBorders>
              <w:top w:val="nil"/>
              <w:left w:val="nil"/>
              <w:bottom w:val="single" w:sz="4" w:space="0" w:color="auto"/>
              <w:right w:val="single" w:sz="4" w:space="0" w:color="auto"/>
            </w:tcBorders>
            <w:shd w:val="clear" w:color="auto" w:fill="auto"/>
            <w:hideMark/>
          </w:tcPr>
          <w:p w14:paraId="4746ACF5"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PENP budget for 2021</w:t>
            </w:r>
          </w:p>
        </w:tc>
        <w:tc>
          <w:tcPr>
            <w:tcW w:w="1439" w:type="dxa"/>
            <w:tcBorders>
              <w:top w:val="nil"/>
              <w:left w:val="nil"/>
              <w:bottom w:val="single" w:sz="4" w:space="0" w:color="auto"/>
              <w:right w:val="single" w:sz="4" w:space="0" w:color="auto"/>
            </w:tcBorders>
            <w:shd w:val="clear" w:color="auto" w:fill="auto"/>
            <w:hideMark/>
          </w:tcPr>
          <w:p w14:paraId="7D661BC0"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Output 1.1</w:t>
            </w:r>
          </w:p>
        </w:tc>
        <w:tc>
          <w:tcPr>
            <w:tcW w:w="1797" w:type="dxa"/>
            <w:tcBorders>
              <w:top w:val="nil"/>
              <w:left w:val="nil"/>
              <w:bottom w:val="single" w:sz="4" w:space="0" w:color="auto"/>
              <w:right w:val="single" w:sz="4" w:space="0" w:color="auto"/>
            </w:tcBorders>
            <w:shd w:val="clear" w:color="auto" w:fill="auto"/>
            <w:hideMark/>
          </w:tcPr>
          <w:p w14:paraId="51439267"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Budget secured for 2021</w:t>
            </w:r>
          </w:p>
        </w:tc>
        <w:tc>
          <w:tcPr>
            <w:tcW w:w="4421" w:type="dxa"/>
            <w:tcBorders>
              <w:top w:val="nil"/>
              <w:left w:val="nil"/>
              <w:bottom w:val="single" w:sz="4" w:space="0" w:color="auto"/>
              <w:right w:val="single" w:sz="4" w:space="0" w:color="auto"/>
            </w:tcBorders>
            <w:shd w:val="clear" w:color="auto" w:fill="auto"/>
            <w:hideMark/>
          </w:tcPr>
          <w:p w14:paraId="28546AC9" w14:textId="507685AF" w:rsidR="00862DB0" w:rsidRPr="003B6A69" w:rsidRDefault="00862DB0" w:rsidP="00AE6C8E">
            <w:pPr>
              <w:spacing w:after="0"/>
              <w:jc w:val="left"/>
              <w:rPr>
                <w:rFonts w:eastAsia="Times New Roman"/>
                <w:color w:val="000000"/>
                <w:sz w:val="16"/>
                <w:szCs w:val="16"/>
              </w:rPr>
            </w:pPr>
            <w:r w:rsidRPr="003B6A69">
              <w:rPr>
                <w:rFonts w:eastAsia="Times New Roman"/>
                <w:color w:val="000000"/>
                <w:sz w:val="16"/>
                <w:szCs w:val="16"/>
              </w:rPr>
              <w:t xml:space="preserve">The project team will be in regular contact PENP and the managers of the three national parks in the focus of the </w:t>
            </w:r>
            <w:proofErr w:type="gramStart"/>
            <w:r w:rsidRPr="003B6A69">
              <w:rPr>
                <w:rFonts w:eastAsia="Times New Roman"/>
                <w:color w:val="000000"/>
                <w:sz w:val="16"/>
                <w:szCs w:val="16"/>
              </w:rPr>
              <w:t>pro</w:t>
            </w:r>
            <w:r w:rsidR="00AE6C8E" w:rsidRPr="003B6A69">
              <w:rPr>
                <w:rFonts w:eastAsia="Times New Roman"/>
                <w:color w:val="000000"/>
                <w:sz w:val="16"/>
                <w:szCs w:val="16"/>
              </w:rPr>
              <w:t>je</w:t>
            </w:r>
            <w:r w:rsidRPr="003B6A69">
              <w:rPr>
                <w:rFonts w:eastAsia="Times New Roman"/>
                <w:color w:val="000000"/>
                <w:sz w:val="16"/>
                <w:szCs w:val="16"/>
              </w:rPr>
              <w:t>ct,  in</w:t>
            </w:r>
            <w:proofErr w:type="gramEnd"/>
            <w:r w:rsidRPr="003B6A69">
              <w:rPr>
                <w:rFonts w:eastAsia="Times New Roman"/>
                <w:color w:val="000000"/>
                <w:sz w:val="16"/>
                <w:szCs w:val="16"/>
              </w:rPr>
              <w:t xml:space="preserve"> order to monitor the status of planned expenditures and committed co-financing</w:t>
            </w:r>
          </w:p>
        </w:tc>
      </w:tr>
      <w:tr w:rsidR="00862DB0" w:rsidRPr="003B6A69" w14:paraId="50785C30" w14:textId="77777777" w:rsidTr="00B76926">
        <w:trPr>
          <w:trHeight w:val="1416"/>
        </w:trPr>
        <w:tc>
          <w:tcPr>
            <w:tcW w:w="2715"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6C1D875C" w14:textId="77777777" w:rsidR="00862DB0" w:rsidRPr="003B6A69" w:rsidRDefault="00862DB0" w:rsidP="00862DB0">
            <w:pPr>
              <w:spacing w:after="0"/>
              <w:jc w:val="center"/>
              <w:rPr>
                <w:rFonts w:eastAsia="Times New Roman"/>
                <w:b/>
                <w:bCs/>
                <w:color w:val="000000"/>
                <w:sz w:val="16"/>
                <w:szCs w:val="16"/>
              </w:rPr>
            </w:pPr>
            <w:r w:rsidRPr="003B6A69">
              <w:rPr>
                <w:rFonts w:eastAsia="Times New Roman"/>
                <w:b/>
                <w:bCs/>
                <w:color w:val="000000"/>
                <w:sz w:val="16"/>
                <w:szCs w:val="16"/>
              </w:rPr>
              <w:t>Subtotal for Public Enterprise National Parks of Montenegro (PENP)</w:t>
            </w:r>
          </w:p>
        </w:tc>
        <w:tc>
          <w:tcPr>
            <w:tcW w:w="1698" w:type="dxa"/>
            <w:tcBorders>
              <w:top w:val="nil"/>
              <w:left w:val="nil"/>
              <w:bottom w:val="single" w:sz="4" w:space="0" w:color="auto"/>
              <w:right w:val="single" w:sz="4" w:space="0" w:color="auto"/>
            </w:tcBorders>
            <w:shd w:val="clear" w:color="auto" w:fill="auto"/>
            <w:noWrap/>
            <w:hideMark/>
          </w:tcPr>
          <w:p w14:paraId="43DECB8F" w14:textId="77777777" w:rsidR="00862DB0" w:rsidRPr="003B6A69" w:rsidRDefault="00862DB0" w:rsidP="00862DB0">
            <w:pPr>
              <w:spacing w:after="0"/>
              <w:jc w:val="left"/>
              <w:rPr>
                <w:rFonts w:eastAsia="Times New Roman"/>
                <w:b/>
                <w:bCs/>
                <w:color w:val="000000"/>
                <w:sz w:val="16"/>
                <w:szCs w:val="16"/>
              </w:rPr>
            </w:pPr>
            <w:r w:rsidRPr="003B6A69">
              <w:rPr>
                <w:rFonts w:eastAsia="Times New Roman"/>
                <w:b/>
                <w:bCs/>
                <w:color w:val="000000"/>
                <w:sz w:val="16"/>
                <w:szCs w:val="16"/>
              </w:rPr>
              <w:t xml:space="preserve">                          2,532,315 </w:t>
            </w:r>
          </w:p>
        </w:tc>
        <w:tc>
          <w:tcPr>
            <w:tcW w:w="1819" w:type="dxa"/>
            <w:tcBorders>
              <w:top w:val="nil"/>
              <w:left w:val="nil"/>
              <w:bottom w:val="single" w:sz="4" w:space="0" w:color="auto"/>
              <w:right w:val="single" w:sz="4" w:space="0" w:color="auto"/>
            </w:tcBorders>
            <w:shd w:val="clear" w:color="auto" w:fill="auto"/>
            <w:hideMark/>
          </w:tcPr>
          <w:p w14:paraId="5533FF98"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 </w:t>
            </w:r>
          </w:p>
        </w:tc>
        <w:tc>
          <w:tcPr>
            <w:tcW w:w="1439" w:type="dxa"/>
            <w:tcBorders>
              <w:top w:val="nil"/>
              <w:left w:val="nil"/>
              <w:bottom w:val="single" w:sz="4" w:space="0" w:color="auto"/>
              <w:right w:val="single" w:sz="4" w:space="0" w:color="auto"/>
            </w:tcBorders>
            <w:shd w:val="clear" w:color="auto" w:fill="auto"/>
            <w:hideMark/>
          </w:tcPr>
          <w:p w14:paraId="46E15178"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 </w:t>
            </w:r>
          </w:p>
        </w:tc>
        <w:tc>
          <w:tcPr>
            <w:tcW w:w="1797" w:type="dxa"/>
            <w:tcBorders>
              <w:top w:val="nil"/>
              <w:left w:val="nil"/>
              <w:bottom w:val="single" w:sz="4" w:space="0" w:color="auto"/>
              <w:right w:val="single" w:sz="4" w:space="0" w:color="auto"/>
            </w:tcBorders>
            <w:shd w:val="clear" w:color="auto" w:fill="auto"/>
            <w:noWrap/>
            <w:hideMark/>
          </w:tcPr>
          <w:p w14:paraId="4CFF4DF9"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 </w:t>
            </w:r>
          </w:p>
        </w:tc>
        <w:tc>
          <w:tcPr>
            <w:tcW w:w="4421" w:type="dxa"/>
            <w:tcBorders>
              <w:top w:val="nil"/>
              <w:left w:val="nil"/>
              <w:bottom w:val="single" w:sz="4" w:space="0" w:color="auto"/>
              <w:right w:val="single" w:sz="4" w:space="0" w:color="auto"/>
            </w:tcBorders>
            <w:shd w:val="clear" w:color="auto" w:fill="auto"/>
            <w:noWrap/>
            <w:hideMark/>
          </w:tcPr>
          <w:p w14:paraId="795F1A14" w14:textId="77777777" w:rsidR="00862DB0" w:rsidRPr="003B6A69" w:rsidRDefault="00862DB0" w:rsidP="00862DB0">
            <w:pPr>
              <w:spacing w:after="0"/>
              <w:jc w:val="left"/>
              <w:rPr>
                <w:rFonts w:eastAsia="Times New Roman"/>
                <w:color w:val="000000"/>
                <w:sz w:val="16"/>
                <w:szCs w:val="16"/>
              </w:rPr>
            </w:pPr>
            <w:r w:rsidRPr="003B6A69">
              <w:rPr>
                <w:rFonts w:eastAsia="Times New Roman"/>
                <w:color w:val="000000"/>
                <w:sz w:val="16"/>
                <w:szCs w:val="16"/>
              </w:rPr>
              <w:t> </w:t>
            </w:r>
          </w:p>
        </w:tc>
      </w:tr>
      <w:tr w:rsidR="00862DB0" w:rsidRPr="003B6A69" w14:paraId="68401F3B" w14:textId="77777777" w:rsidTr="00B76926">
        <w:trPr>
          <w:trHeight w:val="204"/>
        </w:trPr>
        <w:tc>
          <w:tcPr>
            <w:tcW w:w="1647" w:type="dxa"/>
            <w:tcBorders>
              <w:top w:val="nil"/>
              <w:left w:val="single" w:sz="4" w:space="0" w:color="auto"/>
              <w:bottom w:val="single" w:sz="4" w:space="0" w:color="auto"/>
              <w:right w:val="single" w:sz="4" w:space="0" w:color="auto"/>
            </w:tcBorders>
            <w:shd w:val="clear" w:color="auto" w:fill="auto"/>
            <w:noWrap/>
            <w:vAlign w:val="bottom"/>
            <w:hideMark/>
          </w:tcPr>
          <w:p w14:paraId="34757F12" w14:textId="77777777" w:rsidR="00862DB0" w:rsidRPr="003B6A69" w:rsidRDefault="00862DB0" w:rsidP="00862DB0">
            <w:pPr>
              <w:spacing w:after="0"/>
              <w:jc w:val="left"/>
              <w:rPr>
                <w:rFonts w:eastAsia="Times New Roman"/>
                <w:b/>
                <w:bCs/>
                <w:color w:val="000000"/>
                <w:sz w:val="16"/>
                <w:szCs w:val="16"/>
              </w:rPr>
            </w:pPr>
            <w:r w:rsidRPr="003B6A69">
              <w:rPr>
                <w:rFonts w:eastAsia="Times New Roman"/>
                <w:b/>
                <w:bCs/>
                <w:color w:val="000000"/>
                <w:sz w:val="16"/>
                <w:szCs w:val="16"/>
              </w:rPr>
              <w:t>TOTAL</w:t>
            </w:r>
          </w:p>
        </w:tc>
        <w:tc>
          <w:tcPr>
            <w:tcW w:w="1068" w:type="dxa"/>
            <w:tcBorders>
              <w:top w:val="nil"/>
              <w:left w:val="nil"/>
              <w:bottom w:val="single" w:sz="4" w:space="0" w:color="auto"/>
              <w:right w:val="single" w:sz="4" w:space="0" w:color="auto"/>
            </w:tcBorders>
            <w:shd w:val="clear" w:color="auto" w:fill="auto"/>
            <w:noWrap/>
            <w:vAlign w:val="bottom"/>
            <w:hideMark/>
          </w:tcPr>
          <w:p w14:paraId="1A98A304" w14:textId="77777777" w:rsidR="00862DB0" w:rsidRPr="003B6A69" w:rsidRDefault="00862DB0" w:rsidP="00862DB0">
            <w:pPr>
              <w:spacing w:after="0"/>
              <w:jc w:val="left"/>
              <w:rPr>
                <w:rFonts w:eastAsia="Times New Roman"/>
                <w:b/>
                <w:bCs/>
                <w:color w:val="000000"/>
                <w:sz w:val="16"/>
                <w:szCs w:val="16"/>
              </w:rPr>
            </w:pPr>
            <w:r w:rsidRPr="003B6A69">
              <w:rPr>
                <w:rFonts w:eastAsia="Times New Roman"/>
                <w:b/>
                <w:bCs/>
                <w:color w:val="000000"/>
                <w:sz w:val="16"/>
                <w:szCs w:val="16"/>
              </w:rPr>
              <w:t> </w:t>
            </w:r>
          </w:p>
        </w:tc>
        <w:tc>
          <w:tcPr>
            <w:tcW w:w="1698" w:type="dxa"/>
            <w:tcBorders>
              <w:top w:val="nil"/>
              <w:left w:val="nil"/>
              <w:bottom w:val="single" w:sz="4" w:space="0" w:color="auto"/>
              <w:right w:val="single" w:sz="4" w:space="0" w:color="auto"/>
            </w:tcBorders>
            <w:shd w:val="clear" w:color="auto" w:fill="auto"/>
            <w:noWrap/>
            <w:hideMark/>
          </w:tcPr>
          <w:p w14:paraId="6CB2A33F" w14:textId="50CB29EB" w:rsidR="00862DB0" w:rsidRPr="003B6A69" w:rsidRDefault="006D6101" w:rsidP="00862DB0">
            <w:pPr>
              <w:spacing w:after="0"/>
              <w:jc w:val="left"/>
              <w:rPr>
                <w:rFonts w:eastAsia="Times New Roman"/>
                <w:b/>
                <w:bCs/>
                <w:color w:val="000000"/>
                <w:sz w:val="16"/>
                <w:szCs w:val="16"/>
              </w:rPr>
            </w:pPr>
            <w:r w:rsidRPr="003B6A69">
              <w:rPr>
                <w:rFonts w:eastAsia="Times New Roman"/>
                <w:b/>
                <w:bCs/>
                <w:color w:val="000000"/>
                <w:sz w:val="16"/>
                <w:szCs w:val="16"/>
              </w:rPr>
              <w:t xml:space="preserve">                        32,775,484</w:t>
            </w:r>
            <w:r w:rsidR="00862DB0" w:rsidRPr="003B6A69">
              <w:rPr>
                <w:rFonts w:eastAsia="Times New Roman"/>
                <w:b/>
                <w:bCs/>
                <w:color w:val="000000"/>
                <w:sz w:val="16"/>
                <w:szCs w:val="16"/>
              </w:rPr>
              <w:t xml:space="preserve"> </w:t>
            </w:r>
          </w:p>
        </w:tc>
        <w:tc>
          <w:tcPr>
            <w:tcW w:w="1819" w:type="dxa"/>
            <w:tcBorders>
              <w:top w:val="nil"/>
              <w:left w:val="nil"/>
              <w:bottom w:val="single" w:sz="4" w:space="0" w:color="auto"/>
              <w:right w:val="single" w:sz="4" w:space="0" w:color="auto"/>
            </w:tcBorders>
            <w:shd w:val="clear" w:color="auto" w:fill="auto"/>
            <w:noWrap/>
            <w:vAlign w:val="bottom"/>
            <w:hideMark/>
          </w:tcPr>
          <w:p w14:paraId="1C2D9D14" w14:textId="77777777" w:rsidR="00862DB0" w:rsidRPr="003B6A69" w:rsidRDefault="00862DB0" w:rsidP="00862DB0">
            <w:pPr>
              <w:spacing w:after="0"/>
              <w:jc w:val="left"/>
              <w:rPr>
                <w:rFonts w:eastAsia="Times New Roman"/>
                <w:b/>
                <w:bCs/>
                <w:color w:val="000000"/>
                <w:sz w:val="16"/>
                <w:szCs w:val="16"/>
              </w:rPr>
            </w:pPr>
            <w:r w:rsidRPr="003B6A69">
              <w:rPr>
                <w:rFonts w:eastAsia="Times New Roman"/>
                <w:b/>
                <w:bCs/>
                <w:color w:val="000000"/>
                <w:sz w:val="16"/>
                <w:szCs w:val="16"/>
              </w:rPr>
              <w:t> </w:t>
            </w:r>
          </w:p>
        </w:tc>
        <w:tc>
          <w:tcPr>
            <w:tcW w:w="1439" w:type="dxa"/>
            <w:tcBorders>
              <w:top w:val="nil"/>
              <w:left w:val="nil"/>
              <w:bottom w:val="single" w:sz="4" w:space="0" w:color="auto"/>
              <w:right w:val="single" w:sz="4" w:space="0" w:color="auto"/>
            </w:tcBorders>
            <w:shd w:val="clear" w:color="auto" w:fill="auto"/>
            <w:noWrap/>
            <w:hideMark/>
          </w:tcPr>
          <w:p w14:paraId="1CEFBF0A" w14:textId="77777777" w:rsidR="00862DB0" w:rsidRPr="003B6A69" w:rsidRDefault="00862DB0" w:rsidP="00862DB0">
            <w:pPr>
              <w:spacing w:after="0"/>
              <w:jc w:val="left"/>
              <w:rPr>
                <w:rFonts w:eastAsia="Times New Roman"/>
                <w:b/>
                <w:bCs/>
                <w:color w:val="000000"/>
                <w:sz w:val="16"/>
                <w:szCs w:val="16"/>
              </w:rPr>
            </w:pPr>
            <w:r w:rsidRPr="003B6A69">
              <w:rPr>
                <w:rFonts w:eastAsia="Times New Roman"/>
                <w:b/>
                <w:bCs/>
                <w:color w:val="000000"/>
                <w:sz w:val="16"/>
                <w:szCs w:val="16"/>
              </w:rPr>
              <w:t> </w:t>
            </w:r>
          </w:p>
        </w:tc>
        <w:tc>
          <w:tcPr>
            <w:tcW w:w="1797" w:type="dxa"/>
            <w:tcBorders>
              <w:top w:val="nil"/>
              <w:left w:val="nil"/>
              <w:bottom w:val="single" w:sz="4" w:space="0" w:color="auto"/>
              <w:right w:val="single" w:sz="4" w:space="0" w:color="auto"/>
            </w:tcBorders>
            <w:shd w:val="clear" w:color="auto" w:fill="auto"/>
            <w:hideMark/>
          </w:tcPr>
          <w:p w14:paraId="3480B402" w14:textId="77777777" w:rsidR="00862DB0" w:rsidRPr="003B6A69" w:rsidRDefault="00862DB0" w:rsidP="00862DB0">
            <w:pPr>
              <w:spacing w:after="0"/>
              <w:jc w:val="left"/>
              <w:rPr>
                <w:rFonts w:eastAsia="Times New Roman"/>
                <w:b/>
                <w:bCs/>
                <w:color w:val="000000"/>
                <w:sz w:val="16"/>
                <w:szCs w:val="16"/>
              </w:rPr>
            </w:pPr>
            <w:r w:rsidRPr="003B6A69">
              <w:rPr>
                <w:rFonts w:eastAsia="Times New Roman"/>
                <w:b/>
                <w:bCs/>
                <w:color w:val="000000"/>
                <w:sz w:val="16"/>
                <w:szCs w:val="16"/>
              </w:rPr>
              <w:t> </w:t>
            </w:r>
          </w:p>
        </w:tc>
        <w:tc>
          <w:tcPr>
            <w:tcW w:w="4421" w:type="dxa"/>
            <w:tcBorders>
              <w:top w:val="nil"/>
              <w:left w:val="nil"/>
              <w:bottom w:val="single" w:sz="4" w:space="0" w:color="auto"/>
              <w:right w:val="single" w:sz="4" w:space="0" w:color="auto"/>
            </w:tcBorders>
            <w:shd w:val="clear" w:color="auto" w:fill="auto"/>
            <w:noWrap/>
            <w:hideMark/>
          </w:tcPr>
          <w:p w14:paraId="48866E3E" w14:textId="77777777" w:rsidR="00862DB0" w:rsidRPr="003B6A69" w:rsidRDefault="00862DB0" w:rsidP="00862DB0">
            <w:pPr>
              <w:spacing w:after="0"/>
              <w:jc w:val="left"/>
              <w:rPr>
                <w:rFonts w:eastAsia="Times New Roman"/>
                <w:b/>
                <w:bCs/>
                <w:color w:val="000000"/>
                <w:sz w:val="16"/>
                <w:szCs w:val="16"/>
              </w:rPr>
            </w:pPr>
            <w:r w:rsidRPr="003B6A69">
              <w:rPr>
                <w:rFonts w:eastAsia="Times New Roman"/>
                <w:b/>
                <w:bCs/>
                <w:color w:val="000000"/>
                <w:sz w:val="16"/>
                <w:szCs w:val="16"/>
              </w:rPr>
              <w:t> </w:t>
            </w:r>
          </w:p>
        </w:tc>
      </w:tr>
    </w:tbl>
    <w:p w14:paraId="3133A293" w14:textId="13F6B649" w:rsidR="00862DB0" w:rsidRPr="002720C6" w:rsidRDefault="00862DB0" w:rsidP="00862DB0">
      <w:pPr>
        <w:rPr>
          <w:b/>
          <w:i/>
        </w:rPr>
      </w:pPr>
      <w:r w:rsidRPr="003B6A69">
        <w:rPr>
          <w:b/>
          <w:i/>
        </w:rPr>
        <w:fldChar w:fldCharType="end"/>
      </w:r>
    </w:p>
    <w:p w14:paraId="0642BEBA" w14:textId="77777777" w:rsidR="00862DB0" w:rsidRPr="002720C6" w:rsidRDefault="00862DB0" w:rsidP="00862DB0">
      <w:pPr>
        <w:rPr>
          <w:b/>
          <w:i/>
        </w:rPr>
      </w:pPr>
    </w:p>
    <w:p w14:paraId="51186A3F" w14:textId="77777777" w:rsidR="00862DB0" w:rsidRPr="002720C6" w:rsidRDefault="00862DB0" w:rsidP="00862DB0">
      <w:pPr>
        <w:rPr>
          <w:b/>
          <w:i/>
        </w:rPr>
        <w:sectPr w:rsidR="00862DB0" w:rsidRPr="002720C6" w:rsidSect="00862DB0">
          <w:pgSz w:w="15840" w:h="12240" w:orient="landscape" w:code="1"/>
          <w:pgMar w:top="1134" w:right="1134" w:bottom="1134" w:left="1134" w:header="720" w:footer="720" w:gutter="0"/>
          <w:cols w:space="720"/>
          <w:docGrid w:linePitch="360"/>
        </w:sectPr>
      </w:pPr>
    </w:p>
    <w:p w14:paraId="499B9FF0" w14:textId="1E30CC40" w:rsidR="00862DB0" w:rsidRPr="002720C6" w:rsidRDefault="00862DB0" w:rsidP="00862DB0">
      <w:pPr>
        <w:rPr>
          <w:b/>
          <w:i/>
        </w:rPr>
      </w:pPr>
    </w:p>
    <w:p w14:paraId="470B9A3C" w14:textId="1A73BE53" w:rsidR="008C4F26" w:rsidRPr="000A12EC" w:rsidRDefault="008C4F26" w:rsidP="00862DB0">
      <w:pPr>
        <w:autoSpaceDE w:val="0"/>
        <w:autoSpaceDN w:val="0"/>
        <w:adjustRightInd w:val="0"/>
        <w:spacing w:after="120"/>
        <w:ind w:left="720"/>
        <w:contextualSpacing/>
        <w:jc w:val="left"/>
        <w:rPr>
          <w:rFonts w:asciiTheme="minorHAnsi" w:eastAsiaTheme="minorHAnsi" w:hAnsiTheme="minorHAnsi" w:cstheme="minorBidi"/>
          <w:sz w:val="22"/>
          <w:szCs w:val="22"/>
        </w:rPr>
      </w:pPr>
    </w:p>
    <w:sectPr w:rsidR="008C4F26" w:rsidRPr="000A12EC" w:rsidSect="00F164CA">
      <w:pgSz w:w="12240" w:h="15840" w:code="1"/>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A8F6448" w14:textId="77777777" w:rsidR="00A34F8F" w:rsidRDefault="00A34F8F">
      <w:r>
        <w:separator/>
      </w:r>
    </w:p>
  </w:endnote>
  <w:endnote w:type="continuationSeparator" w:id="0">
    <w:p w14:paraId="41AAF0C6" w14:textId="77777777" w:rsidR="00A34F8F" w:rsidRDefault="00A34F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w:altName w:val="Courier New"/>
    <w:panose1 w:val="02070409020205020404"/>
    <w:charset w:val="00"/>
    <w:family w:val="modern"/>
    <w:notTrueType/>
    <w:pitch w:val="fixed"/>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dobe Garamond Pro">
    <w:panose1 w:val="00000000000000000000"/>
    <w:charset w:val="00"/>
    <w:family w:val="roman"/>
    <w:notTrueType/>
    <w:pitch w:val="variable"/>
    <w:sig w:usb0="800000AF" w:usb1="5000205B" w:usb2="00000000" w:usb3="00000000" w:csb0="0000009B" w:csb1="00000000"/>
  </w:font>
  <w:font w:name="Trebuchet MS">
    <w:panose1 w:val="020B0603020202020204"/>
    <w:charset w:val="00"/>
    <w:family w:val="swiss"/>
    <w:pitch w:val="variable"/>
    <w:sig w:usb0="00000687"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auto"/>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imes New Roman Bold">
    <w:altName w:val="Times New Roman"/>
    <w:panose1 w:val="02020803070505020304"/>
    <w:charset w:val="00"/>
    <w:family w:val="auto"/>
    <w:pitch w:val="variable"/>
    <w:sig w:usb0="E0002AFF" w:usb1="C0007841" w:usb2="00000009" w:usb3="00000000" w:csb0="000001FF" w:csb1="00000000"/>
  </w:font>
  <w:font w:name="Minion Pro">
    <w:altName w:val="Times New Roman"/>
    <w:panose1 w:val="00000000000000000000"/>
    <w:charset w:val="00"/>
    <w:family w:val="roman"/>
    <w:notTrueType/>
    <w:pitch w:val="variable"/>
    <w:sig w:usb0="60000287" w:usb1="00000001" w:usb2="00000000" w:usb3="00000000" w:csb0="0000019F" w:csb1="00000000"/>
  </w:font>
  <w:font w:name="EUSXRQ+Calibri">
    <w:altName w:val="EUSXRQ+Calibri"/>
    <w:panose1 w:val="00000000000000000000"/>
    <w:charset w:val="00"/>
    <w:family w:val="swiss"/>
    <w:notTrueType/>
    <w:pitch w:val="default"/>
    <w:sig w:usb0="00000003" w:usb1="00000000" w:usb2="00000000" w:usb3="00000000" w:csb0="00000001" w:csb1="00000000"/>
  </w:font>
  <w:font w:name="Museo 700">
    <w:altName w:val="Museo 700"/>
    <w:panose1 w:val="00000000000000000000"/>
    <w:charset w:val="00"/>
    <w:family w:val="roman"/>
    <w:notTrueType/>
    <w:pitch w:val="default"/>
    <w:sig w:usb0="00000003" w:usb1="00000000" w:usb2="00000000" w:usb3="00000000" w:csb0="00000001" w:csb1="00000000"/>
  </w:font>
  <w:font w:name="EC Square Sans Pro Medium">
    <w:altName w:val="EC Square Sans Pro Medium"/>
    <w:panose1 w:val="00000000000000000000"/>
    <w:charset w:val="00"/>
    <w:family w:val="swiss"/>
    <w:notTrueType/>
    <w:pitch w:val="default"/>
    <w:sig w:usb0="00000003" w:usb1="00000000" w:usb2="00000000" w:usb3="00000000" w:csb0="00000001" w:csb1="00000000"/>
  </w:font>
  <w:font w:name="EC Square Sans Pro Light">
    <w:altName w:val="Calibri"/>
    <w:panose1 w:val="00000000000000000000"/>
    <w:charset w:val="00"/>
    <w:family w:val="swiss"/>
    <w:notTrueType/>
    <w:pitch w:val="default"/>
    <w:sig w:usb0="00000003" w:usb1="00000000" w:usb2="00000000" w:usb3="00000000" w:csb0="00000001" w:csb1="00000000"/>
  </w:font>
  <w:font w:name="EC Square Sans Pro">
    <w:altName w:val="Calibri"/>
    <w:panose1 w:val="00000000000000000000"/>
    <w:charset w:val="00"/>
    <w:family w:val="swiss"/>
    <w:notTrueType/>
    <w:pitch w:val="default"/>
    <w:sig w:usb0="00000003" w:usb1="00000000" w:usb2="00000000" w:usb3="00000000" w:csb0="00000001" w:csb1="00000000"/>
  </w:font>
  <w:font w:name="EC Square Sans Pro Thin">
    <w:altName w:val="EC Square Sans Pro Thin"/>
    <w:panose1 w:val="00000000000000000000"/>
    <w:charset w:val="00"/>
    <w:family w:val="swiss"/>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ヒラギノ角ゴ Pro W3">
    <w:charset w:val="80"/>
    <w:family w:val="auto"/>
    <w:pitch w:val="variable"/>
    <w:sig w:usb0="E00002FF" w:usb1="7AC7FFFF" w:usb2="00000012" w:usb3="00000000" w:csb0="0002000D" w:csb1="00000000"/>
  </w:font>
  <w:font w:name="MS Gothic">
    <w:altName w:val="ＭＳ ゴシック"/>
    <w:panose1 w:val="020B0609070205080204"/>
    <w:charset w:val="80"/>
    <w:family w:val="modern"/>
    <w:pitch w:val="fixed"/>
    <w:sig w:usb0="E00002FF" w:usb1="6AC7FDFB" w:usb2="08000012" w:usb3="00000000" w:csb0="0002009F" w:csb1="00000000"/>
  </w:font>
  <w:font w:name="Arial Mon">
    <w:altName w:val="Arial"/>
    <w:panose1 w:val="00000000000000000000"/>
    <w:charset w:val="00"/>
    <w:family w:val="swiss"/>
    <w:notTrueType/>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ArialMT">
    <w:altName w:val="MS Mincho"/>
    <w:panose1 w:val="00000000000000000000"/>
    <w:charset w:val="80"/>
    <w:family w:val="auto"/>
    <w:notTrueType/>
    <w:pitch w:val="default"/>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enlo Bold">
    <w:altName w:val="DokChampa"/>
    <w:charset w:val="00"/>
    <w:family w:val="auto"/>
    <w:pitch w:val="variable"/>
    <w:sig w:usb0="E60022FF" w:usb1="D000F1FB" w:usb2="00000028" w:usb3="00000000" w:csb0="000001DF" w:csb1="00000000"/>
  </w:font>
  <w:font w:name="Batang">
    <w:altName w:val="바탕"/>
    <w:panose1 w:val="02030600000101010101"/>
    <w:charset w:val="81"/>
    <w:family w:val="roman"/>
    <w:pitch w:val="variable"/>
    <w:sig w:usb0="B00002AF" w:usb1="69D77CFB" w:usb2="00000030" w:usb3="00000000" w:csb0="0008009F" w:csb1="00000000"/>
  </w:font>
  <w:font w:name="Avenir Next Regular">
    <w:altName w:val="Cambria"/>
    <w:panose1 w:val="00000000000000000000"/>
    <w:charset w:val="00"/>
    <w:family w:val="roman"/>
    <w:notTrueType/>
    <w:pitch w:val="default"/>
  </w:font>
  <w:font w:name="TimesNewRoman">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3CD471" w14:textId="5670AD6B" w:rsidR="00127DDC" w:rsidRPr="00301CFB" w:rsidRDefault="00127DDC" w:rsidP="00301CFB">
    <w:pPr>
      <w:pStyle w:val="Footer"/>
      <w:pBdr>
        <w:top w:val="single" w:sz="4" w:space="1" w:color="D9D9D9"/>
      </w:pBdr>
      <w:tabs>
        <w:tab w:val="left" w:pos="345"/>
        <w:tab w:val="right" w:pos="9360"/>
      </w:tabs>
      <w:jc w:val="left"/>
      <w:rPr>
        <w:rFonts w:asciiTheme="minorHAnsi" w:hAnsiTheme="minorHAnsi" w:cstheme="minorHAnsi"/>
      </w:rPr>
    </w:pPr>
    <w:r>
      <w:rPr>
        <w:rFonts w:asciiTheme="minorHAnsi" w:hAnsiTheme="minorHAnsi" w:cstheme="minorHAnsi"/>
      </w:rPr>
      <w:t>6461 Montenegro BD Mainstreaming Pro</w:t>
    </w:r>
    <w:r w:rsidRPr="00301CFB">
      <w:rPr>
        <w:rFonts w:asciiTheme="minorHAnsi" w:hAnsiTheme="minorHAnsi" w:cstheme="minorHAnsi"/>
      </w:rPr>
      <w:t>ject Document</w:t>
    </w:r>
    <w:r w:rsidRPr="00301CFB">
      <w:rPr>
        <w:rFonts w:asciiTheme="minorHAnsi" w:hAnsiTheme="minorHAnsi" w:cstheme="minorHAnsi"/>
      </w:rPr>
      <w:tab/>
    </w:r>
    <w:r w:rsidRPr="00301CFB">
      <w:rPr>
        <w:rFonts w:asciiTheme="minorHAnsi" w:hAnsiTheme="minorHAnsi" w:cstheme="minorHAnsi"/>
      </w:rPr>
      <w:tab/>
    </w:r>
    <w:r w:rsidRPr="00301CFB">
      <w:rPr>
        <w:rFonts w:asciiTheme="minorHAnsi" w:hAnsiTheme="minorHAnsi" w:cstheme="minorHAnsi"/>
      </w:rPr>
      <w:fldChar w:fldCharType="begin"/>
    </w:r>
    <w:r w:rsidRPr="00301CFB">
      <w:rPr>
        <w:rFonts w:asciiTheme="minorHAnsi" w:hAnsiTheme="minorHAnsi" w:cstheme="minorHAnsi"/>
      </w:rPr>
      <w:instrText xml:space="preserve"> PAGE   \* MERGEFORMAT </w:instrText>
    </w:r>
    <w:r w:rsidRPr="00301CFB">
      <w:rPr>
        <w:rFonts w:asciiTheme="minorHAnsi" w:hAnsiTheme="minorHAnsi" w:cstheme="minorHAnsi"/>
      </w:rPr>
      <w:fldChar w:fldCharType="separate"/>
    </w:r>
    <w:r>
      <w:rPr>
        <w:rFonts w:asciiTheme="minorHAnsi" w:hAnsiTheme="minorHAnsi" w:cstheme="minorHAnsi"/>
        <w:noProof/>
      </w:rPr>
      <w:t>6</w:t>
    </w:r>
    <w:r w:rsidRPr="00301CFB">
      <w:rPr>
        <w:rFonts w:asciiTheme="minorHAnsi" w:hAnsiTheme="minorHAnsi" w:cstheme="minorHAnsi"/>
        <w:noProof/>
      </w:rPr>
      <w:fldChar w:fldCharType="end"/>
    </w:r>
    <w:r w:rsidRPr="00301CFB">
      <w:rPr>
        <w:rFonts w:asciiTheme="minorHAnsi" w:hAnsiTheme="minorHAnsi" w:cstheme="minorHAnsi"/>
      </w:rPr>
      <w:t xml:space="preserve"> | </w:t>
    </w:r>
    <w:r w:rsidRPr="00301CFB">
      <w:rPr>
        <w:rFonts w:asciiTheme="minorHAnsi" w:hAnsiTheme="minorHAnsi" w:cstheme="minorHAnsi"/>
        <w:color w:val="7F7F7F"/>
        <w:spacing w:val="60"/>
      </w:rPr>
      <w:t>Page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9F69AF" w14:textId="276AE34A" w:rsidR="00127DDC" w:rsidRPr="00301CFB" w:rsidRDefault="00127DDC" w:rsidP="00C52786">
    <w:pPr>
      <w:pStyle w:val="Footer"/>
      <w:pBdr>
        <w:top w:val="single" w:sz="4" w:space="1" w:color="D9D9D9"/>
      </w:pBdr>
      <w:tabs>
        <w:tab w:val="left" w:pos="345"/>
        <w:tab w:val="right" w:pos="9360"/>
      </w:tabs>
      <w:jc w:val="left"/>
      <w:rPr>
        <w:rFonts w:asciiTheme="minorHAnsi" w:hAnsiTheme="minorHAnsi" w:cstheme="minorHAnsi"/>
      </w:rPr>
    </w:pPr>
    <w:r w:rsidRPr="00301CFB">
      <w:rPr>
        <w:rFonts w:asciiTheme="minorHAnsi" w:hAnsiTheme="minorHAnsi" w:cstheme="minorHAnsi"/>
      </w:rPr>
      <w:tab/>
    </w:r>
    <w:r w:rsidRPr="00301CFB">
      <w:rPr>
        <w:rFonts w:asciiTheme="minorHAnsi" w:hAnsiTheme="minorHAnsi" w:cstheme="minorHAnsi"/>
      </w:rPr>
      <w:tab/>
    </w:r>
    <w:r w:rsidRPr="00301CFB">
      <w:rPr>
        <w:rFonts w:asciiTheme="minorHAnsi" w:hAnsiTheme="minorHAnsi" w:cstheme="minorHAnsi"/>
      </w:rPr>
      <w:fldChar w:fldCharType="begin"/>
    </w:r>
    <w:r w:rsidRPr="00301CFB">
      <w:rPr>
        <w:rFonts w:asciiTheme="minorHAnsi" w:hAnsiTheme="minorHAnsi" w:cstheme="minorHAnsi"/>
      </w:rPr>
      <w:instrText xml:space="preserve"> PAGE   \* MERGEFORMAT </w:instrText>
    </w:r>
    <w:r w:rsidRPr="00301CFB">
      <w:rPr>
        <w:rFonts w:asciiTheme="minorHAnsi" w:hAnsiTheme="minorHAnsi" w:cstheme="minorHAnsi"/>
      </w:rPr>
      <w:fldChar w:fldCharType="separate"/>
    </w:r>
    <w:r>
      <w:rPr>
        <w:rFonts w:asciiTheme="minorHAnsi" w:hAnsiTheme="minorHAnsi" w:cstheme="minorHAnsi"/>
        <w:noProof/>
      </w:rPr>
      <w:t>52</w:t>
    </w:r>
    <w:r w:rsidRPr="00301CFB">
      <w:rPr>
        <w:rFonts w:asciiTheme="minorHAnsi" w:hAnsiTheme="minorHAnsi" w:cstheme="minorHAnsi"/>
        <w:noProof/>
      </w:rPr>
      <w:fldChar w:fldCharType="end"/>
    </w:r>
    <w:r w:rsidRPr="00301CFB">
      <w:rPr>
        <w:rFonts w:asciiTheme="minorHAnsi" w:hAnsiTheme="minorHAnsi" w:cstheme="minorHAnsi"/>
      </w:rPr>
      <w:t xml:space="preserve"> | </w:t>
    </w:r>
    <w:r w:rsidRPr="00301CFB">
      <w:rPr>
        <w:rFonts w:asciiTheme="minorHAnsi" w:hAnsiTheme="minorHAnsi" w:cstheme="minorHAnsi"/>
        <w:color w:val="7F7F7F"/>
        <w:spacing w:val="60"/>
      </w:rPr>
      <w:t>Page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510EA9" w14:textId="77777777" w:rsidR="00127DDC" w:rsidRPr="00040E62" w:rsidRDefault="00127DDC" w:rsidP="002F7529">
    <w:pPr>
      <w:pStyle w:val="Footer"/>
      <w:pBdr>
        <w:top w:val="single" w:sz="4" w:space="1" w:color="D9D9D9"/>
      </w:pBdr>
      <w:jc w:val="right"/>
      <w:rPr>
        <w:rFonts w:ascii="Calibri Light" w:hAnsi="Calibri Light"/>
        <w:sz w:val="18"/>
        <w:szCs w:val="18"/>
      </w:rPr>
    </w:pPr>
    <w:r w:rsidRPr="00040E62">
      <w:rPr>
        <w:rFonts w:ascii="Calibri Light" w:hAnsi="Calibri Light"/>
        <w:sz w:val="18"/>
        <w:szCs w:val="18"/>
      </w:rPr>
      <w:fldChar w:fldCharType="begin"/>
    </w:r>
    <w:r w:rsidRPr="00040E62">
      <w:rPr>
        <w:rFonts w:ascii="Calibri Light" w:hAnsi="Calibri Light"/>
        <w:sz w:val="18"/>
        <w:szCs w:val="18"/>
      </w:rPr>
      <w:instrText xml:space="preserve"> PAGE   \* MERGEFORMAT </w:instrText>
    </w:r>
    <w:r w:rsidRPr="00040E62">
      <w:rPr>
        <w:rFonts w:ascii="Calibri Light" w:hAnsi="Calibri Light"/>
        <w:sz w:val="18"/>
        <w:szCs w:val="18"/>
      </w:rPr>
      <w:fldChar w:fldCharType="separate"/>
    </w:r>
    <w:r>
      <w:rPr>
        <w:rFonts w:ascii="Calibri Light" w:hAnsi="Calibri Light"/>
        <w:noProof/>
        <w:sz w:val="18"/>
        <w:szCs w:val="18"/>
      </w:rPr>
      <w:t>200</w:t>
    </w:r>
    <w:r w:rsidRPr="00040E62">
      <w:rPr>
        <w:rFonts w:ascii="Calibri Light" w:hAnsi="Calibri Light"/>
        <w:noProof/>
        <w:sz w:val="18"/>
        <w:szCs w:val="18"/>
      </w:rPr>
      <w:fldChar w:fldCharType="end"/>
    </w:r>
    <w:r w:rsidRPr="00040E62">
      <w:rPr>
        <w:rFonts w:ascii="Calibri Light" w:hAnsi="Calibri Light"/>
        <w:sz w:val="18"/>
        <w:szCs w:val="18"/>
      </w:rPr>
      <w:t xml:space="preserve"> | </w:t>
    </w:r>
    <w:r w:rsidRPr="00040E62">
      <w:rPr>
        <w:rFonts w:ascii="Calibri Light" w:hAnsi="Calibri Light"/>
        <w:color w:val="7F7F7F"/>
        <w:spacing w:val="60"/>
        <w:sz w:val="18"/>
        <w:szCs w:val="18"/>
      </w:rPr>
      <w:t>Page</w:t>
    </w:r>
  </w:p>
  <w:p w14:paraId="11AC2C29" w14:textId="77777777" w:rsidR="00127DDC" w:rsidRDefault="00127D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1097DD" w14:textId="77777777" w:rsidR="00A34F8F" w:rsidRDefault="00A34F8F">
      <w:r>
        <w:separator/>
      </w:r>
    </w:p>
  </w:footnote>
  <w:footnote w:type="continuationSeparator" w:id="0">
    <w:p w14:paraId="26CA5717" w14:textId="77777777" w:rsidR="00A34F8F" w:rsidRDefault="00A34F8F">
      <w:r>
        <w:continuationSeparator/>
      </w:r>
    </w:p>
  </w:footnote>
  <w:footnote w:id="1">
    <w:p w14:paraId="3EF4393A" w14:textId="77777777" w:rsidR="00127DDC" w:rsidRPr="005F731C" w:rsidRDefault="00127DDC" w:rsidP="00AF1F0F">
      <w:pPr>
        <w:pStyle w:val="FootnoteText"/>
        <w:rPr>
          <w:rFonts w:asciiTheme="minorHAnsi" w:hAnsiTheme="minorHAnsi"/>
          <w:sz w:val="16"/>
          <w:szCs w:val="16"/>
        </w:rPr>
      </w:pPr>
      <w:r w:rsidRPr="005F731C">
        <w:rPr>
          <w:rStyle w:val="FootnoteReference"/>
          <w:rFonts w:asciiTheme="minorHAnsi" w:hAnsiTheme="minorHAnsi"/>
          <w:sz w:val="16"/>
          <w:szCs w:val="16"/>
        </w:rPr>
        <w:footnoteRef/>
      </w:r>
      <w:r w:rsidRPr="005F731C">
        <w:rPr>
          <w:rFonts w:asciiTheme="minorHAnsi" w:hAnsiTheme="minorHAnsi"/>
          <w:sz w:val="16"/>
          <w:szCs w:val="16"/>
        </w:rPr>
        <w:t xml:space="preserve"> </w:t>
      </w:r>
      <w:r w:rsidRPr="005F731C">
        <w:rPr>
          <w:rFonts w:asciiTheme="minorHAnsi" w:hAnsiTheme="minorHAnsi" w:cs="Calibri"/>
          <w:color w:val="000000"/>
          <w:sz w:val="16"/>
          <w:szCs w:val="16"/>
          <w:lang w:val="en-GB"/>
        </w:rPr>
        <w:t>6</w:t>
      </w:r>
      <w:r w:rsidRPr="005F731C">
        <w:rPr>
          <w:rFonts w:asciiTheme="minorHAnsi" w:hAnsiTheme="minorHAnsi" w:cs="Calibri"/>
          <w:color w:val="000000"/>
          <w:sz w:val="16"/>
          <w:szCs w:val="16"/>
          <w:vertAlign w:val="superscript"/>
          <w:lang w:val="en-GB"/>
        </w:rPr>
        <w:t>th</w:t>
      </w:r>
      <w:r w:rsidRPr="005F731C">
        <w:rPr>
          <w:rFonts w:asciiTheme="minorHAnsi" w:hAnsiTheme="minorHAnsi" w:cs="Calibri"/>
          <w:color w:val="000000"/>
          <w:sz w:val="16"/>
          <w:szCs w:val="16"/>
          <w:lang w:val="en-GB"/>
        </w:rPr>
        <w:t xml:space="preserve"> CBD National Report, 2019</w:t>
      </w:r>
    </w:p>
  </w:footnote>
  <w:footnote w:id="2">
    <w:p w14:paraId="50C89AB3" w14:textId="05B8F56C" w:rsidR="00127DDC" w:rsidRDefault="00127DDC" w:rsidP="008B0101">
      <w:pPr>
        <w:pStyle w:val="FootnoteText"/>
      </w:pPr>
      <w:r>
        <w:rPr>
          <w:rStyle w:val="FootnoteReference"/>
        </w:rPr>
        <w:footnoteRef/>
      </w:r>
      <w:r>
        <w:t xml:space="preserve"> </w:t>
      </w:r>
      <w:r w:rsidRPr="00322057">
        <w:rPr>
          <w:rFonts w:asciiTheme="minorHAnsi" w:hAnsiTheme="minorHAnsi"/>
          <w:sz w:val="16"/>
          <w:szCs w:val="16"/>
        </w:rPr>
        <w:t xml:space="preserve">One such option for valorization of the eco-tourist potential of the Skadar Lake National Park (Virpazar and its surroundings) could be the organization of autumn leaves tours in cooperation with small private business, providing for an extended tourist season. The tours can be arranged either on panoramic vehicles, buses or minibuses, or in the form </w:t>
      </w:r>
      <w:proofErr w:type="gramStart"/>
      <w:r w:rsidRPr="00322057">
        <w:rPr>
          <w:rFonts w:asciiTheme="minorHAnsi" w:hAnsiTheme="minorHAnsi"/>
          <w:sz w:val="16"/>
          <w:szCs w:val="16"/>
        </w:rPr>
        <w:t>of  hiking</w:t>
      </w:r>
      <w:proofErr w:type="gramEnd"/>
      <w:r w:rsidRPr="00322057">
        <w:rPr>
          <w:rFonts w:asciiTheme="minorHAnsi" w:hAnsiTheme="minorHAnsi"/>
          <w:sz w:val="16"/>
          <w:szCs w:val="16"/>
        </w:rPr>
        <w:t xml:space="preserve"> or biking tours, combined with boats for tours on the lake, and could include visits to surrounding places (Murici beach, Lake Karuc, fishing village Vranjina), with breaks for rest in local restaurants and households of local producers of wine and fish. The visits could be linked to the traditional local wine and bleak festival on </w:t>
      </w:r>
      <w:proofErr w:type="gramStart"/>
      <w:r w:rsidRPr="00322057">
        <w:rPr>
          <w:rFonts w:asciiTheme="minorHAnsi" w:hAnsiTheme="minorHAnsi"/>
          <w:sz w:val="16"/>
          <w:szCs w:val="16"/>
        </w:rPr>
        <w:t>Vranjina, and</w:t>
      </w:r>
      <w:proofErr w:type="gramEnd"/>
      <w:r w:rsidRPr="00322057">
        <w:rPr>
          <w:rFonts w:asciiTheme="minorHAnsi" w:hAnsiTheme="minorHAnsi"/>
          <w:sz w:val="16"/>
          <w:szCs w:val="16"/>
        </w:rPr>
        <w:t xml:space="preserve"> could also include botanical tours from the village of Karuc, through the swampy vegetation to the Crnojevica River.Depending on the interest, the programme can be personalized and multi-day tours organized, in cooperation with the local B&amp;B accommodation providers.</w:t>
      </w:r>
    </w:p>
  </w:footnote>
  <w:footnote w:id="3">
    <w:p w14:paraId="4A14C353" w14:textId="77777777" w:rsidR="00127DDC" w:rsidRPr="00112785" w:rsidRDefault="00127DDC" w:rsidP="008B0101">
      <w:pPr>
        <w:pStyle w:val="FootnoteText"/>
        <w:rPr>
          <w:rFonts w:asciiTheme="minorHAnsi" w:hAnsiTheme="minorHAnsi"/>
          <w:sz w:val="18"/>
          <w:szCs w:val="18"/>
          <w:lang w:val="sr-Latn-ME"/>
        </w:rPr>
      </w:pPr>
      <w:r w:rsidRPr="00112785">
        <w:rPr>
          <w:rStyle w:val="FootnoteReference"/>
          <w:rFonts w:asciiTheme="minorHAnsi" w:hAnsiTheme="minorHAnsi"/>
          <w:szCs w:val="18"/>
        </w:rPr>
        <w:footnoteRef/>
      </w:r>
      <w:r w:rsidRPr="00112785">
        <w:rPr>
          <w:rFonts w:asciiTheme="minorHAnsi" w:hAnsiTheme="minorHAnsi"/>
          <w:sz w:val="18"/>
          <w:szCs w:val="18"/>
        </w:rPr>
        <w:t xml:space="preserve"> </w:t>
      </w:r>
      <w:r w:rsidRPr="00112785">
        <w:rPr>
          <w:rFonts w:asciiTheme="minorHAnsi" w:hAnsiTheme="minorHAnsi"/>
          <w:sz w:val="18"/>
          <w:szCs w:val="18"/>
          <w:lang w:val="sr-Latn-ME"/>
        </w:rPr>
        <w:t>+++ - high conflict between the need for biodiversity conservation and spatial development plans, ++ - moderate conflict between the need for biodiversity conservation and spatial development plans, + - low conflict between the need for biodiversity conservation and spatial development plans, - no conflict between the need for biodiversity conservation and spatial development plans</w:t>
      </w:r>
    </w:p>
    <w:p w14:paraId="19961767" w14:textId="77777777" w:rsidR="00127DDC" w:rsidRPr="009B459E" w:rsidRDefault="00127DDC" w:rsidP="008B0101">
      <w:pPr>
        <w:pStyle w:val="FootnoteText"/>
        <w:rPr>
          <w:lang w:val="sr-Latn-ME"/>
        </w:rPr>
      </w:pPr>
    </w:p>
    <w:p w14:paraId="2E0C9280" w14:textId="77777777" w:rsidR="00127DDC" w:rsidRPr="00E55EC7" w:rsidRDefault="00127DDC" w:rsidP="008B0101">
      <w:pPr>
        <w:pStyle w:val="FootnoteText"/>
        <w:rPr>
          <w:lang w:val="sr-Latn-ME"/>
        </w:rPr>
      </w:pPr>
    </w:p>
  </w:footnote>
  <w:footnote w:id="4">
    <w:p w14:paraId="04FEBCA9" w14:textId="77777777" w:rsidR="00127DDC" w:rsidRPr="00796C3C" w:rsidRDefault="00127DDC" w:rsidP="008B0101">
      <w:pPr>
        <w:pStyle w:val="FootnoteText"/>
        <w:rPr>
          <w:rFonts w:asciiTheme="minorHAnsi" w:hAnsiTheme="minorHAnsi"/>
        </w:rPr>
      </w:pPr>
      <w:r w:rsidRPr="00796C3C">
        <w:rPr>
          <w:rStyle w:val="FootnoteReference"/>
          <w:rFonts w:asciiTheme="minorHAnsi" w:hAnsiTheme="minorHAnsi"/>
        </w:rPr>
        <w:footnoteRef/>
      </w:r>
      <w:r w:rsidRPr="00796C3C">
        <w:rPr>
          <w:rFonts w:asciiTheme="minorHAnsi" w:hAnsiTheme="minorHAnsi"/>
        </w:rPr>
        <w:t xml:space="preserve"> The strategy does not propose some new areas that deserve special attention from the aspect of </w:t>
      </w:r>
      <w:proofErr w:type="gramStart"/>
      <w:r w:rsidRPr="00796C3C">
        <w:rPr>
          <w:rFonts w:asciiTheme="minorHAnsi" w:hAnsiTheme="minorHAnsi"/>
        </w:rPr>
        <w:t>protection, but</w:t>
      </w:r>
      <w:proofErr w:type="gramEnd"/>
      <w:r w:rsidRPr="00796C3C">
        <w:rPr>
          <w:rFonts w:asciiTheme="minorHAnsi" w:hAnsiTheme="minorHAnsi"/>
        </w:rPr>
        <w:t xml:space="preserve"> emphasizes the importance of protecting the areas proposed for protection in previous documents.</w:t>
      </w:r>
    </w:p>
  </w:footnote>
  <w:footnote w:id="5">
    <w:p w14:paraId="2A0C39DE" w14:textId="77777777" w:rsidR="00127DDC" w:rsidRPr="001435ED" w:rsidRDefault="00127DDC" w:rsidP="008B0101">
      <w:pPr>
        <w:pStyle w:val="FootnoteText"/>
        <w:rPr>
          <w:rFonts w:ascii="Cambria" w:hAnsi="Cambria"/>
          <w:lang w:val="sr-Latn-ME"/>
        </w:rPr>
      </w:pPr>
      <w:r w:rsidRPr="001435ED">
        <w:rPr>
          <w:rStyle w:val="FootnoteReference"/>
          <w:rFonts w:ascii="Cambria" w:hAnsi="Cambria"/>
        </w:rPr>
        <w:footnoteRef/>
      </w:r>
      <w:r w:rsidRPr="001435ED">
        <w:rPr>
          <w:rFonts w:ascii="Cambria" w:hAnsi="Cambria"/>
          <w:sz w:val="18"/>
        </w:rPr>
        <w:t xml:space="preserve"> http://www.keybiodiversityareas.org/</w:t>
      </w:r>
    </w:p>
  </w:footnote>
  <w:footnote w:id="6">
    <w:p w14:paraId="6F2B6D07" w14:textId="77777777" w:rsidR="00127DDC" w:rsidRPr="001D4F4F" w:rsidRDefault="00127DDC" w:rsidP="00E3185E">
      <w:pPr>
        <w:pStyle w:val="FootnoteText"/>
        <w:rPr>
          <w:rFonts w:asciiTheme="minorHAnsi" w:hAnsiTheme="minorHAnsi"/>
        </w:rPr>
      </w:pPr>
      <w:r w:rsidRPr="001D4F4F">
        <w:rPr>
          <w:rStyle w:val="FootnoteReference"/>
          <w:rFonts w:asciiTheme="minorHAnsi" w:hAnsiTheme="minorHAnsi"/>
        </w:rPr>
        <w:footnoteRef/>
      </w:r>
      <w:r w:rsidRPr="001D4F4F">
        <w:rPr>
          <w:rFonts w:asciiTheme="minorHAnsi" w:hAnsiTheme="minorHAnsi"/>
        </w:rPr>
        <w:t xml:space="preserve"> </w:t>
      </w:r>
      <w:r w:rsidRPr="00BA6FAE">
        <w:rPr>
          <w:rFonts w:asciiTheme="minorHAnsi" w:hAnsiTheme="minorHAnsi"/>
          <w:sz w:val="18"/>
          <w:szCs w:val="18"/>
        </w:rPr>
        <w:t>Output 2.3 was not marked in the approved PIF as such, however, the last paragraph related to Outcome 2 in the PIF strategy describes the content of this Output, so in this version it is marked as a separate Output 2.3</w:t>
      </w:r>
      <w:r w:rsidRPr="001D4F4F">
        <w:rPr>
          <w:rFonts w:asciiTheme="minorHAnsi" w:hAnsiTheme="minorHAnsi"/>
        </w:rPr>
        <w:t xml:space="preserve"> </w:t>
      </w:r>
    </w:p>
  </w:footnote>
  <w:footnote w:id="7">
    <w:p w14:paraId="1AE95199" w14:textId="77777777" w:rsidR="00127DDC" w:rsidRPr="00B37369" w:rsidRDefault="00127DDC" w:rsidP="005E3550">
      <w:pPr>
        <w:pStyle w:val="FootnoteText"/>
      </w:pPr>
      <w:r w:rsidRPr="00E45F31">
        <w:rPr>
          <w:rStyle w:val="FootnoteReference"/>
          <w:rFonts w:asciiTheme="minorHAnsi" w:hAnsiTheme="minorHAnsi"/>
          <w:szCs w:val="18"/>
        </w:rPr>
        <w:footnoteRef/>
      </w:r>
      <w:r w:rsidRPr="00E45F31">
        <w:rPr>
          <w:rFonts w:asciiTheme="minorHAnsi" w:hAnsiTheme="minorHAnsi"/>
          <w:sz w:val="18"/>
          <w:szCs w:val="18"/>
        </w:rPr>
        <w:t xml:space="preserve"> The Urbanistic project is developed and adopted for the area defined by the General Regulation Plan of Montenegro, namely: the area where the most significant and complex construction is forthcoming, i.e. which represents a particularly characteristic unity, the area devastated by illegal construction, as well as for settlements and parts of settlements representing immovable cultural goods of international and national importance – the Law on Spatial Planning and Construction of Structures of Montenegro (Article 45).</w:t>
      </w:r>
    </w:p>
  </w:footnote>
  <w:footnote w:id="8">
    <w:p w14:paraId="112B75D0" w14:textId="77777777" w:rsidR="00127DDC" w:rsidRPr="009A5746" w:rsidRDefault="00127DDC" w:rsidP="00F31132">
      <w:pPr>
        <w:pStyle w:val="FootnoteText"/>
      </w:pPr>
      <w:r>
        <w:rPr>
          <w:rStyle w:val="FootnoteReference"/>
        </w:rPr>
        <w:footnoteRef/>
      </w:r>
      <w:r w:rsidRPr="009A5746">
        <w:rPr>
          <w:lang w:val="sr-Latn-ME"/>
        </w:rPr>
        <w:t xml:space="preserve"> </w:t>
      </w:r>
      <w:r w:rsidRPr="00FE2EE5">
        <w:rPr>
          <w:rFonts w:asciiTheme="minorHAnsi" w:hAnsiTheme="minorHAnsi"/>
          <w:sz w:val="18"/>
          <w:szCs w:val="18"/>
        </w:rPr>
        <w:t>On the territory of the Municipality of Pljevlja there are large areas of private forests, but a significant number of owners do not live on the territory of the Municipality and do not show interest in sustainable forest management</w:t>
      </w:r>
    </w:p>
  </w:footnote>
  <w:footnote w:id="9">
    <w:p w14:paraId="20AB12D5" w14:textId="77777777" w:rsidR="00127DDC" w:rsidRDefault="00127DDC" w:rsidP="00792600">
      <w:pPr>
        <w:pStyle w:val="FootnoteText"/>
      </w:pPr>
      <w:r>
        <w:rPr>
          <w:rStyle w:val="FootnoteReference"/>
        </w:rPr>
        <w:footnoteRef/>
      </w:r>
      <w:r>
        <w:t xml:space="preserve"> </w:t>
      </w:r>
      <w:hyperlink r:id="rId1" w:history="1">
        <w:r w:rsidRPr="00173FD9">
          <w:rPr>
            <w:rStyle w:val="Hyperlink"/>
            <w:sz w:val="18"/>
            <w:szCs w:val="18"/>
          </w:rPr>
          <w:t xml:space="preserve">Biodiversity Mainstreaming in Practice: </w:t>
        </w:r>
        <w:proofErr w:type="gramStart"/>
        <w:r w:rsidRPr="00173FD9">
          <w:rPr>
            <w:rStyle w:val="Hyperlink"/>
            <w:sz w:val="18"/>
            <w:szCs w:val="18"/>
          </w:rPr>
          <w:t>a</w:t>
        </w:r>
        <w:proofErr w:type="gramEnd"/>
        <w:r w:rsidRPr="00173FD9">
          <w:rPr>
            <w:rStyle w:val="Hyperlink"/>
            <w:sz w:val="18"/>
            <w:szCs w:val="18"/>
          </w:rPr>
          <w:t xml:space="preserve"> Review of GEF Experience</w:t>
        </w:r>
      </w:hyperlink>
    </w:p>
  </w:footnote>
  <w:footnote w:id="10">
    <w:p w14:paraId="1BBC8957" w14:textId="77777777" w:rsidR="00127DDC" w:rsidRDefault="00127DDC" w:rsidP="009D5A1D">
      <w:pPr>
        <w:pStyle w:val="FootnoteText"/>
      </w:pPr>
      <w:r>
        <w:rPr>
          <w:rStyle w:val="FootnoteReference"/>
        </w:rPr>
        <w:footnoteRef/>
      </w:r>
      <w:r>
        <w:t xml:space="preserve"> </w:t>
      </w:r>
      <w:r w:rsidRPr="00671AE5">
        <w:rPr>
          <w:rFonts w:asciiTheme="minorHAnsi" w:hAnsiTheme="minorHAnsi"/>
          <w:sz w:val="18"/>
          <w:szCs w:val="18"/>
        </w:rPr>
        <w:t>Sanja Elezovic: Woman and Climate Change in Montenegro. - UNDP Montenegro, 2018, pages 16-18</w:t>
      </w:r>
    </w:p>
  </w:footnote>
  <w:footnote w:id="11">
    <w:p w14:paraId="7265EF39" w14:textId="77777777" w:rsidR="00127DDC" w:rsidRPr="00E55A1A" w:rsidRDefault="00127DDC" w:rsidP="00E55A1A">
      <w:pPr>
        <w:pStyle w:val="FootnoteText"/>
        <w:spacing w:after="0"/>
        <w:rPr>
          <w:rFonts w:asciiTheme="minorHAnsi" w:hAnsiTheme="minorHAnsi" w:cstheme="minorHAnsi"/>
          <w:color w:val="000000"/>
          <w:sz w:val="16"/>
          <w:szCs w:val="16"/>
          <w:lang w:val="en-GB"/>
        </w:rPr>
      </w:pPr>
      <w:r w:rsidRPr="00E55A1A">
        <w:rPr>
          <w:rStyle w:val="FootnoteReference"/>
          <w:rFonts w:asciiTheme="minorHAnsi" w:hAnsiTheme="minorHAnsi" w:cstheme="minorHAnsi"/>
          <w:color w:val="000000"/>
          <w:sz w:val="16"/>
          <w:szCs w:val="16"/>
        </w:rPr>
        <w:footnoteRef/>
      </w:r>
      <w:r w:rsidRPr="00E55A1A">
        <w:rPr>
          <w:rFonts w:asciiTheme="minorHAnsi" w:hAnsiTheme="minorHAnsi" w:cstheme="minorHAnsi"/>
          <w:color w:val="000000"/>
          <w:sz w:val="16"/>
          <w:szCs w:val="16"/>
        </w:rPr>
        <w:t xml:space="preserve"> </w:t>
      </w:r>
      <w:hyperlink r:id="rId2" w:history="1">
        <w:r w:rsidRPr="00E55A1A">
          <w:rPr>
            <w:rStyle w:val="Hyperlink"/>
            <w:rFonts w:asciiTheme="minorHAnsi" w:hAnsiTheme="minorHAnsi" w:cstheme="minorHAnsi"/>
            <w:color w:val="000000"/>
            <w:sz w:val="16"/>
            <w:szCs w:val="16"/>
            <w:u w:val="none"/>
          </w:rPr>
          <w:t>https://panorama.solutions/en</w:t>
        </w:r>
      </w:hyperlink>
      <w:r w:rsidRPr="00E55A1A">
        <w:rPr>
          <w:rFonts w:asciiTheme="minorHAnsi" w:hAnsiTheme="minorHAnsi" w:cstheme="minorHAnsi"/>
          <w:color w:val="000000"/>
          <w:sz w:val="16"/>
          <w:szCs w:val="16"/>
        </w:rPr>
        <w:t xml:space="preserve"> </w:t>
      </w:r>
    </w:p>
  </w:footnote>
  <w:footnote w:id="12">
    <w:p w14:paraId="2F36AD44" w14:textId="77777777" w:rsidR="00127DDC" w:rsidRPr="00E55A1A" w:rsidRDefault="00127DDC" w:rsidP="00E55A1A">
      <w:pPr>
        <w:pStyle w:val="FootnoteText"/>
        <w:spacing w:after="0"/>
        <w:rPr>
          <w:rFonts w:asciiTheme="minorHAnsi" w:hAnsiTheme="minorHAnsi" w:cstheme="minorHAnsi"/>
          <w:color w:val="000000"/>
          <w:sz w:val="16"/>
          <w:szCs w:val="16"/>
        </w:rPr>
      </w:pPr>
      <w:r w:rsidRPr="00E55A1A">
        <w:rPr>
          <w:rStyle w:val="FootnoteReference"/>
          <w:rFonts w:asciiTheme="minorHAnsi" w:hAnsiTheme="minorHAnsi" w:cstheme="minorHAnsi"/>
          <w:sz w:val="16"/>
          <w:szCs w:val="16"/>
        </w:rPr>
        <w:footnoteRef/>
      </w:r>
      <w:r w:rsidRPr="00E55A1A">
        <w:rPr>
          <w:rFonts w:asciiTheme="minorHAnsi" w:hAnsiTheme="minorHAnsi" w:cstheme="minorHAnsi"/>
          <w:sz w:val="16"/>
          <w:szCs w:val="16"/>
        </w:rPr>
        <w:t xml:space="preserve"> See </w:t>
      </w:r>
      <w:hyperlink r:id="rId3" w:history="1">
        <w:r w:rsidRPr="00E55A1A">
          <w:rPr>
            <w:rStyle w:val="Hyperlink"/>
            <w:rFonts w:asciiTheme="minorHAnsi" w:hAnsiTheme="minorHAnsi" w:cstheme="minorHAnsi"/>
            <w:sz w:val="16"/>
            <w:szCs w:val="16"/>
          </w:rPr>
          <w:t>https://www.thegef.org/gef/policies_guidelines</w:t>
        </w:r>
      </w:hyperlink>
    </w:p>
  </w:footnote>
  <w:footnote w:id="13">
    <w:p w14:paraId="7A665F35" w14:textId="77777777" w:rsidR="00127DDC" w:rsidRPr="00E55A1A" w:rsidRDefault="00127DDC" w:rsidP="00E55A1A">
      <w:pPr>
        <w:pStyle w:val="FootnoteText"/>
        <w:spacing w:after="0"/>
        <w:jc w:val="left"/>
        <w:rPr>
          <w:rFonts w:asciiTheme="minorHAnsi" w:hAnsiTheme="minorHAnsi" w:cstheme="minorHAnsi"/>
          <w:sz w:val="16"/>
          <w:szCs w:val="16"/>
        </w:rPr>
      </w:pPr>
      <w:r w:rsidRPr="00E55A1A">
        <w:rPr>
          <w:rStyle w:val="FootnoteReference"/>
          <w:rFonts w:asciiTheme="minorHAnsi" w:hAnsiTheme="minorHAnsi" w:cstheme="minorHAnsi"/>
          <w:sz w:val="16"/>
          <w:szCs w:val="16"/>
        </w:rPr>
        <w:footnoteRef/>
      </w:r>
      <w:r w:rsidRPr="00E55A1A">
        <w:rPr>
          <w:rFonts w:asciiTheme="minorHAnsi" w:hAnsiTheme="minorHAnsi" w:cstheme="minorHAnsi"/>
          <w:sz w:val="16"/>
          <w:szCs w:val="16"/>
        </w:rPr>
        <w:t xml:space="preserve"> See </w:t>
      </w:r>
      <w:r w:rsidRPr="00E55A1A">
        <w:rPr>
          <w:rFonts w:asciiTheme="minorHAnsi" w:hAnsiTheme="minorHAnsi" w:cstheme="minorHAnsi"/>
          <w:color w:val="000000"/>
          <w:sz w:val="16"/>
          <w:szCs w:val="16"/>
        </w:rPr>
        <w:t>http://www.undp.org/content/undp/en/home/operations/transparency/information_disclosurepolicy/</w:t>
      </w:r>
    </w:p>
  </w:footnote>
  <w:footnote w:id="14">
    <w:p w14:paraId="445F659F" w14:textId="77777777" w:rsidR="00127DDC" w:rsidRPr="00E55A1A" w:rsidRDefault="00127DDC" w:rsidP="00E55A1A">
      <w:pPr>
        <w:pStyle w:val="FootnoteText"/>
        <w:spacing w:after="0"/>
        <w:rPr>
          <w:rFonts w:asciiTheme="minorHAnsi" w:hAnsiTheme="minorHAnsi" w:cstheme="minorHAnsi"/>
          <w:sz w:val="16"/>
          <w:szCs w:val="16"/>
        </w:rPr>
      </w:pPr>
      <w:r w:rsidRPr="00E55A1A">
        <w:rPr>
          <w:rStyle w:val="FootnoteReference"/>
          <w:rFonts w:asciiTheme="minorHAnsi" w:hAnsiTheme="minorHAnsi" w:cstheme="minorHAnsi"/>
          <w:sz w:val="16"/>
          <w:szCs w:val="16"/>
        </w:rPr>
        <w:footnoteRef/>
      </w:r>
      <w:r w:rsidRPr="00E55A1A">
        <w:rPr>
          <w:rFonts w:asciiTheme="minorHAnsi" w:hAnsiTheme="minorHAnsi" w:cstheme="minorHAnsi"/>
          <w:sz w:val="16"/>
          <w:szCs w:val="16"/>
        </w:rPr>
        <w:t xml:space="preserve"> See </w:t>
      </w:r>
      <w:r w:rsidRPr="00E55A1A">
        <w:rPr>
          <w:rFonts w:asciiTheme="minorHAnsi" w:hAnsiTheme="minorHAnsi" w:cstheme="minorHAnsi"/>
          <w:color w:val="000000"/>
          <w:sz w:val="16"/>
          <w:szCs w:val="16"/>
        </w:rPr>
        <w:t>https://www.thegef.org/gef/policies_guidelines</w:t>
      </w:r>
    </w:p>
  </w:footnote>
  <w:footnote w:id="15">
    <w:p w14:paraId="009CDED2" w14:textId="158F3CDD" w:rsidR="00127DDC" w:rsidRPr="00E55A1A" w:rsidRDefault="00127DDC" w:rsidP="00E55A1A">
      <w:pPr>
        <w:pStyle w:val="FootnoteText"/>
        <w:spacing w:after="0"/>
        <w:jc w:val="left"/>
        <w:rPr>
          <w:rFonts w:asciiTheme="minorHAnsi" w:hAnsiTheme="minorHAnsi" w:cstheme="minorHAnsi"/>
          <w:sz w:val="16"/>
          <w:szCs w:val="16"/>
        </w:rPr>
      </w:pPr>
      <w:r w:rsidRPr="00E55A1A">
        <w:rPr>
          <w:rStyle w:val="FootnoteReference"/>
          <w:rFonts w:asciiTheme="minorHAnsi" w:hAnsiTheme="minorHAnsi" w:cstheme="minorHAnsi"/>
          <w:sz w:val="16"/>
          <w:szCs w:val="16"/>
        </w:rPr>
        <w:footnoteRef/>
      </w:r>
      <w:r w:rsidRPr="00E55A1A">
        <w:rPr>
          <w:rFonts w:asciiTheme="minorHAnsi" w:hAnsiTheme="minorHAnsi" w:cstheme="minorHAnsi"/>
          <w:sz w:val="16"/>
          <w:szCs w:val="16"/>
        </w:rPr>
        <w:t xml:space="preserve"> See </w:t>
      </w:r>
      <w:hyperlink r:id="rId4" w:history="1">
        <w:r w:rsidRPr="00E55A1A">
          <w:rPr>
            <w:rStyle w:val="Hyperlink"/>
            <w:rFonts w:asciiTheme="minorHAnsi" w:hAnsiTheme="minorHAnsi" w:cstheme="minorHAnsi"/>
            <w:sz w:val="16"/>
            <w:szCs w:val="16"/>
          </w:rPr>
          <w:t>https://popp.undp.org/_layouts/15/WopiFrame.aspx?sourcedoc=/UNDP_POPP_DOCUMENT_LIBRARY/Public/PPM_Project%20Management_Closing.docx&amp;action=default</w:t>
        </w:r>
      </w:hyperlink>
      <w:r w:rsidRPr="00E55A1A">
        <w:rPr>
          <w:rFonts w:asciiTheme="minorHAnsi" w:hAnsiTheme="minorHAnsi" w:cstheme="minorHAnsi"/>
          <w:sz w:val="16"/>
          <w:szCs w:val="16"/>
        </w:rPr>
        <w:t xml:space="preserve"> </w:t>
      </w:r>
    </w:p>
  </w:footnote>
  <w:footnote w:id="16">
    <w:p w14:paraId="3D33FC65" w14:textId="77777777" w:rsidR="00127DDC" w:rsidRDefault="00127DDC" w:rsidP="004641C4">
      <w:pPr>
        <w:pStyle w:val="FootnoteText"/>
        <w:spacing w:after="0"/>
        <w:rPr>
          <w:rFonts w:asciiTheme="minorHAnsi" w:hAnsiTheme="minorHAnsi" w:cstheme="minorHAnsi"/>
          <w:sz w:val="16"/>
          <w:szCs w:val="16"/>
        </w:rPr>
      </w:pPr>
      <w:r>
        <w:rPr>
          <w:rStyle w:val="FootnoteReference"/>
          <w:rFonts w:cstheme="minorHAnsi"/>
          <w:sz w:val="16"/>
          <w:szCs w:val="16"/>
        </w:rPr>
        <w:footnoteRef/>
      </w:r>
      <w:r>
        <w:rPr>
          <w:rFonts w:asciiTheme="minorHAnsi" w:hAnsiTheme="minorHAnsi" w:cstheme="minorHAnsi"/>
          <w:sz w:val="16"/>
          <w:szCs w:val="16"/>
        </w:rPr>
        <w:t xml:space="preserve"> Data collection methods should outline specific tools used to collect data and additional information as necessary to support monitoring. The PIR cannot be used as a source of verification.</w:t>
      </w:r>
    </w:p>
  </w:footnote>
  <w:footnote w:id="17">
    <w:p w14:paraId="1E966F2B" w14:textId="77777777" w:rsidR="00127DDC" w:rsidRPr="00BB50F4" w:rsidRDefault="00127DDC" w:rsidP="00AB2FD0">
      <w:pPr>
        <w:pStyle w:val="FootnoteText"/>
        <w:rPr>
          <w:rFonts w:ascii="Calibri" w:hAnsi="Calibri"/>
          <w:sz w:val="18"/>
          <w:szCs w:val="18"/>
        </w:rPr>
      </w:pPr>
      <w:r>
        <w:rPr>
          <w:rStyle w:val="FootnoteReference"/>
        </w:rPr>
        <w:footnoteRef/>
      </w:r>
      <w:r>
        <w:t xml:space="preserve"> </w:t>
      </w:r>
      <w:r w:rsidRPr="00BB50F4">
        <w:rPr>
          <w:rFonts w:ascii="Calibri" w:hAnsi="Calibri"/>
          <w:sz w:val="18"/>
          <w:szCs w:val="18"/>
        </w:rPr>
        <w:t xml:space="preserve">Prohibited </w:t>
      </w:r>
      <w:r w:rsidRPr="00BB50F4">
        <w:rPr>
          <w:rFonts w:ascii="Calibri" w:hAnsi="Calibri"/>
          <w:sz w:val="18"/>
          <w:szCs w:val="18"/>
          <w:lang w:val="en-CA"/>
        </w:rPr>
        <w:t xml:space="preserve">grounds of discrimination include race, ethnicity, gender, age, language, disability, sexual orientation, religion, political or other opinion, national or social or geographical origin, property, </w:t>
      </w:r>
      <w:proofErr w:type="gramStart"/>
      <w:r w:rsidRPr="00BB50F4">
        <w:rPr>
          <w:rFonts w:ascii="Calibri" w:hAnsi="Calibri"/>
          <w:sz w:val="18"/>
          <w:szCs w:val="18"/>
          <w:lang w:val="en-CA"/>
        </w:rPr>
        <w:t>birth</w:t>
      </w:r>
      <w:proofErr w:type="gramEnd"/>
      <w:r w:rsidRPr="00BB50F4">
        <w:rPr>
          <w:rFonts w:ascii="Calibri" w:hAnsi="Calibri"/>
          <w:sz w:val="18"/>
          <w:szCs w:val="18"/>
          <w:lang w:val="en-CA"/>
        </w:rPr>
        <w:t xml:space="preserve"> or other status including as an indigenous person or as a member of a minority. </w:t>
      </w:r>
      <w:r w:rsidRPr="00BB50F4">
        <w:rPr>
          <w:rFonts w:ascii="Calibri" w:hAnsi="Calibri"/>
          <w:sz w:val="18"/>
          <w:szCs w:val="18"/>
        </w:rPr>
        <w:t>References to “women and men” or similar is understood to include women and men, boys and girls, and other groups discriminated against based on their gender identities, such as transgender people and transsexuals.</w:t>
      </w:r>
    </w:p>
  </w:footnote>
  <w:footnote w:id="18">
    <w:p w14:paraId="0C338237" w14:textId="77777777" w:rsidR="00127DDC" w:rsidRPr="000319DF" w:rsidRDefault="00127DDC" w:rsidP="00AB2FD0">
      <w:pPr>
        <w:spacing w:before="60"/>
        <w:rPr>
          <w:sz w:val="18"/>
          <w:szCs w:val="18"/>
        </w:rPr>
      </w:pPr>
      <w:r w:rsidRPr="000319DF">
        <w:rPr>
          <w:vertAlign w:val="superscript"/>
        </w:rPr>
        <w:footnoteRef/>
      </w:r>
      <w:r w:rsidRPr="000319DF">
        <w:rPr>
          <w:sz w:val="18"/>
          <w:szCs w:val="18"/>
        </w:rPr>
        <w:t xml:space="preserve"> </w:t>
      </w:r>
      <w:r w:rsidRPr="00BB50F4">
        <w:rPr>
          <w:sz w:val="18"/>
          <w:szCs w:val="18"/>
        </w:rPr>
        <w:t>In regards to CO</w:t>
      </w:r>
      <w:r w:rsidRPr="00BB50F4">
        <w:rPr>
          <w:sz w:val="18"/>
          <w:szCs w:val="18"/>
          <w:vertAlign w:val="subscript"/>
        </w:rPr>
        <w:t>2,</w:t>
      </w:r>
      <w:r w:rsidRPr="00BB50F4">
        <w:rPr>
          <w:sz w:val="18"/>
          <w:szCs w:val="18"/>
        </w:rPr>
        <w:t xml:space="preserve"> ‘significant emissions’ corresponds generally to more than 25,000 tons per year (from both direct and indirect sources). [The Guidance Note on Climate Change Mitigation and Adaptation provides additional information on GHG emissions.]</w:t>
      </w:r>
    </w:p>
  </w:footnote>
  <w:footnote w:id="19">
    <w:p w14:paraId="2F17374C" w14:textId="77777777" w:rsidR="00127DDC" w:rsidRDefault="00127DDC" w:rsidP="00AB2FD0">
      <w:pPr>
        <w:pStyle w:val="FootnoteText"/>
      </w:pPr>
      <w:r>
        <w:rPr>
          <w:rStyle w:val="FootnoteReference"/>
        </w:rPr>
        <w:footnoteRef/>
      </w:r>
      <w:r>
        <w:t xml:space="preserve"> </w:t>
      </w:r>
      <w:r w:rsidRPr="00BB50F4">
        <w:rPr>
          <w:rFonts w:ascii="Calibri" w:hAnsi="Calibri"/>
          <w:sz w:val="18"/>
          <w:szCs w:val="18"/>
        </w:rPr>
        <w:t>Forced evictions include acts and/or omissions involving the coerced or involuntary displacement of individuals, groups, or communities from homes and/or lands and common property resources that were occupied or depended upon, thus eliminating the ability of an individual, group, or community to reside or work in a particular dwelling, residence, or location without the provision of, and access to, appropriate forms of legal or other protections.</w:t>
      </w:r>
    </w:p>
  </w:footnote>
  <w:footnote w:id="20">
    <w:p w14:paraId="6CE50498" w14:textId="77777777" w:rsidR="00127DDC" w:rsidRDefault="00127DDC" w:rsidP="00E36E18">
      <w:pPr>
        <w:pStyle w:val="FootnoteText"/>
      </w:pPr>
    </w:p>
  </w:footnote>
  <w:footnote w:id="21">
    <w:p w14:paraId="4A933405" w14:textId="77777777" w:rsidR="00127DDC" w:rsidRPr="000A12EC" w:rsidRDefault="00127DDC" w:rsidP="008C4F26">
      <w:pPr>
        <w:pStyle w:val="FootnoteText"/>
        <w:rPr>
          <w:rFonts w:asciiTheme="minorHAnsi" w:hAnsiTheme="minorHAnsi"/>
          <w:sz w:val="16"/>
          <w:szCs w:val="16"/>
          <w:lang w:val="sr-Latn-ME"/>
        </w:rPr>
      </w:pPr>
      <w:r w:rsidRPr="000A12EC">
        <w:rPr>
          <w:rStyle w:val="FootnoteReference"/>
          <w:rFonts w:asciiTheme="minorHAnsi" w:hAnsiTheme="minorHAnsi"/>
          <w:sz w:val="16"/>
          <w:szCs w:val="16"/>
        </w:rPr>
        <w:footnoteRef/>
      </w:r>
      <w:r w:rsidRPr="000A12EC">
        <w:rPr>
          <w:rFonts w:asciiTheme="minorHAnsi" w:hAnsiTheme="minorHAnsi"/>
          <w:sz w:val="16"/>
          <w:szCs w:val="16"/>
        </w:rPr>
        <w:t xml:space="preserve"> A – high influence, B – moderate influence, C – low influence</w:t>
      </w:r>
    </w:p>
  </w:footnote>
  <w:footnote w:id="22">
    <w:p w14:paraId="0C3F7DCF" w14:textId="77777777" w:rsidR="00127DDC" w:rsidRPr="00F20395" w:rsidRDefault="00127DDC" w:rsidP="008C4F26">
      <w:pPr>
        <w:pStyle w:val="FootnoteText"/>
        <w:rPr>
          <w:rFonts w:ascii="Calibri" w:hAnsi="Calibri"/>
          <w:sz w:val="18"/>
          <w:szCs w:val="18"/>
          <w:lang w:val="sr-Latn-ME"/>
        </w:rPr>
      </w:pPr>
      <w:r w:rsidRPr="00F20395">
        <w:rPr>
          <w:rStyle w:val="FootnoteReference"/>
          <w:rFonts w:ascii="Calibri" w:hAnsi="Calibri"/>
          <w:szCs w:val="18"/>
        </w:rPr>
        <w:footnoteRef/>
      </w:r>
      <w:r w:rsidRPr="00F20395">
        <w:rPr>
          <w:rFonts w:ascii="Calibri" w:hAnsi="Calibri"/>
          <w:sz w:val="18"/>
          <w:szCs w:val="18"/>
        </w:rPr>
        <w:t xml:space="preserve"> </w:t>
      </w:r>
      <w:r w:rsidRPr="00F20395">
        <w:rPr>
          <w:rFonts w:ascii="Calibri" w:hAnsi="Calibri"/>
          <w:sz w:val="18"/>
          <w:szCs w:val="18"/>
          <w:lang w:val="sr-Latn-ME"/>
        </w:rPr>
        <w:t>+++ - high conflict between the need for biodiversity conservation and spatial development plans, ++ - moderate conflict between the need for biodiversity conservation and spatial development plans, + - low conflict between the need for biodiversity conservation and spatial development plans, - no conflict between the need for biodiversity conservation and spatial development plans</w:t>
      </w:r>
    </w:p>
    <w:p w14:paraId="7ACA2771" w14:textId="77777777" w:rsidR="00127DDC" w:rsidRPr="009B459E" w:rsidRDefault="00127DDC" w:rsidP="008C4F26">
      <w:pPr>
        <w:pStyle w:val="FootnoteText"/>
        <w:rPr>
          <w:lang w:val="sr-Latn-ME"/>
        </w:rPr>
      </w:pPr>
    </w:p>
    <w:p w14:paraId="38581190" w14:textId="77777777" w:rsidR="00127DDC" w:rsidRPr="00E55EC7" w:rsidRDefault="00127DDC" w:rsidP="008C4F26">
      <w:pPr>
        <w:pStyle w:val="FootnoteText"/>
        <w:rPr>
          <w:lang w:val="sr-Latn-ME"/>
        </w:rPr>
      </w:pPr>
    </w:p>
  </w:footnote>
  <w:footnote w:id="23">
    <w:p w14:paraId="25A6905D" w14:textId="77777777" w:rsidR="00127DDC" w:rsidRPr="00526A88" w:rsidRDefault="00127DDC" w:rsidP="008C4F26">
      <w:pPr>
        <w:pStyle w:val="FootnoteText"/>
        <w:rPr>
          <w:rFonts w:asciiTheme="minorHAnsi" w:hAnsiTheme="minorHAnsi"/>
          <w:sz w:val="16"/>
          <w:szCs w:val="16"/>
          <w:lang w:val="sr-Latn-RS"/>
        </w:rPr>
      </w:pPr>
      <w:r w:rsidRPr="00526A88">
        <w:rPr>
          <w:rStyle w:val="FootnoteReference"/>
          <w:rFonts w:asciiTheme="minorHAnsi" w:hAnsiTheme="minorHAnsi"/>
          <w:sz w:val="16"/>
          <w:szCs w:val="16"/>
        </w:rPr>
        <w:footnoteRef/>
      </w:r>
      <w:r w:rsidRPr="00526A88">
        <w:rPr>
          <w:rFonts w:asciiTheme="minorHAnsi" w:hAnsiTheme="minorHAnsi"/>
          <w:sz w:val="16"/>
          <w:szCs w:val="16"/>
        </w:rPr>
        <w:t xml:space="preserve"> CBD, </w:t>
      </w:r>
      <w:r w:rsidRPr="00526A88">
        <w:rPr>
          <w:rFonts w:asciiTheme="minorHAnsi" w:hAnsiTheme="minorHAnsi"/>
          <w:i/>
          <w:iCs/>
          <w:sz w:val="16"/>
          <w:szCs w:val="16"/>
        </w:rPr>
        <w:t xml:space="preserve">A Good Practice Guide, Tourism for Nature and Development </w:t>
      </w:r>
      <w:hyperlink r:id="rId5" w:history="1">
        <w:r w:rsidRPr="00526A88">
          <w:rPr>
            <w:rStyle w:val="Hyperlink"/>
            <w:rFonts w:asciiTheme="minorHAnsi" w:hAnsiTheme="minorHAnsi"/>
            <w:sz w:val="16"/>
            <w:szCs w:val="16"/>
          </w:rPr>
          <w:t>https://www.cbd.int/development/doc/cbd-good-practice-guide-tourism-booklet-web-en.pdf</w:t>
        </w:r>
      </w:hyperlink>
      <w:r w:rsidRPr="00526A88">
        <w:rPr>
          <w:rFonts w:asciiTheme="minorHAnsi" w:hAnsiTheme="minorHAnsi"/>
          <w:sz w:val="16"/>
          <w:szCs w:val="16"/>
        </w:rPr>
        <w:t xml:space="preserve"> </w:t>
      </w:r>
    </w:p>
  </w:footnote>
  <w:footnote w:id="24">
    <w:p w14:paraId="01FD0B78" w14:textId="77777777" w:rsidR="00127DDC" w:rsidRPr="00526A88" w:rsidRDefault="00127DDC" w:rsidP="008C4F26">
      <w:pPr>
        <w:pStyle w:val="FootnoteText"/>
        <w:rPr>
          <w:rFonts w:asciiTheme="minorHAnsi" w:hAnsiTheme="minorHAnsi"/>
          <w:sz w:val="16"/>
          <w:szCs w:val="16"/>
        </w:rPr>
      </w:pPr>
      <w:r w:rsidRPr="00526A88">
        <w:rPr>
          <w:rStyle w:val="FootnoteReference"/>
          <w:rFonts w:asciiTheme="minorHAnsi" w:hAnsiTheme="minorHAnsi"/>
          <w:sz w:val="16"/>
          <w:szCs w:val="16"/>
        </w:rPr>
        <w:footnoteRef/>
      </w:r>
      <w:r w:rsidRPr="00526A88">
        <w:rPr>
          <w:rFonts w:asciiTheme="minorHAnsi" w:hAnsiTheme="minorHAnsi"/>
          <w:sz w:val="16"/>
          <w:szCs w:val="16"/>
        </w:rPr>
        <w:t xml:space="preserve"> same </w:t>
      </w:r>
    </w:p>
  </w:footnote>
  <w:footnote w:id="25">
    <w:p w14:paraId="63AD993D" w14:textId="77777777" w:rsidR="00127DDC" w:rsidRPr="00526A88" w:rsidRDefault="00127DDC" w:rsidP="008C4F26">
      <w:pPr>
        <w:pStyle w:val="FootnoteText"/>
        <w:rPr>
          <w:rFonts w:asciiTheme="minorHAnsi" w:hAnsiTheme="minorHAnsi"/>
          <w:sz w:val="16"/>
          <w:szCs w:val="16"/>
        </w:rPr>
      </w:pPr>
      <w:r w:rsidRPr="00526A88">
        <w:rPr>
          <w:rStyle w:val="FootnoteReference"/>
          <w:rFonts w:asciiTheme="minorHAnsi" w:hAnsiTheme="minorHAnsi"/>
          <w:sz w:val="16"/>
          <w:szCs w:val="16"/>
        </w:rPr>
        <w:footnoteRef/>
      </w:r>
      <w:r w:rsidRPr="00526A88">
        <w:rPr>
          <w:rFonts w:asciiTheme="minorHAnsi" w:hAnsiTheme="minorHAnsi"/>
          <w:sz w:val="16"/>
          <w:szCs w:val="16"/>
        </w:rPr>
        <w:t xml:space="preserve"> same</w:t>
      </w:r>
    </w:p>
    <w:p w14:paraId="15DC9E2B" w14:textId="77777777" w:rsidR="00127DDC" w:rsidRPr="00526A88" w:rsidRDefault="00127DDC" w:rsidP="008C4F26">
      <w:pPr>
        <w:pStyle w:val="FootnoteText"/>
        <w:rPr>
          <w:rFonts w:asciiTheme="minorHAnsi" w:hAnsiTheme="minorHAnsi"/>
          <w:sz w:val="16"/>
          <w:szCs w:val="16"/>
        </w:rPr>
      </w:pPr>
    </w:p>
  </w:footnote>
  <w:footnote w:id="26">
    <w:p w14:paraId="4BAC9C68" w14:textId="77777777" w:rsidR="00127DDC" w:rsidRPr="00526A88" w:rsidRDefault="00127DDC" w:rsidP="008C4F26">
      <w:pPr>
        <w:pStyle w:val="FootnoteText"/>
        <w:rPr>
          <w:rFonts w:asciiTheme="minorHAnsi" w:hAnsiTheme="minorHAnsi"/>
          <w:sz w:val="16"/>
          <w:szCs w:val="16"/>
        </w:rPr>
      </w:pPr>
      <w:r w:rsidRPr="00526A88">
        <w:rPr>
          <w:rStyle w:val="FootnoteReference"/>
          <w:rFonts w:asciiTheme="minorHAnsi" w:hAnsiTheme="minorHAnsi"/>
          <w:sz w:val="16"/>
          <w:szCs w:val="16"/>
        </w:rPr>
        <w:footnoteRef/>
      </w:r>
      <w:r w:rsidRPr="00526A88">
        <w:rPr>
          <w:rFonts w:asciiTheme="minorHAnsi" w:hAnsiTheme="minorHAnsi"/>
          <w:sz w:val="16"/>
          <w:szCs w:val="16"/>
        </w:rPr>
        <w:t xml:space="preserve"> same</w:t>
      </w:r>
    </w:p>
    <w:p w14:paraId="37F911E1" w14:textId="77777777" w:rsidR="00127DDC" w:rsidRPr="00526A88" w:rsidRDefault="00127DDC" w:rsidP="008C4F26">
      <w:pPr>
        <w:pStyle w:val="FootnoteText"/>
        <w:rPr>
          <w:rFonts w:asciiTheme="minorHAnsi" w:hAnsiTheme="minorHAnsi"/>
        </w:rPr>
      </w:pPr>
    </w:p>
  </w:footnote>
  <w:footnote w:id="27">
    <w:p w14:paraId="692FC53E" w14:textId="77777777" w:rsidR="00127DDC" w:rsidRPr="00526A88" w:rsidRDefault="00127DDC" w:rsidP="008C4F26">
      <w:pPr>
        <w:pStyle w:val="FootnoteText"/>
        <w:rPr>
          <w:rFonts w:asciiTheme="minorHAnsi" w:hAnsiTheme="minorHAnsi"/>
          <w:sz w:val="16"/>
          <w:szCs w:val="16"/>
        </w:rPr>
      </w:pPr>
      <w:r w:rsidRPr="00526A88">
        <w:rPr>
          <w:rStyle w:val="FootnoteReference"/>
          <w:rFonts w:asciiTheme="minorHAnsi" w:hAnsiTheme="minorHAnsi"/>
          <w:sz w:val="16"/>
          <w:szCs w:val="16"/>
        </w:rPr>
        <w:footnoteRef/>
      </w:r>
      <w:r w:rsidRPr="00526A88">
        <w:rPr>
          <w:rFonts w:asciiTheme="minorHAnsi" w:hAnsiTheme="minorHAnsi"/>
          <w:sz w:val="16"/>
          <w:szCs w:val="16"/>
        </w:rPr>
        <w:t xml:space="preserve"> same</w:t>
      </w:r>
    </w:p>
    <w:p w14:paraId="68AED9ED" w14:textId="77777777" w:rsidR="00127DDC" w:rsidRPr="000A12EC" w:rsidRDefault="00127DDC" w:rsidP="008C4F26">
      <w:pPr>
        <w:pStyle w:val="FootnoteText"/>
        <w:rPr>
          <w:sz w:val="16"/>
          <w:szCs w:val="16"/>
        </w:rPr>
      </w:pPr>
    </w:p>
  </w:footnote>
  <w:footnote w:id="28">
    <w:p w14:paraId="16EB4359" w14:textId="77777777" w:rsidR="00127DDC" w:rsidRPr="00526A88" w:rsidRDefault="00127DDC" w:rsidP="008C4F26">
      <w:pPr>
        <w:pStyle w:val="FootnoteText"/>
        <w:rPr>
          <w:rFonts w:asciiTheme="minorHAnsi" w:hAnsiTheme="minorHAnsi"/>
          <w:sz w:val="16"/>
          <w:szCs w:val="16"/>
        </w:rPr>
      </w:pPr>
      <w:r w:rsidRPr="00526A88">
        <w:rPr>
          <w:rStyle w:val="FootnoteReference"/>
          <w:rFonts w:asciiTheme="minorHAnsi" w:hAnsiTheme="minorHAnsi"/>
          <w:sz w:val="16"/>
          <w:szCs w:val="16"/>
        </w:rPr>
        <w:footnoteRef/>
      </w:r>
      <w:r w:rsidRPr="00526A88">
        <w:rPr>
          <w:rFonts w:asciiTheme="minorHAnsi" w:hAnsiTheme="minorHAnsi"/>
          <w:sz w:val="16"/>
          <w:szCs w:val="16"/>
        </w:rPr>
        <w:t>same</w:t>
      </w:r>
    </w:p>
  </w:footnote>
  <w:footnote w:id="29">
    <w:p w14:paraId="5A837689" w14:textId="77777777" w:rsidR="00127DDC" w:rsidRPr="00526A88" w:rsidRDefault="00127DDC" w:rsidP="008C4F26">
      <w:pPr>
        <w:pStyle w:val="FootnoteText"/>
        <w:rPr>
          <w:rFonts w:asciiTheme="minorHAnsi" w:hAnsiTheme="minorHAnsi"/>
          <w:sz w:val="16"/>
          <w:szCs w:val="16"/>
        </w:rPr>
      </w:pPr>
      <w:r w:rsidRPr="00526A88">
        <w:rPr>
          <w:rStyle w:val="FootnoteReference"/>
          <w:rFonts w:asciiTheme="minorHAnsi" w:hAnsiTheme="minorHAnsi"/>
          <w:sz w:val="16"/>
          <w:szCs w:val="16"/>
        </w:rPr>
        <w:footnoteRef/>
      </w:r>
      <w:r w:rsidRPr="00526A88">
        <w:rPr>
          <w:rFonts w:asciiTheme="minorHAnsi" w:hAnsiTheme="minorHAnsi"/>
          <w:sz w:val="16"/>
          <w:szCs w:val="16"/>
        </w:rPr>
        <w:t xml:space="preserve"> ETIS toolkit 2016, </w:t>
      </w:r>
      <w:hyperlink r:id="rId6" w:history="1">
        <w:r w:rsidRPr="00526A88">
          <w:rPr>
            <w:rStyle w:val="Hyperlink"/>
            <w:rFonts w:asciiTheme="minorHAnsi" w:hAnsiTheme="minorHAnsi"/>
            <w:sz w:val="16"/>
            <w:szCs w:val="16"/>
          </w:rPr>
          <w:t>https://ec.europa.eu/docsroom/documents/21749</w:t>
        </w:r>
      </w:hyperlink>
      <w:r w:rsidRPr="00526A88">
        <w:rPr>
          <w:rFonts w:asciiTheme="minorHAnsi" w:hAnsiTheme="minorHAnsi"/>
          <w:sz w:val="16"/>
          <w:szCs w:val="16"/>
        </w:rPr>
        <w:t xml:space="preserve"> </w:t>
      </w:r>
    </w:p>
  </w:footnote>
  <w:footnote w:id="30">
    <w:p w14:paraId="0067515F" w14:textId="77777777" w:rsidR="00127DDC" w:rsidRPr="00B51ACB" w:rsidRDefault="00127DDC" w:rsidP="008C4F26">
      <w:pPr>
        <w:autoSpaceDE w:val="0"/>
        <w:autoSpaceDN w:val="0"/>
        <w:adjustRightInd w:val="0"/>
        <w:rPr>
          <w:rFonts w:ascii="EC Square Sans Pro" w:hAnsi="EC Square Sans Pro" w:cs="EC Square Sans Pro"/>
          <w:color w:val="000000"/>
          <w:szCs w:val="20"/>
          <w:lang w:val="en-GB"/>
        </w:rPr>
      </w:pPr>
      <w:r w:rsidRPr="00526A88">
        <w:rPr>
          <w:rStyle w:val="FootnoteReference"/>
          <w:rFonts w:asciiTheme="minorHAnsi" w:hAnsiTheme="minorHAnsi"/>
          <w:sz w:val="16"/>
          <w:szCs w:val="16"/>
        </w:rPr>
        <w:footnoteRef/>
      </w:r>
      <w:r w:rsidRPr="00526A88">
        <w:rPr>
          <w:rFonts w:asciiTheme="minorHAnsi" w:hAnsiTheme="minorHAnsi"/>
          <w:sz w:val="16"/>
          <w:szCs w:val="16"/>
        </w:rPr>
        <w:t xml:space="preserve"> </w:t>
      </w:r>
      <w:r w:rsidRPr="00526A88">
        <w:rPr>
          <w:rFonts w:asciiTheme="minorHAnsi" w:hAnsiTheme="minorHAnsi" w:cs="EC Square Sans Pro"/>
          <w:color w:val="000000"/>
          <w:sz w:val="16"/>
          <w:szCs w:val="16"/>
          <w:lang w:val="en-GB"/>
        </w:rPr>
        <w:t>For the purposes of this system of indicators, a destination can be defined as: a geographic area that is currently or potentially attractive to visitors/tourists; a place or area which is recognised and can easily be defined as a visitor destination and has a range of facilities and products in place for tourism purposes; a place or area which is promoted as a destination; a place or area where it is possible to measure the supply of and demand for tourism ser</w:t>
      </w:r>
      <w:r w:rsidRPr="00526A88">
        <w:rPr>
          <w:rFonts w:asciiTheme="minorHAnsi" w:hAnsiTheme="minorHAnsi" w:cs="EC Square Sans Pro"/>
          <w:color w:val="000000"/>
          <w:sz w:val="16"/>
          <w:szCs w:val="16"/>
          <w:lang w:val="en-GB"/>
        </w:rPr>
        <w:softHyphen/>
        <w:t>vices, i.e. the visitor economy; a place or area where the visitor management process usually includes a range of public and private-sector stakeholders together with the host community.</w:t>
      </w:r>
    </w:p>
  </w:footnote>
  <w:footnote w:id="31">
    <w:p w14:paraId="16A956B2" w14:textId="77777777" w:rsidR="00127DDC" w:rsidRPr="00526A88" w:rsidRDefault="00127DDC" w:rsidP="008C4F26">
      <w:pPr>
        <w:pStyle w:val="FootnoteText"/>
        <w:rPr>
          <w:rFonts w:asciiTheme="minorHAnsi" w:hAnsiTheme="minorHAnsi"/>
          <w:sz w:val="16"/>
          <w:szCs w:val="16"/>
        </w:rPr>
      </w:pPr>
      <w:r w:rsidRPr="00526A88">
        <w:rPr>
          <w:rStyle w:val="FootnoteReference"/>
          <w:rFonts w:asciiTheme="minorHAnsi" w:hAnsiTheme="minorHAnsi"/>
          <w:sz w:val="16"/>
          <w:szCs w:val="16"/>
        </w:rPr>
        <w:footnoteRef/>
      </w:r>
      <w:r w:rsidRPr="00526A88">
        <w:rPr>
          <w:rFonts w:asciiTheme="minorHAnsi" w:hAnsiTheme="minorHAnsi"/>
          <w:sz w:val="16"/>
          <w:szCs w:val="16"/>
        </w:rPr>
        <w:t xml:space="preserve"> </w:t>
      </w:r>
      <w:hyperlink r:id="rId7" w:history="1">
        <w:r w:rsidRPr="00526A88">
          <w:rPr>
            <w:rStyle w:val="Hyperlink"/>
            <w:rFonts w:asciiTheme="minorHAnsi" w:hAnsiTheme="minorHAnsi"/>
            <w:sz w:val="16"/>
            <w:szCs w:val="16"/>
          </w:rPr>
          <w:t>https://ec.europa.eu/environment/ecolabel/</w:t>
        </w:r>
      </w:hyperlink>
      <w:r w:rsidRPr="00526A88">
        <w:rPr>
          <w:rFonts w:asciiTheme="minorHAnsi" w:hAnsiTheme="minorHAnsi"/>
          <w:sz w:val="16"/>
          <w:szCs w:val="16"/>
        </w:rPr>
        <w:t xml:space="preserve"> </w:t>
      </w:r>
    </w:p>
  </w:footnote>
  <w:footnote w:id="32">
    <w:p w14:paraId="796FB272" w14:textId="77777777" w:rsidR="00127DDC" w:rsidRPr="00526A88" w:rsidRDefault="00127DDC" w:rsidP="008C4F26">
      <w:pPr>
        <w:pStyle w:val="FootnoteText"/>
        <w:rPr>
          <w:rFonts w:asciiTheme="minorHAnsi" w:hAnsiTheme="minorHAnsi"/>
          <w:sz w:val="16"/>
          <w:szCs w:val="16"/>
        </w:rPr>
      </w:pPr>
      <w:r w:rsidRPr="00526A88">
        <w:rPr>
          <w:rStyle w:val="FootnoteReference"/>
          <w:rFonts w:asciiTheme="minorHAnsi" w:hAnsiTheme="minorHAnsi"/>
          <w:sz w:val="16"/>
          <w:szCs w:val="16"/>
        </w:rPr>
        <w:footnoteRef/>
      </w:r>
      <w:r w:rsidRPr="00526A88">
        <w:rPr>
          <w:rFonts w:asciiTheme="minorHAnsi" w:hAnsiTheme="minorHAnsi"/>
          <w:sz w:val="16"/>
          <w:szCs w:val="16"/>
        </w:rPr>
        <w:t xml:space="preserve"> The User Manual with all the information on criterion can be found on </w:t>
      </w:r>
      <w:hyperlink r:id="rId8" w:history="1">
        <w:r w:rsidRPr="00526A88">
          <w:rPr>
            <w:rStyle w:val="Hyperlink"/>
            <w:rFonts w:asciiTheme="minorHAnsi" w:hAnsiTheme="minorHAnsi"/>
            <w:sz w:val="16"/>
            <w:szCs w:val="16"/>
          </w:rPr>
          <w:t>https://ec.europa.eu/environment/ecolabel/documents/ecat_user_manual/en.pdf</w:t>
        </w:r>
      </w:hyperlink>
      <w:r w:rsidRPr="00526A88">
        <w:rPr>
          <w:rFonts w:asciiTheme="minorHAnsi" w:hAnsiTheme="minorHAnsi"/>
          <w:sz w:val="16"/>
          <w:szCs w:val="16"/>
        </w:rPr>
        <w:t xml:space="preserve"> </w:t>
      </w:r>
    </w:p>
  </w:footnote>
  <w:footnote w:id="33">
    <w:p w14:paraId="4D1DA812" w14:textId="77777777" w:rsidR="00127DDC" w:rsidRPr="00526A88" w:rsidRDefault="00127DDC" w:rsidP="008C4F26">
      <w:pPr>
        <w:rPr>
          <w:rFonts w:asciiTheme="minorHAnsi" w:hAnsiTheme="minorHAnsi" w:cstheme="minorHAnsi"/>
          <w:sz w:val="16"/>
          <w:szCs w:val="16"/>
        </w:rPr>
      </w:pPr>
      <w:r w:rsidRPr="00526A88">
        <w:rPr>
          <w:rStyle w:val="FootnoteReference"/>
          <w:rFonts w:asciiTheme="minorHAnsi" w:hAnsiTheme="minorHAnsi"/>
          <w:sz w:val="16"/>
          <w:szCs w:val="16"/>
        </w:rPr>
        <w:footnoteRef/>
      </w:r>
      <w:r w:rsidRPr="00526A88">
        <w:rPr>
          <w:rFonts w:asciiTheme="minorHAnsi" w:hAnsiTheme="minorHAnsi"/>
          <w:sz w:val="16"/>
          <w:szCs w:val="16"/>
        </w:rPr>
        <w:t xml:space="preserve"> </w:t>
      </w:r>
      <w:hyperlink r:id="rId9" w:history="1">
        <w:r w:rsidRPr="00526A88">
          <w:rPr>
            <w:rStyle w:val="Hyperlink"/>
            <w:rFonts w:asciiTheme="minorHAnsi" w:hAnsiTheme="minorHAnsi" w:cstheme="minorHAnsi"/>
            <w:sz w:val="16"/>
            <w:szCs w:val="16"/>
          </w:rPr>
          <w:t>https://www.cbd.int/tourism/doc/tourism-manual-2015-en.pdf</w:t>
        </w:r>
      </w:hyperlink>
    </w:p>
  </w:footnote>
  <w:footnote w:id="34">
    <w:p w14:paraId="05C592BC" w14:textId="77777777" w:rsidR="00127DDC" w:rsidRPr="00526A88" w:rsidRDefault="00127DDC" w:rsidP="008C4F26">
      <w:pPr>
        <w:rPr>
          <w:rFonts w:asciiTheme="minorHAnsi" w:hAnsiTheme="minorHAnsi"/>
          <w:sz w:val="16"/>
          <w:szCs w:val="16"/>
        </w:rPr>
      </w:pPr>
      <w:r w:rsidRPr="00526A88">
        <w:rPr>
          <w:rStyle w:val="FootnoteReference"/>
          <w:rFonts w:asciiTheme="minorHAnsi" w:hAnsiTheme="minorHAnsi"/>
          <w:sz w:val="16"/>
          <w:szCs w:val="16"/>
        </w:rPr>
        <w:footnoteRef/>
      </w:r>
      <w:r w:rsidRPr="00526A88">
        <w:rPr>
          <w:rFonts w:asciiTheme="minorHAnsi" w:hAnsiTheme="minorHAnsi"/>
          <w:sz w:val="16"/>
          <w:szCs w:val="16"/>
        </w:rPr>
        <w:t xml:space="preserve"> </w:t>
      </w:r>
      <w:hyperlink r:id="rId10" w:history="1">
        <w:r w:rsidRPr="00526A88">
          <w:rPr>
            <w:rStyle w:val="Hyperlink"/>
            <w:rFonts w:asciiTheme="minorHAnsi" w:hAnsiTheme="minorHAnsi"/>
            <w:sz w:val="16"/>
            <w:szCs w:val="16"/>
          </w:rPr>
          <w:t>https://destinet.eu/who-who/civil-society-ngos/ecotrans/publications/</w:t>
        </w:r>
      </w:hyperlink>
    </w:p>
  </w:footnote>
  <w:footnote w:id="35">
    <w:p w14:paraId="079AE1C2" w14:textId="77777777" w:rsidR="00127DDC" w:rsidRPr="00526A88" w:rsidRDefault="00127DDC" w:rsidP="008C4F26">
      <w:pPr>
        <w:pStyle w:val="FootnoteText"/>
        <w:rPr>
          <w:rFonts w:asciiTheme="minorHAnsi" w:hAnsiTheme="minorHAnsi"/>
          <w:sz w:val="16"/>
          <w:szCs w:val="16"/>
        </w:rPr>
      </w:pPr>
      <w:r w:rsidRPr="00526A88">
        <w:rPr>
          <w:rStyle w:val="FootnoteReference"/>
          <w:rFonts w:asciiTheme="minorHAnsi" w:hAnsiTheme="minorHAnsi"/>
          <w:sz w:val="16"/>
          <w:szCs w:val="16"/>
        </w:rPr>
        <w:footnoteRef/>
      </w:r>
      <w:r w:rsidRPr="00526A88">
        <w:rPr>
          <w:rFonts w:asciiTheme="minorHAnsi" w:hAnsiTheme="minorHAnsi"/>
          <w:sz w:val="16"/>
          <w:szCs w:val="16"/>
        </w:rPr>
        <w:t xml:space="preserve"> </w:t>
      </w:r>
      <w:hyperlink r:id="rId11" w:history="1">
        <w:r w:rsidRPr="00526A88">
          <w:rPr>
            <w:rStyle w:val="Hyperlink"/>
            <w:rFonts w:asciiTheme="minorHAnsi" w:hAnsiTheme="minorHAnsi"/>
            <w:sz w:val="16"/>
            <w:szCs w:val="16"/>
          </w:rPr>
          <w:t>https://destinet.eu/resources/tools/certification-quickfinder</w:t>
        </w:r>
      </w:hyperlink>
    </w:p>
  </w:footnote>
  <w:footnote w:id="36">
    <w:p w14:paraId="5BD39070" w14:textId="77777777" w:rsidR="00127DDC" w:rsidRPr="000A12EC" w:rsidRDefault="00127DDC" w:rsidP="008C4F26">
      <w:pPr>
        <w:pStyle w:val="FootnoteText"/>
        <w:rPr>
          <w:sz w:val="16"/>
          <w:szCs w:val="16"/>
        </w:rPr>
      </w:pPr>
      <w:r w:rsidRPr="00526A88">
        <w:rPr>
          <w:rStyle w:val="FootnoteReference"/>
          <w:rFonts w:asciiTheme="minorHAnsi" w:hAnsiTheme="minorHAnsi"/>
          <w:sz w:val="16"/>
          <w:szCs w:val="16"/>
        </w:rPr>
        <w:footnoteRef/>
      </w:r>
      <w:r w:rsidRPr="00526A88">
        <w:rPr>
          <w:rFonts w:asciiTheme="minorHAnsi" w:hAnsiTheme="minorHAnsi"/>
          <w:sz w:val="16"/>
          <w:szCs w:val="16"/>
        </w:rPr>
        <w:t xml:space="preserve"> </w:t>
      </w:r>
      <w:hyperlink r:id="rId12" w:history="1">
        <w:r w:rsidRPr="00526A88">
          <w:rPr>
            <w:rStyle w:val="Hyperlink"/>
            <w:rFonts w:asciiTheme="minorHAnsi" w:hAnsiTheme="minorHAnsi"/>
            <w:sz w:val="16"/>
            <w:szCs w:val="16"/>
          </w:rPr>
          <w:t>http://www.ecotourism-network.eu</w:t>
        </w:r>
      </w:hyperlink>
    </w:p>
  </w:footnote>
  <w:footnote w:id="37">
    <w:p w14:paraId="5E590508" w14:textId="77777777" w:rsidR="00127DDC" w:rsidRPr="006C1C66" w:rsidRDefault="00127DDC" w:rsidP="008C4F26">
      <w:pPr>
        <w:pStyle w:val="FootnoteText"/>
        <w:rPr>
          <w:rFonts w:asciiTheme="minorHAnsi" w:hAnsiTheme="minorHAnsi"/>
          <w:sz w:val="16"/>
          <w:szCs w:val="16"/>
        </w:rPr>
      </w:pPr>
      <w:r w:rsidRPr="006C1C66">
        <w:rPr>
          <w:rStyle w:val="FootnoteReference"/>
          <w:rFonts w:asciiTheme="minorHAnsi" w:hAnsiTheme="minorHAnsi"/>
          <w:sz w:val="16"/>
          <w:szCs w:val="16"/>
        </w:rPr>
        <w:footnoteRef/>
      </w:r>
      <w:r w:rsidRPr="006C1C66">
        <w:rPr>
          <w:rFonts w:asciiTheme="minorHAnsi" w:hAnsiTheme="minorHAnsi"/>
          <w:sz w:val="16"/>
          <w:szCs w:val="16"/>
        </w:rPr>
        <w:t xml:space="preserve"> </w:t>
      </w:r>
      <w:hyperlink r:id="rId13" w:history="1">
        <w:r w:rsidRPr="006C1C66">
          <w:rPr>
            <w:rStyle w:val="Hyperlink"/>
            <w:rFonts w:asciiTheme="minorHAnsi" w:hAnsiTheme="minorHAnsi"/>
            <w:sz w:val="16"/>
            <w:szCs w:val="16"/>
          </w:rPr>
          <w:t>https://www.cbd.int/tourism/doc/tourism-manual-2015-en.pdf</w:t>
        </w:r>
      </w:hyperlink>
      <w:r w:rsidRPr="006C1C66">
        <w:rPr>
          <w:rFonts w:asciiTheme="minorHAnsi" w:hAnsiTheme="minorHAnsi"/>
          <w:sz w:val="16"/>
          <w:szCs w:val="16"/>
        </w:rPr>
        <w:t xml:space="preserve"> </w:t>
      </w:r>
    </w:p>
  </w:footnote>
  <w:footnote w:id="38">
    <w:p w14:paraId="1822F6C6" w14:textId="77777777" w:rsidR="00127DDC" w:rsidRPr="006C1C66" w:rsidRDefault="00127DDC" w:rsidP="008C4F26">
      <w:pPr>
        <w:pStyle w:val="FootnoteText"/>
        <w:rPr>
          <w:rFonts w:asciiTheme="minorHAnsi" w:hAnsiTheme="minorHAnsi"/>
          <w:sz w:val="16"/>
          <w:szCs w:val="16"/>
        </w:rPr>
      </w:pPr>
      <w:r w:rsidRPr="006C1C66">
        <w:rPr>
          <w:rStyle w:val="FootnoteReference"/>
          <w:rFonts w:asciiTheme="minorHAnsi" w:hAnsiTheme="minorHAnsi"/>
          <w:sz w:val="16"/>
          <w:szCs w:val="16"/>
        </w:rPr>
        <w:footnoteRef/>
      </w:r>
      <w:r w:rsidRPr="006C1C66">
        <w:rPr>
          <w:rFonts w:asciiTheme="minorHAnsi" w:hAnsiTheme="minorHAnsi"/>
          <w:sz w:val="16"/>
          <w:szCs w:val="16"/>
        </w:rPr>
        <w:t xml:space="preserve"> </w:t>
      </w:r>
      <w:hyperlink r:id="rId14" w:history="1">
        <w:r w:rsidRPr="006C1C66">
          <w:rPr>
            <w:rStyle w:val="Hyperlink"/>
            <w:rFonts w:asciiTheme="minorHAnsi" w:hAnsiTheme="minorHAnsi" w:cstheme="minorHAnsi"/>
            <w:sz w:val="16"/>
            <w:szCs w:val="16"/>
          </w:rPr>
          <w:t>https://www.cbd.int/tourism/doc/tourism-manual-2015-en.pdf</w:t>
        </w:r>
      </w:hyperlink>
    </w:p>
  </w:footnote>
  <w:footnote w:id="39">
    <w:p w14:paraId="1061CEDE" w14:textId="77777777" w:rsidR="00127DDC" w:rsidRPr="006C1C66" w:rsidRDefault="00127DDC" w:rsidP="008C4F26">
      <w:pPr>
        <w:pStyle w:val="FootnoteText"/>
        <w:rPr>
          <w:rFonts w:asciiTheme="minorHAnsi" w:hAnsiTheme="minorHAnsi"/>
          <w:sz w:val="16"/>
          <w:szCs w:val="16"/>
        </w:rPr>
      </w:pPr>
      <w:r w:rsidRPr="006C1C66">
        <w:rPr>
          <w:rStyle w:val="FootnoteReference"/>
          <w:rFonts w:asciiTheme="minorHAnsi" w:hAnsiTheme="minorHAnsi"/>
          <w:sz w:val="16"/>
          <w:szCs w:val="16"/>
        </w:rPr>
        <w:footnoteRef/>
      </w:r>
      <w:r w:rsidRPr="006C1C66">
        <w:rPr>
          <w:rFonts w:asciiTheme="minorHAnsi" w:hAnsiTheme="minorHAnsi"/>
          <w:sz w:val="16"/>
          <w:szCs w:val="16"/>
        </w:rPr>
        <w:t xml:space="preserve"> Note: the table mentions only those certifications that are in use in Montenegro</w:t>
      </w:r>
    </w:p>
  </w:footnote>
  <w:footnote w:id="40">
    <w:p w14:paraId="1349D253" w14:textId="77777777" w:rsidR="00127DDC" w:rsidRPr="006C1C66" w:rsidRDefault="00127DDC" w:rsidP="008C4F26">
      <w:pPr>
        <w:pStyle w:val="FootnoteText"/>
        <w:rPr>
          <w:rFonts w:asciiTheme="minorHAnsi" w:hAnsiTheme="minorHAnsi"/>
          <w:sz w:val="16"/>
          <w:szCs w:val="16"/>
        </w:rPr>
      </w:pPr>
      <w:r w:rsidRPr="006C1C66">
        <w:rPr>
          <w:rStyle w:val="FootnoteReference"/>
          <w:rFonts w:asciiTheme="minorHAnsi" w:hAnsiTheme="minorHAnsi"/>
          <w:sz w:val="16"/>
          <w:szCs w:val="16"/>
        </w:rPr>
        <w:footnoteRef/>
      </w:r>
      <w:r w:rsidRPr="006C1C66">
        <w:rPr>
          <w:rFonts w:asciiTheme="minorHAnsi" w:hAnsiTheme="minorHAnsi"/>
          <w:sz w:val="16"/>
          <w:szCs w:val="16"/>
        </w:rPr>
        <w:t xml:space="preserve"> </w:t>
      </w:r>
      <w:hyperlink r:id="rId15" w:history="1">
        <w:r w:rsidRPr="006C1C66">
          <w:rPr>
            <w:rStyle w:val="Hyperlink"/>
            <w:rFonts w:asciiTheme="minorHAnsi" w:hAnsiTheme="minorHAnsi"/>
            <w:sz w:val="16"/>
            <w:szCs w:val="16"/>
          </w:rPr>
          <w:t>http://ec.europa.eu/ecat/hotels/en/list</w:t>
        </w:r>
      </w:hyperlink>
      <w:r w:rsidRPr="006C1C66">
        <w:rPr>
          <w:rFonts w:asciiTheme="minorHAnsi" w:hAnsiTheme="minorHAnsi"/>
          <w:sz w:val="16"/>
          <w:szCs w:val="16"/>
        </w:rPr>
        <w:t xml:space="preserve"> </w:t>
      </w:r>
    </w:p>
  </w:footnote>
  <w:footnote w:id="41">
    <w:p w14:paraId="12166C0F" w14:textId="77777777" w:rsidR="00127DDC" w:rsidRPr="006C1C66" w:rsidRDefault="00127DDC" w:rsidP="008C4F26">
      <w:pPr>
        <w:pStyle w:val="FootnoteText"/>
        <w:rPr>
          <w:rFonts w:asciiTheme="minorHAnsi" w:hAnsiTheme="minorHAnsi"/>
          <w:sz w:val="16"/>
          <w:szCs w:val="16"/>
        </w:rPr>
      </w:pPr>
      <w:r w:rsidRPr="006C1C66">
        <w:rPr>
          <w:rStyle w:val="FootnoteReference"/>
          <w:rFonts w:asciiTheme="minorHAnsi" w:hAnsiTheme="minorHAnsi"/>
          <w:sz w:val="16"/>
          <w:szCs w:val="16"/>
        </w:rPr>
        <w:footnoteRef/>
      </w:r>
      <w:r w:rsidRPr="006C1C66">
        <w:rPr>
          <w:rFonts w:asciiTheme="minorHAnsi" w:hAnsiTheme="minorHAnsi"/>
          <w:sz w:val="16"/>
          <w:szCs w:val="16"/>
        </w:rPr>
        <w:t xml:space="preserve"> </w:t>
      </w:r>
      <w:hyperlink r:id="rId16" w:anchor="serbia" w:history="1">
        <w:r w:rsidRPr="006C1C66">
          <w:rPr>
            <w:rStyle w:val="Hyperlink"/>
            <w:rFonts w:asciiTheme="minorHAnsi" w:hAnsiTheme="minorHAnsi"/>
            <w:sz w:val="16"/>
            <w:szCs w:val="16"/>
          </w:rPr>
          <w:t>https://greenglobe.com/europe/#serbia</w:t>
        </w:r>
      </w:hyperlink>
      <w:r w:rsidRPr="006C1C66">
        <w:rPr>
          <w:rFonts w:asciiTheme="minorHAnsi" w:hAnsiTheme="minorHAnsi"/>
          <w:sz w:val="16"/>
          <w:szCs w:val="16"/>
        </w:rPr>
        <w:t xml:space="preserve"> </w:t>
      </w:r>
    </w:p>
  </w:footnote>
  <w:footnote w:id="42">
    <w:p w14:paraId="013C2DE1" w14:textId="77777777" w:rsidR="00127DDC" w:rsidRPr="006C1C66" w:rsidRDefault="00127DDC" w:rsidP="008C4F26">
      <w:pPr>
        <w:pStyle w:val="FootnoteText"/>
        <w:rPr>
          <w:rFonts w:asciiTheme="minorHAnsi" w:hAnsiTheme="minorHAnsi"/>
          <w:sz w:val="16"/>
          <w:szCs w:val="16"/>
        </w:rPr>
      </w:pPr>
      <w:r w:rsidRPr="006C1C66">
        <w:rPr>
          <w:rStyle w:val="FootnoteReference"/>
          <w:rFonts w:asciiTheme="minorHAnsi" w:hAnsiTheme="minorHAnsi"/>
          <w:sz w:val="16"/>
          <w:szCs w:val="16"/>
        </w:rPr>
        <w:footnoteRef/>
      </w:r>
      <w:r w:rsidRPr="006C1C66">
        <w:rPr>
          <w:rFonts w:asciiTheme="minorHAnsi" w:hAnsiTheme="minorHAnsi"/>
          <w:sz w:val="16"/>
          <w:szCs w:val="16"/>
        </w:rPr>
        <w:t xml:space="preserve"> </w:t>
      </w:r>
      <w:hyperlink r:id="rId17" w:history="1">
        <w:r w:rsidRPr="006C1C66">
          <w:rPr>
            <w:rStyle w:val="Hyperlink"/>
            <w:rFonts w:asciiTheme="minorHAnsi" w:hAnsiTheme="minorHAnsi"/>
            <w:sz w:val="16"/>
            <w:szCs w:val="16"/>
          </w:rPr>
          <w:t>https://www.tourcert.org/en/community/3etravel-ltd/</w:t>
        </w:r>
      </w:hyperlink>
      <w:r w:rsidRPr="006C1C66">
        <w:rPr>
          <w:rFonts w:asciiTheme="minorHAnsi" w:hAnsiTheme="minorHAnsi"/>
          <w:sz w:val="16"/>
          <w:szCs w:val="16"/>
        </w:rPr>
        <w:t xml:space="preserve"> </w:t>
      </w:r>
    </w:p>
  </w:footnote>
  <w:footnote w:id="43">
    <w:p w14:paraId="7CB8CD94" w14:textId="77777777" w:rsidR="00127DDC" w:rsidRPr="006C1C66" w:rsidRDefault="00127DDC" w:rsidP="008C4F26">
      <w:pPr>
        <w:pStyle w:val="FootnoteText"/>
        <w:rPr>
          <w:rFonts w:asciiTheme="minorHAnsi" w:hAnsiTheme="minorHAnsi"/>
          <w:sz w:val="16"/>
          <w:szCs w:val="16"/>
        </w:rPr>
      </w:pPr>
      <w:r w:rsidRPr="006C1C66">
        <w:rPr>
          <w:rStyle w:val="FootnoteReference"/>
          <w:rFonts w:asciiTheme="minorHAnsi" w:hAnsiTheme="minorHAnsi"/>
          <w:sz w:val="16"/>
          <w:szCs w:val="16"/>
        </w:rPr>
        <w:footnoteRef/>
      </w:r>
      <w:r w:rsidRPr="006C1C66">
        <w:rPr>
          <w:rFonts w:asciiTheme="minorHAnsi" w:hAnsiTheme="minorHAnsi"/>
          <w:sz w:val="16"/>
          <w:szCs w:val="16"/>
        </w:rPr>
        <w:t xml:space="preserve"> </w:t>
      </w:r>
      <w:hyperlink r:id="rId18" w:history="1">
        <w:r w:rsidRPr="006C1C66">
          <w:rPr>
            <w:rStyle w:val="Hyperlink"/>
            <w:rFonts w:asciiTheme="minorHAnsi" w:hAnsiTheme="minorHAnsi"/>
            <w:sz w:val="16"/>
            <w:szCs w:val="16"/>
          </w:rPr>
          <w:t>https://www.blueflag.global/all-bf-sites</w:t>
        </w:r>
      </w:hyperlink>
      <w:r w:rsidRPr="006C1C66">
        <w:rPr>
          <w:rFonts w:asciiTheme="minorHAnsi" w:hAnsiTheme="minorHAnsi"/>
          <w:sz w:val="16"/>
          <w:szCs w:val="16"/>
        </w:rPr>
        <w:t xml:space="preserve"> </w:t>
      </w:r>
    </w:p>
  </w:footnote>
  <w:footnote w:id="44">
    <w:p w14:paraId="58B3937D" w14:textId="77777777" w:rsidR="00127DDC" w:rsidRPr="006C1C66" w:rsidRDefault="00127DDC" w:rsidP="008C4F26">
      <w:pPr>
        <w:pStyle w:val="FootnoteText"/>
        <w:rPr>
          <w:rFonts w:asciiTheme="minorHAnsi" w:hAnsiTheme="minorHAnsi"/>
          <w:sz w:val="16"/>
          <w:szCs w:val="16"/>
        </w:rPr>
      </w:pPr>
      <w:r w:rsidRPr="006C1C66">
        <w:rPr>
          <w:rStyle w:val="FootnoteReference"/>
          <w:rFonts w:asciiTheme="minorHAnsi" w:hAnsiTheme="minorHAnsi"/>
          <w:sz w:val="16"/>
          <w:szCs w:val="16"/>
        </w:rPr>
        <w:footnoteRef/>
      </w:r>
      <w:r w:rsidRPr="006C1C66">
        <w:rPr>
          <w:rFonts w:asciiTheme="minorHAnsi" w:hAnsiTheme="minorHAnsi"/>
          <w:sz w:val="16"/>
          <w:szCs w:val="16"/>
        </w:rPr>
        <w:t xml:space="preserve"> </w:t>
      </w:r>
      <w:hyperlink r:id="rId19" w:history="1">
        <w:r w:rsidRPr="006C1C66">
          <w:rPr>
            <w:rStyle w:val="Hyperlink"/>
            <w:rFonts w:asciiTheme="minorHAnsi" w:hAnsiTheme="minorHAnsi"/>
            <w:sz w:val="16"/>
            <w:szCs w:val="16"/>
          </w:rPr>
          <w:t>http://collection.greendestinations.org</w:t>
        </w:r>
      </w:hyperlink>
      <w:r w:rsidRPr="006C1C66">
        <w:rPr>
          <w:rFonts w:asciiTheme="minorHAnsi" w:hAnsiTheme="minorHAnsi"/>
          <w:sz w:val="16"/>
          <w:szCs w:val="16"/>
        </w:rPr>
        <w:t xml:space="preserve"> </w:t>
      </w:r>
    </w:p>
  </w:footnote>
  <w:footnote w:id="45">
    <w:p w14:paraId="7C2DF700" w14:textId="77777777" w:rsidR="00127DDC" w:rsidRPr="006C1C66" w:rsidRDefault="00127DDC" w:rsidP="008C4F26">
      <w:pPr>
        <w:pStyle w:val="FootnoteText"/>
        <w:rPr>
          <w:rFonts w:asciiTheme="minorHAnsi" w:hAnsiTheme="minorHAnsi"/>
          <w:sz w:val="16"/>
          <w:szCs w:val="16"/>
        </w:rPr>
      </w:pPr>
      <w:r w:rsidRPr="006C1C66">
        <w:rPr>
          <w:rStyle w:val="FootnoteReference"/>
          <w:rFonts w:asciiTheme="minorHAnsi" w:hAnsiTheme="minorHAnsi"/>
          <w:sz w:val="16"/>
          <w:szCs w:val="16"/>
        </w:rPr>
        <w:footnoteRef/>
      </w:r>
      <w:r w:rsidRPr="006C1C66">
        <w:rPr>
          <w:rFonts w:asciiTheme="minorHAnsi" w:hAnsiTheme="minorHAnsi"/>
          <w:sz w:val="16"/>
          <w:szCs w:val="16"/>
        </w:rPr>
        <w:t xml:space="preserve"> </w:t>
      </w:r>
      <w:hyperlink r:id="rId20" w:history="1">
        <w:r w:rsidRPr="006C1C66">
          <w:rPr>
            <w:rStyle w:val="Hyperlink"/>
            <w:rFonts w:asciiTheme="minorHAnsi" w:hAnsiTheme="minorHAnsi"/>
            <w:sz w:val="16"/>
            <w:szCs w:val="16"/>
          </w:rPr>
          <w:t>https://www.europarc.org/sustainable-tourism/network-sustainable-destinations/</w:t>
        </w:r>
      </w:hyperlink>
      <w:r w:rsidRPr="006C1C66">
        <w:rPr>
          <w:rFonts w:asciiTheme="minorHAnsi" w:hAnsiTheme="minorHAnsi"/>
          <w:sz w:val="16"/>
          <w:szCs w:val="16"/>
        </w:rPr>
        <w:t xml:space="preserve"> </w:t>
      </w:r>
    </w:p>
  </w:footnote>
  <w:footnote w:id="46">
    <w:p w14:paraId="0A69BDFA" w14:textId="77777777" w:rsidR="00127DDC" w:rsidRPr="006C1C66" w:rsidRDefault="00127DDC" w:rsidP="008C4F26">
      <w:pPr>
        <w:pStyle w:val="FootnoteText"/>
        <w:rPr>
          <w:rFonts w:asciiTheme="minorHAnsi" w:hAnsiTheme="minorHAnsi"/>
          <w:sz w:val="16"/>
          <w:szCs w:val="16"/>
        </w:rPr>
      </w:pPr>
      <w:r w:rsidRPr="006C1C66">
        <w:rPr>
          <w:rStyle w:val="FootnoteReference"/>
          <w:rFonts w:asciiTheme="minorHAnsi" w:hAnsiTheme="minorHAnsi"/>
          <w:sz w:val="16"/>
          <w:szCs w:val="16"/>
        </w:rPr>
        <w:footnoteRef/>
      </w:r>
      <w:r w:rsidRPr="006C1C66">
        <w:rPr>
          <w:rFonts w:asciiTheme="minorHAnsi" w:hAnsiTheme="minorHAnsi"/>
          <w:sz w:val="16"/>
          <w:szCs w:val="16"/>
        </w:rPr>
        <w:t xml:space="preserve"> </w:t>
      </w:r>
      <w:hyperlink r:id="rId21" w:history="1">
        <w:r w:rsidRPr="006C1C66">
          <w:rPr>
            <w:rStyle w:val="Hyperlink"/>
            <w:rFonts w:asciiTheme="minorHAnsi" w:hAnsiTheme="minorHAnsi"/>
            <w:sz w:val="16"/>
            <w:szCs w:val="16"/>
          </w:rPr>
          <w:t>https://ec.europa.eu/environment/ecolabel/</w:t>
        </w:r>
      </w:hyperlink>
      <w:r w:rsidRPr="006C1C66">
        <w:rPr>
          <w:rFonts w:asciiTheme="minorHAnsi" w:hAnsiTheme="minorHAnsi"/>
          <w:sz w:val="16"/>
          <w:szCs w:val="16"/>
        </w:rPr>
        <w:t xml:space="preserve"> </w:t>
      </w:r>
    </w:p>
  </w:footnote>
  <w:footnote w:id="47">
    <w:p w14:paraId="15A9E6C8" w14:textId="77777777" w:rsidR="00127DDC" w:rsidRPr="000A12EC" w:rsidRDefault="00127DDC" w:rsidP="008C4F26">
      <w:pPr>
        <w:pStyle w:val="FootnoteText"/>
        <w:rPr>
          <w:sz w:val="16"/>
          <w:szCs w:val="16"/>
        </w:rPr>
      </w:pPr>
      <w:r w:rsidRPr="006C1C66">
        <w:rPr>
          <w:rStyle w:val="FootnoteReference"/>
          <w:rFonts w:asciiTheme="minorHAnsi" w:hAnsiTheme="minorHAnsi"/>
          <w:sz w:val="16"/>
          <w:szCs w:val="16"/>
        </w:rPr>
        <w:footnoteRef/>
      </w:r>
      <w:r w:rsidRPr="006C1C66">
        <w:rPr>
          <w:rFonts w:asciiTheme="minorHAnsi" w:hAnsiTheme="minorHAnsi"/>
          <w:sz w:val="16"/>
          <w:szCs w:val="16"/>
        </w:rPr>
        <w:t xml:space="preserve"> </w:t>
      </w:r>
      <w:hyperlink r:id="rId22" w:history="1">
        <w:r w:rsidRPr="006C1C66">
          <w:rPr>
            <w:rStyle w:val="Hyperlink"/>
            <w:rFonts w:asciiTheme="minorHAnsi" w:hAnsiTheme="minorHAnsi"/>
            <w:sz w:val="16"/>
            <w:szCs w:val="16"/>
          </w:rPr>
          <w:t>https://ec.europa.eu/environment/ecolabel/how-to-apply-for-eu-ecolabel.html</w:t>
        </w:r>
      </w:hyperlink>
      <w:r w:rsidRPr="000A12EC">
        <w:rPr>
          <w:sz w:val="16"/>
          <w:szCs w:val="16"/>
        </w:rPr>
        <w:t xml:space="preserve"> </w:t>
      </w:r>
    </w:p>
  </w:footnote>
  <w:footnote w:id="48">
    <w:p w14:paraId="32073AA8" w14:textId="77777777" w:rsidR="00127DDC" w:rsidRPr="006C1C66" w:rsidRDefault="00127DDC" w:rsidP="008C4F26">
      <w:pPr>
        <w:pStyle w:val="FootnoteText"/>
        <w:rPr>
          <w:rFonts w:asciiTheme="minorHAnsi" w:hAnsiTheme="minorHAnsi"/>
          <w:sz w:val="16"/>
          <w:szCs w:val="16"/>
        </w:rPr>
      </w:pPr>
      <w:r w:rsidRPr="006C1C66">
        <w:rPr>
          <w:rStyle w:val="FootnoteReference"/>
          <w:rFonts w:asciiTheme="minorHAnsi" w:hAnsiTheme="minorHAnsi"/>
          <w:sz w:val="16"/>
          <w:szCs w:val="16"/>
        </w:rPr>
        <w:footnoteRef/>
      </w:r>
      <w:r w:rsidRPr="006C1C66">
        <w:rPr>
          <w:rFonts w:asciiTheme="minorHAnsi" w:hAnsiTheme="minorHAnsi"/>
          <w:sz w:val="16"/>
          <w:szCs w:val="16"/>
        </w:rPr>
        <w:t xml:space="preserve"> </w:t>
      </w:r>
      <w:hyperlink r:id="rId23" w:history="1">
        <w:r w:rsidRPr="006C1C66">
          <w:rPr>
            <w:rStyle w:val="Hyperlink"/>
            <w:rFonts w:asciiTheme="minorHAnsi" w:hAnsiTheme="minorHAnsi"/>
            <w:sz w:val="16"/>
            <w:szCs w:val="16"/>
          </w:rPr>
          <w:t>https://www.travelife.org/Hotels/What_is_TL.asp?p=2</w:t>
        </w:r>
      </w:hyperlink>
      <w:r w:rsidRPr="006C1C66">
        <w:rPr>
          <w:rFonts w:asciiTheme="minorHAnsi" w:hAnsiTheme="minorHAnsi"/>
          <w:sz w:val="16"/>
          <w:szCs w:val="16"/>
        </w:rPr>
        <w:t xml:space="preserve"> </w:t>
      </w:r>
    </w:p>
  </w:footnote>
  <w:footnote w:id="49">
    <w:p w14:paraId="5A621B1E" w14:textId="77777777" w:rsidR="00127DDC" w:rsidRPr="006C1C66" w:rsidRDefault="00127DDC" w:rsidP="008C4F26">
      <w:pPr>
        <w:pStyle w:val="FootnoteText"/>
        <w:rPr>
          <w:rFonts w:asciiTheme="minorHAnsi" w:hAnsiTheme="minorHAnsi"/>
          <w:sz w:val="16"/>
          <w:szCs w:val="16"/>
        </w:rPr>
      </w:pPr>
      <w:r w:rsidRPr="006C1C66">
        <w:rPr>
          <w:rStyle w:val="FootnoteReference"/>
          <w:rFonts w:asciiTheme="minorHAnsi" w:hAnsiTheme="minorHAnsi"/>
          <w:sz w:val="16"/>
          <w:szCs w:val="16"/>
        </w:rPr>
        <w:footnoteRef/>
      </w:r>
      <w:r w:rsidRPr="006C1C66">
        <w:rPr>
          <w:rFonts w:asciiTheme="minorHAnsi" w:hAnsiTheme="minorHAnsi"/>
          <w:sz w:val="16"/>
          <w:szCs w:val="16"/>
        </w:rPr>
        <w:t xml:space="preserve"> </w:t>
      </w:r>
      <w:hyperlink r:id="rId24" w:history="1">
        <w:r w:rsidRPr="006C1C66">
          <w:rPr>
            <w:rStyle w:val="Hyperlink"/>
            <w:rFonts w:asciiTheme="minorHAnsi" w:hAnsiTheme="minorHAnsi"/>
            <w:sz w:val="16"/>
            <w:szCs w:val="16"/>
          </w:rPr>
          <w:t>https://www.travelife.org/Hotels/prices.asp</w:t>
        </w:r>
      </w:hyperlink>
      <w:r w:rsidRPr="006C1C66">
        <w:rPr>
          <w:rFonts w:asciiTheme="minorHAnsi" w:hAnsiTheme="minorHAnsi"/>
          <w:sz w:val="16"/>
          <w:szCs w:val="16"/>
        </w:rPr>
        <w:t xml:space="preserve"> </w:t>
      </w:r>
    </w:p>
  </w:footnote>
  <w:footnote w:id="50">
    <w:p w14:paraId="00B730CF" w14:textId="77777777" w:rsidR="00127DDC" w:rsidRPr="006C1C66" w:rsidRDefault="00127DDC" w:rsidP="008C4F26">
      <w:pPr>
        <w:pStyle w:val="FootnoteText"/>
        <w:rPr>
          <w:rFonts w:asciiTheme="minorHAnsi" w:hAnsiTheme="minorHAnsi"/>
          <w:sz w:val="16"/>
          <w:szCs w:val="16"/>
        </w:rPr>
      </w:pPr>
      <w:r w:rsidRPr="006C1C66">
        <w:rPr>
          <w:rStyle w:val="FootnoteReference"/>
          <w:rFonts w:asciiTheme="minorHAnsi" w:hAnsiTheme="minorHAnsi"/>
          <w:sz w:val="16"/>
          <w:szCs w:val="16"/>
        </w:rPr>
        <w:footnoteRef/>
      </w:r>
      <w:r w:rsidRPr="006C1C66">
        <w:rPr>
          <w:rFonts w:asciiTheme="minorHAnsi" w:hAnsiTheme="minorHAnsi"/>
          <w:sz w:val="16"/>
          <w:szCs w:val="16"/>
        </w:rPr>
        <w:t xml:space="preserve"> </w:t>
      </w:r>
      <w:hyperlink r:id="rId25" w:history="1">
        <w:r w:rsidRPr="006C1C66">
          <w:rPr>
            <w:rStyle w:val="Hyperlink"/>
            <w:rFonts w:asciiTheme="minorHAnsi" w:hAnsiTheme="minorHAnsi"/>
            <w:sz w:val="16"/>
            <w:szCs w:val="16"/>
          </w:rPr>
          <w:t>https://www.greenkey.global</w:t>
        </w:r>
      </w:hyperlink>
      <w:r w:rsidRPr="006C1C66">
        <w:rPr>
          <w:rFonts w:asciiTheme="minorHAnsi" w:hAnsiTheme="minorHAnsi"/>
          <w:sz w:val="16"/>
          <w:szCs w:val="16"/>
        </w:rPr>
        <w:t xml:space="preserve"> </w:t>
      </w:r>
    </w:p>
  </w:footnote>
  <w:footnote w:id="51">
    <w:p w14:paraId="0ED81FB0" w14:textId="77777777" w:rsidR="00127DDC" w:rsidRPr="000A12EC" w:rsidRDefault="00127DDC" w:rsidP="008C4F26">
      <w:pPr>
        <w:pStyle w:val="FootnoteText"/>
        <w:rPr>
          <w:rFonts w:asciiTheme="minorHAnsi" w:hAnsiTheme="minorHAnsi"/>
          <w:sz w:val="16"/>
          <w:szCs w:val="16"/>
        </w:rPr>
      </w:pPr>
      <w:r w:rsidRPr="006C1C66">
        <w:rPr>
          <w:rStyle w:val="FootnoteReference"/>
          <w:rFonts w:asciiTheme="minorHAnsi" w:hAnsiTheme="minorHAnsi"/>
          <w:sz w:val="16"/>
          <w:szCs w:val="16"/>
        </w:rPr>
        <w:footnoteRef/>
      </w:r>
      <w:r w:rsidRPr="006C1C66">
        <w:rPr>
          <w:rFonts w:asciiTheme="minorHAnsi" w:hAnsiTheme="minorHAnsi"/>
          <w:sz w:val="16"/>
          <w:szCs w:val="16"/>
        </w:rPr>
        <w:t xml:space="preserve"> </w:t>
      </w:r>
      <w:hyperlink r:id="rId26" w:anchor="serbia" w:history="1">
        <w:r w:rsidRPr="006C1C66">
          <w:rPr>
            <w:rStyle w:val="Hyperlink"/>
            <w:rFonts w:asciiTheme="minorHAnsi" w:hAnsiTheme="minorHAnsi"/>
            <w:sz w:val="16"/>
            <w:szCs w:val="16"/>
          </w:rPr>
          <w:t>https://greenglobe.com/europe/#serbia</w:t>
        </w:r>
      </w:hyperlink>
      <w:r w:rsidRPr="000A12EC">
        <w:rPr>
          <w:rFonts w:asciiTheme="minorHAnsi" w:hAnsiTheme="minorHAnsi"/>
          <w:sz w:val="16"/>
          <w:szCs w:val="16"/>
        </w:rPr>
        <w:t xml:space="preserve"> </w:t>
      </w:r>
    </w:p>
  </w:footnote>
  <w:footnote w:id="52">
    <w:p w14:paraId="1444560B" w14:textId="77777777" w:rsidR="00127DDC" w:rsidRPr="000A12EC" w:rsidRDefault="00127DDC" w:rsidP="008C4F26">
      <w:pPr>
        <w:pStyle w:val="FootnoteText"/>
        <w:rPr>
          <w:rFonts w:asciiTheme="minorHAnsi" w:hAnsiTheme="minorHAnsi"/>
          <w:sz w:val="16"/>
          <w:szCs w:val="16"/>
        </w:rPr>
      </w:pPr>
      <w:r w:rsidRPr="000A12EC">
        <w:rPr>
          <w:rStyle w:val="FootnoteReference"/>
          <w:rFonts w:asciiTheme="minorHAnsi" w:hAnsiTheme="minorHAnsi"/>
          <w:sz w:val="16"/>
          <w:szCs w:val="16"/>
        </w:rPr>
        <w:footnoteRef/>
      </w:r>
      <w:r w:rsidRPr="000A12EC">
        <w:rPr>
          <w:rFonts w:asciiTheme="minorHAnsi" w:hAnsiTheme="minorHAnsi"/>
          <w:sz w:val="16"/>
          <w:szCs w:val="16"/>
        </w:rPr>
        <w:t xml:space="preserve"> </w:t>
      </w:r>
      <w:hyperlink r:id="rId27" w:history="1">
        <w:r w:rsidRPr="000A12EC">
          <w:rPr>
            <w:rStyle w:val="Hyperlink"/>
            <w:rFonts w:asciiTheme="minorHAnsi" w:hAnsiTheme="minorHAnsi"/>
            <w:sz w:val="16"/>
            <w:szCs w:val="16"/>
          </w:rPr>
          <w:t>https://www.tourcert.org/en/community/3etravel-ltd/</w:t>
        </w:r>
      </w:hyperlink>
      <w:r w:rsidRPr="000A12EC">
        <w:rPr>
          <w:rFonts w:asciiTheme="minorHAnsi" w:hAnsiTheme="minorHAnsi"/>
          <w:sz w:val="16"/>
          <w:szCs w:val="16"/>
        </w:rPr>
        <w:t xml:space="preserve"> </w:t>
      </w:r>
    </w:p>
  </w:footnote>
  <w:footnote w:id="53">
    <w:p w14:paraId="1CA59E55" w14:textId="77777777" w:rsidR="00127DDC" w:rsidRPr="000A12EC" w:rsidRDefault="00127DDC" w:rsidP="008C4F26">
      <w:pPr>
        <w:pStyle w:val="FootnoteText"/>
        <w:rPr>
          <w:rFonts w:asciiTheme="minorHAnsi" w:hAnsiTheme="minorHAnsi"/>
          <w:sz w:val="16"/>
          <w:szCs w:val="16"/>
        </w:rPr>
      </w:pPr>
      <w:r w:rsidRPr="000A12EC">
        <w:rPr>
          <w:rStyle w:val="FootnoteReference"/>
          <w:rFonts w:asciiTheme="minorHAnsi" w:hAnsiTheme="minorHAnsi"/>
          <w:sz w:val="16"/>
          <w:szCs w:val="16"/>
        </w:rPr>
        <w:footnoteRef/>
      </w:r>
      <w:r w:rsidRPr="000A12EC">
        <w:rPr>
          <w:rFonts w:asciiTheme="minorHAnsi" w:hAnsiTheme="minorHAnsi"/>
          <w:sz w:val="16"/>
          <w:szCs w:val="16"/>
        </w:rPr>
        <w:t xml:space="preserve"> </w:t>
      </w:r>
      <w:hyperlink r:id="rId28" w:history="1">
        <w:r w:rsidRPr="000A12EC">
          <w:rPr>
            <w:rStyle w:val="Hyperlink"/>
            <w:rFonts w:asciiTheme="minorHAnsi" w:hAnsiTheme="minorHAnsi"/>
            <w:sz w:val="16"/>
            <w:szCs w:val="16"/>
          </w:rPr>
          <w:t>https://www.blueflag.global/all-bf-sites</w:t>
        </w:r>
      </w:hyperlink>
      <w:r w:rsidRPr="000A12EC">
        <w:rPr>
          <w:rFonts w:asciiTheme="minorHAnsi" w:hAnsiTheme="minorHAnsi"/>
          <w:sz w:val="16"/>
          <w:szCs w:val="16"/>
        </w:rPr>
        <w:t xml:space="preserve"> </w:t>
      </w:r>
    </w:p>
  </w:footnote>
  <w:footnote w:id="54">
    <w:p w14:paraId="18B7D2CC" w14:textId="77777777" w:rsidR="00127DDC" w:rsidRPr="000A12EC" w:rsidRDefault="00127DDC" w:rsidP="008C4F26">
      <w:pPr>
        <w:pStyle w:val="FootnoteText"/>
        <w:rPr>
          <w:rFonts w:asciiTheme="minorHAnsi" w:hAnsiTheme="minorHAnsi"/>
          <w:sz w:val="16"/>
          <w:szCs w:val="16"/>
        </w:rPr>
      </w:pPr>
      <w:r w:rsidRPr="000A12EC">
        <w:rPr>
          <w:rStyle w:val="FootnoteReference"/>
          <w:rFonts w:asciiTheme="minorHAnsi" w:hAnsiTheme="minorHAnsi"/>
          <w:sz w:val="16"/>
          <w:szCs w:val="16"/>
        </w:rPr>
        <w:footnoteRef/>
      </w:r>
      <w:r w:rsidRPr="000A12EC">
        <w:rPr>
          <w:rFonts w:asciiTheme="minorHAnsi" w:hAnsiTheme="minorHAnsi"/>
          <w:sz w:val="16"/>
          <w:szCs w:val="16"/>
        </w:rPr>
        <w:t xml:space="preserve"> </w:t>
      </w:r>
      <w:hyperlink r:id="rId29" w:history="1">
        <w:r w:rsidRPr="000A12EC">
          <w:rPr>
            <w:rStyle w:val="Hyperlink"/>
            <w:rFonts w:asciiTheme="minorHAnsi" w:hAnsiTheme="minorHAnsi"/>
            <w:sz w:val="16"/>
            <w:szCs w:val="16"/>
          </w:rPr>
          <w:t>http://collection.greendestinations.org</w:t>
        </w:r>
      </w:hyperlink>
      <w:r w:rsidRPr="000A12EC">
        <w:rPr>
          <w:rFonts w:asciiTheme="minorHAnsi" w:hAnsiTheme="minorHAnsi"/>
          <w:sz w:val="16"/>
          <w:szCs w:val="16"/>
        </w:rPr>
        <w:t xml:space="preserve"> </w:t>
      </w:r>
    </w:p>
  </w:footnote>
  <w:footnote w:id="55">
    <w:p w14:paraId="5F1EA8DF" w14:textId="77777777" w:rsidR="00127DDC" w:rsidRPr="000A12EC" w:rsidRDefault="00127DDC" w:rsidP="008C4F26">
      <w:pPr>
        <w:pStyle w:val="NormalWeb"/>
        <w:shd w:val="clear" w:color="auto" w:fill="FFFFFF"/>
        <w:spacing w:before="0" w:beforeAutospacing="0" w:after="0" w:afterAutospacing="0"/>
        <w:rPr>
          <w:rFonts w:asciiTheme="minorHAnsi" w:hAnsiTheme="minorHAnsi" w:cstheme="minorHAnsi"/>
          <w:sz w:val="16"/>
          <w:szCs w:val="16"/>
        </w:rPr>
      </w:pPr>
      <w:r w:rsidRPr="000A12EC">
        <w:rPr>
          <w:rStyle w:val="FootnoteReference"/>
          <w:rFonts w:asciiTheme="minorHAnsi" w:hAnsiTheme="minorHAnsi"/>
          <w:sz w:val="16"/>
          <w:szCs w:val="16"/>
        </w:rPr>
        <w:footnoteRef/>
      </w:r>
      <w:r w:rsidRPr="000A12EC">
        <w:rPr>
          <w:rFonts w:asciiTheme="minorHAnsi" w:hAnsiTheme="minorHAnsi"/>
          <w:sz w:val="16"/>
          <w:szCs w:val="16"/>
        </w:rPr>
        <w:t xml:space="preserve"> </w:t>
      </w:r>
      <w:hyperlink r:id="rId30" w:history="1">
        <w:r w:rsidRPr="000A12EC">
          <w:rPr>
            <w:rStyle w:val="Hyperlink"/>
            <w:rFonts w:asciiTheme="minorHAnsi" w:hAnsiTheme="minorHAnsi" w:cstheme="minorHAnsi"/>
            <w:sz w:val="16"/>
            <w:szCs w:val="16"/>
          </w:rPr>
          <w:t>https://greendestinations.org/wp-content/uploads/2020/03/ENG_Guide-for-Destinations.pdf</w:t>
        </w:r>
      </w:hyperlink>
      <w:r w:rsidRPr="000A12EC">
        <w:rPr>
          <w:rFonts w:asciiTheme="minorHAnsi" w:hAnsiTheme="minorHAnsi" w:cstheme="minorHAnsi"/>
          <w:sz w:val="16"/>
          <w:szCs w:val="16"/>
        </w:rPr>
        <w:t xml:space="preserve"> </w:t>
      </w:r>
    </w:p>
  </w:footnote>
  <w:footnote w:id="56">
    <w:p w14:paraId="36416384" w14:textId="77777777" w:rsidR="00127DDC" w:rsidRPr="000A12EC" w:rsidRDefault="00127DDC" w:rsidP="008C4F26">
      <w:pPr>
        <w:pStyle w:val="FootnoteText"/>
        <w:rPr>
          <w:rFonts w:asciiTheme="minorHAnsi" w:hAnsiTheme="minorHAnsi"/>
          <w:sz w:val="16"/>
          <w:szCs w:val="16"/>
        </w:rPr>
      </w:pPr>
      <w:r w:rsidRPr="000A12EC">
        <w:rPr>
          <w:rStyle w:val="FootnoteReference"/>
          <w:rFonts w:asciiTheme="minorHAnsi" w:hAnsiTheme="minorHAnsi"/>
          <w:sz w:val="16"/>
          <w:szCs w:val="16"/>
        </w:rPr>
        <w:footnoteRef/>
      </w:r>
      <w:r w:rsidRPr="000A12EC">
        <w:rPr>
          <w:rFonts w:asciiTheme="minorHAnsi" w:hAnsiTheme="minorHAnsi"/>
          <w:sz w:val="16"/>
          <w:szCs w:val="16"/>
        </w:rPr>
        <w:t xml:space="preserve"> </w:t>
      </w:r>
      <w:hyperlink r:id="rId31" w:history="1">
        <w:r w:rsidRPr="000A12EC">
          <w:rPr>
            <w:rStyle w:val="Hyperlink"/>
            <w:rFonts w:asciiTheme="minorHAnsi" w:hAnsiTheme="minorHAnsi"/>
            <w:sz w:val="16"/>
            <w:szCs w:val="16"/>
          </w:rPr>
          <w:t>https://eur-lex.europa.eu/legal-content/EN/TXT/PDF/?uri=CELEX:32013D0131&amp;from=EN</w:t>
        </w:r>
      </w:hyperlink>
      <w:r w:rsidRPr="000A12EC">
        <w:rPr>
          <w:rFonts w:asciiTheme="minorHAnsi" w:hAnsiTheme="minorHAnsi"/>
          <w:sz w:val="16"/>
          <w:szCs w:val="16"/>
        </w:rPr>
        <w:t xml:space="preserve"> </w:t>
      </w:r>
    </w:p>
  </w:footnote>
  <w:footnote w:id="57">
    <w:p w14:paraId="0593A1B6" w14:textId="77777777" w:rsidR="00127DDC" w:rsidRPr="000A12EC" w:rsidRDefault="00127DDC" w:rsidP="008C4F26">
      <w:pPr>
        <w:pStyle w:val="FootnoteText"/>
        <w:rPr>
          <w:rFonts w:asciiTheme="minorHAnsi" w:hAnsiTheme="minorHAnsi"/>
          <w:sz w:val="16"/>
          <w:szCs w:val="16"/>
        </w:rPr>
      </w:pPr>
      <w:r w:rsidRPr="000A12EC">
        <w:rPr>
          <w:rStyle w:val="FootnoteReference"/>
          <w:rFonts w:asciiTheme="minorHAnsi" w:hAnsiTheme="minorHAnsi"/>
          <w:sz w:val="16"/>
          <w:szCs w:val="16"/>
        </w:rPr>
        <w:footnoteRef/>
      </w:r>
      <w:r w:rsidRPr="000A12EC">
        <w:rPr>
          <w:rFonts w:asciiTheme="minorHAnsi" w:hAnsiTheme="minorHAnsi"/>
          <w:sz w:val="16"/>
          <w:szCs w:val="16"/>
        </w:rPr>
        <w:t xml:space="preserve"> </w:t>
      </w:r>
      <w:hyperlink r:id="rId32" w:history="1">
        <w:r w:rsidRPr="000A12EC">
          <w:rPr>
            <w:rStyle w:val="Hyperlink"/>
            <w:rFonts w:asciiTheme="minorHAnsi" w:hAnsiTheme="minorHAnsi"/>
            <w:sz w:val="16"/>
            <w:szCs w:val="16"/>
          </w:rPr>
          <w:t>https://eur-lex.europa.eu/legal-content/EN/TXT/PDF/?uri=CELEX:32013D0131&amp;from=EN</w:t>
        </w:r>
      </w:hyperlink>
      <w:r w:rsidRPr="000A12EC">
        <w:rPr>
          <w:rFonts w:asciiTheme="minorHAnsi" w:hAnsiTheme="minorHAnsi"/>
          <w:sz w:val="16"/>
          <w:szCs w:val="16"/>
        </w:rPr>
        <w:t xml:space="preserve"> </w:t>
      </w:r>
    </w:p>
  </w:footnote>
  <w:footnote w:id="58">
    <w:p w14:paraId="0BAF8608" w14:textId="77777777" w:rsidR="00127DDC" w:rsidRPr="000A12EC" w:rsidRDefault="00127DDC" w:rsidP="008C4F26">
      <w:pPr>
        <w:pStyle w:val="FootnoteText"/>
        <w:rPr>
          <w:rFonts w:asciiTheme="minorHAnsi" w:hAnsiTheme="minorHAnsi"/>
          <w:sz w:val="16"/>
          <w:szCs w:val="16"/>
        </w:rPr>
      </w:pPr>
      <w:r w:rsidRPr="000A12EC">
        <w:rPr>
          <w:rStyle w:val="FootnoteReference"/>
          <w:rFonts w:asciiTheme="minorHAnsi" w:hAnsiTheme="minorHAnsi"/>
          <w:sz w:val="16"/>
          <w:szCs w:val="16"/>
        </w:rPr>
        <w:footnoteRef/>
      </w:r>
      <w:r w:rsidRPr="000A12EC">
        <w:rPr>
          <w:rFonts w:asciiTheme="minorHAnsi" w:hAnsiTheme="minorHAnsi"/>
          <w:sz w:val="16"/>
          <w:szCs w:val="16"/>
        </w:rPr>
        <w:t xml:space="preserve"> </w:t>
      </w:r>
      <w:hyperlink r:id="rId33" w:history="1">
        <w:r w:rsidRPr="000A12EC">
          <w:rPr>
            <w:rStyle w:val="Hyperlink"/>
            <w:rFonts w:asciiTheme="minorHAnsi" w:hAnsiTheme="minorHAnsi"/>
            <w:sz w:val="16"/>
            <w:szCs w:val="16"/>
          </w:rPr>
          <w:t>https://www.europarc.org/sustainable-tourism/network-sustainable-destinations/</w:t>
        </w:r>
      </w:hyperlink>
      <w:r w:rsidRPr="000A12EC">
        <w:rPr>
          <w:rFonts w:asciiTheme="minorHAnsi" w:hAnsiTheme="minorHAnsi"/>
          <w:sz w:val="16"/>
          <w:szCs w:val="16"/>
        </w:rPr>
        <w:t xml:space="preserve"> </w:t>
      </w:r>
    </w:p>
  </w:footnote>
  <w:footnote w:id="59">
    <w:p w14:paraId="67B59C3F" w14:textId="77777777" w:rsidR="00127DDC" w:rsidRPr="000A12EC" w:rsidRDefault="00127DDC" w:rsidP="008C4F26">
      <w:pPr>
        <w:pStyle w:val="FootnoteText"/>
        <w:rPr>
          <w:rFonts w:asciiTheme="minorHAnsi" w:hAnsiTheme="minorHAnsi"/>
          <w:sz w:val="16"/>
          <w:szCs w:val="16"/>
        </w:rPr>
      </w:pPr>
      <w:r w:rsidRPr="000A12EC">
        <w:rPr>
          <w:rStyle w:val="FootnoteReference"/>
          <w:rFonts w:asciiTheme="minorHAnsi" w:hAnsiTheme="minorHAnsi"/>
          <w:sz w:val="16"/>
          <w:szCs w:val="16"/>
        </w:rPr>
        <w:footnoteRef/>
      </w:r>
      <w:r w:rsidRPr="000A12EC">
        <w:rPr>
          <w:rFonts w:asciiTheme="minorHAnsi" w:hAnsiTheme="minorHAnsi"/>
          <w:sz w:val="16"/>
          <w:szCs w:val="16"/>
        </w:rPr>
        <w:t xml:space="preserve"> </w:t>
      </w:r>
      <w:hyperlink r:id="rId34" w:history="1">
        <w:r w:rsidRPr="000A12EC">
          <w:rPr>
            <w:rStyle w:val="Hyperlink"/>
            <w:rFonts w:asciiTheme="minorHAnsi" w:hAnsiTheme="minorHAnsi"/>
            <w:sz w:val="16"/>
            <w:szCs w:val="16"/>
          </w:rPr>
          <w:t>https://www.europarc.org/wp-content/uploads/2020/01/EUROPARC-Membership-fees-and-regulations-2020-2021.pdf</w:t>
        </w:r>
      </w:hyperlink>
      <w:r w:rsidRPr="000A12EC">
        <w:rPr>
          <w:rFonts w:asciiTheme="minorHAnsi" w:hAnsiTheme="minorHAnsi"/>
          <w:sz w:val="16"/>
          <w:szCs w:val="16"/>
        </w:rPr>
        <w:t xml:space="preserve"> </w:t>
      </w:r>
    </w:p>
  </w:footnote>
  <w:footnote w:id="60">
    <w:p w14:paraId="3D3817B2" w14:textId="77777777" w:rsidR="00127DDC" w:rsidRPr="000A12EC" w:rsidRDefault="00127DDC" w:rsidP="008C4F26">
      <w:pPr>
        <w:rPr>
          <w:rFonts w:asciiTheme="minorHAnsi" w:hAnsiTheme="minorHAnsi"/>
          <w:sz w:val="16"/>
          <w:szCs w:val="16"/>
        </w:rPr>
      </w:pPr>
      <w:r w:rsidRPr="000A12EC">
        <w:rPr>
          <w:rStyle w:val="FootnoteReference"/>
          <w:rFonts w:asciiTheme="minorHAnsi" w:hAnsiTheme="minorHAnsi"/>
          <w:sz w:val="16"/>
          <w:szCs w:val="16"/>
        </w:rPr>
        <w:footnoteRef/>
      </w:r>
      <w:r w:rsidRPr="000A12EC">
        <w:rPr>
          <w:rFonts w:asciiTheme="minorHAnsi" w:hAnsiTheme="minorHAnsi"/>
          <w:sz w:val="16"/>
          <w:szCs w:val="16"/>
        </w:rPr>
        <w:t xml:space="preserve"> </w:t>
      </w:r>
      <w:hyperlink r:id="rId35" w:history="1">
        <w:r w:rsidRPr="000A12EC">
          <w:rPr>
            <w:rStyle w:val="Hyperlink"/>
            <w:rFonts w:asciiTheme="minorHAnsi" w:hAnsiTheme="minorHAnsi"/>
            <w:sz w:val="16"/>
            <w:szCs w:val="16"/>
          </w:rPr>
          <w:t>https://mint.gov.hr/UserDocsImages//AA_2018_c-dokumenti/akcijski%20planovi//002_160715_akc_p_zelen.pdf</w:t>
        </w:r>
      </w:hyperlink>
    </w:p>
  </w:footnote>
  <w:footnote w:id="61">
    <w:p w14:paraId="2BF1D657" w14:textId="77777777" w:rsidR="00127DDC" w:rsidRPr="000A12EC" w:rsidRDefault="00127DDC" w:rsidP="008C4F26">
      <w:pPr>
        <w:pStyle w:val="FootnoteText"/>
        <w:rPr>
          <w:rFonts w:asciiTheme="minorHAnsi" w:hAnsiTheme="minorHAnsi"/>
          <w:color w:val="0070C0"/>
          <w:sz w:val="16"/>
          <w:szCs w:val="16"/>
        </w:rPr>
      </w:pPr>
      <w:r w:rsidRPr="000A12EC">
        <w:rPr>
          <w:rStyle w:val="FootnoteReference"/>
          <w:rFonts w:asciiTheme="minorHAnsi" w:hAnsiTheme="minorHAnsi"/>
          <w:color w:val="0070C0"/>
          <w:sz w:val="16"/>
          <w:szCs w:val="16"/>
        </w:rPr>
        <w:footnoteRef/>
      </w:r>
      <w:r w:rsidRPr="000A12EC">
        <w:rPr>
          <w:rFonts w:asciiTheme="minorHAnsi" w:hAnsiTheme="minorHAnsi"/>
          <w:color w:val="0070C0"/>
          <w:sz w:val="16"/>
          <w:szCs w:val="16"/>
        </w:rPr>
        <w:t xml:space="preserve"> http: //www.eko- partner.hr/</w:t>
      </w:r>
    </w:p>
  </w:footnote>
  <w:footnote w:id="62">
    <w:p w14:paraId="77B896CD" w14:textId="77777777" w:rsidR="00127DDC" w:rsidRPr="000A12EC" w:rsidRDefault="00127DDC" w:rsidP="008C4F26">
      <w:pPr>
        <w:pStyle w:val="FootnoteText"/>
        <w:rPr>
          <w:rFonts w:asciiTheme="minorHAnsi" w:hAnsiTheme="minorHAnsi"/>
          <w:color w:val="0070C0"/>
          <w:sz w:val="16"/>
          <w:szCs w:val="16"/>
        </w:rPr>
      </w:pPr>
      <w:r w:rsidRPr="000A12EC">
        <w:rPr>
          <w:rStyle w:val="FootnoteReference"/>
          <w:rFonts w:asciiTheme="minorHAnsi" w:hAnsiTheme="minorHAnsi"/>
          <w:color w:val="0070C0"/>
          <w:sz w:val="16"/>
          <w:szCs w:val="16"/>
        </w:rPr>
        <w:footnoteRef/>
      </w:r>
      <w:r w:rsidRPr="000A12EC">
        <w:rPr>
          <w:rFonts w:asciiTheme="minorHAnsi" w:hAnsiTheme="minorHAnsi"/>
          <w:color w:val="0070C0"/>
          <w:sz w:val="16"/>
          <w:szCs w:val="16"/>
        </w:rPr>
        <w:t xml:space="preserve"> </w:t>
      </w:r>
      <w:hyperlink r:id="rId36" w:history="1">
        <w:r w:rsidRPr="000A12EC">
          <w:rPr>
            <w:rFonts w:asciiTheme="minorHAnsi" w:hAnsiTheme="minorHAnsi"/>
            <w:color w:val="0070C0"/>
            <w:sz w:val="16"/>
            <w:szCs w:val="16"/>
          </w:rPr>
          <w:t>http://dalmatia-green.com/dalmatia-green-certificate/</w:t>
        </w:r>
      </w:hyperlink>
      <w:r w:rsidRPr="000A12EC">
        <w:rPr>
          <w:rFonts w:asciiTheme="minorHAnsi" w:hAnsiTheme="minorHAnsi"/>
          <w:color w:val="0070C0"/>
          <w:sz w:val="16"/>
          <w:szCs w:val="16"/>
        </w:rPr>
        <w:t xml:space="preserve"> </w:t>
      </w:r>
    </w:p>
  </w:footnote>
  <w:footnote w:id="63">
    <w:p w14:paraId="7F7E3672" w14:textId="77777777" w:rsidR="00127DDC" w:rsidRPr="000A12EC" w:rsidRDefault="00127DDC" w:rsidP="008C4F26">
      <w:pPr>
        <w:pStyle w:val="FootnoteText"/>
        <w:rPr>
          <w:rFonts w:asciiTheme="minorHAnsi" w:hAnsiTheme="minorHAnsi"/>
          <w:sz w:val="16"/>
          <w:szCs w:val="16"/>
        </w:rPr>
      </w:pPr>
      <w:r w:rsidRPr="000A12EC">
        <w:rPr>
          <w:rStyle w:val="FootnoteReference"/>
          <w:rFonts w:asciiTheme="minorHAnsi" w:hAnsiTheme="minorHAnsi"/>
          <w:sz w:val="16"/>
          <w:szCs w:val="16"/>
        </w:rPr>
        <w:footnoteRef/>
      </w:r>
      <w:r w:rsidRPr="000A12EC">
        <w:rPr>
          <w:rFonts w:asciiTheme="minorHAnsi" w:hAnsiTheme="minorHAnsi"/>
          <w:sz w:val="16"/>
          <w:szCs w:val="16"/>
        </w:rPr>
        <w:t xml:space="preserve"> </w:t>
      </w:r>
      <w:hyperlink r:id="rId37" w:history="1">
        <w:r w:rsidRPr="000A12EC">
          <w:rPr>
            <w:rStyle w:val="Hyperlink"/>
            <w:rFonts w:asciiTheme="minorHAnsi" w:hAnsiTheme="minorHAnsi"/>
            <w:sz w:val="16"/>
            <w:szCs w:val="16"/>
          </w:rPr>
          <w:t>https://www.slovenia.info/en/business/about-slovenian-tourist-board</w:t>
        </w:r>
      </w:hyperlink>
      <w:r w:rsidRPr="000A12EC">
        <w:rPr>
          <w:rFonts w:asciiTheme="minorHAnsi" w:hAnsiTheme="minorHAnsi"/>
          <w:sz w:val="16"/>
          <w:szCs w:val="16"/>
        </w:rPr>
        <w:t xml:space="preserve"> </w:t>
      </w:r>
    </w:p>
  </w:footnote>
  <w:footnote w:id="64">
    <w:p w14:paraId="27FBBCE9" w14:textId="77777777" w:rsidR="00127DDC" w:rsidRPr="008B5F4D" w:rsidRDefault="00127DDC" w:rsidP="008C4F26">
      <w:pPr>
        <w:rPr>
          <w:color w:val="000000" w:themeColor="text1"/>
          <w:spacing w:val="4"/>
          <w:szCs w:val="20"/>
        </w:rPr>
      </w:pPr>
      <w:r>
        <w:rPr>
          <w:rStyle w:val="FootnoteReference"/>
        </w:rPr>
        <w:footnoteRef/>
      </w:r>
      <w:r>
        <w:t xml:space="preserve"> </w:t>
      </w:r>
      <w:r w:rsidRPr="008B5F4D">
        <w:rPr>
          <w:color w:val="000000" w:themeColor="text1"/>
          <w:spacing w:val="4"/>
          <w:szCs w:val="20"/>
        </w:rPr>
        <w:t>Janjusevic J., Perovic N. (2020) Eco-certification in the Montenegrin Tourism as a Response on Climate Change. In: Al-Masri A., Al-Assaf Y. (eds) Sustainable Development and Social Responsibility—Volume 2. Advances in Science, Technology &amp; Innovation (IEREK Interdisciplinary Series for Sustainable Development). Springer, Cham</w:t>
      </w:r>
    </w:p>
  </w:footnote>
  <w:footnote w:id="65">
    <w:p w14:paraId="7F8AF61B" w14:textId="77777777" w:rsidR="00127DDC" w:rsidRDefault="00127DDC" w:rsidP="008C4F26">
      <w:pPr>
        <w:pStyle w:val="FootnoteText"/>
      </w:pPr>
      <w:r w:rsidRPr="008B5F4D">
        <w:rPr>
          <w:rStyle w:val="FootnoteReference"/>
          <w:color w:val="000000" w:themeColor="text1"/>
        </w:rPr>
        <w:footnoteRef/>
      </w:r>
      <w:r w:rsidRPr="008B5F4D">
        <w:rPr>
          <w:color w:val="000000" w:themeColor="text1"/>
        </w:rPr>
        <w:t xml:space="preserve"> See </w:t>
      </w:r>
      <w:r w:rsidRPr="008B5F4D">
        <w:rPr>
          <w:color w:val="000000" w:themeColor="text1"/>
          <w:spacing w:val="4"/>
        </w:rPr>
        <w:t>Janjusevic J., Perovic N. (2020)</w:t>
      </w:r>
    </w:p>
  </w:footnote>
  <w:footnote w:id="66">
    <w:p w14:paraId="1110643F" w14:textId="77777777" w:rsidR="00127DDC" w:rsidRPr="000A12EC" w:rsidRDefault="00127DDC" w:rsidP="008C4F26">
      <w:pPr>
        <w:pStyle w:val="FootnoteText"/>
        <w:rPr>
          <w:rFonts w:asciiTheme="minorHAnsi" w:hAnsiTheme="minorHAnsi"/>
          <w:sz w:val="16"/>
          <w:szCs w:val="16"/>
        </w:rPr>
      </w:pPr>
      <w:r w:rsidRPr="000A12EC">
        <w:rPr>
          <w:rStyle w:val="FootnoteReference"/>
          <w:rFonts w:asciiTheme="minorHAnsi" w:hAnsiTheme="minorHAnsi"/>
          <w:sz w:val="16"/>
          <w:szCs w:val="16"/>
        </w:rPr>
        <w:footnoteRef/>
      </w:r>
      <w:r w:rsidRPr="000A12EC">
        <w:rPr>
          <w:rFonts w:asciiTheme="minorHAnsi" w:hAnsiTheme="minorHAnsi"/>
          <w:sz w:val="16"/>
          <w:szCs w:val="16"/>
        </w:rPr>
        <w:t xml:space="preserve"> </w:t>
      </w:r>
      <w:hyperlink r:id="rId38" w:history="1">
        <w:r w:rsidRPr="000A12EC">
          <w:rPr>
            <w:rStyle w:val="Hyperlink"/>
            <w:rFonts w:asciiTheme="minorHAnsi" w:hAnsiTheme="minorHAnsi"/>
            <w:sz w:val="16"/>
            <w:szCs w:val="16"/>
          </w:rPr>
          <w:t>https://www.me.undp.org/content/montenegro/en/home/projects/TCNT.html</w:t>
        </w:r>
      </w:hyperlink>
      <w:r w:rsidRPr="000A12EC">
        <w:rPr>
          <w:rFonts w:asciiTheme="minorHAnsi" w:hAnsiTheme="minorHAnsi"/>
          <w:sz w:val="16"/>
          <w:szCs w:val="16"/>
        </w:rPr>
        <w:t xml:space="preserve"> </w:t>
      </w:r>
    </w:p>
  </w:footnote>
  <w:footnote w:id="67">
    <w:p w14:paraId="3CE270DF" w14:textId="77777777" w:rsidR="00127DDC" w:rsidRPr="000A12EC" w:rsidRDefault="00127DDC" w:rsidP="008C4F26">
      <w:pPr>
        <w:pStyle w:val="FootnoteText"/>
        <w:rPr>
          <w:rFonts w:asciiTheme="minorHAnsi" w:hAnsiTheme="minorHAnsi"/>
          <w:sz w:val="16"/>
          <w:szCs w:val="16"/>
        </w:rPr>
      </w:pPr>
      <w:r w:rsidRPr="000A12EC">
        <w:rPr>
          <w:rStyle w:val="FootnoteReference"/>
          <w:rFonts w:asciiTheme="minorHAnsi" w:hAnsiTheme="minorHAnsi"/>
          <w:sz w:val="16"/>
          <w:szCs w:val="16"/>
        </w:rPr>
        <w:footnoteRef/>
      </w:r>
      <w:r w:rsidRPr="000A12EC">
        <w:rPr>
          <w:rFonts w:asciiTheme="minorHAnsi" w:hAnsiTheme="minorHAnsi"/>
          <w:sz w:val="16"/>
          <w:szCs w:val="16"/>
        </w:rPr>
        <w:t xml:space="preserve"> </w:t>
      </w:r>
      <w:hyperlink r:id="rId39" w:history="1">
        <w:r w:rsidRPr="000A12EC">
          <w:rPr>
            <w:rStyle w:val="Hyperlink"/>
            <w:rFonts w:asciiTheme="minorHAnsi" w:hAnsiTheme="minorHAnsi"/>
            <w:sz w:val="16"/>
            <w:szCs w:val="16"/>
          </w:rPr>
          <w:t>https://www.me.undp.org/content/montenegro/en/home/projects/TCNT.html</w:t>
        </w:r>
      </w:hyperlink>
      <w:r w:rsidRPr="000A12EC">
        <w:rPr>
          <w:rFonts w:asciiTheme="minorHAnsi" w:hAnsiTheme="minorHAnsi"/>
          <w:sz w:val="16"/>
          <w:szCs w:val="16"/>
        </w:rPr>
        <w:t xml:space="preserve"> </w:t>
      </w:r>
    </w:p>
  </w:footnote>
  <w:footnote w:id="68">
    <w:p w14:paraId="5610E663" w14:textId="77777777" w:rsidR="00127DDC" w:rsidRPr="000A12EC" w:rsidRDefault="00127DDC" w:rsidP="008C4F26">
      <w:pPr>
        <w:rPr>
          <w:rFonts w:asciiTheme="minorHAnsi" w:hAnsiTheme="minorHAnsi"/>
          <w:sz w:val="16"/>
          <w:szCs w:val="16"/>
        </w:rPr>
      </w:pPr>
      <w:r w:rsidRPr="000A12EC">
        <w:rPr>
          <w:rStyle w:val="FootnoteReference"/>
          <w:rFonts w:asciiTheme="minorHAnsi" w:hAnsiTheme="minorHAnsi"/>
          <w:sz w:val="16"/>
          <w:szCs w:val="16"/>
        </w:rPr>
        <w:footnoteRef/>
      </w:r>
      <w:r w:rsidRPr="000A12EC">
        <w:rPr>
          <w:rFonts w:asciiTheme="minorHAnsi" w:hAnsiTheme="minorHAnsi"/>
          <w:sz w:val="16"/>
          <w:szCs w:val="16"/>
        </w:rPr>
        <w:t xml:space="preserve"> </w:t>
      </w:r>
      <w:hyperlink r:id="rId40" w:history="1">
        <w:r w:rsidRPr="000A12EC">
          <w:rPr>
            <w:rStyle w:val="Hyperlink"/>
            <w:rFonts w:asciiTheme="minorHAnsi" w:hAnsiTheme="minorHAnsi"/>
            <w:sz w:val="16"/>
            <w:szCs w:val="16"/>
          </w:rPr>
          <w:t>https://link.springer.com/chapter/10.1007/978-3-030-32902-0_8</w:t>
        </w:r>
      </w:hyperlink>
    </w:p>
  </w:footnote>
  <w:footnote w:id="69">
    <w:p w14:paraId="616359D3" w14:textId="77777777" w:rsidR="00127DDC" w:rsidRPr="000A12EC" w:rsidRDefault="00127DDC" w:rsidP="008C4F26">
      <w:pPr>
        <w:pStyle w:val="FootnoteText"/>
        <w:rPr>
          <w:rFonts w:asciiTheme="minorHAnsi" w:hAnsiTheme="minorHAnsi"/>
          <w:sz w:val="16"/>
          <w:szCs w:val="16"/>
        </w:rPr>
      </w:pPr>
      <w:r w:rsidRPr="000A12EC">
        <w:rPr>
          <w:rStyle w:val="FootnoteReference"/>
          <w:rFonts w:asciiTheme="minorHAnsi" w:hAnsiTheme="minorHAnsi"/>
          <w:sz w:val="16"/>
          <w:szCs w:val="16"/>
        </w:rPr>
        <w:footnoteRef/>
      </w:r>
      <w:r w:rsidRPr="000A12EC">
        <w:rPr>
          <w:rFonts w:asciiTheme="minorHAnsi" w:hAnsiTheme="minorHAnsi"/>
          <w:sz w:val="16"/>
          <w:szCs w:val="16"/>
        </w:rPr>
        <w:t xml:space="preserve"> </w:t>
      </w:r>
      <w:hyperlink r:id="rId41" w:history="1">
        <w:r w:rsidRPr="000A12EC">
          <w:rPr>
            <w:rStyle w:val="Hyperlink"/>
            <w:rFonts w:asciiTheme="minorHAnsi" w:hAnsiTheme="minorHAnsi"/>
            <w:sz w:val="16"/>
            <w:szCs w:val="16"/>
          </w:rPr>
          <w:t>http://ec.europa.eu/ecat/hotels/en/list</w:t>
        </w:r>
      </w:hyperlink>
      <w:r w:rsidRPr="000A12EC">
        <w:rPr>
          <w:rFonts w:asciiTheme="minorHAnsi" w:hAnsiTheme="minorHAnsi"/>
          <w:sz w:val="16"/>
          <w:szCs w:val="16"/>
        </w:rPr>
        <w:t xml:space="preserve"> </w:t>
      </w:r>
    </w:p>
  </w:footnote>
  <w:footnote w:id="70">
    <w:p w14:paraId="3B79E924" w14:textId="77777777" w:rsidR="00127DDC" w:rsidRPr="000A12EC" w:rsidRDefault="00127DDC" w:rsidP="008C4F26">
      <w:pPr>
        <w:pStyle w:val="FootnoteText"/>
        <w:rPr>
          <w:rFonts w:asciiTheme="minorHAnsi" w:hAnsiTheme="minorHAnsi"/>
          <w:sz w:val="16"/>
          <w:szCs w:val="16"/>
        </w:rPr>
      </w:pPr>
      <w:r w:rsidRPr="000A12EC">
        <w:rPr>
          <w:rStyle w:val="FootnoteReference"/>
          <w:rFonts w:asciiTheme="minorHAnsi" w:hAnsiTheme="minorHAnsi"/>
          <w:sz w:val="16"/>
          <w:szCs w:val="16"/>
        </w:rPr>
        <w:footnoteRef/>
      </w:r>
      <w:r w:rsidRPr="000A12EC">
        <w:rPr>
          <w:rFonts w:asciiTheme="minorHAnsi" w:hAnsiTheme="minorHAnsi"/>
          <w:sz w:val="16"/>
          <w:szCs w:val="16"/>
        </w:rPr>
        <w:t xml:space="preserve"> </w:t>
      </w:r>
      <w:hyperlink r:id="rId42" w:history="1">
        <w:r w:rsidRPr="000A12EC">
          <w:rPr>
            <w:rStyle w:val="Hyperlink"/>
            <w:rFonts w:asciiTheme="minorHAnsi" w:hAnsiTheme="minorHAnsi"/>
            <w:sz w:val="16"/>
            <w:szCs w:val="16"/>
          </w:rPr>
          <w:t>https://www.tourcert.org/en/community/3etravel-ltd/</w:t>
        </w:r>
      </w:hyperlink>
      <w:r w:rsidRPr="000A12EC">
        <w:rPr>
          <w:rFonts w:asciiTheme="minorHAnsi" w:hAnsiTheme="minorHAnsi"/>
          <w:sz w:val="16"/>
          <w:szCs w:val="16"/>
        </w:rPr>
        <w:t xml:space="preserve"> </w:t>
      </w:r>
    </w:p>
  </w:footnote>
  <w:footnote w:id="71">
    <w:p w14:paraId="4EF1DCB9" w14:textId="77777777" w:rsidR="00127DDC" w:rsidRPr="000A12EC" w:rsidRDefault="00127DDC" w:rsidP="008C4F26">
      <w:pPr>
        <w:pStyle w:val="FootnoteText"/>
        <w:rPr>
          <w:rFonts w:asciiTheme="minorHAnsi" w:hAnsiTheme="minorHAnsi"/>
          <w:sz w:val="16"/>
          <w:szCs w:val="16"/>
        </w:rPr>
      </w:pPr>
      <w:r w:rsidRPr="000A12EC">
        <w:rPr>
          <w:rStyle w:val="FootnoteReference"/>
          <w:rFonts w:asciiTheme="minorHAnsi" w:hAnsiTheme="minorHAnsi"/>
          <w:sz w:val="16"/>
          <w:szCs w:val="16"/>
        </w:rPr>
        <w:footnoteRef/>
      </w:r>
      <w:r w:rsidRPr="000A12EC">
        <w:rPr>
          <w:rFonts w:asciiTheme="minorHAnsi" w:hAnsiTheme="minorHAnsi"/>
          <w:sz w:val="16"/>
          <w:szCs w:val="16"/>
        </w:rPr>
        <w:t xml:space="preserve"> </w:t>
      </w:r>
      <w:hyperlink r:id="rId43" w:history="1">
        <w:r w:rsidRPr="000A12EC">
          <w:rPr>
            <w:rStyle w:val="Hyperlink"/>
            <w:rFonts w:asciiTheme="minorHAnsi" w:hAnsiTheme="minorHAnsi"/>
            <w:sz w:val="16"/>
            <w:szCs w:val="16"/>
          </w:rPr>
          <w:t>https://www.blueflag.global/all-bf-sites</w:t>
        </w:r>
      </w:hyperlink>
      <w:r w:rsidRPr="000A12EC">
        <w:rPr>
          <w:rFonts w:asciiTheme="minorHAnsi" w:hAnsiTheme="minorHAnsi"/>
          <w:sz w:val="16"/>
          <w:szCs w:val="16"/>
        </w:rPr>
        <w:t xml:space="preserve"> </w:t>
      </w:r>
    </w:p>
  </w:footnote>
  <w:footnote w:id="72">
    <w:p w14:paraId="2FAD8C76" w14:textId="77777777" w:rsidR="00127DDC" w:rsidRPr="000A12EC" w:rsidRDefault="00127DDC" w:rsidP="008C4F26">
      <w:pPr>
        <w:pStyle w:val="FootnoteText"/>
        <w:rPr>
          <w:rFonts w:asciiTheme="minorHAnsi" w:hAnsiTheme="minorHAnsi"/>
          <w:sz w:val="16"/>
          <w:szCs w:val="16"/>
        </w:rPr>
      </w:pPr>
      <w:r w:rsidRPr="000A12EC">
        <w:rPr>
          <w:rStyle w:val="FootnoteReference"/>
          <w:rFonts w:asciiTheme="minorHAnsi" w:hAnsiTheme="minorHAnsi"/>
          <w:sz w:val="16"/>
          <w:szCs w:val="16"/>
        </w:rPr>
        <w:footnoteRef/>
      </w:r>
      <w:r w:rsidRPr="000A12EC">
        <w:rPr>
          <w:rFonts w:asciiTheme="minorHAnsi" w:hAnsiTheme="minorHAnsi"/>
          <w:sz w:val="16"/>
          <w:szCs w:val="16"/>
        </w:rPr>
        <w:t xml:space="preserve"> </w:t>
      </w:r>
      <w:r w:rsidRPr="000A12EC">
        <w:rPr>
          <w:rFonts w:asciiTheme="minorHAnsi" w:hAnsiTheme="minorHAnsi"/>
          <w:color w:val="5B9BD5" w:themeColor="accent1"/>
          <w:sz w:val="16"/>
          <w:szCs w:val="16"/>
        </w:rPr>
        <w:t>https://static1.squarespace.com/static/55371f97e4b0fce8c1ee4c69/t/5e4d3307096b7a05929accac/1582117647086/Green+Key+hotel+criteria+explanatory+notes+2016-2021+revision+2018.pdf</w:t>
      </w:r>
    </w:p>
  </w:footnote>
  <w:footnote w:id="73">
    <w:p w14:paraId="2FF249E2" w14:textId="77777777" w:rsidR="00127DDC" w:rsidRPr="000A12EC" w:rsidRDefault="00127DDC" w:rsidP="008C4F26">
      <w:pPr>
        <w:pStyle w:val="FootnoteText"/>
        <w:rPr>
          <w:rFonts w:asciiTheme="minorHAnsi" w:hAnsiTheme="minorHAnsi"/>
          <w:sz w:val="16"/>
          <w:szCs w:val="16"/>
        </w:rPr>
      </w:pPr>
      <w:r w:rsidRPr="000A12EC">
        <w:rPr>
          <w:rStyle w:val="FootnoteReference"/>
          <w:rFonts w:asciiTheme="minorHAnsi" w:hAnsiTheme="minorHAnsi"/>
          <w:sz w:val="16"/>
          <w:szCs w:val="16"/>
        </w:rPr>
        <w:footnoteRef/>
      </w:r>
      <w:r w:rsidRPr="000A12EC">
        <w:rPr>
          <w:rFonts w:asciiTheme="minorHAnsi" w:hAnsiTheme="minorHAnsi"/>
          <w:sz w:val="16"/>
          <w:szCs w:val="16"/>
        </w:rPr>
        <w:t xml:space="preserve"> </w:t>
      </w:r>
      <w:hyperlink r:id="rId44" w:history="1">
        <w:r w:rsidRPr="000A12EC">
          <w:rPr>
            <w:rStyle w:val="Hyperlink"/>
            <w:rFonts w:asciiTheme="minorHAnsi" w:hAnsiTheme="minorHAnsi"/>
            <w:sz w:val="16"/>
            <w:szCs w:val="16"/>
          </w:rPr>
          <w:t>https://waytomonte.com/en/n-1191-v-etom-godu-30-plazej-v-cernogorii-polucili-goluboj-flag</w:t>
        </w:r>
      </w:hyperlink>
      <w:r w:rsidRPr="000A12EC">
        <w:rPr>
          <w:rFonts w:asciiTheme="minorHAnsi" w:hAnsiTheme="minorHAnsi"/>
          <w:sz w:val="16"/>
          <w:szCs w:val="16"/>
        </w:rPr>
        <w:t xml:space="preserve"> </w:t>
      </w:r>
    </w:p>
  </w:footnote>
  <w:footnote w:id="74">
    <w:p w14:paraId="7D0933B9" w14:textId="77777777" w:rsidR="00127DDC" w:rsidRPr="000A12EC" w:rsidRDefault="00127DDC" w:rsidP="008C4F26">
      <w:pPr>
        <w:pStyle w:val="FootnoteText"/>
        <w:rPr>
          <w:rFonts w:asciiTheme="minorHAnsi" w:hAnsiTheme="minorHAnsi"/>
          <w:sz w:val="16"/>
          <w:szCs w:val="16"/>
        </w:rPr>
      </w:pPr>
      <w:r w:rsidRPr="000A12EC">
        <w:rPr>
          <w:rStyle w:val="FootnoteReference"/>
          <w:rFonts w:asciiTheme="minorHAnsi" w:hAnsiTheme="minorHAnsi"/>
          <w:sz w:val="16"/>
          <w:szCs w:val="16"/>
        </w:rPr>
        <w:footnoteRef/>
      </w:r>
      <w:r w:rsidRPr="000A12EC">
        <w:rPr>
          <w:rFonts w:asciiTheme="minorHAnsi" w:hAnsiTheme="minorHAnsi"/>
          <w:sz w:val="16"/>
          <w:szCs w:val="16"/>
        </w:rPr>
        <w:t xml:space="preserve"> </w:t>
      </w:r>
      <w:hyperlink r:id="rId45" w:history="1">
        <w:r w:rsidRPr="000A12EC">
          <w:rPr>
            <w:rStyle w:val="Hyperlink"/>
            <w:rFonts w:asciiTheme="minorHAnsi" w:hAnsiTheme="minorHAnsi"/>
            <w:sz w:val="16"/>
            <w:szCs w:val="16"/>
          </w:rPr>
          <w:t>https://ec.europa.eu/environment/iczm/pdf/tcca_en.pdf</w:t>
        </w:r>
      </w:hyperlink>
      <w:r w:rsidRPr="000A12EC">
        <w:rPr>
          <w:rFonts w:asciiTheme="minorHAnsi" w:hAnsiTheme="minorHAnsi"/>
          <w:sz w:val="16"/>
          <w:szCs w:val="16"/>
        </w:rPr>
        <w:t xml:space="preserve"> </w:t>
      </w:r>
    </w:p>
  </w:footnote>
  <w:footnote w:id="75">
    <w:p w14:paraId="65122B21" w14:textId="77777777" w:rsidR="00127DDC" w:rsidRPr="000A12EC" w:rsidRDefault="00127DDC" w:rsidP="008C4F26">
      <w:pPr>
        <w:pStyle w:val="FootnoteText"/>
        <w:rPr>
          <w:rFonts w:asciiTheme="minorHAnsi" w:hAnsiTheme="minorHAnsi"/>
          <w:sz w:val="16"/>
          <w:szCs w:val="16"/>
          <w:lang w:val="sr-Latn-ME"/>
        </w:rPr>
      </w:pPr>
      <w:r w:rsidRPr="000A12EC">
        <w:rPr>
          <w:rStyle w:val="FootnoteReference"/>
          <w:rFonts w:asciiTheme="minorHAnsi" w:hAnsiTheme="minorHAnsi"/>
          <w:sz w:val="16"/>
          <w:szCs w:val="16"/>
        </w:rPr>
        <w:footnoteRef/>
      </w:r>
      <w:r w:rsidRPr="000A12EC">
        <w:rPr>
          <w:rFonts w:asciiTheme="minorHAnsi" w:hAnsiTheme="minorHAnsi"/>
          <w:sz w:val="16"/>
          <w:szCs w:val="16"/>
        </w:rPr>
        <w:t xml:space="preserve"> Document is adopted by the Government, session on April 24</w:t>
      </w:r>
      <w:r w:rsidRPr="000A12EC">
        <w:rPr>
          <w:rFonts w:asciiTheme="minorHAnsi" w:hAnsiTheme="minorHAnsi"/>
          <w:sz w:val="16"/>
          <w:szCs w:val="16"/>
          <w:vertAlign w:val="superscript"/>
        </w:rPr>
        <w:t>th</w:t>
      </w:r>
      <w:r w:rsidRPr="000A12EC">
        <w:rPr>
          <w:rFonts w:asciiTheme="minorHAnsi" w:hAnsiTheme="minorHAnsi"/>
          <w:sz w:val="16"/>
          <w:szCs w:val="16"/>
        </w:rPr>
        <w:t>, 2008</w:t>
      </w:r>
    </w:p>
  </w:footnote>
  <w:footnote w:id="76">
    <w:p w14:paraId="050D72A0" w14:textId="77777777" w:rsidR="00127DDC" w:rsidRPr="000A12EC" w:rsidRDefault="00127DDC" w:rsidP="008C4F26">
      <w:pPr>
        <w:pStyle w:val="FootnoteText"/>
        <w:rPr>
          <w:rFonts w:asciiTheme="minorHAnsi" w:hAnsiTheme="minorHAnsi"/>
          <w:sz w:val="16"/>
          <w:szCs w:val="16"/>
          <w:lang w:val="sr-Latn-ME"/>
        </w:rPr>
      </w:pPr>
      <w:r w:rsidRPr="000A12EC">
        <w:rPr>
          <w:rStyle w:val="FootnoteReference"/>
          <w:rFonts w:asciiTheme="minorHAnsi" w:hAnsiTheme="minorHAnsi"/>
          <w:sz w:val="16"/>
          <w:szCs w:val="16"/>
        </w:rPr>
        <w:footnoteRef/>
      </w:r>
      <w:r w:rsidRPr="000A12EC">
        <w:rPr>
          <w:rFonts w:asciiTheme="minorHAnsi" w:hAnsiTheme="minorHAnsi"/>
          <w:sz w:val="16"/>
          <w:szCs w:val="16"/>
        </w:rPr>
        <w:t xml:space="preserve"> </w:t>
      </w:r>
      <w:r w:rsidRPr="000A12EC">
        <w:rPr>
          <w:rFonts w:asciiTheme="minorHAnsi" w:hAnsiTheme="minorHAnsi"/>
          <w:sz w:val="16"/>
          <w:szCs w:val="16"/>
          <w:lang w:val="sr-Latn-ME"/>
        </w:rPr>
        <w:t xml:space="preserve">Adopted in 2014 </w:t>
      </w:r>
    </w:p>
    <w:p w14:paraId="6FF30B3C" w14:textId="77777777" w:rsidR="00127DDC" w:rsidRPr="007C3244" w:rsidRDefault="00127DDC" w:rsidP="008C4F26">
      <w:pPr>
        <w:pStyle w:val="FootnoteText"/>
        <w:rPr>
          <w:lang w:val="sr-Latn-ME"/>
        </w:rPr>
      </w:pPr>
    </w:p>
  </w:footnote>
  <w:footnote w:id="77">
    <w:p w14:paraId="5A02F5F4" w14:textId="77777777" w:rsidR="00127DDC" w:rsidRPr="000A12EC" w:rsidRDefault="00127DDC" w:rsidP="008C4F26">
      <w:pPr>
        <w:pStyle w:val="FootnoteText"/>
        <w:rPr>
          <w:rFonts w:asciiTheme="minorHAnsi" w:hAnsiTheme="minorHAnsi"/>
          <w:sz w:val="16"/>
          <w:szCs w:val="16"/>
          <w:lang w:val="sr-Latn-ME"/>
        </w:rPr>
      </w:pPr>
      <w:r w:rsidRPr="000A12EC">
        <w:rPr>
          <w:rStyle w:val="FootnoteReference"/>
          <w:rFonts w:asciiTheme="minorHAnsi" w:hAnsiTheme="minorHAnsi"/>
          <w:sz w:val="16"/>
          <w:szCs w:val="16"/>
        </w:rPr>
        <w:footnoteRef/>
      </w:r>
      <w:r w:rsidRPr="000A12EC">
        <w:rPr>
          <w:rFonts w:asciiTheme="minorHAnsi" w:hAnsiTheme="minorHAnsi"/>
          <w:sz w:val="16"/>
          <w:szCs w:val="16"/>
        </w:rPr>
        <w:t xml:space="preserve"> 16 seed stands have been registered in Montenegro</w:t>
      </w:r>
    </w:p>
  </w:footnote>
  <w:footnote w:id="78">
    <w:p w14:paraId="3EA286E7" w14:textId="0F475D1A" w:rsidR="00127DDC" w:rsidRPr="000A12EC" w:rsidRDefault="00127DDC" w:rsidP="008C4F26">
      <w:pPr>
        <w:pStyle w:val="FootnoteText"/>
        <w:rPr>
          <w:rFonts w:asciiTheme="minorHAnsi" w:hAnsiTheme="minorHAnsi"/>
          <w:sz w:val="16"/>
          <w:szCs w:val="16"/>
          <w:lang w:val="sr-Latn-ME"/>
        </w:rPr>
      </w:pPr>
      <w:r w:rsidRPr="000A12EC">
        <w:rPr>
          <w:rStyle w:val="FootnoteReference"/>
          <w:rFonts w:asciiTheme="minorHAnsi" w:hAnsiTheme="minorHAnsi"/>
          <w:sz w:val="16"/>
          <w:szCs w:val="16"/>
        </w:rPr>
        <w:footnoteRef/>
      </w:r>
      <w:r w:rsidRPr="000A12EC">
        <w:rPr>
          <w:rFonts w:asciiTheme="minorHAnsi" w:hAnsiTheme="minorHAnsi"/>
          <w:sz w:val="16"/>
          <w:szCs w:val="16"/>
        </w:rPr>
        <w:t xml:space="preserve"> </w:t>
      </w:r>
      <w:r w:rsidRPr="000A12EC">
        <w:rPr>
          <w:rFonts w:asciiTheme="minorHAnsi" w:hAnsiTheme="minorHAnsi"/>
          <w:sz w:val="16"/>
          <w:szCs w:val="16"/>
          <w:lang w:val="sr-Latn-ME"/>
        </w:rPr>
        <w:t>March 2020</w:t>
      </w:r>
    </w:p>
  </w:footnote>
  <w:footnote w:id="79">
    <w:p w14:paraId="7C1E3005" w14:textId="77777777" w:rsidR="00127DDC" w:rsidRPr="000A12EC" w:rsidRDefault="00127DDC" w:rsidP="008C4F26">
      <w:pPr>
        <w:pStyle w:val="FootnoteText"/>
        <w:rPr>
          <w:rFonts w:asciiTheme="minorHAnsi" w:hAnsiTheme="minorHAnsi"/>
          <w:sz w:val="16"/>
          <w:szCs w:val="16"/>
        </w:rPr>
      </w:pPr>
      <w:r w:rsidRPr="000A12EC">
        <w:rPr>
          <w:rStyle w:val="FootnoteReference"/>
          <w:rFonts w:asciiTheme="minorHAnsi" w:hAnsiTheme="minorHAnsi"/>
          <w:sz w:val="16"/>
          <w:szCs w:val="16"/>
        </w:rPr>
        <w:footnoteRef/>
      </w:r>
      <w:r w:rsidRPr="000A12EC">
        <w:rPr>
          <w:rFonts w:asciiTheme="minorHAnsi" w:hAnsiTheme="minorHAnsi"/>
          <w:sz w:val="16"/>
          <w:szCs w:val="16"/>
        </w:rPr>
        <w:t xml:space="preserve"> Data from the register of agricultural holdings on 18</w:t>
      </w:r>
      <w:r w:rsidRPr="000A12EC">
        <w:rPr>
          <w:rFonts w:asciiTheme="minorHAnsi" w:hAnsiTheme="minorHAnsi"/>
          <w:sz w:val="16"/>
          <w:szCs w:val="16"/>
          <w:vertAlign w:val="superscript"/>
        </w:rPr>
        <w:t>th</w:t>
      </w:r>
      <w:r w:rsidRPr="000A12EC">
        <w:rPr>
          <w:rFonts w:asciiTheme="minorHAnsi" w:hAnsiTheme="minorHAnsi"/>
          <w:sz w:val="16"/>
          <w:szCs w:val="16"/>
        </w:rPr>
        <w:t xml:space="preserve"> June 2020.</w:t>
      </w:r>
    </w:p>
  </w:footnote>
  <w:footnote w:id="80">
    <w:p w14:paraId="2D25236F" w14:textId="77777777" w:rsidR="00127DDC" w:rsidRPr="006C1C66" w:rsidRDefault="00127DDC" w:rsidP="008C4F26">
      <w:pPr>
        <w:pStyle w:val="FootnoteText"/>
        <w:rPr>
          <w:rFonts w:asciiTheme="minorHAnsi" w:hAnsiTheme="minorHAnsi"/>
          <w:sz w:val="16"/>
          <w:szCs w:val="16"/>
          <w:lang w:val="sr-Latn-ME"/>
        </w:rPr>
      </w:pPr>
      <w:r w:rsidRPr="006C1C66">
        <w:rPr>
          <w:rStyle w:val="FootnoteReference"/>
          <w:rFonts w:asciiTheme="minorHAnsi" w:hAnsiTheme="minorHAnsi"/>
          <w:sz w:val="16"/>
          <w:szCs w:val="16"/>
        </w:rPr>
        <w:footnoteRef/>
      </w:r>
      <w:r w:rsidRPr="006C1C66">
        <w:rPr>
          <w:rFonts w:asciiTheme="minorHAnsi" w:hAnsiTheme="minorHAnsi"/>
          <w:sz w:val="16"/>
          <w:szCs w:val="16"/>
        </w:rPr>
        <w:t xml:space="preserve"> This is a common practice in the surrounding countries.</w:t>
      </w:r>
    </w:p>
  </w:footnote>
  <w:footnote w:id="81">
    <w:p w14:paraId="04CD174B" w14:textId="77777777" w:rsidR="00127DDC" w:rsidRPr="007A3368" w:rsidRDefault="00127DDC" w:rsidP="008C4F26">
      <w:pPr>
        <w:pStyle w:val="FootnoteText"/>
        <w:rPr>
          <w:rFonts w:asciiTheme="minorHAnsi" w:hAnsiTheme="minorHAnsi" w:cstheme="majorHAnsi"/>
          <w:sz w:val="16"/>
          <w:szCs w:val="16"/>
        </w:rPr>
      </w:pPr>
      <w:r w:rsidRPr="007A3368">
        <w:rPr>
          <w:rStyle w:val="FootnoteReference"/>
          <w:rFonts w:asciiTheme="minorHAnsi" w:hAnsiTheme="minorHAnsi" w:cs="Arial"/>
          <w:sz w:val="16"/>
          <w:szCs w:val="16"/>
        </w:rPr>
        <w:footnoteRef/>
      </w:r>
      <w:r w:rsidRPr="007A3368">
        <w:rPr>
          <w:rFonts w:asciiTheme="minorHAnsi" w:hAnsiTheme="minorHAnsi" w:cs="Arial"/>
          <w:sz w:val="16"/>
          <w:szCs w:val="16"/>
        </w:rPr>
        <w:t xml:space="preserve"> </w:t>
      </w:r>
      <w:r w:rsidRPr="007A3368">
        <w:rPr>
          <w:rFonts w:asciiTheme="minorHAnsi" w:hAnsiTheme="minorHAnsi" w:cstheme="majorHAnsi"/>
          <w:sz w:val="16"/>
          <w:szCs w:val="16"/>
        </w:rPr>
        <w:t>Government of Montenegro, Ministry for Agriculture and Rural Development, Agriculture and Rural Development Strategy (2006-2015), 2005.</w:t>
      </w:r>
    </w:p>
  </w:footnote>
  <w:footnote w:id="82">
    <w:p w14:paraId="4B03540A" w14:textId="77777777" w:rsidR="00127DDC" w:rsidRPr="007A3368" w:rsidRDefault="00127DDC" w:rsidP="008C4F26">
      <w:pPr>
        <w:pStyle w:val="FootnoteText"/>
        <w:rPr>
          <w:rFonts w:asciiTheme="minorHAnsi" w:hAnsiTheme="minorHAnsi" w:cstheme="majorHAnsi"/>
          <w:sz w:val="16"/>
          <w:szCs w:val="16"/>
        </w:rPr>
      </w:pPr>
      <w:r w:rsidRPr="007A3368">
        <w:rPr>
          <w:rStyle w:val="FootnoteReference"/>
          <w:rFonts w:asciiTheme="minorHAnsi" w:hAnsiTheme="minorHAnsi" w:cstheme="majorHAnsi"/>
          <w:sz w:val="16"/>
          <w:szCs w:val="16"/>
        </w:rPr>
        <w:footnoteRef/>
      </w:r>
      <w:r w:rsidRPr="007A3368">
        <w:rPr>
          <w:rFonts w:asciiTheme="minorHAnsi" w:hAnsiTheme="minorHAnsi" w:cstheme="majorHAnsi"/>
          <w:sz w:val="16"/>
          <w:szCs w:val="16"/>
        </w:rPr>
        <w:t xml:space="preserve"> Government of Montenegro, Ministry for Agriculture and Rural Development, Strategy for the Development of Agriculture and Rural Areas with the Action Plan (2015-2020), 2015.</w:t>
      </w:r>
    </w:p>
  </w:footnote>
  <w:footnote w:id="83">
    <w:p w14:paraId="59BBDB86" w14:textId="77777777" w:rsidR="00127DDC" w:rsidRPr="007A3368" w:rsidRDefault="00127DDC" w:rsidP="008C4F26">
      <w:pPr>
        <w:pStyle w:val="FootnoteText"/>
        <w:rPr>
          <w:rFonts w:asciiTheme="minorHAnsi" w:hAnsiTheme="minorHAnsi" w:cstheme="majorHAnsi"/>
          <w:sz w:val="16"/>
          <w:szCs w:val="16"/>
        </w:rPr>
      </w:pPr>
      <w:r w:rsidRPr="007A3368">
        <w:rPr>
          <w:rStyle w:val="FootnoteReference"/>
          <w:rFonts w:asciiTheme="minorHAnsi" w:hAnsiTheme="minorHAnsi" w:cstheme="majorHAnsi"/>
          <w:sz w:val="16"/>
          <w:szCs w:val="16"/>
        </w:rPr>
        <w:footnoteRef/>
      </w:r>
      <w:r w:rsidRPr="007A3368">
        <w:rPr>
          <w:rFonts w:asciiTheme="minorHAnsi" w:hAnsiTheme="minorHAnsi" w:cstheme="majorHAnsi"/>
          <w:sz w:val="16"/>
          <w:szCs w:val="16"/>
        </w:rPr>
        <w:t xml:space="preserve"> </w:t>
      </w:r>
      <w:r w:rsidRPr="007A3368">
        <w:rPr>
          <w:rStyle w:val="Emphasis"/>
          <w:rFonts w:asciiTheme="minorHAnsi" w:hAnsiTheme="minorHAnsi" w:cstheme="majorHAnsi"/>
          <w:sz w:val="16"/>
          <w:szCs w:val="16"/>
          <w:lang w:val="hr-HR"/>
        </w:rPr>
        <w:t>,,Official Gazette of Montenegro“ no. 56/2009 and 30/2017</w:t>
      </w:r>
    </w:p>
  </w:footnote>
  <w:footnote w:id="84">
    <w:p w14:paraId="16E17FFF" w14:textId="77777777" w:rsidR="00127DDC" w:rsidRPr="00745A49" w:rsidRDefault="00127DDC" w:rsidP="008C4F26">
      <w:pPr>
        <w:pStyle w:val="FootnoteText"/>
        <w:rPr>
          <w:rFonts w:asciiTheme="majorHAnsi" w:hAnsiTheme="majorHAnsi" w:cstheme="majorHAnsi"/>
          <w:noProof/>
          <w:color w:val="000000" w:themeColor="text1" w:themeShade="BF"/>
          <w:szCs w:val="18"/>
        </w:rPr>
      </w:pPr>
      <w:r w:rsidRPr="007A3368">
        <w:rPr>
          <w:rStyle w:val="FootnoteReference"/>
          <w:rFonts w:asciiTheme="minorHAnsi" w:hAnsiTheme="minorHAnsi" w:cstheme="majorHAnsi"/>
          <w:noProof/>
          <w:sz w:val="16"/>
          <w:szCs w:val="16"/>
        </w:rPr>
        <w:footnoteRef/>
      </w:r>
      <w:r w:rsidRPr="007A3368">
        <w:rPr>
          <w:rStyle w:val="A2"/>
          <w:rFonts w:asciiTheme="minorHAnsi" w:hAnsiTheme="minorHAnsi" w:cstheme="majorHAnsi"/>
          <w:noProof/>
          <w:sz w:val="16"/>
          <w:szCs w:val="16"/>
        </w:rPr>
        <w:t>Kodeks dobre poljoprivredne parkse Crna Gora (2013).</w:t>
      </w:r>
      <w:r w:rsidRPr="007A3368">
        <w:rPr>
          <w:rFonts w:asciiTheme="minorHAnsi" w:hAnsiTheme="minorHAnsi" w:cstheme="majorHAnsi"/>
          <w:noProof/>
          <w:sz w:val="16"/>
          <w:szCs w:val="16"/>
        </w:rPr>
        <w:t>Pripremljen u okviru Projekta institucionalnog razvoja i jačanja poljoprivrede Crne Gore, MIDAS projekat koji implementira Ministarstvo poljoprivrede i ruralnog razvoja, a finansira Svjetska banka.Pripremio: dr Steve Goss</w:t>
      </w:r>
    </w:p>
  </w:footnote>
  <w:footnote w:id="85">
    <w:p w14:paraId="63F804B8" w14:textId="77777777" w:rsidR="00127DDC" w:rsidRPr="002954C2" w:rsidRDefault="00127DDC" w:rsidP="008C4F26">
      <w:pPr>
        <w:pStyle w:val="FootnoteText"/>
        <w:rPr>
          <w:rFonts w:asciiTheme="minorHAnsi" w:hAnsiTheme="minorHAnsi" w:cstheme="minorHAnsi"/>
        </w:rPr>
      </w:pPr>
      <w:r w:rsidRPr="00961866">
        <w:rPr>
          <w:rStyle w:val="FootnoteReference"/>
          <w:szCs w:val="18"/>
        </w:rPr>
        <w:footnoteRef/>
      </w:r>
      <w:r w:rsidRPr="002954C2">
        <w:rPr>
          <w:rFonts w:asciiTheme="minorHAnsi" w:hAnsiTheme="minorHAnsi" w:cstheme="minorHAnsi"/>
          <w:shd w:val="clear" w:color="auto" w:fill="FFFFFF"/>
        </w:rPr>
        <w:t>Council Regulation (EC) No</w:t>
      </w:r>
      <w:r w:rsidRPr="002954C2">
        <w:rPr>
          <w:rStyle w:val="apple-converted-space"/>
          <w:rFonts w:asciiTheme="minorHAnsi" w:hAnsiTheme="minorHAnsi" w:cstheme="minorHAnsi"/>
          <w:bCs/>
          <w:szCs w:val="18"/>
          <w:shd w:val="clear" w:color="auto" w:fill="FFFFFF"/>
        </w:rPr>
        <w:t> </w:t>
      </w:r>
      <w:hyperlink r:id="rId46" w:history="1">
        <w:r w:rsidRPr="002954C2">
          <w:rPr>
            <w:rStyle w:val="Hyperlink"/>
            <w:rFonts w:asciiTheme="minorHAnsi" w:hAnsiTheme="minorHAnsi" w:cstheme="minorHAnsi"/>
            <w:bCs/>
            <w:szCs w:val="18"/>
            <w:bdr w:val="none" w:sz="0" w:space="0" w:color="auto" w:frame="1"/>
            <w:shd w:val="clear" w:color="auto" w:fill="FFFFFF"/>
          </w:rPr>
          <w:t>1234/2007</w:t>
        </w:r>
      </w:hyperlink>
      <w:r w:rsidRPr="002954C2">
        <w:rPr>
          <w:rStyle w:val="apple-converted-space"/>
          <w:rFonts w:asciiTheme="minorHAnsi" w:hAnsiTheme="minorHAnsi" w:cstheme="minorHAnsi"/>
          <w:bCs/>
          <w:szCs w:val="18"/>
          <w:shd w:val="clear" w:color="auto" w:fill="FFFFFF"/>
        </w:rPr>
        <w:t> </w:t>
      </w:r>
      <w:r w:rsidRPr="002954C2">
        <w:rPr>
          <w:rFonts w:asciiTheme="minorHAnsi" w:hAnsiTheme="minorHAnsi" w:cstheme="minorHAnsi"/>
          <w:shd w:val="clear" w:color="auto" w:fill="FFFFFF"/>
        </w:rPr>
        <w:t>of 22 October 2007 establishing a common organisation of agricultural markets and on specific provisions for certain agricultural products (Single CMO Regulation)</w:t>
      </w:r>
    </w:p>
  </w:footnote>
  <w:footnote w:id="86">
    <w:p w14:paraId="3CD9F1B1" w14:textId="77777777" w:rsidR="00127DDC" w:rsidRPr="002954C2" w:rsidRDefault="00127DDC" w:rsidP="008C4F26">
      <w:pPr>
        <w:pStyle w:val="FootnoteText"/>
        <w:rPr>
          <w:rFonts w:asciiTheme="minorHAnsi" w:hAnsiTheme="minorHAnsi" w:cstheme="minorHAnsi"/>
          <w:noProof/>
        </w:rPr>
      </w:pPr>
      <w:r w:rsidRPr="002954C2">
        <w:rPr>
          <w:rStyle w:val="FootnoteReference"/>
          <w:rFonts w:asciiTheme="minorHAnsi" w:hAnsiTheme="minorHAnsi" w:cstheme="minorHAnsi"/>
          <w:noProof/>
          <w:szCs w:val="18"/>
        </w:rPr>
        <w:footnoteRef/>
      </w:r>
      <w:r w:rsidRPr="002954C2">
        <w:rPr>
          <w:rFonts w:asciiTheme="minorHAnsi" w:hAnsiTheme="minorHAnsi" w:cstheme="minorHAnsi"/>
          <w:noProof/>
        </w:rPr>
        <w:t xml:space="preserve"> </w:t>
      </w:r>
      <w:r>
        <w:rPr>
          <w:rFonts w:asciiTheme="minorHAnsi" w:hAnsiTheme="minorHAnsi" w:cstheme="minorHAnsi"/>
          <w:noProof/>
        </w:rPr>
        <w:t>Law on organization of the market of agricultiral products</w:t>
      </w:r>
      <w:r w:rsidRPr="002954C2">
        <w:rPr>
          <w:rFonts w:asciiTheme="minorHAnsi" w:hAnsiTheme="minorHAnsi" w:cstheme="minorHAnsi"/>
          <w:noProof/>
        </w:rPr>
        <w:t xml:space="preserve"> </w:t>
      </w:r>
      <w:r w:rsidRPr="002954C2">
        <w:rPr>
          <w:rFonts w:asciiTheme="minorHAnsi" w:eastAsia="TimesNewRoman" w:hAnsiTheme="minorHAnsi" w:cstheme="minorHAnsi"/>
        </w:rPr>
        <w:t>("</w:t>
      </w:r>
      <w:r>
        <w:rPr>
          <w:rFonts w:asciiTheme="minorHAnsi" w:eastAsia="TimesNewRoman" w:hAnsiTheme="minorHAnsi" w:cstheme="minorHAnsi"/>
        </w:rPr>
        <w:t>Official Gazette of Montenegro", no</w:t>
      </w:r>
      <w:r w:rsidRPr="002954C2">
        <w:rPr>
          <w:rFonts w:asciiTheme="minorHAnsi" w:eastAsia="TimesNewRoman" w:hAnsiTheme="minorHAnsi" w:cstheme="minorHAnsi"/>
        </w:rPr>
        <w:t>.</w:t>
      </w:r>
      <w:r>
        <w:rPr>
          <w:rFonts w:asciiTheme="minorHAnsi" w:eastAsia="TimesNewRoman" w:hAnsiTheme="minorHAnsi" w:cstheme="minorHAnsi"/>
        </w:rPr>
        <w:t xml:space="preserve"> </w:t>
      </w:r>
      <w:r w:rsidRPr="002954C2">
        <w:rPr>
          <w:rFonts w:asciiTheme="minorHAnsi" w:hAnsiTheme="minorHAnsi" w:cstheme="minorHAnsi"/>
          <w:noProof/>
        </w:rPr>
        <w:t>01-759/2-2017).</w:t>
      </w:r>
    </w:p>
  </w:footnote>
  <w:footnote w:id="87">
    <w:p w14:paraId="1019EDE4" w14:textId="77777777" w:rsidR="00127DDC" w:rsidRPr="002954C2" w:rsidRDefault="00127DDC" w:rsidP="008C4F26">
      <w:pPr>
        <w:pStyle w:val="FootnoteText"/>
        <w:rPr>
          <w:rFonts w:asciiTheme="minorHAnsi" w:hAnsiTheme="minorHAnsi" w:cstheme="minorHAnsi"/>
          <w:color w:val="000000" w:themeColor="text1" w:themeShade="BF"/>
        </w:rPr>
      </w:pPr>
      <w:r w:rsidRPr="002954C2">
        <w:rPr>
          <w:rStyle w:val="FootnoteReference"/>
          <w:rFonts w:asciiTheme="minorHAnsi" w:hAnsiTheme="minorHAnsi" w:cstheme="minorHAnsi"/>
          <w:szCs w:val="18"/>
        </w:rPr>
        <w:footnoteRef/>
      </w:r>
      <w:r>
        <w:rPr>
          <w:rFonts w:asciiTheme="minorHAnsi" w:eastAsia="TimesNewRoman" w:hAnsiTheme="minorHAnsi" w:cstheme="minorHAnsi"/>
        </w:rPr>
        <w:t>Law on wine</w:t>
      </w:r>
      <w:r w:rsidRPr="002954C2">
        <w:rPr>
          <w:rFonts w:asciiTheme="minorHAnsi" w:eastAsia="TimesNewRoman" w:hAnsiTheme="minorHAnsi" w:cstheme="minorHAnsi"/>
        </w:rPr>
        <w:t xml:space="preserve"> ("</w:t>
      </w:r>
      <w:r>
        <w:rPr>
          <w:rFonts w:asciiTheme="minorHAnsi" w:eastAsia="TimesNewRoman" w:hAnsiTheme="minorHAnsi" w:cstheme="minorHAnsi"/>
        </w:rPr>
        <w:t>Official Gazette of Montenegro", no</w:t>
      </w:r>
      <w:r w:rsidRPr="002954C2">
        <w:rPr>
          <w:rFonts w:asciiTheme="minorHAnsi" w:eastAsia="TimesNewRoman" w:hAnsiTheme="minorHAnsi" w:cstheme="minorHAnsi"/>
        </w:rPr>
        <w:t>. 41/16)</w:t>
      </w:r>
    </w:p>
  </w:footnote>
  <w:footnote w:id="88">
    <w:p w14:paraId="4DC80E75" w14:textId="77777777" w:rsidR="00127DDC" w:rsidRPr="002954C2" w:rsidRDefault="00127DDC" w:rsidP="008C4F26">
      <w:pPr>
        <w:pStyle w:val="FootnoteText"/>
        <w:rPr>
          <w:rFonts w:asciiTheme="minorHAnsi" w:eastAsiaTheme="minorHAnsi" w:hAnsiTheme="minorHAnsi" w:cstheme="minorHAnsi"/>
        </w:rPr>
      </w:pPr>
      <w:r w:rsidRPr="002954C2">
        <w:rPr>
          <w:rStyle w:val="FootnoteReference"/>
          <w:rFonts w:asciiTheme="minorHAnsi" w:hAnsiTheme="minorHAnsi" w:cstheme="minorHAnsi"/>
          <w:szCs w:val="18"/>
        </w:rPr>
        <w:footnoteRef/>
      </w:r>
      <w:r w:rsidRPr="002954C2">
        <w:rPr>
          <w:rFonts w:asciiTheme="minorHAnsi" w:hAnsiTheme="minorHAnsi" w:cstheme="minorHAnsi"/>
        </w:rPr>
        <w:t>Government of Montenegro, Ministry of Agriculture and Rural Development.(2006).</w:t>
      </w:r>
      <w:r w:rsidRPr="002954C2">
        <w:rPr>
          <w:rFonts w:asciiTheme="minorHAnsi" w:eastAsiaTheme="minorHAnsi" w:hAnsiTheme="minorHAnsi" w:cstheme="minorHAnsi"/>
        </w:rPr>
        <w:t xml:space="preserve"> Montenegro’s Agriculture and</w:t>
      </w:r>
      <w:r>
        <w:rPr>
          <w:rFonts w:asciiTheme="minorHAnsi" w:eastAsiaTheme="minorHAnsi" w:hAnsiTheme="minorHAnsi" w:cstheme="minorHAnsi"/>
        </w:rPr>
        <w:t xml:space="preserve"> EU</w:t>
      </w:r>
      <w:r w:rsidRPr="002954C2">
        <w:rPr>
          <w:rFonts w:asciiTheme="minorHAnsi" w:eastAsiaTheme="minorHAnsi" w:hAnsiTheme="minorHAnsi" w:cstheme="minorHAnsi"/>
        </w:rPr>
        <w:t>.</w:t>
      </w:r>
      <w:r>
        <w:rPr>
          <w:rFonts w:asciiTheme="minorHAnsi" w:eastAsiaTheme="minorHAnsi" w:hAnsiTheme="minorHAnsi" w:cstheme="minorHAnsi"/>
        </w:rPr>
        <w:t xml:space="preserve"> </w:t>
      </w:r>
      <w:r w:rsidRPr="002954C2">
        <w:rPr>
          <w:rFonts w:asciiTheme="minorHAnsi" w:eastAsiaTheme="minorHAnsi" w:hAnsiTheme="minorHAnsi" w:cstheme="minorHAnsi"/>
        </w:rPr>
        <w:t>Agriculture and Rural Development Strategy.</w:t>
      </w:r>
      <w:r w:rsidRPr="002954C2">
        <w:rPr>
          <w:rFonts w:asciiTheme="minorHAnsi" w:hAnsiTheme="minorHAnsi" w:cstheme="minorHAnsi"/>
          <w:i/>
        </w:rPr>
        <w:t xml:space="preserve">Ministry of Agriculture and Rural Development, </w:t>
      </w:r>
      <w:r w:rsidRPr="002954C2">
        <w:rPr>
          <w:rFonts w:asciiTheme="minorHAnsi" w:eastAsiaTheme="minorHAnsi" w:hAnsiTheme="minorHAnsi" w:cstheme="minorHAnsi"/>
        </w:rPr>
        <w:t>July, 2006</w:t>
      </w:r>
    </w:p>
  </w:footnote>
  <w:footnote w:id="89">
    <w:p w14:paraId="0EDF750D" w14:textId="77777777" w:rsidR="00127DDC" w:rsidRPr="002954C2" w:rsidRDefault="00127DDC" w:rsidP="008C4F26">
      <w:pPr>
        <w:pStyle w:val="FootnoteText"/>
        <w:rPr>
          <w:rFonts w:asciiTheme="minorHAnsi" w:hAnsiTheme="minorHAnsi" w:cstheme="minorHAnsi"/>
          <w:sz w:val="16"/>
          <w:szCs w:val="16"/>
        </w:rPr>
      </w:pPr>
      <w:r w:rsidRPr="002954C2">
        <w:rPr>
          <w:rStyle w:val="FootnoteReference"/>
          <w:rFonts w:asciiTheme="minorHAnsi" w:hAnsiTheme="minorHAnsi" w:cstheme="minorHAnsi"/>
        </w:rPr>
        <w:footnoteRef/>
      </w:r>
      <w:r w:rsidRPr="002954C2">
        <w:rPr>
          <w:rFonts w:asciiTheme="minorHAnsi" w:hAnsiTheme="minorHAnsi" w:cstheme="minorHAnsi"/>
        </w:rPr>
        <w:t xml:space="preserve"> </w:t>
      </w:r>
      <w:r w:rsidRPr="002954C2">
        <w:rPr>
          <w:rFonts w:asciiTheme="minorHAnsi" w:hAnsiTheme="minorHAnsi" w:cstheme="minorHAnsi"/>
          <w:i/>
          <w:sz w:val="16"/>
          <w:szCs w:val="16"/>
          <w:lang w:eastAsia="ar-SA"/>
        </w:rPr>
        <w:t>The funds provided by the Agro-budget in 2020, allocated the total amount of € 60,722,500.00. The amount of in total € 24,404,500.00 comes from the Budget of Montenegro, € 27,326,000.00 comes from donations and from credit funds in the amount of € 8,992 .000,00.</w:t>
      </w:r>
    </w:p>
  </w:footnote>
  <w:footnote w:id="90">
    <w:p w14:paraId="2D9A1F55" w14:textId="77777777" w:rsidR="00127DDC" w:rsidRPr="009915E0" w:rsidRDefault="00127DDC" w:rsidP="008C4F26">
      <w:pPr>
        <w:pStyle w:val="FootnoteText"/>
      </w:pPr>
      <w:r>
        <w:rPr>
          <w:rStyle w:val="FootnoteReference"/>
        </w:rPr>
        <w:footnoteRef/>
      </w:r>
      <w:r>
        <w:t xml:space="preserve"> </w:t>
      </w:r>
      <w:hyperlink r:id="rId47" w:history="1">
        <w:r>
          <w:rPr>
            <w:rStyle w:val="Hyperlink"/>
          </w:rPr>
          <w:t>https://ec.europa.eu/environment/integration/research/newsalert/pdf/AES_impacts_on_agricultural_environment_57si_en.pdf</w:t>
        </w:r>
      </w:hyperlink>
    </w:p>
  </w:footnote>
  <w:footnote w:id="91">
    <w:p w14:paraId="0CB0CEC8" w14:textId="77777777" w:rsidR="00127DDC" w:rsidRPr="00372D82" w:rsidRDefault="00127DDC" w:rsidP="008C4F26">
      <w:pPr>
        <w:pStyle w:val="FootnoteText"/>
      </w:pPr>
      <w:r>
        <w:rPr>
          <w:rStyle w:val="FootnoteReference"/>
        </w:rPr>
        <w:footnoteRef/>
      </w:r>
      <w:r>
        <w:t xml:space="preserve"> xxx</w:t>
      </w:r>
    </w:p>
  </w:footnote>
  <w:footnote w:id="92">
    <w:p w14:paraId="75F98C65" w14:textId="77777777" w:rsidR="00127DDC" w:rsidRPr="00372D82" w:rsidRDefault="00127DDC" w:rsidP="008C4F26">
      <w:pPr>
        <w:pStyle w:val="FootnoteText"/>
      </w:pPr>
      <w:r>
        <w:rPr>
          <w:rStyle w:val="FootnoteReference"/>
        </w:rPr>
        <w:footnoteRef/>
      </w:r>
      <w:r>
        <w:t xml:space="preserve"> xxx</w:t>
      </w:r>
    </w:p>
  </w:footnote>
  <w:footnote w:id="93">
    <w:p w14:paraId="018BF24F" w14:textId="77777777" w:rsidR="00127DDC" w:rsidRPr="007A3368" w:rsidRDefault="00127DDC" w:rsidP="008C4F26">
      <w:pPr>
        <w:pStyle w:val="FootnoteText"/>
        <w:rPr>
          <w:rFonts w:asciiTheme="minorHAnsi" w:hAnsiTheme="minorHAnsi"/>
          <w:sz w:val="16"/>
          <w:szCs w:val="16"/>
        </w:rPr>
      </w:pPr>
      <w:r w:rsidRPr="007A3368">
        <w:rPr>
          <w:rStyle w:val="FootnoteReference"/>
          <w:rFonts w:asciiTheme="minorHAnsi" w:hAnsiTheme="minorHAnsi"/>
          <w:sz w:val="16"/>
          <w:szCs w:val="16"/>
        </w:rPr>
        <w:footnoteRef/>
      </w:r>
      <w:r w:rsidRPr="007A3368">
        <w:rPr>
          <w:rFonts w:asciiTheme="minorHAnsi" w:hAnsiTheme="minorHAnsi"/>
          <w:sz w:val="16"/>
          <w:szCs w:val="16"/>
        </w:rPr>
        <w:t>MARD (2018).Izvještaj o radu i stanju u upravnim oblastima za 2018. godinu</w:t>
      </w:r>
    </w:p>
  </w:footnote>
  <w:footnote w:id="94">
    <w:p w14:paraId="70DB7EAA" w14:textId="0B857A4D" w:rsidR="00127DDC" w:rsidRPr="007A3368" w:rsidRDefault="00127DDC" w:rsidP="008C4F26">
      <w:pPr>
        <w:pStyle w:val="FootnoteText"/>
        <w:rPr>
          <w:rFonts w:asciiTheme="minorHAnsi" w:hAnsiTheme="minorHAnsi"/>
          <w:sz w:val="16"/>
          <w:szCs w:val="16"/>
        </w:rPr>
      </w:pPr>
      <w:r w:rsidRPr="007A3368">
        <w:rPr>
          <w:rStyle w:val="FootnoteReference"/>
          <w:rFonts w:asciiTheme="minorHAnsi" w:hAnsiTheme="minorHAnsi"/>
          <w:sz w:val="16"/>
          <w:szCs w:val="16"/>
        </w:rPr>
        <w:footnoteRef/>
      </w:r>
      <w:r w:rsidRPr="007A3368">
        <w:rPr>
          <w:rFonts w:asciiTheme="minorHAnsi" w:hAnsiTheme="minorHAnsi"/>
          <w:sz w:val="16"/>
          <w:szCs w:val="16"/>
        </w:rPr>
        <w:t>Agro</w:t>
      </w:r>
      <w:r>
        <w:rPr>
          <w:rFonts w:asciiTheme="minorHAnsi" w:hAnsiTheme="minorHAnsi"/>
          <w:sz w:val="16"/>
          <w:szCs w:val="16"/>
        </w:rPr>
        <w:t>budget</w:t>
      </w:r>
    </w:p>
  </w:footnote>
  <w:footnote w:id="95">
    <w:p w14:paraId="2F9721EB" w14:textId="77777777" w:rsidR="00127DDC" w:rsidRPr="002104D7" w:rsidRDefault="00127DDC" w:rsidP="008C4F26">
      <w:pPr>
        <w:pStyle w:val="FootnoteText"/>
      </w:pPr>
      <w:r w:rsidRPr="007A3368">
        <w:rPr>
          <w:rStyle w:val="FootnoteReference"/>
          <w:rFonts w:asciiTheme="minorHAnsi" w:hAnsiTheme="minorHAnsi"/>
          <w:color w:val="000000" w:themeColor="text1" w:themeShade="BF"/>
          <w:sz w:val="16"/>
          <w:szCs w:val="16"/>
        </w:rPr>
        <w:footnoteRef/>
      </w:r>
      <w:r w:rsidRPr="007A3368">
        <w:rPr>
          <w:rFonts w:asciiTheme="minorHAnsi" w:hAnsiTheme="minorHAnsi"/>
          <w:sz w:val="16"/>
          <w:szCs w:val="16"/>
        </w:rPr>
        <w:t xml:space="preserve"> FAO/EBRD Project “Montenegro: Promoting Sustainable Agrifood Value Chains through Linkages with Tourism”(2018)Linking agriculture and tourism in Montenegro: Gap Analysis, 2018.</w:t>
      </w:r>
    </w:p>
  </w:footnote>
  <w:footnote w:id="96">
    <w:p w14:paraId="53FCF170" w14:textId="77777777" w:rsidR="00127DDC" w:rsidRPr="007A3368" w:rsidRDefault="00127DDC" w:rsidP="008C4F26">
      <w:pPr>
        <w:pStyle w:val="FootnoteText"/>
        <w:rPr>
          <w:rFonts w:asciiTheme="minorHAnsi" w:hAnsiTheme="minorHAnsi"/>
          <w:sz w:val="16"/>
          <w:szCs w:val="16"/>
        </w:rPr>
      </w:pPr>
      <w:r w:rsidRPr="007A3368">
        <w:rPr>
          <w:rStyle w:val="FootnoteReference"/>
          <w:rFonts w:asciiTheme="minorHAnsi" w:hAnsiTheme="minorHAnsi"/>
          <w:sz w:val="16"/>
          <w:szCs w:val="16"/>
        </w:rPr>
        <w:footnoteRef/>
      </w:r>
      <w:r w:rsidRPr="007A3368">
        <w:rPr>
          <w:rFonts w:asciiTheme="minorHAnsi" w:hAnsiTheme="minorHAnsi"/>
          <w:sz w:val="16"/>
          <w:szCs w:val="16"/>
        </w:rPr>
        <w:t>Slow food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7E0D45" w14:textId="77777777" w:rsidR="00127DDC" w:rsidRPr="009D53B6" w:rsidRDefault="00127DDC" w:rsidP="009D53B6">
    <w:pPr>
      <w:pStyle w:val="Head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2A2E7BD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2"/>
    <w:multiLevelType w:val="multilevel"/>
    <w:tmpl w:val="F3247268"/>
    <w:lvl w:ilvl="0">
      <w:start w:val="5"/>
      <w:numFmt w:val="bullet"/>
      <w:pStyle w:val="listbulletsSESP"/>
      <w:lvlText w:val="•"/>
      <w:lvlJc w:val="left"/>
      <w:pPr>
        <w:tabs>
          <w:tab w:val="num" w:pos="360"/>
        </w:tabs>
        <w:ind w:left="360" w:firstLine="0"/>
      </w:pPr>
      <w:rPr>
        <w:rFonts w:hint="default"/>
        <w:position w:val="0"/>
      </w:rPr>
    </w:lvl>
    <w:lvl w:ilvl="1">
      <w:start w:val="1"/>
      <w:numFmt w:val="bullet"/>
      <w:suff w:val="nothing"/>
      <w:lvlText w:val="•"/>
      <w:lvlJc w:val="left"/>
      <w:pPr>
        <w:ind w:left="0" w:firstLine="720"/>
      </w:pPr>
      <w:rPr>
        <w:rFonts w:hint="default"/>
        <w:position w:val="0"/>
      </w:rPr>
    </w:lvl>
    <w:lvl w:ilvl="2">
      <w:start w:val="1"/>
      <w:numFmt w:val="bullet"/>
      <w:lvlText w:val=""/>
      <w:lvlJc w:val="left"/>
      <w:pPr>
        <w:tabs>
          <w:tab w:val="num" w:pos="1440"/>
        </w:tabs>
        <w:ind w:left="1440" w:firstLine="0"/>
      </w:pPr>
      <w:rPr>
        <w:rFonts w:hint="default"/>
        <w:position w:val="0"/>
      </w:rPr>
    </w:lvl>
    <w:lvl w:ilvl="3">
      <w:start w:val="1"/>
      <w:numFmt w:val="bullet"/>
      <w:lvlText w:val=""/>
      <w:lvlJc w:val="left"/>
      <w:pPr>
        <w:tabs>
          <w:tab w:val="num" w:pos="2160"/>
        </w:tabs>
        <w:ind w:left="2160" w:firstLine="0"/>
      </w:pPr>
      <w:rPr>
        <w:rFonts w:hint="default"/>
        <w:position w:val="0"/>
      </w:rPr>
    </w:lvl>
    <w:lvl w:ilvl="4">
      <w:start w:val="1"/>
      <w:numFmt w:val="bullet"/>
      <w:lvlText w:val=""/>
      <w:lvlJc w:val="left"/>
      <w:pPr>
        <w:tabs>
          <w:tab w:val="num" w:pos="2880"/>
        </w:tabs>
        <w:ind w:left="2880" w:firstLine="0"/>
      </w:pPr>
      <w:rPr>
        <w:rFonts w:hint="default"/>
        <w:position w:val="0"/>
      </w:rPr>
    </w:lvl>
    <w:lvl w:ilvl="5">
      <w:start w:val="1"/>
      <w:numFmt w:val="bullet"/>
      <w:lvlText w:val=""/>
      <w:lvlJc w:val="left"/>
      <w:pPr>
        <w:tabs>
          <w:tab w:val="num" w:pos="3600"/>
        </w:tabs>
        <w:ind w:left="3600" w:firstLine="0"/>
      </w:pPr>
      <w:rPr>
        <w:rFonts w:hint="default"/>
        <w:position w:val="0"/>
      </w:rPr>
    </w:lvl>
    <w:lvl w:ilvl="6">
      <w:start w:val="1"/>
      <w:numFmt w:val="bullet"/>
      <w:lvlText w:val=""/>
      <w:lvlJc w:val="left"/>
      <w:pPr>
        <w:tabs>
          <w:tab w:val="num" w:pos="4320"/>
        </w:tabs>
        <w:ind w:left="4320" w:firstLine="0"/>
      </w:pPr>
      <w:rPr>
        <w:rFonts w:hint="default"/>
        <w:position w:val="0"/>
      </w:rPr>
    </w:lvl>
    <w:lvl w:ilvl="7">
      <w:start w:val="1"/>
      <w:numFmt w:val="bullet"/>
      <w:lvlText w:val=""/>
      <w:lvlJc w:val="left"/>
      <w:pPr>
        <w:tabs>
          <w:tab w:val="num" w:pos="5040"/>
        </w:tabs>
        <w:ind w:left="5040" w:firstLine="0"/>
      </w:pPr>
      <w:rPr>
        <w:rFonts w:hint="default"/>
        <w:position w:val="0"/>
      </w:rPr>
    </w:lvl>
    <w:lvl w:ilvl="8">
      <w:start w:val="1"/>
      <w:numFmt w:val="bullet"/>
      <w:lvlText w:val=""/>
      <w:lvlJc w:val="left"/>
      <w:pPr>
        <w:tabs>
          <w:tab w:val="num" w:pos="5760"/>
        </w:tabs>
        <w:ind w:left="5760" w:firstLine="0"/>
      </w:pPr>
      <w:rPr>
        <w:rFonts w:hint="default"/>
        <w:position w:val="0"/>
      </w:rPr>
    </w:lvl>
  </w:abstractNum>
  <w:abstractNum w:abstractNumId="2" w15:restartNumberingAfterBreak="0">
    <w:nsid w:val="00000003"/>
    <w:multiLevelType w:val="multilevel"/>
    <w:tmpl w:val="00000003"/>
    <w:name w:val="WW8Num2"/>
    <w:lvl w:ilvl="0">
      <w:start w:val="1"/>
      <w:numFmt w:val="bullet"/>
      <w:lvlText w:val=""/>
      <w:lvlJc w:val="left"/>
      <w:pPr>
        <w:tabs>
          <w:tab w:val="num" w:pos="1129"/>
        </w:tabs>
        <w:ind w:left="1129" w:hanging="360"/>
      </w:pPr>
      <w:rPr>
        <w:rFonts w:ascii="Symbol" w:hAnsi="Symbol" w:cs="Symbol"/>
      </w:rPr>
    </w:lvl>
    <w:lvl w:ilvl="1">
      <w:start w:val="1"/>
      <w:numFmt w:val="bullet"/>
      <w:lvlText w:val="o"/>
      <w:lvlJc w:val="left"/>
      <w:pPr>
        <w:tabs>
          <w:tab w:val="num" w:pos="1849"/>
        </w:tabs>
        <w:ind w:left="1849" w:hanging="360"/>
      </w:pPr>
      <w:rPr>
        <w:rFonts w:ascii="Courier New" w:hAnsi="Courier New" w:cs="Courier New"/>
      </w:rPr>
    </w:lvl>
    <w:lvl w:ilvl="2">
      <w:start w:val="1"/>
      <w:numFmt w:val="bullet"/>
      <w:lvlText w:val=""/>
      <w:lvlJc w:val="left"/>
      <w:pPr>
        <w:tabs>
          <w:tab w:val="num" w:pos="2569"/>
        </w:tabs>
        <w:ind w:left="2569" w:hanging="360"/>
      </w:pPr>
      <w:rPr>
        <w:rFonts w:ascii="Wingdings" w:hAnsi="Wingdings" w:cs="Wingdings"/>
      </w:rPr>
    </w:lvl>
    <w:lvl w:ilvl="3">
      <w:start w:val="1"/>
      <w:numFmt w:val="bullet"/>
      <w:lvlText w:val=""/>
      <w:lvlJc w:val="left"/>
      <w:pPr>
        <w:tabs>
          <w:tab w:val="num" w:pos="3289"/>
        </w:tabs>
        <w:ind w:left="3289" w:hanging="360"/>
      </w:pPr>
      <w:rPr>
        <w:rFonts w:ascii="Symbol" w:hAnsi="Symbol" w:cs="Symbol"/>
      </w:rPr>
    </w:lvl>
    <w:lvl w:ilvl="4">
      <w:start w:val="1"/>
      <w:numFmt w:val="bullet"/>
      <w:lvlText w:val="o"/>
      <w:lvlJc w:val="left"/>
      <w:pPr>
        <w:tabs>
          <w:tab w:val="num" w:pos="4009"/>
        </w:tabs>
        <w:ind w:left="4009" w:hanging="360"/>
      </w:pPr>
      <w:rPr>
        <w:rFonts w:ascii="Courier New" w:hAnsi="Courier New" w:cs="Courier New"/>
      </w:rPr>
    </w:lvl>
    <w:lvl w:ilvl="5">
      <w:start w:val="1"/>
      <w:numFmt w:val="bullet"/>
      <w:lvlText w:val=""/>
      <w:lvlJc w:val="left"/>
      <w:pPr>
        <w:tabs>
          <w:tab w:val="num" w:pos="4729"/>
        </w:tabs>
        <w:ind w:left="4729" w:hanging="360"/>
      </w:pPr>
      <w:rPr>
        <w:rFonts w:ascii="Wingdings" w:hAnsi="Wingdings" w:cs="Wingdings"/>
      </w:rPr>
    </w:lvl>
    <w:lvl w:ilvl="6">
      <w:start w:val="1"/>
      <w:numFmt w:val="bullet"/>
      <w:lvlText w:val=""/>
      <w:lvlJc w:val="left"/>
      <w:pPr>
        <w:tabs>
          <w:tab w:val="num" w:pos="5449"/>
        </w:tabs>
        <w:ind w:left="5449" w:hanging="360"/>
      </w:pPr>
      <w:rPr>
        <w:rFonts w:ascii="Symbol" w:hAnsi="Symbol" w:cs="Symbol"/>
      </w:rPr>
    </w:lvl>
    <w:lvl w:ilvl="7">
      <w:start w:val="1"/>
      <w:numFmt w:val="bullet"/>
      <w:lvlText w:val="o"/>
      <w:lvlJc w:val="left"/>
      <w:pPr>
        <w:tabs>
          <w:tab w:val="num" w:pos="6169"/>
        </w:tabs>
        <w:ind w:left="6169" w:hanging="360"/>
      </w:pPr>
      <w:rPr>
        <w:rFonts w:ascii="Courier New" w:hAnsi="Courier New" w:cs="Courier New"/>
      </w:rPr>
    </w:lvl>
    <w:lvl w:ilvl="8">
      <w:start w:val="1"/>
      <w:numFmt w:val="bullet"/>
      <w:lvlText w:val=""/>
      <w:lvlJc w:val="left"/>
      <w:pPr>
        <w:tabs>
          <w:tab w:val="num" w:pos="6889"/>
        </w:tabs>
        <w:ind w:left="6889" w:hanging="360"/>
      </w:pPr>
      <w:rPr>
        <w:rFonts w:ascii="Wingdings" w:hAnsi="Wingdings" w:cs="Wingdings"/>
      </w:rPr>
    </w:lvl>
  </w:abstractNum>
  <w:abstractNum w:abstractNumId="3" w15:restartNumberingAfterBreak="0">
    <w:nsid w:val="0357474B"/>
    <w:multiLevelType w:val="hybridMultilevel"/>
    <w:tmpl w:val="B98CBF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3904E51"/>
    <w:multiLevelType w:val="hybridMultilevel"/>
    <w:tmpl w:val="7FCC1DAC"/>
    <w:lvl w:ilvl="0" w:tplc="ABFC65C4">
      <w:start w:val="4"/>
      <w:numFmt w:val="bullet"/>
      <w:lvlText w:val="-"/>
      <w:lvlJc w:val="left"/>
      <w:pPr>
        <w:ind w:left="-360" w:hanging="360"/>
      </w:pPr>
      <w:rPr>
        <w:rFonts w:ascii="Calibri Light" w:eastAsia="Times New Roman" w:hAnsi="Calibri Light" w:cs="Calibri Light"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5" w15:restartNumberingAfterBreak="0">
    <w:nsid w:val="05BF2D44"/>
    <w:multiLevelType w:val="hybridMultilevel"/>
    <w:tmpl w:val="C53C1C62"/>
    <w:lvl w:ilvl="0" w:tplc="203882D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5D45002"/>
    <w:multiLevelType w:val="hybridMultilevel"/>
    <w:tmpl w:val="2232509A"/>
    <w:lvl w:ilvl="0" w:tplc="762AAD52">
      <w:start w:val="12"/>
      <w:numFmt w:val="bullet"/>
      <w:lvlText w:val="-"/>
      <w:lvlJc w:val="left"/>
      <w:pPr>
        <w:ind w:left="720" w:hanging="360"/>
      </w:pPr>
      <w:rPr>
        <w:rFonts w:ascii="Cambria" w:eastAsia="Times New Roman" w:hAnsi="Cambria" w:cs="Cambria"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6337615"/>
    <w:multiLevelType w:val="hybridMultilevel"/>
    <w:tmpl w:val="21F636C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7200172"/>
    <w:multiLevelType w:val="hybridMultilevel"/>
    <w:tmpl w:val="DFF2F7B4"/>
    <w:lvl w:ilvl="0" w:tplc="79A04AAC">
      <w:start w:val="1"/>
      <w:numFmt w:val="decimal"/>
      <w:pStyle w:val="Paragraph"/>
      <w:lvlText w:val="%1."/>
      <w:lvlJc w:val="left"/>
      <w:pPr>
        <w:ind w:left="360" w:hanging="360"/>
      </w:pPr>
      <w:rPr>
        <w:rFonts w:ascii="Times New Roman" w:hAnsi="Times New Roman" w:hint="default"/>
        <w:b w:val="0"/>
        <w:i w:val="0"/>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77838BB"/>
    <w:multiLevelType w:val="hybridMultilevel"/>
    <w:tmpl w:val="9CD8BA2A"/>
    <w:lvl w:ilvl="0" w:tplc="9542B1F2">
      <w:start w:val="1"/>
      <w:numFmt w:val="decimal"/>
      <w:lvlText w:val="%1."/>
      <w:lvlJc w:val="left"/>
      <w:pPr>
        <w:ind w:left="72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78529E6"/>
    <w:multiLevelType w:val="hybridMultilevel"/>
    <w:tmpl w:val="6C1CEFC2"/>
    <w:lvl w:ilvl="0" w:tplc="5AF264F0">
      <w:start w:val="1"/>
      <w:numFmt w:val="upperRoman"/>
      <w:lvlText w:val="%1)"/>
      <w:lvlJc w:val="left"/>
      <w:pPr>
        <w:ind w:left="720" w:hanging="720"/>
      </w:pPr>
      <w:rPr>
        <w:rFonts w:hint="default"/>
      </w:rPr>
    </w:lvl>
    <w:lvl w:ilvl="1" w:tplc="9F388DBC">
      <w:start w:val="1"/>
      <w:numFmt w:val="lowerRoman"/>
      <w:lvlText w:val="%2)"/>
      <w:lvlJc w:val="left"/>
      <w:pPr>
        <w:ind w:left="1440" w:hanging="720"/>
      </w:pPr>
      <w:rPr>
        <w:rFonts w:hint="default"/>
      </w:rPr>
    </w:lvl>
    <w:lvl w:ilvl="2" w:tplc="2C1A001B" w:tentative="1">
      <w:start w:val="1"/>
      <w:numFmt w:val="lowerRoman"/>
      <w:lvlText w:val="%3."/>
      <w:lvlJc w:val="right"/>
      <w:pPr>
        <w:ind w:left="1800" w:hanging="180"/>
      </w:pPr>
    </w:lvl>
    <w:lvl w:ilvl="3" w:tplc="2C1A000F" w:tentative="1">
      <w:start w:val="1"/>
      <w:numFmt w:val="decimal"/>
      <w:lvlText w:val="%4."/>
      <w:lvlJc w:val="left"/>
      <w:pPr>
        <w:ind w:left="2520" w:hanging="360"/>
      </w:pPr>
    </w:lvl>
    <w:lvl w:ilvl="4" w:tplc="2C1A0019" w:tentative="1">
      <w:start w:val="1"/>
      <w:numFmt w:val="lowerLetter"/>
      <w:lvlText w:val="%5."/>
      <w:lvlJc w:val="left"/>
      <w:pPr>
        <w:ind w:left="3240" w:hanging="360"/>
      </w:pPr>
    </w:lvl>
    <w:lvl w:ilvl="5" w:tplc="2C1A001B" w:tentative="1">
      <w:start w:val="1"/>
      <w:numFmt w:val="lowerRoman"/>
      <w:lvlText w:val="%6."/>
      <w:lvlJc w:val="right"/>
      <w:pPr>
        <w:ind w:left="3960" w:hanging="180"/>
      </w:pPr>
    </w:lvl>
    <w:lvl w:ilvl="6" w:tplc="2C1A000F" w:tentative="1">
      <w:start w:val="1"/>
      <w:numFmt w:val="decimal"/>
      <w:lvlText w:val="%7."/>
      <w:lvlJc w:val="left"/>
      <w:pPr>
        <w:ind w:left="4680" w:hanging="360"/>
      </w:pPr>
    </w:lvl>
    <w:lvl w:ilvl="7" w:tplc="2C1A0019" w:tentative="1">
      <w:start w:val="1"/>
      <w:numFmt w:val="lowerLetter"/>
      <w:lvlText w:val="%8."/>
      <w:lvlJc w:val="left"/>
      <w:pPr>
        <w:ind w:left="5400" w:hanging="360"/>
      </w:pPr>
    </w:lvl>
    <w:lvl w:ilvl="8" w:tplc="2C1A001B" w:tentative="1">
      <w:start w:val="1"/>
      <w:numFmt w:val="lowerRoman"/>
      <w:lvlText w:val="%9."/>
      <w:lvlJc w:val="right"/>
      <w:pPr>
        <w:ind w:left="6120" w:hanging="180"/>
      </w:pPr>
    </w:lvl>
  </w:abstractNum>
  <w:abstractNum w:abstractNumId="11" w15:restartNumberingAfterBreak="0">
    <w:nsid w:val="0ABD2D63"/>
    <w:multiLevelType w:val="hybridMultilevel"/>
    <w:tmpl w:val="C7B062A2"/>
    <w:lvl w:ilvl="0" w:tplc="762AAD52">
      <w:start w:val="12"/>
      <w:numFmt w:val="bullet"/>
      <w:lvlText w:val="-"/>
      <w:lvlJc w:val="left"/>
      <w:pPr>
        <w:ind w:left="720" w:hanging="360"/>
      </w:pPr>
      <w:rPr>
        <w:rFonts w:ascii="Cambria" w:eastAsia="Times New Roman" w:hAnsi="Cambria" w:cs="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AC43641"/>
    <w:multiLevelType w:val="hybridMultilevel"/>
    <w:tmpl w:val="19E0F07C"/>
    <w:lvl w:ilvl="0" w:tplc="04090007">
      <w:start w:val="1"/>
      <w:numFmt w:val="bullet"/>
      <w:lvlText w:val=""/>
      <w:lvlJc w:val="left"/>
      <w:pPr>
        <w:tabs>
          <w:tab w:val="num" w:pos="720"/>
        </w:tabs>
        <w:ind w:left="720" w:hanging="360"/>
      </w:pPr>
      <w:rPr>
        <w:rFonts w:ascii="Symbol" w:hAnsi="Symbol" w:hint="default"/>
        <w:sz w:val="20"/>
        <w:szCs w:val="20"/>
      </w:rPr>
    </w:lvl>
    <w:lvl w:ilvl="1" w:tplc="04090003" w:tentative="1">
      <w:start w:val="1"/>
      <w:numFmt w:val="bullet"/>
      <w:lvlText w:val="o"/>
      <w:lvlJc w:val="left"/>
      <w:pPr>
        <w:tabs>
          <w:tab w:val="num" w:pos="1800"/>
        </w:tabs>
        <w:ind w:left="1800" w:hanging="360"/>
      </w:pPr>
      <w:rPr>
        <w:rFonts w:ascii="Courier New" w:hAnsi="Courier New" w:cs="Calibri"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alibri"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alibri"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0BE76153"/>
    <w:multiLevelType w:val="hybridMultilevel"/>
    <w:tmpl w:val="394C84C6"/>
    <w:lvl w:ilvl="0" w:tplc="38D8300C">
      <w:start w:val="1"/>
      <w:numFmt w:val="lowerLetter"/>
      <w:pStyle w:val="listlettered"/>
      <w:lvlText w:val="%1."/>
      <w:lvlJc w:val="left"/>
      <w:pPr>
        <w:tabs>
          <w:tab w:val="num" w:pos="1080"/>
        </w:tabs>
        <w:ind w:left="1080" w:hanging="360"/>
      </w:pPr>
      <w:rPr>
        <w:rFont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DF1036E"/>
    <w:multiLevelType w:val="hybridMultilevel"/>
    <w:tmpl w:val="623AC5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E4774C8"/>
    <w:multiLevelType w:val="hybridMultilevel"/>
    <w:tmpl w:val="BF943F72"/>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0F73731E"/>
    <w:multiLevelType w:val="hybridMultilevel"/>
    <w:tmpl w:val="F30C9874"/>
    <w:lvl w:ilvl="0" w:tplc="13482F74">
      <w:start w:val="1"/>
      <w:numFmt w:val="decimal"/>
      <w:pStyle w:val="MainParanoChapter"/>
      <w:lvlText w:val="%1."/>
      <w:lvlJc w:val="left"/>
      <w:pPr>
        <w:ind w:left="630" w:hanging="360"/>
      </w:pPr>
      <w:rPr>
        <w:rFonts w:ascii="Times New Roman" w:hAnsi="Times New Roman" w:cs="Times New Roman" w:hint="default"/>
        <w:b w:val="0"/>
        <w:i w:val="0"/>
        <w:color w:val="auto"/>
        <w:sz w:val="24"/>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15:restartNumberingAfterBreak="0">
    <w:nsid w:val="12811B53"/>
    <w:multiLevelType w:val="multilevel"/>
    <w:tmpl w:val="9508DC0A"/>
    <w:lvl w:ilvl="0">
      <w:start w:val="1"/>
      <w:numFmt w:val="decimal"/>
      <w:lvlText w:val="%1."/>
      <w:lvlJc w:val="left"/>
      <w:pPr>
        <w:ind w:left="720" w:hanging="360"/>
      </w:pPr>
      <w:rPr>
        <w:rFonts w:hint="default"/>
      </w:rPr>
    </w:lvl>
    <w:lvl w:ilvl="1">
      <w:start w:val="1"/>
      <w:numFmt w:val="decimal"/>
      <w:isLgl/>
      <w:lvlText w:val="%1.%2"/>
      <w:lvlJc w:val="left"/>
      <w:pPr>
        <w:ind w:left="820" w:hanging="460"/>
      </w:pPr>
      <w:rPr>
        <w:rFonts w:hint="default"/>
      </w:rPr>
    </w:lvl>
    <w:lvl w:ilvl="2">
      <w:start w:val="1"/>
      <w:numFmt w:val="decimal"/>
      <w:isLgl/>
      <w:lvlText w:val="%1.%2.%3"/>
      <w:lvlJc w:val="left"/>
      <w:pPr>
        <w:ind w:left="820" w:hanging="4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8" w15:restartNumberingAfterBreak="0">
    <w:nsid w:val="12EF7BC1"/>
    <w:multiLevelType w:val="hybridMultilevel"/>
    <w:tmpl w:val="03843EC6"/>
    <w:lvl w:ilvl="0" w:tplc="D3308D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61277A5"/>
    <w:multiLevelType w:val="hybridMultilevel"/>
    <w:tmpl w:val="A976AB9A"/>
    <w:lvl w:ilvl="0" w:tplc="9DB00120">
      <w:start w:val="1"/>
      <w:numFmt w:val="upperRoman"/>
      <w:pStyle w:val="Heading1"/>
      <w:lvlText w:val="%1."/>
      <w:lvlJc w:val="left"/>
      <w:pPr>
        <w:tabs>
          <w:tab w:val="num" w:pos="720"/>
        </w:tabs>
        <w:ind w:left="720" w:hanging="720"/>
      </w:pPr>
      <w:rPr>
        <w:rFonts w:cs="Times New Roman" w:hint="default"/>
      </w:rPr>
    </w:lvl>
    <w:lvl w:ilvl="1" w:tplc="944EE276">
      <w:start w:val="1"/>
      <w:numFmt w:val="bullet"/>
      <w:lvlText w:val=""/>
      <w:lvlJc w:val="left"/>
      <w:pPr>
        <w:tabs>
          <w:tab w:val="num" w:pos="1440"/>
        </w:tabs>
        <w:ind w:left="1440" w:hanging="360"/>
      </w:pPr>
      <w:rPr>
        <w:rFonts w:ascii="Symbol" w:hAnsi="Symbol" w:hint="default"/>
        <w:sz w:val="18"/>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1B751BF3"/>
    <w:multiLevelType w:val="hybridMultilevel"/>
    <w:tmpl w:val="B0320096"/>
    <w:lvl w:ilvl="0" w:tplc="DFF8ECB0">
      <w:start w:val="1"/>
      <w:numFmt w:val="bullet"/>
      <w:lvlText w:val="-"/>
      <w:lvlJc w:val="left"/>
      <w:pPr>
        <w:ind w:left="720" w:hanging="360"/>
      </w:pPr>
      <w:rPr>
        <w:rFonts w:ascii="Calibri" w:eastAsia="SimSu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BE028B0"/>
    <w:multiLevelType w:val="hybridMultilevel"/>
    <w:tmpl w:val="BBB83CA2"/>
    <w:lvl w:ilvl="0" w:tplc="9A5C3F9C">
      <w:start w:val="1"/>
      <w:numFmt w:val="decimal"/>
      <w:lvlText w:val="%1."/>
      <w:lvlJc w:val="left"/>
      <w:pPr>
        <w:ind w:left="644" w:hanging="360"/>
      </w:pPr>
      <w:rPr>
        <w:i w:val="0"/>
        <w:lang w:val="en-US"/>
      </w:rPr>
    </w:lvl>
    <w:lvl w:ilvl="1" w:tplc="04090019">
      <w:start w:val="1"/>
      <w:numFmt w:val="lowerLetter"/>
      <w:lvlText w:val="%2."/>
      <w:lvlJc w:val="left"/>
      <w:pPr>
        <w:ind w:left="1364" w:hanging="360"/>
      </w:pPr>
      <w:rPr>
        <w:rFonts w:hint="default"/>
      </w:rPr>
    </w:lvl>
    <w:lvl w:ilvl="2" w:tplc="0809001B">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2" w15:restartNumberingAfterBreak="0">
    <w:nsid w:val="1C5A5E6A"/>
    <w:multiLevelType w:val="hybridMultilevel"/>
    <w:tmpl w:val="F39EB1B0"/>
    <w:lvl w:ilvl="0" w:tplc="DE2036DC">
      <w:start w:val="36"/>
      <w:numFmt w:val="decimal"/>
      <w:lvlText w:val="%1."/>
      <w:lvlJc w:val="left"/>
      <w:pPr>
        <w:ind w:left="644" w:hanging="360"/>
      </w:pPr>
      <w:rPr>
        <w:rFonts w:hint="default"/>
      </w:rPr>
    </w:lvl>
    <w:lvl w:ilvl="1" w:tplc="04090019">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3" w15:restartNumberingAfterBreak="0">
    <w:nsid w:val="1F565957"/>
    <w:multiLevelType w:val="multilevel"/>
    <w:tmpl w:val="40381FEC"/>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200D3C84"/>
    <w:multiLevelType w:val="hybridMultilevel"/>
    <w:tmpl w:val="25EAEEF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8B31709"/>
    <w:multiLevelType w:val="hybridMultilevel"/>
    <w:tmpl w:val="5BD0CB04"/>
    <w:lvl w:ilvl="0" w:tplc="0826EC08">
      <w:start w:val="1"/>
      <w:numFmt w:val="decimal"/>
      <w:lvlText w:val="%1."/>
      <w:lvlJc w:val="left"/>
      <w:pPr>
        <w:ind w:left="54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9F14106"/>
    <w:multiLevelType w:val="hybridMultilevel"/>
    <w:tmpl w:val="655E2300"/>
    <w:lvl w:ilvl="0" w:tplc="FECA43A0">
      <w:start w:val="1"/>
      <w:numFmt w:val="bullet"/>
      <w:pStyle w:val="Normal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B3845AF"/>
    <w:multiLevelType w:val="hybridMultilevel"/>
    <w:tmpl w:val="1E70F2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06E3801"/>
    <w:multiLevelType w:val="hybridMultilevel"/>
    <w:tmpl w:val="80A26A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30933EFB"/>
    <w:multiLevelType w:val="hybridMultilevel"/>
    <w:tmpl w:val="37341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1B10CB4"/>
    <w:multiLevelType w:val="multilevel"/>
    <w:tmpl w:val="22B867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31F116CC"/>
    <w:multiLevelType w:val="hybridMultilevel"/>
    <w:tmpl w:val="8214C9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526278D"/>
    <w:multiLevelType w:val="hybridMultilevel"/>
    <w:tmpl w:val="0268C7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7C40880"/>
    <w:multiLevelType w:val="hybridMultilevel"/>
    <w:tmpl w:val="85BE2E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38315DB7"/>
    <w:multiLevelType w:val="hybridMultilevel"/>
    <w:tmpl w:val="2ECEF2D0"/>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0D870DD"/>
    <w:multiLevelType w:val="hybridMultilevel"/>
    <w:tmpl w:val="413882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1AF0F33"/>
    <w:multiLevelType w:val="hybridMultilevel"/>
    <w:tmpl w:val="8B388C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2E87E9B"/>
    <w:multiLevelType w:val="hybridMultilevel"/>
    <w:tmpl w:val="59463AA0"/>
    <w:lvl w:ilvl="0" w:tplc="906AD4DE">
      <w:start w:val="1"/>
      <w:numFmt w:val="bullet"/>
      <w:pStyle w:val="bodybulle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3F96619"/>
    <w:multiLevelType w:val="multilevel"/>
    <w:tmpl w:val="150CB858"/>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9" w15:restartNumberingAfterBreak="0">
    <w:nsid w:val="44F5376B"/>
    <w:multiLevelType w:val="multilevel"/>
    <w:tmpl w:val="257C5D3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65F6433"/>
    <w:multiLevelType w:val="hybridMultilevel"/>
    <w:tmpl w:val="2E524F4E"/>
    <w:lvl w:ilvl="0" w:tplc="C824BF0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8B33827"/>
    <w:multiLevelType w:val="hybridMultilevel"/>
    <w:tmpl w:val="239A371A"/>
    <w:lvl w:ilvl="0" w:tplc="6B981956">
      <w:start w:val="1"/>
      <w:numFmt w:val="decimal"/>
      <w:pStyle w:val="SESPbodynumbered"/>
      <w:lvlText w:val="%1."/>
      <w:lvlJc w:val="left"/>
      <w:pPr>
        <w:ind w:left="720" w:hanging="360"/>
      </w:p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AE5EC702">
      <w:numFmt w:val="bullet"/>
      <w:lvlText w:val="-"/>
      <w:lvlJc w:val="left"/>
      <w:pPr>
        <w:ind w:left="2880" w:hanging="360"/>
      </w:pPr>
      <w:rPr>
        <w:rFonts w:ascii="Arial" w:eastAsia="Times New Roman" w:hAnsi="Arial" w:cs="Times New Roman"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9E47811"/>
    <w:multiLevelType w:val="hybridMultilevel"/>
    <w:tmpl w:val="B948A200"/>
    <w:lvl w:ilvl="0" w:tplc="24C640F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9F161B1"/>
    <w:multiLevelType w:val="multilevel"/>
    <w:tmpl w:val="DB886FB4"/>
    <w:lvl w:ilvl="0">
      <w:start w:val="1"/>
      <w:numFmt w:val="decimal"/>
      <w:pStyle w:val="outlineSEQSs"/>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4C814494"/>
    <w:multiLevelType w:val="hybridMultilevel"/>
    <w:tmpl w:val="328811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4E392717"/>
    <w:multiLevelType w:val="hybridMultilevel"/>
    <w:tmpl w:val="DF681AFE"/>
    <w:lvl w:ilvl="0" w:tplc="DFC29E7C">
      <w:start w:val="1"/>
      <w:numFmt w:val="bullet"/>
      <w:pStyle w:val="Listbulleted"/>
      <w:lvlText w:val=""/>
      <w:lvlJc w:val="left"/>
      <w:pPr>
        <w:ind w:left="720" w:hanging="360"/>
      </w:pPr>
      <w:rPr>
        <w:rFonts w:ascii="Symbol" w:hAnsi="Symbol" w:hint="default"/>
      </w:rPr>
    </w:lvl>
    <w:lvl w:ilvl="1" w:tplc="04090003">
      <w:start w:val="1"/>
      <w:numFmt w:val="lowerLetter"/>
      <w:lvlText w:val="%2."/>
      <w:lvlJc w:val="left"/>
      <w:pPr>
        <w:ind w:left="1440" w:hanging="360"/>
      </w:pPr>
    </w:lvl>
    <w:lvl w:ilvl="2" w:tplc="04090005">
      <w:start w:val="1"/>
      <w:numFmt w:val="lowerRoman"/>
      <w:lvlText w:val="%3."/>
      <w:lvlJc w:val="right"/>
      <w:pPr>
        <w:ind w:left="2160" w:hanging="180"/>
      </w:pPr>
    </w:lvl>
    <w:lvl w:ilvl="3" w:tplc="04090001">
      <w:start w:val="1"/>
      <w:numFmt w:val="decimal"/>
      <w:lvlText w:val="%4."/>
      <w:lvlJc w:val="left"/>
      <w:pPr>
        <w:ind w:left="2880" w:hanging="360"/>
      </w:pPr>
    </w:lvl>
    <w:lvl w:ilvl="4" w:tplc="04090003">
      <w:start w:val="1"/>
      <w:numFmt w:val="lowerLetter"/>
      <w:lvlText w:val="%5."/>
      <w:lvlJc w:val="left"/>
      <w:pPr>
        <w:ind w:left="3600" w:hanging="360"/>
      </w:pPr>
    </w:lvl>
    <w:lvl w:ilvl="5" w:tplc="04090005">
      <w:start w:val="1"/>
      <w:numFmt w:val="lowerRoman"/>
      <w:lvlText w:val="%6."/>
      <w:lvlJc w:val="right"/>
      <w:pPr>
        <w:ind w:left="4320" w:hanging="180"/>
      </w:pPr>
    </w:lvl>
    <w:lvl w:ilvl="6" w:tplc="0409000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46" w15:restartNumberingAfterBreak="0">
    <w:nsid w:val="4FBD411C"/>
    <w:multiLevelType w:val="hybridMultilevel"/>
    <w:tmpl w:val="DCC64DD6"/>
    <w:lvl w:ilvl="0" w:tplc="945E575A">
      <w:start w:val="1"/>
      <w:numFmt w:val="decimal"/>
      <w:pStyle w:val="NumberedParasPIF"/>
      <w:lvlText w:val="%1. "/>
      <w:lvlJc w:val="left"/>
      <w:pPr>
        <w:ind w:left="7560" w:hanging="360"/>
      </w:pPr>
      <w:rPr>
        <w:rFonts w:ascii="Times New Roman" w:hAnsi="Times New Roman" w:cs="Times New Roman"/>
        <w:b w:val="0"/>
        <w:bCs w:val="0"/>
        <w:i w:val="0"/>
        <w:iCs w:val="0"/>
        <w:caps w:val="0"/>
        <w:smallCaps w:val="0"/>
        <w:strike w:val="0"/>
        <w:dstrike w:val="0"/>
        <w:noProof w:val="0"/>
        <w:vanish w:val="0"/>
        <w:spacing w:val="0"/>
        <w:kern w:val="0"/>
        <w:position w:val="0"/>
        <w:u w:val="none"/>
        <w:effect w:val="none"/>
        <w:vertAlign w:val="baseline"/>
        <w:em w:val="none"/>
        <w:specVanish w:val="0"/>
      </w:rPr>
    </w:lvl>
    <w:lvl w:ilvl="1" w:tplc="08090003">
      <w:start w:val="1"/>
      <w:numFmt w:val="lowerLetter"/>
      <w:lvlText w:val="%2."/>
      <w:lvlJc w:val="left"/>
      <w:pPr>
        <w:ind w:left="8685" w:hanging="360"/>
      </w:pPr>
    </w:lvl>
    <w:lvl w:ilvl="2" w:tplc="08090005" w:tentative="1">
      <w:start w:val="1"/>
      <w:numFmt w:val="lowerRoman"/>
      <w:lvlText w:val="%3."/>
      <w:lvlJc w:val="right"/>
      <w:pPr>
        <w:ind w:left="9405" w:hanging="180"/>
      </w:pPr>
    </w:lvl>
    <w:lvl w:ilvl="3" w:tplc="08090001" w:tentative="1">
      <w:start w:val="1"/>
      <w:numFmt w:val="decimal"/>
      <w:lvlText w:val="%4."/>
      <w:lvlJc w:val="left"/>
      <w:pPr>
        <w:ind w:left="10125" w:hanging="360"/>
      </w:pPr>
    </w:lvl>
    <w:lvl w:ilvl="4" w:tplc="08090003" w:tentative="1">
      <w:start w:val="1"/>
      <w:numFmt w:val="lowerLetter"/>
      <w:lvlText w:val="%5."/>
      <w:lvlJc w:val="left"/>
      <w:pPr>
        <w:ind w:left="10845" w:hanging="360"/>
      </w:pPr>
    </w:lvl>
    <w:lvl w:ilvl="5" w:tplc="08090005" w:tentative="1">
      <w:start w:val="1"/>
      <w:numFmt w:val="lowerRoman"/>
      <w:lvlText w:val="%6."/>
      <w:lvlJc w:val="right"/>
      <w:pPr>
        <w:ind w:left="11565" w:hanging="180"/>
      </w:pPr>
    </w:lvl>
    <w:lvl w:ilvl="6" w:tplc="08090001" w:tentative="1">
      <w:start w:val="1"/>
      <w:numFmt w:val="decimal"/>
      <w:lvlText w:val="%7."/>
      <w:lvlJc w:val="left"/>
      <w:pPr>
        <w:ind w:left="12285" w:hanging="360"/>
      </w:pPr>
    </w:lvl>
    <w:lvl w:ilvl="7" w:tplc="08090003" w:tentative="1">
      <w:start w:val="1"/>
      <w:numFmt w:val="lowerLetter"/>
      <w:lvlText w:val="%8."/>
      <w:lvlJc w:val="left"/>
      <w:pPr>
        <w:ind w:left="13005" w:hanging="360"/>
      </w:pPr>
    </w:lvl>
    <w:lvl w:ilvl="8" w:tplc="08090005" w:tentative="1">
      <w:start w:val="1"/>
      <w:numFmt w:val="lowerRoman"/>
      <w:lvlText w:val="%9."/>
      <w:lvlJc w:val="right"/>
      <w:pPr>
        <w:ind w:left="13725" w:hanging="180"/>
      </w:pPr>
    </w:lvl>
  </w:abstractNum>
  <w:abstractNum w:abstractNumId="47" w15:restartNumberingAfterBreak="0">
    <w:nsid w:val="50D9672F"/>
    <w:multiLevelType w:val="hybridMultilevel"/>
    <w:tmpl w:val="CBCCC8FA"/>
    <w:lvl w:ilvl="0" w:tplc="9A5C3F9C">
      <w:start w:val="1"/>
      <w:numFmt w:val="decimal"/>
      <w:lvlText w:val="%1."/>
      <w:lvlJc w:val="left"/>
      <w:pPr>
        <w:ind w:left="644" w:hanging="360"/>
      </w:pPr>
      <w:rPr>
        <w:i w:val="0"/>
        <w:lang w:val="en-US"/>
      </w:rPr>
    </w:lvl>
    <w:lvl w:ilvl="1" w:tplc="04090019">
      <w:start w:val="1"/>
      <w:numFmt w:val="lowerLetter"/>
      <w:lvlText w:val="%2."/>
      <w:lvlJc w:val="left"/>
      <w:pPr>
        <w:ind w:left="1364" w:hanging="360"/>
      </w:pPr>
      <w:rPr>
        <w:rFonts w:hint="default"/>
      </w:rPr>
    </w:lvl>
    <w:lvl w:ilvl="2" w:tplc="0809001B">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48" w15:restartNumberingAfterBreak="0">
    <w:nsid w:val="521B1278"/>
    <w:multiLevelType w:val="hybridMultilevel"/>
    <w:tmpl w:val="8A24E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52902A30"/>
    <w:multiLevelType w:val="hybridMultilevel"/>
    <w:tmpl w:val="59B256F2"/>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0" w15:restartNumberingAfterBreak="0">
    <w:nsid w:val="52A67125"/>
    <w:multiLevelType w:val="hybridMultilevel"/>
    <w:tmpl w:val="A472454A"/>
    <w:lvl w:ilvl="0" w:tplc="308603A8">
      <w:numFmt w:val="bullet"/>
      <w:lvlText w:val="-"/>
      <w:lvlJc w:val="left"/>
      <w:pPr>
        <w:ind w:left="720" w:hanging="360"/>
      </w:pPr>
      <w:rPr>
        <w:rFonts w:ascii="Calibri Light" w:eastAsia="SimSun" w:hAnsi="Calibri Light"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533976ED"/>
    <w:multiLevelType w:val="hybridMultilevel"/>
    <w:tmpl w:val="E6C230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536359B"/>
    <w:multiLevelType w:val="hybridMultilevel"/>
    <w:tmpl w:val="86B2C1F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59AB461E"/>
    <w:multiLevelType w:val="hybridMultilevel"/>
    <w:tmpl w:val="603E8B98"/>
    <w:lvl w:ilvl="0" w:tplc="C03C6F78">
      <w:start w:val="1"/>
      <w:numFmt w:val="bullet"/>
      <w:lvlText w:val=""/>
      <w:lvlJc w:val="left"/>
      <w:pPr>
        <w:ind w:left="720" w:hanging="360"/>
      </w:pPr>
      <w:rPr>
        <w:rFonts w:ascii="Symbol" w:hAnsi="Symbol" w:hint="default"/>
      </w:rPr>
    </w:lvl>
    <w:lvl w:ilvl="1" w:tplc="C84223E4">
      <w:start w:val="1"/>
      <w:numFmt w:val="bullet"/>
      <w:lvlText w:val=""/>
      <w:lvlJc w:val="left"/>
      <w:pPr>
        <w:ind w:left="1440" w:hanging="360"/>
      </w:pPr>
      <w:rPr>
        <w:rFonts w:ascii="Symbol" w:hAnsi="Symbol" w:hint="default"/>
      </w:rPr>
    </w:lvl>
    <w:lvl w:ilvl="2" w:tplc="5B703E56">
      <w:start w:val="1"/>
      <w:numFmt w:val="bullet"/>
      <w:lvlText w:val=""/>
      <w:lvlJc w:val="left"/>
      <w:pPr>
        <w:ind w:left="2160" w:hanging="360"/>
      </w:pPr>
      <w:rPr>
        <w:rFonts w:ascii="Wingdings" w:hAnsi="Wingdings" w:hint="default"/>
      </w:rPr>
    </w:lvl>
    <w:lvl w:ilvl="3" w:tplc="DE423BCA">
      <w:start w:val="1"/>
      <w:numFmt w:val="bullet"/>
      <w:lvlText w:val=""/>
      <w:lvlJc w:val="left"/>
      <w:pPr>
        <w:ind w:left="2880" w:hanging="360"/>
      </w:pPr>
      <w:rPr>
        <w:rFonts w:ascii="Symbol" w:hAnsi="Symbol" w:hint="default"/>
      </w:rPr>
    </w:lvl>
    <w:lvl w:ilvl="4" w:tplc="25243EA4">
      <w:start w:val="1"/>
      <w:numFmt w:val="bullet"/>
      <w:lvlText w:val="o"/>
      <w:lvlJc w:val="left"/>
      <w:pPr>
        <w:ind w:left="3600" w:hanging="360"/>
      </w:pPr>
      <w:rPr>
        <w:rFonts w:ascii="Courier New" w:hAnsi="Courier New" w:cs="Times New Roman" w:hint="default"/>
      </w:rPr>
    </w:lvl>
    <w:lvl w:ilvl="5" w:tplc="85C08B94">
      <w:start w:val="1"/>
      <w:numFmt w:val="bullet"/>
      <w:lvlText w:val=""/>
      <w:lvlJc w:val="left"/>
      <w:pPr>
        <w:ind w:left="4320" w:hanging="360"/>
      </w:pPr>
      <w:rPr>
        <w:rFonts w:ascii="Wingdings" w:hAnsi="Wingdings" w:hint="default"/>
      </w:rPr>
    </w:lvl>
    <w:lvl w:ilvl="6" w:tplc="49860294">
      <w:start w:val="1"/>
      <w:numFmt w:val="bullet"/>
      <w:lvlText w:val=""/>
      <w:lvlJc w:val="left"/>
      <w:pPr>
        <w:ind w:left="5040" w:hanging="360"/>
      </w:pPr>
      <w:rPr>
        <w:rFonts w:ascii="Symbol" w:hAnsi="Symbol" w:hint="default"/>
      </w:rPr>
    </w:lvl>
    <w:lvl w:ilvl="7" w:tplc="3BEAE73A">
      <w:start w:val="1"/>
      <w:numFmt w:val="bullet"/>
      <w:lvlText w:val="o"/>
      <w:lvlJc w:val="left"/>
      <w:pPr>
        <w:ind w:left="5760" w:hanging="360"/>
      </w:pPr>
      <w:rPr>
        <w:rFonts w:ascii="Courier New" w:hAnsi="Courier New" w:cs="Times New Roman" w:hint="default"/>
      </w:rPr>
    </w:lvl>
    <w:lvl w:ilvl="8" w:tplc="4B60FC50">
      <w:start w:val="1"/>
      <w:numFmt w:val="bullet"/>
      <w:lvlText w:val=""/>
      <w:lvlJc w:val="left"/>
      <w:pPr>
        <w:ind w:left="6480" w:hanging="360"/>
      </w:pPr>
      <w:rPr>
        <w:rFonts w:ascii="Wingdings" w:hAnsi="Wingdings" w:hint="default"/>
      </w:rPr>
    </w:lvl>
  </w:abstractNum>
  <w:abstractNum w:abstractNumId="54" w15:restartNumberingAfterBreak="0">
    <w:nsid w:val="5A39797E"/>
    <w:multiLevelType w:val="hybridMultilevel"/>
    <w:tmpl w:val="57D62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5DF13F99"/>
    <w:multiLevelType w:val="hybridMultilevel"/>
    <w:tmpl w:val="2904EE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625361EB"/>
    <w:multiLevelType w:val="hybridMultilevel"/>
    <w:tmpl w:val="438E0114"/>
    <w:lvl w:ilvl="0" w:tplc="0D5859BC">
      <w:start w:val="1"/>
      <w:numFmt w:val="decimal"/>
      <w:lvlText w:val="%1."/>
      <w:lvlJc w:val="left"/>
      <w:pPr>
        <w:ind w:left="720" w:hanging="360"/>
      </w:pPr>
      <w:rPr>
        <w:rFonts w:asciiTheme="minorHAnsi" w:eastAsiaTheme="minorHAnsi" w:hAnsiTheme="minorHAnsi" w:cstheme="minorBidi"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62AD4506"/>
    <w:multiLevelType w:val="hybridMultilevel"/>
    <w:tmpl w:val="18607BC6"/>
    <w:lvl w:ilvl="0" w:tplc="B62424A2">
      <w:start w:val="1"/>
      <w:numFmt w:val="bullet"/>
      <w:pStyle w:val="listbullets1"/>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8" w15:restartNumberingAfterBreak="0">
    <w:nsid w:val="658C7EA8"/>
    <w:multiLevelType w:val="hybridMultilevel"/>
    <w:tmpl w:val="B7C48B60"/>
    <w:lvl w:ilvl="0" w:tplc="25160F0E">
      <w:start w:val="1"/>
      <w:numFmt w:val="bullet"/>
      <w:pStyle w:val="Bullets"/>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9" w15:restartNumberingAfterBreak="0">
    <w:nsid w:val="659E2440"/>
    <w:multiLevelType w:val="hybridMultilevel"/>
    <w:tmpl w:val="3BE6354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6AB853E1"/>
    <w:multiLevelType w:val="hybridMultilevel"/>
    <w:tmpl w:val="561CC2E4"/>
    <w:lvl w:ilvl="0" w:tplc="04090015">
      <w:start w:val="1"/>
      <w:numFmt w:val="upperLetter"/>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1" w15:restartNumberingAfterBreak="0">
    <w:nsid w:val="72236FB4"/>
    <w:multiLevelType w:val="hybridMultilevel"/>
    <w:tmpl w:val="A4CEDE84"/>
    <w:lvl w:ilvl="0" w:tplc="1D20C54A">
      <w:start w:val="14"/>
      <w:numFmt w:val="bullet"/>
      <w:lvlText w:val="-"/>
      <w:lvlJc w:val="left"/>
      <w:pPr>
        <w:ind w:left="720" w:hanging="360"/>
      </w:pPr>
      <w:rPr>
        <w:rFonts w:ascii="Times New Roman" w:eastAsiaTheme="minorHAnsi"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72E92D80"/>
    <w:multiLevelType w:val="hybridMultilevel"/>
    <w:tmpl w:val="A456DF04"/>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63" w15:restartNumberingAfterBreak="0">
    <w:nsid w:val="72EB035B"/>
    <w:multiLevelType w:val="hybridMultilevel"/>
    <w:tmpl w:val="CF16F3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4" w15:restartNumberingAfterBreak="0">
    <w:nsid w:val="73F304FB"/>
    <w:multiLevelType w:val="hybridMultilevel"/>
    <w:tmpl w:val="FE22221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7B5674EA"/>
    <w:multiLevelType w:val="hybridMultilevel"/>
    <w:tmpl w:val="2B0CD80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BDA1C71"/>
    <w:multiLevelType w:val="hybridMultilevel"/>
    <w:tmpl w:val="EB90AC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7F70462A"/>
    <w:multiLevelType w:val="hybridMultilevel"/>
    <w:tmpl w:val="1108DB52"/>
    <w:lvl w:ilvl="0" w:tplc="762AAD52">
      <w:start w:val="12"/>
      <w:numFmt w:val="bullet"/>
      <w:lvlText w:val="-"/>
      <w:lvlJc w:val="left"/>
      <w:pPr>
        <w:ind w:left="720" w:hanging="360"/>
      </w:pPr>
      <w:rPr>
        <w:rFonts w:ascii="Cambria" w:eastAsia="Times New Roman" w:hAnsi="Cambria" w:cs="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8"/>
  </w:num>
  <w:num w:numId="3">
    <w:abstractNumId w:val="58"/>
  </w:num>
  <w:num w:numId="4">
    <w:abstractNumId w:val="26"/>
  </w:num>
  <w:num w:numId="5">
    <w:abstractNumId w:val="18"/>
  </w:num>
  <w:num w:numId="6">
    <w:abstractNumId w:val="37"/>
  </w:num>
  <w:num w:numId="7">
    <w:abstractNumId w:val="63"/>
  </w:num>
  <w:num w:numId="8">
    <w:abstractNumId w:val="62"/>
  </w:num>
  <w:num w:numId="9">
    <w:abstractNumId w:val="49"/>
  </w:num>
  <w:num w:numId="10">
    <w:abstractNumId w:val="15"/>
  </w:num>
  <w:num w:numId="11">
    <w:abstractNumId w:val="28"/>
  </w:num>
  <w:num w:numId="12">
    <w:abstractNumId w:val="16"/>
  </w:num>
  <w:num w:numId="13">
    <w:abstractNumId w:val="46"/>
  </w:num>
  <w:num w:numId="14">
    <w:abstractNumId w:val="21"/>
  </w:num>
  <w:num w:numId="15">
    <w:abstractNumId w:val="6"/>
  </w:num>
  <w:num w:numId="16">
    <w:abstractNumId w:val="29"/>
  </w:num>
  <w:num w:numId="17">
    <w:abstractNumId w:val="17"/>
  </w:num>
  <w:num w:numId="18">
    <w:abstractNumId w:val="42"/>
  </w:num>
  <w:num w:numId="19">
    <w:abstractNumId w:val="10"/>
  </w:num>
  <w:num w:numId="20">
    <w:abstractNumId w:val="40"/>
  </w:num>
  <w:num w:numId="21">
    <w:abstractNumId w:val="25"/>
  </w:num>
  <w:num w:numId="22">
    <w:abstractNumId w:val="59"/>
  </w:num>
  <w:num w:numId="23">
    <w:abstractNumId w:val="4"/>
  </w:num>
  <w:num w:numId="24">
    <w:abstractNumId w:val="7"/>
  </w:num>
  <w:num w:numId="25">
    <w:abstractNumId w:val="51"/>
  </w:num>
  <w:num w:numId="26">
    <w:abstractNumId w:val="34"/>
  </w:num>
  <w:num w:numId="27">
    <w:abstractNumId w:val="66"/>
  </w:num>
  <w:num w:numId="28">
    <w:abstractNumId w:val="14"/>
  </w:num>
  <w:num w:numId="29">
    <w:abstractNumId w:val="47"/>
  </w:num>
  <w:num w:numId="30">
    <w:abstractNumId w:val="24"/>
  </w:num>
  <w:num w:numId="31">
    <w:abstractNumId w:val="65"/>
  </w:num>
  <w:num w:numId="32">
    <w:abstractNumId w:val="64"/>
  </w:num>
  <w:num w:numId="33">
    <w:abstractNumId w:val="9"/>
  </w:num>
  <w:num w:numId="34">
    <w:abstractNumId w:val="61"/>
  </w:num>
  <w:num w:numId="35">
    <w:abstractNumId w:val="55"/>
  </w:num>
  <w:num w:numId="36">
    <w:abstractNumId w:val="30"/>
  </w:num>
  <w:num w:numId="37">
    <w:abstractNumId w:val="39"/>
  </w:num>
  <w:num w:numId="38">
    <w:abstractNumId w:val="56"/>
  </w:num>
  <w:num w:numId="39">
    <w:abstractNumId w:val="36"/>
  </w:num>
  <w:num w:numId="40">
    <w:abstractNumId w:val="33"/>
  </w:num>
  <w:num w:numId="41">
    <w:abstractNumId w:val="22"/>
  </w:num>
  <w:num w:numId="42">
    <w:abstractNumId w:val="23"/>
  </w:num>
  <w:num w:numId="43">
    <w:abstractNumId w:val="20"/>
  </w:num>
  <w:num w:numId="44">
    <w:abstractNumId w:val="38"/>
  </w:num>
  <w:num w:numId="45">
    <w:abstractNumId w:val="54"/>
  </w:num>
  <w:num w:numId="46">
    <w:abstractNumId w:val="44"/>
  </w:num>
  <w:num w:numId="47">
    <w:abstractNumId w:val="50"/>
  </w:num>
  <w:num w:numId="48">
    <w:abstractNumId w:val="35"/>
  </w:num>
  <w:num w:numId="49">
    <w:abstractNumId w:val="27"/>
  </w:num>
  <w:num w:numId="50">
    <w:abstractNumId w:val="3"/>
  </w:num>
  <w:num w:numId="51">
    <w:abstractNumId w:val="32"/>
  </w:num>
  <w:num w:numId="52">
    <w:abstractNumId w:val="52"/>
  </w:num>
  <w:num w:numId="53">
    <w:abstractNumId w:val="43"/>
  </w:num>
  <w:num w:numId="54">
    <w:abstractNumId w:val="12"/>
  </w:num>
  <w:num w:numId="55">
    <w:abstractNumId w:val="0"/>
  </w:num>
  <w:num w:numId="56">
    <w:abstractNumId w:val="2"/>
  </w:num>
  <w:num w:numId="57">
    <w:abstractNumId w:val="1"/>
  </w:num>
  <w:num w:numId="58">
    <w:abstractNumId w:val="13"/>
  </w:num>
  <w:num w:numId="59">
    <w:abstractNumId w:val="41"/>
  </w:num>
  <w:num w:numId="60">
    <w:abstractNumId w:val="57"/>
  </w:num>
  <w:num w:numId="61">
    <w:abstractNumId w:val="45"/>
  </w:num>
  <w:num w:numId="62">
    <w:abstractNumId w:val="48"/>
  </w:num>
  <w:num w:numId="63">
    <w:abstractNumId w:val="60"/>
  </w:num>
  <w:num w:numId="64">
    <w:abstractNumId w:val="5"/>
  </w:num>
  <w:num w:numId="65">
    <w:abstractNumId w:val="11"/>
  </w:num>
  <w:num w:numId="66">
    <w:abstractNumId w:val="53"/>
  </w:num>
  <w:num w:numId="67">
    <w:abstractNumId w:val="31"/>
  </w:num>
  <w:num w:numId="68">
    <w:abstractNumId w:val="67"/>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AU" w:vendorID="64" w:dllVersion="6" w:nlCheck="1" w:checkStyle="1"/>
  <w:activeWritingStyle w:appName="MSWord" w:lang="es-ES" w:vendorID="64" w:dllVersion="6" w:nlCheck="1" w:checkStyle="1"/>
  <w:activeWritingStyle w:appName="MSWord" w:lang="fr-FR" w:vendorID="64" w:dllVersion="6" w:nlCheck="1" w:checkStyle="1"/>
  <w:activeWritingStyle w:appName="MSWord" w:lang="en-ZA" w:vendorID="64" w:dllVersion="6" w:nlCheck="1" w:checkStyle="1"/>
  <w:activeWritingStyle w:appName="MSWord" w:lang="en-GB" w:vendorID="64" w:dllVersion="0" w:nlCheck="1" w:checkStyle="0"/>
  <w:activeWritingStyle w:appName="MSWord" w:lang="en-US" w:vendorID="64" w:dllVersion="0" w:nlCheck="1" w:checkStyle="0"/>
  <w:activeWritingStyle w:appName="MSWord" w:lang="en-ZA" w:vendorID="64" w:dllVersion="0" w:nlCheck="1" w:checkStyle="0"/>
  <w:activeWritingStyle w:appName="MSWord" w:lang="fr-FR" w:vendorID="64" w:dllVersion="0" w:nlCheck="1" w:checkStyle="0"/>
  <w:activeWritingStyle w:appName="MSWord" w:lang="es-ES" w:vendorID="64" w:dllVersion="0" w:nlCheck="1" w:checkStyle="0"/>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10"/>
  <w:displayHorizontalDrawingGridEvery w:val="2"/>
  <w:noPunctuationKerning/>
  <w:characterSpacingControl w:val="doNotCompress"/>
  <w:hdrShapeDefaults>
    <o:shapedefaults v:ext="edit" spidmax="2049" fillcolor="white">
      <v:fill color="white"/>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MyBwIjIyMLC1NzYyUdpeDU4uLM/DyQAmPTWgCuEBThLQAAAA=="/>
  </w:docVars>
  <w:rsids>
    <w:rsidRoot w:val="00991FF7"/>
    <w:rsid w:val="00000CA8"/>
    <w:rsid w:val="00001536"/>
    <w:rsid w:val="00001D86"/>
    <w:rsid w:val="0000278F"/>
    <w:rsid w:val="00002A5F"/>
    <w:rsid w:val="00002CC1"/>
    <w:rsid w:val="00002CE3"/>
    <w:rsid w:val="00002FE5"/>
    <w:rsid w:val="00003B86"/>
    <w:rsid w:val="00003C72"/>
    <w:rsid w:val="00004157"/>
    <w:rsid w:val="00005125"/>
    <w:rsid w:val="00005456"/>
    <w:rsid w:val="000057AA"/>
    <w:rsid w:val="00005845"/>
    <w:rsid w:val="0000586A"/>
    <w:rsid w:val="00005D48"/>
    <w:rsid w:val="0000683B"/>
    <w:rsid w:val="000075A3"/>
    <w:rsid w:val="000077F2"/>
    <w:rsid w:val="000079E0"/>
    <w:rsid w:val="00007B01"/>
    <w:rsid w:val="000101B0"/>
    <w:rsid w:val="000107D3"/>
    <w:rsid w:val="0001093E"/>
    <w:rsid w:val="00010E68"/>
    <w:rsid w:val="0001134C"/>
    <w:rsid w:val="0001168F"/>
    <w:rsid w:val="00011819"/>
    <w:rsid w:val="000122EA"/>
    <w:rsid w:val="000125B2"/>
    <w:rsid w:val="000131D9"/>
    <w:rsid w:val="00013260"/>
    <w:rsid w:val="00013523"/>
    <w:rsid w:val="00013ADE"/>
    <w:rsid w:val="000154B8"/>
    <w:rsid w:val="00015653"/>
    <w:rsid w:val="00015860"/>
    <w:rsid w:val="00015B6A"/>
    <w:rsid w:val="00016050"/>
    <w:rsid w:val="00016525"/>
    <w:rsid w:val="00016649"/>
    <w:rsid w:val="00016A23"/>
    <w:rsid w:val="000177F6"/>
    <w:rsid w:val="00017BFE"/>
    <w:rsid w:val="00017D90"/>
    <w:rsid w:val="000205AF"/>
    <w:rsid w:val="0002075C"/>
    <w:rsid w:val="00020885"/>
    <w:rsid w:val="00020AA0"/>
    <w:rsid w:val="00020CCD"/>
    <w:rsid w:val="00021004"/>
    <w:rsid w:val="00021238"/>
    <w:rsid w:val="000217F5"/>
    <w:rsid w:val="00021B90"/>
    <w:rsid w:val="00022401"/>
    <w:rsid w:val="0002252F"/>
    <w:rsid w:val="000225BF"/>
    <w:rsid w:val="00022DE9"/>
    <w:rsid w:val="000230A3"/>
    <w:rsid w:val="00023435"/>
    <w:rsid w:val="000234A8"/>
    <w:rsid w:val="00023A76"/>
    <w:rsid w:val="00023C29"/>
    <w:rsid w:val="00024495"/>
    <w:rsid w:val="0002489D"/>
    <w:rsid w:val="00025012"/>
    <w:rsid w:val="0002530B"/>
    <w:rsid w:val="000259A1"/>
    <w:rsid w:val="00025C9A"/>
    <w:rsid w:val="00025E57"/>
    <w:rsid w:val="000260FF"/>
    <w:rsid w:val="00026455"/>
    <w:rsid w:val="0002661F"/>
    <w:rsid w:val="000266D2"/>
    <w:rsid w:val="00030007"/>
    <w:rsid w:val="00030C3B"/>
    <w:rsid w:val="00030D0A"/>
    <w:rsid w:val="0003122B"/>
    <w:rsid w:val="00031E16"/>
    <w:rsid w:val="00031E84"/>
    <w:rsid w:val="0003214C"/>
    <w:rsid w:val="00032241"/>
    <w:rsid w:val="00032524"/>
    <w:rsid w:val="00032E37"/>
    <w:rsid w:val="00033869"/>
    <w:rsid w:val="00033EB5"/>
    <w:rsid w:val="00033F65"/>
    <w:rsid w:val="000341EA"/>
    <w:rsid w:val="00034508"/>
    <w:rsid w:val="00034849"/>
    <w:rsid w:val="000348DE"/>
    <w:rsid w:val="00034B29"/>
    <w:rsid w:val="00035218"/>
    <w:rsid w:val="0003544E"/>
    <w:rsid w:val="00035830"/>
    <w:rsid w:val="00035D96"/>
    <w:rsid w:val="0003646E"/>
    <w:rsid w:val="00036804"/>
    <w:rsid w:val="00036A5C"/>
    <w:rsid w:val="00036F60"/>
    <w:rsid w:val="0003763F"/>
    <w:rsid w:val="000377AB"/>
    <w:rsid w:val="0003782E"/>
    <w:rsid w:val="00037A3E"/>
    <w:rsid w:val="00037E21"/>
    <w:rsid w:val="00040511"/>
    <w:rsid w:val="00040B34"/>
    <w:rsid w:val="00040EE8"/>
    <w:rsid w:val="00041B17"/>
    <w:rsid w:val="00041E0C"/>
    <w:rsid w:val="00041FE0"/>
    <w:rsid w:val="00042BB9"/>
    <w:rsid w:val="00042C7F"/>
    <w:rsid w:val="00042C93"/>
    <w:rsid w:val="00043249"/>
    <w:rsid w:val="0004344E"/>
    <w:rsid w:val="00043A4B"/>
    <w:rsid w:val="00044177"/>
    <w:rsid w:val="0004450C"/>
    <w:rsid w:val="000445AD"/>
    <w:rsid w:val="00044654"/>
    <w:rsid w:val="00044655"/>
    <w:rsid w:val="00044B8D"/>
    <w:rsid w:val="00044BD9"/>
    <w:rsid w:val="00044FDD"/>
    <w:rsid w:val="00045319"/>
    <w:rsid w:val="000459A0"/>
    <w:rsid w:val="0004601D"/>
    <w:rsid w:val="000464F1"/>
    <w:rsid w:val="00046776"/>
    <w:rsid w:val="00046804"/>
    <w:rsid w:val="00046CF8"/>
    <w:rsid w:val="000477B7"/>
    <w:rsid w:val="0004796E"/>
    <w:rsid w:val="00050021"/>
    <w:rsid w:val="000509F3"/>
    <w:rsid w:val="00050D84"/>
    <w:rsid w:val="0005135E"/>
    <w:rsid w:val="0005159D"/>
    <w:rsid w:val="000516CD"/>
    <w:rsid w:val="00051A25"/>
    <w:rsid w:val="00052245"/>
    <w:rsid w:val="0005232E"/>
    <w:rsid w:val="000523A9"/>
    <w:rsid w:val="00052EF5"/>
    <w:rsid w:val="00053494"/>
    <w:rsid w:val="0005351F"/>
    <w:rsid w:val="000540EE"/>
    <w:rsid w:val="00054895"/>
    <w:rsid w:val="000548D9"/>
    <w:rsid w:val="000549A0"/>
    <w:rsid w:val="00054B0C"/>
    <w:rsid w:val="00054EB2"/>
    <w:rsid w:val="0005530F"/>
    <w:rsid w:val="00055372"/>
    <w:rsid w:val="000556B9"/>
    <w:rsid w:val="000556CB"/>
    <w:rsid w:val="0005571B"/>
    <w:rsid w:val="00055972"/>
    <w:rsid w:val="00055AC7"/>
    <w:rsid w:val="00055F28"/>
    <w:rsid w:val="00056113"/>
    <w:rsid w:val="000561E4"/>
    <w:rsid w:val="00056567"/>
    <w:rsid w:val="000565AB"/>
    <w:rsid w:val="000567B1"/>
    <w:rsid w:val="00056B16"/>
    <w:rsid w:val="000575CF"/>
    <w:rsid w:val="00057D7D"/>
    <w:rsid w:val="00057E03"/>
    <w:rsid w:val="00057F1E"/>
    <w:rsid w:val="0006004C"/>
    <w:rsid w:val="0006010A"/>
    <w:rsid w:val="0006041E"/>
    <w:rsid w:val="00060D9A"/>
    <w:rsid w:val="00060E4F"/>
    <w:rsid w:val="00061536"/>
    <w:rsid w:val="000619AF"/>
    <w:rsid w:val="00061B53"/>
    <w:rsid w:val="00062063"/>
    <w:rsid w:val="00062080"/>
    <w:rsid w:val="000623DA"/>
    <w:rsid w:val="00062792"/>
    <w:rsid w:val="00062E78"/>
    <w:rsid w:val="00063762"/>
    <w:rsid w:val="00063934"/>
    <w:rsid w:val="00063935"/>
    <w:rsid w:val="00063D70"/>
    <w:rsid w:val="00063DD1"/>
    <w:rsid w:val="00063E7C"/>
    <w:rsid w:val="00064A5C"/>
    <w:rsid w:val="00064A64"/>
    <w:rsid w:val="00064BBE"/>
    <w:rsid w:val="0006562F"/>
    <w:rsid w:val="00066A40"/>
    <w:rsid w:val="00066A76"/>
    <w:rsid w:val="00066C4E"/>
    <w:rsid w:val="0006741E"/>
    <w:rsid w:val="0006793B"/>
    <w:rsid w:val="00067C2A"/>
    <w:rsid w:val="00067FC8"/>
    <w:rsid w:val="00070127"/>
    <w:rsid w:val="00070251"/>
    <w:rsid w:val="00070B1A"/>
    <w:rsid w:val="00070DCF"/>
    <w:rsid w:val="0007137A"/>
    <w:rsid w:val="000715AE"/>
    <w:rsid w:val="00071E65"/>
    <w:rsid w:val="00071F11"/>
    <w:rsid w:val="00072768"/>
    <w:rsid w:val="000729D2"/>
    <w:rsid w:val="00072CB3"/>
    <w:rsid w:val="00072DC0"/>
    <w:rsid w:val="000734D7"/>
    <w:rsid w:val="000734EF"/>
    <w:rsid w:val="0007404F"/>
    <w:rsid w:val="00074763"/>
    <w:rsid w:val="0007479A"/>
    <w:rsid w:val="000748FE"/>
    <w:rsid w:val="00074B7D"/>
    <w:rsid w:val="00074D27"/>
    <w:rsid w:val="00074FF6"/>
    <w:rsid w:val="00075056"/>
    <w:rsid w:val="00075100"/>
    <w:rsid w:val="00075324"/>
    <w:rsid w:val="00075FD8"/>
    <w:rsid w:val="000761BB"/>
    <w:rsid w:val="000761BF"/>
    <w:rsid w:val="00077232"/>
    <w:rsid w:val="00077367"/>
    <w:rsid w:val="00080BD1"/>
    <w:rsid w:val="00080EAA"/>
    <w:rsid w:val="00081409"/>
    <w:rsid w:val="000816B1"/>
    <w:rsid w:val="00081B5A"/>
    <w:rsid w:val="000824D6"/>
    <w:rsid w:val="00082B33"/>
    <w:rsid w:val="00082B40"/>
    <w:rsid w:val="00082E59"/>
    <w:rsid w:val="0008309A"/>
    <w:rsid w:val="000832F0"/>
    <w:rsid w:val="000842FA"/>
    <w:rsid w:val="000843F3"/>
    <w:rsid w:val="0008485F"/>
    <w:rsid w:val="00084C30"/>
    <w:rsid w:val="00084E2B"/>
    <w:rsid w:val="00085230"/>
    <w:rsid w:val="000867F9"/>
    <w:rsid w:val="00086D18"/>
    <w:rsid w:val="00086F9D"/>
    <w:rsid w:val="00086FA9"/>
    <w:rsid w:val="00087438"/>
    <w:rsid w:val="0008784F"/>
    <w:rsid w:val="00087B20"/>
    <w:rsid w:val="00087C2B"/>
    <w:rsid w:val="000902FD"/>
    <w:rsid w:val="00090966"/>
    <w:rsid w:val="00090BF9"/>
    <w:rsid w:val="00090CD1"/>
    <w:rsid w:val="00090D3E"/>
    <w:rsid w:val="00090FA1"/>
    <w:rsid w:val="0009100C"/>
    <w:rsid w:val="0009107D"/>
    <w:rsid w:val="00091084"/>
    <w:rsid w:val="000915CD"/>
    <w:rsid w:val="000923DC"/>
    <w:rsid w:val="000938C2"/>
    <w:rsid w:val="0009411E"/>
    <w:rsid w:val="000944FE"/>
    <w:rsid w:val="00094E53"/>
    <w:rsid w:val="00095885"/>
    <w:rsid w:val="00096087"/>
    <w:rsid w:val="00096807"/>
    <w:rsid w:val="00096C29"/>
    <w:rsid w:val="00097017"/>
    <w:rsid w:val="000971A7"/>
    <w:rsid w:val="000973F9"/>
    <w:rsid w:val="00097632"/>
    <w:rsid w:val="00097A1E"/>
    <w:rsid w:val="00097F0F"/>
    <w:rsid w:val="000A024F"/>
    <w:rsid w:val="000A0289"/>
    <w:rsid w:val="000A0830"/>
    <w:rsid w:val="000A08E0"/>
    <w:rsid w:val="000A0B46"/>
    <w:rsid w:val="000A0E18"/>
    <w:rsid w:val="000A0F4C"/>
    <w:rsid w:val="000A12EC"/>
    <w:rsid w:val="000A1533"/>
    <w:rsid w:val="000A20A2"/>
    <w:rsid w:val="000A21B8"/>
    <w:rsid w:val="000A2C62"/>
    <w:rsid w:val="000A2F15"/>
    <w:rsid w:val="000A2F7D"/>
    <w:rsid w:val="000A308B"/>
    <w:rsid w:val="000A3778"/>
    <w:rsid w:val="000A38C3"/>
    <w:rsid w:val="000A3BDA"/>
    <w:rsid w:val="000A4287"/>
    <w:rsid w:val="000A44E4"/>
    <w:rsid w:val="000A4779"/>
    <w:rsid w:val="000A47FB"/>
    <w:rsid w:val="000A498F"/>
    <w:rsid w:val="000A5408"/>
    <w:rsid w:val="000A546A"/>
    <w:rsid w:val="000A54A8"/>
    <w:rsid w:val="000A5FFD"/>
    <w:rsid w:val="000A60FE"/>
    <w:rsid w:val="000A6186"/>
    <w:rsid w:val="000A6583"/>
    <w:rsid w:val="000A6A7D"/>
    <w:rsid w:val="000A6CEB"/>
    <w:rsid w:val="000A6D37"/>
    <w:rsid w:val="000A6EF8"/>
    <w:rsid w:val="000A6F18"/>
    <w:rsid w:val="000A74B2"/>
    <w:rsid w:val="000A798A"/>
    <w:rsid w:val="000A7B8A"/>
    <w:rsid w:val="000B14C7"/>
    <w:rsid w:val="000B16F0"/>
    <w:rsid w:val="000B1BA8"/>
    <w:rsid w:val="000B26A9"/>
    <w:rsid w:val="000B36AF"/>
    <w:rsid w:val="000B36D0"/>
    <w:rsid w:val="000B3A46"/>
    <w:rsid w:val="000B3D4F"/>
    <w:rsid w:val="000B48A6"/>
    <w:rsid w:val="000B4C07"/>
    <w:rsid w:val="000B4C68"/>
    <w:rsid w:val="000B4D3F"/>
    <w:rsid w:val="000B5072"/>
    <w:rsid w:val="000B508E"/>
    <w:rsid w:val="000B5523"/>
    <w:rsid w:val="000B5696"/>
    <w:rsid w:val="000B5E17"/>
    <w:rsid w:val="000B6322"/>
    <w:rsid w:val="000B6775"/>
    <w:rsid w:val="000B69ED"/>
    <w:rsid w:val="000C0415"/>
    <w:rsid w:val="000C0637"/>
    <w:rsid w:val="000C06D6"/>
    <w:rsid w:val="000C1847"/>
    <w:rsid w:val="000C1D2C"/>
    <w:rsid w:val="000C1FC3"/>
    <w:rsid w:val="000C2013"/>
    <w:rsid w:val="000C2571"/>
    <w:rsid w:val="000C2632"/>
    <w:rsid w:val="000C27AC"/>
    <w:rsid w:val="000C295E"/>
    <w:rsid w:val="000C2D59"/>
    <w:rsid w:val="000C3161"/>
    <w:rsid w:val="000C352C"/>
    <w:rsid w:val="000C3D1A"/>
    <w:rsid w:val="000C3FF2"/>
    <w:rsid w:val="000C498C"/>
    <w:rsid w:val="000C4A2C"/>
    <w:rsid w:val="000C4DDD"/>
    <w:rsid w:val="000C506D"/>
    <w:rsid w:val="000C533E"/>
    <w:rsid w:val="000C53C5"/>
    <w:rsid w:val="000C5C1D"/>
    <w:rsid w:val="000C5F12"/>
    <w:rsid w:val="000C61B3"/>
    <w:rsid w:val="000C66BF"/>
    <w:rsid w:val="000C78C6"/>
    <w:rsid w:val="000D00F9"/>
    <w:rsid w:val="000D048C"/>
    <w:rsid w:val="000D05BB"/>
    <w:rsid w:val="000D0818"/>
    <w:rsid w:val="000D0ABB"/>
    <w:rsid w:val="000D0FD6"/>
    <w:rsid w:val="000D11EC"/>
    <w:rsid w:val="000D1449"/>
    <w:rsid w:val="000D1E42"/>
    <w:rsid w:val="000D1EE9"/>
    <w:rsid w:val="000D285B"/>
    <w:rsid w:val="000D2A90"/>
    <w:rsid w:val="000D2DF2"/>
    <w:rsid w:val="000D2E10"/>
    <w:rsid w:val="000D3449"/>
    <w:rsid w:val="000D3D7D"/>
    <w:rsid w:val="000D43BE"/>
    <w:rsid w:val="000D451E"/>
    <w:rsid w:val="000D45FB"/>
    <w:rsid w:val="000D4E89"/>
    <w:rsid w:val="000D5052"/>
    <w:rsid w:val="000D5385"/>
    <w:rsid w:val="000D5803"/>
    <w:rsid w:val="000D6334"/>
    <w:rsid w:val="000D65C1"/>
    <w:rsid w:val="000E089B"/>
    <w:rsid w:val="000E0DAD"/>
    <w:rsid w:val="000E1D4A"/>
    <w:rsid w:val="000E2363"/>
    <w:rsid w:val="000E2CEB"/>
    <w:rsid w:val="000E2D6A"/>
    <w:rsid w:val="000E2E6D"/>
    <w:rsid w:val="000E3117"/>
    <w:rsid w:val="000E3178"/>
    <w:rsid w:val="000E3C19"/>
    <w:rsid w:val="000E4C99"/>
    <w:rsid w:val="000E506E"/>
    <w:rsid w:val="000E586B"/>
    <w:rsid w:val="000E5A8B"/>
    <w:rsid w:val="000E5B28"/>
    <w:rsid w:val="000E6178"/>
    <w:rsid w:val="000E6481"/>
    <w:rsid w:val="000E6550"/>
    <w:rsid w:val="000E7618"/>
    <w:rsid w:val="000E7AD0"/>
    <w:rsid w:val="000F0E78"/>
    <w:rsid w:val="000F0F02"/>
    <w:rsid w:val="000F17C2"/>
    <w:rsid w:val="000F1A04"/>
    <w:rsid w:val="000F225E"/>
    <w:rsid w:val="000F2B73"/>
    <w:rsid w:val="000F2C3A"/>
    <w:rsid w:val="000F3057"/>
    <w:rsid w:val="000F32EE"/>
    <w:rsid w:val="000F3503"/>
    <w:rsid w:val="000F4082"/>
    <w:rsid w:val="000F4475"/>
    <w:rsid w:val="000F468D"/>
    <w:rsid w:val="000F477E"/>
    <w:rsid w:val="000F4D17"/>
    <w:rsid w:val="000F51C9"/>
    <w:rsid w:val="000F55A3"/>
    <w:rsid w:val="000F5711"/>
    <w:rsid w:val="000F5897"/>
    <w:rsid w:val="000F5920"/>
    <w:rsid w:val="000F5CDD"/>
    <w:rsid w:val="000F6317"/>
    <w:rsid w:val="000F635E"/>
    <w:rsid w:val="000F64F0"/>
    <w:rsid w:val="000F6504"/>
    <w:rsid w:val="000F6944"/>
    <w:rsid w:val="000F6AFE"/>
    <w:rsid w:val="000F797F"/>
    <w:rsid w:val="0010116A"/>
    <w:rsid w:val="00101F60"/>
    <w:rsid w:val="00102931"/>
    <w:rsid w:val="00102C1E"/>
    <w:rsid w:val="00103467"/>
    <w:rsid w:val="00103E01"/>
    <w:rsid w:val="001047C6"/>
    <w:rsid w:val="00104A8A"/>
    <w:rsid w:val="00105B25"/>
    <w:rsid w:val="00105D4D"/>
    <w:rsid w:val="00105EF0"/>
    <w:rsid w:val="001060F5"/>
    <w:rsid w:val="001068EA"/>
    <w:rsid w:val="00106D42"/>
    <w:rsid w:val="001071AE"/>
    <w:rsid w:val="00107472"/>
    <w:rsid w:val="00107D07"/>
    <w:rsid w:val="00107F7C"/>
    <w:rsid w:val="00110171"/>
    <w:rsid w:val="001106D9"/>
    <w:rsid w:val="001107FC"/>
    <w:rsid w:val="00110869"/>
    <w:rsid w:val="00110896"/>
    <w:rsid w:val="00110B0F"/>
    <w:rsid w:val="00111347"/>
    <w:rsid w:val="0011158A"/>
    <w:rsid w:val="00111710"/>
    <w:rsid w:val="00111777"/>
    <w:rsid w:val="001123E5"/>
    <w:rsid w:val="0011260C"/>
    <w:rsid w:val="00112F30"/>
    <w:rsid w:val="00113106"/>
    <w:rsid w:val="001134AE"/>
    <w:rsid w:val="00113B22"/>
    <w:rsid w:val="0011459A"/>
    <w:rsid w:val="001149D1"/>
    <w:rsid w:val="00114C27"/>
    <w:rsid w:val="0011581A"/>
    <w:rsid w:val="00115B6D"/>
    <w:rsid w:val="00115EED"/>
    <w:rsid w:val="0011628E"/>
    <w:rsid w:val="001166C1"/>
    <w:rsid w:val="00116F7A"/>
    <w:rsid w:val="0011725F"/>
    <w:rsid w:val="00117E23"/>
    <w:rsid w:val="00120135"/>
    <w:rsid w:val="00120163"/>
    <w:rsid w:val="0012047E"/>
    <w:rsid w:val="00120581"/>
    <w:rsid w:val="00121376"/>
    <w:rsid w:val="001216C0"/>
    <w:rsid w:val="00121DBA"/>
    <w:rsid w:val="00122301"/>
    <w:rsid w:val="00123B59"/>
    <w:rsid w:val="00124080"/>
    <w:rsid w:val="001244C9"/>
    <w:rsid w:val="00124AF2"/>
    <w:rsid w:val="00124EF1"/>
    <w:rsid w:val="001252EE"/>
    <w:rsid w:val="0012547F"/>
    <w:rsid w:val="00125E42"/>
    <w:rsid w:val="00126D7F"/>
    <w:rsid w:val="001274AB"/>
    <w:rsid w:val="00127659"/>
    <w:rsid w:val="00127866"/>
    <w:rsid w:val="00127D0D"/>
    <w:rsid w:val="00127DDC"/>
    <w:rsid w:val="001304B5"/>
    <w:rsid w:val="00130603"/>
    <w:rsid w:val="0013084B"/>
    <w:rsid w:val="001309D3"/>
    <w:rsid w:val="001310B3"/>
    <w:rsid w:val="001310FB"/>
    <w:rsid w:val="00131A2B"/>
    <w:rsid w:val="00133018"/>
    <w:rsid w:val="00133902"/>
    <w:rsid w:val="00134550"/>
    <w:rsid w:val="001348D8"/>
    <w:rsid w:val="00134F15"/>
    <w:rsid w:val="00135349"/>
    <w:rsid w:val="00135392"/>
    <w:rsid w:val="00135706"/>
    <w:rsid w:val="00137C16"/>
    <w:rsid w:val="00137C56"/>
    <w:rsid w:val="00137F67"/>
    <w:rsid w:val="00140EE1"/>
    <w:rsid w:val="00140FA1"/>
    <w:rsid w:val="001411C6"/>
    <w:rsid w:val="00141478"/>
    <w:rsid w:val="0014163C"/>
    <w:rsid w:val="00141B89"/>
    <w:rsid w:val="00141E03"/>
    <w:rsid w:val="00142385"/>
    <w:rsid w:val="001425C3"/>
    <w:rsid w:val="00142791"/>
    <w:rsid w:val="00142B69"/>
    <w:rsid w:val="00142D7F"/>
    <w:rsid w:val="00142F51"/>
    <w:rsid w:val="00143544"/>
    <w:rsid w:val="0014384D"/>
    <w:rsid w:val="00143B00"/>
    <w:rsid w:val="00143B91"/>
    <w:rsid w:val="00143C57"/>
    <w:rsid w:val="00143F97"/>
    <w:rsid w:val="001441A6"/>
    <w:rsid w:val="001443C3"/>
    <w:rsid w:val="001447EB"/>
    <w:rsid w:val="00145010"/>
    <w:rsid w:val="00145498"/>
    <w:rsid w:val="001455F1"/>
    <w:rsid w:val="00145816"/>
    <w:rsid w:val="00146321"/>
    <w:rsid w:val="00146350"/>
    <w:rsid w:val="0014662F"/>
    <w:rsid w:val="0014673C"/>
    <w:rsid w:val="00146B6A"/>
    <w:rsid w:val="00146C38"/>
    <w:rsid w:val="00146C58"/>
    <w:rsid w:val="00146D5A"/>
    <w:rsid w:val="00146DAE"/>
    <w:rsid w:val="00147529"/>
    <w:rsid w:val="00147A34"/>
    <w:rsid w:val="0015056C"/>
    <w:rsid w:val="00150C86"/>
    <w:rsid w:val="00151406"/>
    <w:rsid w:val="001523F8"/>
    <w:rsid w:val="0015241F"/>
    <w:rsid w:val="001527B2"/>
    <w:rsid w:val="00152D55"/>
    <w:rsid w:val="00153156"/>
    <w:rsid w:val="00153794"/>
    <w:rsid w:val="00153DFA"/>
    <w:rsid w:val="00153E02"/>
    <w:rsid w:val="00154620"/>
    <w:rsid w:val="00155458"/>
    <w:rsid w:val="00155610"/>
    <w:rsid w:val="0015568A"/>
    <w:rsid w:val="00155911"/>
    <w:rsid w:val="00155D98"/>
    <w:rsid w:val="0015600E"/>
    <w:rsid w:val="001561F1"/>
    <w:rsid w:val="001566BA"/>
    <w:rsid w:val="0015686F"/>
    <w:rsid w:val="00156889"/>
    <w:rsid w:val="00156A0E"/>
    <w:rsid w:val="00156C3E"/>
    <w:rsid w:val="001571F9"/>
    <w:rsid w:val="0015737E"/>
    <w:rsid w:val="00157439"/>
    <w:rsid w:val="00157CFD"/>
    <w:rsid w:val="00157E85"/>
    <w:rsid w:val="0016045E"/>
    <w:rsid w:val="00160F58"/>
    <w:rsid w:val="001613FC"/>
    <w:rsid w:val="001614E1"/>
    <w:rsid w:val="001617DC"/>
    <w:rsid w:val="00161809"/>
    <w:rsid w:val="0016180B"/>
    <w:rsid w:val="00161F04"/>
    <w:rsid w:val="00161FBF"/>
    <w:rsid w:val="00162560"/>
    <w:rsid w:val="001625D0"/>
    <w:rsid w:val="00162B97"/>
    <w:rsid w:val="00162DAA"/>
    <w:rsid w:val="00163384"/>
    <w:rsid w:val="001633F0"/>
    <w:rsid w:val="001638EC"/>
    <w:rsid w:val="001643BA"/>
    <w:rsid w:val="00164782"/>
    <w:rsid w:val="00164D85"/>
    <w:rsid w:val="0016557B"/>
    <w:rsid w:val="0016593F"/>
    <w:rsid w:val="00165F91"/>
    <w:rsid w:val="00166C25"/>
    <w:rsid w:val="00166EBA"/>
    <w:rsid w:val="00167101"/>
    <w:rsid w:val="0017005A"/>
    <w:rsid w:val="0017091F"/>
    <w:rsid w:val="00170ABB"/>
    <w:rsid w:val="00170DFF"/>
    <w:rsid w:val="001720C3"/>
    <w:rsid w:val="001723DA"/>
    <w:rsid w:val="00172973"/>
    <w:rsid w:val="00172B6E"/>
    <w:rsid w:val="00172BBE"/>
    <w:rsid w:val="00172E20"/>
    <w:rsid w:val="001733F4"/>
    <w:rsid w:val="00173799"/>
    <w:rsid w:val="001737F0"/>
    <w:rsid w:val="0017399E"/>
    <w:rsid w:val="001748C7"/>
    <w:rsid w:val="00174F5B"/>
    <w:rsid w:val="00174F8B"/>
    <w:rsid w:val="00175107"/>
    <w:rsid w:val="00175181"/>
    <w:rsid w:val="001754B1"/>
    <w:rsid w:val="001755F4"/>
    <w:rsid w:val="00175918"/>
    <w:rsid w:val="00176215"/>
    <w:rsid w:val="0017626D"/>
    <w:rsid w:val="0017651C"/>
    <w:rsid w:val="00176704"/>
    <w:rsid w:val="0017674A"/>
    <w:rsid w:val="00176DEF"/>
    <w:rsid w:val="0017747C"/>
    <w:rsid w:val="001774AD"/>
    <w:rsid w:val="00177A33"/>
    <w:rsid w:val="00177F10"/>
    <w:rsid w:val="0018089C"/>
    <w:rsid w:val="001811AA"/>
    <w:rsid w:val="00181244"/>
    <w:rsid w:val="00181BBD"/>
    <w:rsid w:val="00181C67"/>
    <w:rsid w:val="00181D07"/>
    <w:rsid w:val="00181E7A"/>
    <w:rsid w:val="0018211F"/>
    <w:rsid w:val="00182292"/>
    <w:rsid w:val="00182770"/>
    <w:rsid w:val="00182CA1"/>
    <w:rsid w:val="001831B3"/>
    <w:rsid w:val="0018347B"/>
    <w:rsid w:val="00183CCE"/>
    <w:rsid w:val="001845CA"/>
    <w:rsid w:val="00184AA4"/>
    <w:rsid w:val="00184B18"/>
    <w:rsid w:val="00184BCE"/>
    <w:rsid w:val="0018509D"/>
    <w:rsid w:val="00185527"/>
    <w:rsid w:val="00185D47"/>
    <w:rsid w:val="00185FE5"/>
    <w:rsid w:val="001860E7"/>
    <w:rsid w:val="0018637D"/>
    <w:rsid w:val="0018643E"/>
    <w:rsid w:val="00186638"/>
    <w:rsid w:val="00186D11"/>
    <w:rsid w:val="00190860"/>
    <w:rsid w:val="001909E5"/>
    <w:rsid w:val="00190F06"/>
    <w:rsid w:val="00191A6D"/>
    <w:rsid w:val="00191D2F"/>
    <w:rsid w:val="00191F69"/>
    <w:rsid w:val="00192102"/>
    <w:rsid w:val="001922D9"/>
    <w:rsid w:val="001923E3"/>
    <w:rsid w:val="00192618"/>
    <w:rsid w:val="00192812"/>
    <w:rsid w:val="001939D9"/>
    <w:rsid w:val="00193BFC"/>
    <w:rsid w:val="00194333"/>
    <w:rsid w:val="00194665"/>
    <w:rsid w:val="00194BA9"/>
    <w:rsid w:val="00194EE1"/>
    <w:rsid w:val="00195776"/>
    <w:rsid w:val="00195F54"/>
    <w:rsid w:val="00196502"/>
    <w:rsid w:val="001969FB"/>
    <w:rsid w:val="00196AC3"/>
    <w:rsid w:val="00196E4C"/>
    <w:rsid w:val="001971A7"/>
    <w:rsid w:val="0019742F"/>
    <w:rsid w:val="0019755B"/>
    <w:rsid w:val="0019774B"/>
    <w:rsid w:val="00197758"/>
    <w:rsid w:val="00197B08"/>
    <w:rsid w:val="00197DE3"/>
    <w:rsid w:val="001A0917"/>
    <w:rsid w:val="001A1150"/>
    <w:rsid w:val="001A17A2"/>
    <w:rsid w:val="001A18AE"/>
    <w:rsid w:val="001A1BF2"/>
    <w:rsid w:val="001A1E4A"/>
    <w:rsid w:val="001A2021"/>
    <w:rsid w:val="001A2986"/>
    <w:rsid w:val="001A2B30"/>
    <w:rsid w:val="001A2D26"/>
    <w:rsid w:val="001A30B3"/>
    <w:rsid w:val="001A3D1B"/>
    <w:rsid w:val="001A3E87"/>
    <w:rsid w:val="001A44AC"/>
    <w:rsid w:val="001A497E"/>
    <w:rsid w:val="001A49C9"/>
    <w:rsid w:val="001A579A"/>
    <w:rsid w:val="001A584F"/>
    <w:rsid w:val="001A594E"/>
    <w:rsid w:val="001A5CD7"/>
    <w:rsid w:val="001A60F2"/>
    <w:rsid w:val="001A6DAD"/>
    <w:rsid w:val="001A7113"/>
    <w:rsid w:val="001A753E"/>
    <w:rsid w:val="001A7D44"/>
    <w:rsid w:val="001A7F0F"/>
    <w:rsid w:val="001B030E"/>
    <w:rsid w:val="001B0341"/>
    <w:rsid w:val="001B063C"/>
    <w:rsid w:val="001B0DA6"/>
    <w:rsid w:val="001B0DD9"/>
    <w:rsid w:val="001B0F8B"/>
    <w:rsid w:val="001B1079"/>
    <w:rsid w:val="001B14E4"/>
    <w:rsid w:val="001B1BCE"/>
    <w:rsid w:val="001B22B5"/>
    <w:rsid w:val="001B22CF"/>
    <w:rsid w:val="001B25DA"/>
    <w:rsid w:val="001B263B"/>
    <w:rsid w:val="001B2AEE"/>
    <w:rsid w:val="001B2F6C"/>
    <w:rsid w:val="001B3329"/>
    <w:rsid w:val="001B3622"/>
    <w:rsid w:val="001B376F"/>
    <w:rsid w:val="001B3854"/>
    <w:rsid w:val="001B3A9E"/>
    <w:rsid w:val="001B4182"/>
    <w:rsid w:val="001B43BC"/>
    <w:rsid w:val="001B56A2"/>
    <w:rsid w:val="001B570B"/>
    <w:rsid w:val="001B5A8E"/>
    <w:rsid w:val="001B6223"/>
    <w:rsid w:val="001B6B6B"/>
    <w:rsid w:val="001B7015"/>
    <w:rsid w:val="001B7A8D"/>
    <w:rsid w:val="001C05C4"/>
    <w:rsid w:val="001C0701"/>
    <w:rsid w:val="001C0BBD"/>
    <w:rsid w:val="001C127F"/>
    <w:rsid w:val="001C1A16"/>
    <w:rsid w:val="001C2765"/>
    <w:rsid w:val="001C2A72"/>
    <w:rsid w:val="001C2B79"/>
    <w:rsid w:val="001C2B8B"/>
    <w:rsid w:val="001C2E84"/>
    <w:rsid w:val="001C397B"/>
    <w:rsid w:val="001C3B92"/>
    <w:rsid w:val="001C451D"/>
    <w:rsid w:val="001C4A7A"/>
    <w:rsid w:val="001C502A"/>
    <w:rsid w:val="001C505F"/>
    <w:rsid w:val="001C53C6"/>
    <w:rsid w:val="001C5460"/>
    <w:rsid w:val="001C576B"/>
    <w:rsid w:val="001C577A"/>
    <w:rsid w:val="001C59E3"/>
    <w:rsid w:val="001C5D45"/>
    <w:rsid w:val="001C60E3"/>
    <w:rsid w:val="001C621F"/>
    <w:rsid w:val="001C64FC"/>
    <w:rsid w:val="001C677D"/>
    <w:rsid w:val="001C7024"/>
    <w:rsid w:val="001C71A7"/>
    <w:rsid w:val="001C77BE"/>
    <w:rsid w:val="001C7A3F"/>
    <w:rsid w:val="001C7E82"/>
    <w:rsid w:val="001D03ED"/>
    <w:rsid w:val="001D085B"/>
    <w:rsid w:val="001D0B24"/>
    <w:rsid w:val="001D0B98"/>
    <w:rsid w:val="001D0F8F"/>
    <w:rsid w:val="001D124F"/>
    <w:rsid w:val="001D15C1"/>
    <w:rsid w:val="001D1EB5"/>
    <w:rsid w:val="001D2097"/>
    <w:rsid w:val="001D2536"/>
    <w:rsid w:val="001D2681"/>
    <w:rsid w:val="001D34B7"/>
    <w:rsid w:val="001D3679"/>
    <w:rsid w:val="001D4177"/>
    <w:rsid w:val="001D45FA"/>
    <w:rsid w:val="001D4855"/>
    <w:rsid w:val="001D53CF"/>
    <w:rsid w:val="001D5B18"/>
    <w:rsid w:val="001D734E"/>
    <w:rsid w:val="001D7438"/>
    <w:rsid w:val="001D7CB4"/>
    <w:rsid w:val="001D7E35"/>
    <w:rsid w:val="001D7EE8"/>
    <w:rsid w:val="001E0176"/>
    <w:rsid w:val="001E0A62"/>
    <w:rsid w:val="001E0F01"/>
    <w:rsid w:val="001E1502"/>
    <w:rsid w:val="001E1D63"/>
    <w:rsid w:val="001E2955"/>
    <w:rsid w:val="001E3017"/>
    <w:rsid w:val="001E33AB"/>
    <w:rsid w:val="001E3526"/>
    <w:rsid w:val="001E361F"/>
    <w:rsid w:val="001E3650"/>
    <w:rsid w:val="001E401E"/>
    <w:rsid w:val="001E4241"/>
    <w:rsid w:val="001E5562"/>
    <w:rsid w:val="001E5CAF"/>
    <w:rsid w:val="001E61F7"/>
    <w:rsid w:val="001E6563"/>
    <w:rsid w:val="001E74B0"/>
    <w:rsid w:val="001E78BD"/>
    <w:rsid w:val="001E7C29"/>
    <w:rsid w:val="001F0014"/>
    <w:rsid w:val="001F0209"/>
    <w:rsid w:val="001F0524"/>
    <w:rsid w:val="001F0632"/>
    <w:rsid w:val="001F0D77"/>
    <w:rsid w:val="001F0DE9"/>
    <w:rsid w:val="001F0F81"/>
    <w:rsid w:val="001F131B"/>
    <w:rsid w:val="001F13C4"/>
    <w:rsid w:val="001F1973"/>
    <w:rsid w:val="001F1D15"/>
    <w:rsid w:val="001F3696"/>
    <w:rsid w:val="001F4133"/>
    <w:rsid w:val="001F4467"/>
    <w:rsid w:val="001F44E0"/>
    <w:rsid w:val="001F4987"/>
    <w:rsid w:val="001F49F2"/>
    <w:rsid w:val="001F4B06"/>
    <w:rsid w:val="001F4BA5"/>
    <w:rsid w:val="001F51F2"/>
    <w:rsid w:val="001F61BB"/>
    <w:rsid w:val="001F627B"/>
    <w:rsid w:val="001F65EB"/>
    <w:rsid w:val="001F6948"/>
    <w:rsid w:val="001F6E52"/>
    <w:rsid w:val="001F731B"/>
    <w:rsid w:val="001F77EF"/>
    <w:rsid w:val="001F7909"/>
    <w:rsid w:val="001F7BE8"/>
    <w:rsid w:val="001F7C97"/>
    <w:rsid w:val="00200AF5"/>
    <w:rsid w:val="002018E2"/>
    <w:rsid w:val="00201B77"/>
    <w:rsid w:val="002022B1"/>
    <w:rsid w:val="00202506"/>
    <w:rsid w:val="00202509"/>
    <w:rsid w:val="002026B3"/>
    <w:rsid w:val="0020280D"/>
    <w:rsid w:val="00202E24"/>
    <w:rsid w:val="0020310F"/>
    <w:rsid w:val="0020342A"/>
    <w:rsid w:val="0020351D"/>
    <w:rsid w:val="0020383C"/>
    <w:rsid w:val="00203894"/>
    <w:rsid w:val="00203A61"/>
    <w:rsid w:val="00203C11"/>
    <w:rsid w:val="0020467F"/>
    <w:rsid w:val="0020477E"/>
    <w:rsid w:val="00204C05"/>
    <w:rsid w:val="00204E38"/>
    <w:rsid w:val="00205234"/>
    <w:rsid w:val="0020563D"/>
    <w:rsid w:val="00205829"/>
    <w:rsid w:val="00205A02"/>
    <w:rsid w:val="00205B65"/>
    <w:rsid w:val="002061DC"/>
    <w:rsid w:val="0020620C"/>
    <w:rsid w:val="002068FA"/>
    <w:rsid w:val="00207218"/>
    <w:rsid w:val="002078C3"/>
    <w:rsid w:val="00210146"/>
    <w:rsid w:val="002102D3"/>
    <w:rsid w:val="002106F7"/>
    <w:rsid w:val="00210C35"/>
    <w:rsid w:val="00210CB9"/>
    <w:rsid w:val="00210CBF"/>
    <w:rsid w:val="00211045"/>
    <w:rsid w:val="00211050"/>
    <w:rsid w:val="0021110D"/>
    <w:rsid w:val="00211714"/>
    <w:rsid w:val="00211AE1"/>
    <w:rsid w:val="00211BEA"/>
    <w:rsid w:val="0021263D"/>
    <w:rsid w:val="002128F2"/>
    <w:rsid w:val="00212A7B"/>
    <w:rsid w:val="00212B0D"/>
    <w:rsid w:val="00212E44"/>
    <w:rsid w:val="00212ED0"/>
    <w:rsid w:val="0021324D"/>
    <w:rsid w:val="00213AEE"/>
    <w:rsid w:val="00213B3C"/>
    <w:rsid w:val="00214157"/>
    <w:rsid w:val="00214320"/>
    <w:rsid w:val="00214E77"/>
    <w:rsid w:val="002157E8"/>
    <w:rsid w:val="0021581F"/>
    <w:rsid w:val="002163A6"/>
    <w:rsid w:val="00216441"/>
    <w:rsid w:val="002165C8"/>
    <w:rsid w:val="002168D9"/>
    <w:rsid w:val="0021693A"/>
    <w:rsid w:val="00216D60"/>
    <w:rsid w:val="00216FD4"/>
    <w:rsid w:val="00217471"/>
    <w:rsid w:val="00220076"/>
    <w:rsid w:val="0022073C"/>
    <w:rsid w:val="00220B2F"/>
    <w:rsid w:val="00221020"/>
    <w:rsid w:val="00221946"/>
    <w:rsid w:val="00221CCB"/>
    <w:rsid w:val="00221DB3"/>
    <w:rsid w:val="00221ED4"/>
    <w:rsid w:val="002225E6"/>
    <w:rsid w:val="0022282B"/>
    <w:rsid w:val="002228A7"/>
    <w:rsid w:val="00222B80"/>
    <w:rsid w:val="0022335E"/>
    <w:rsid w:val="0022359C"/>
    <w:rsid w:val="002239A2"/>
    <w:rsid w:val="00223E6D"/>
    <w:rsid w:val="002242E9"/>
    <w:rsid w:val="00224331"/>
    <w:rsid w:val="00224417"/>
    <w:rsid w:val="00224938"/>
    <w:rsid w:val="002250C4"/>
    <w:rsid w:val="00225248"/>
    <w:rsid w:val="00225AFE"/>
    <w:rsid w:val="00225E3F"/>
    <w:rsid w:val="002260A4"/>
    <w:rsid w:val="0022640B"/>
    <w:rsid w:val="00226584"/>
    <w:rsid w:val="00226934"/>
    <w:rsid w:val="00226ADE"/>
    <w:rsid w:val="00226D1B"/>
    <w:rsid w:val="00226D6E"/>
    <w:rsid w:val="00227811"/>
    <w:rsid w:val="00227A94"/>
    <w:rsid w:val="00227C48"/>
    <w:rsid w:val="00227D00"/>
    <w:rsid w:val="00227FC5"/>
    <w:rsid w:val="0023034D"/>
    <w:rsid w:val="002312B0"/>
    <w:rsid w:val="00231380"/>
    <w:rsid w:val="00231598"/>
    <w:rsid w:val="002317AF"/>
    <w:rsid w:val="00231A45"/>
    <w:rsid w:val="00231CF8"/>
    <w:rsid w:val="00231E36"/>
    <w:rsid w:val="00233370"/>
    <w:rsid w:val="00233434"/>
    <w:rsid w:val="00233A98"/>
    <w:rsid w:val="00233B1C"/>
    <w:rsid w:val="00233F11"/>
    <w:rsid w:val="002343A9"/>
    <w:rsid w:val="00234446"/>
    <w:rsid w:val="00234A45"/>
    <w:rsid w:val="00234D78"/>
    <w:rsid w:val="00234E8E"/>
    <w:rsid w:val="00234E92"/>
    <w:rsid w:val="00235AE4"/>
    <w:rsid w:val="00235F3D"/>
    <w:rsid w:val="0023688D"/>
    <w:rsid w:val="002369B0"/>
    <w:rsid w:val="00236A33"/>
    <w:rsid w:val="00236E5E"/>
    <w:rsid w:val="0023730F"/>
    <w:rsid w:val="0023749D"/>
    <w:rsid w:val="00237E83"/>
    <w:rsid w:val="00237FE5"/>
    <w:rsid w:val="00240744"/>
    <w:rsid w:val="00240789"/>
    <w:rsid w:val="00240BF7"/>
    <w:rsid w:val="00240E04"/>
    <w:rsid w:val="00241682"/>
    <w:rsid w:val="00241B9D"/>
    <w:rsid w:val="00241CD9"/>
    <w:rsid w:val="00242191"/>
    <w:rsid w:val="00242B34"/>
    <w:rsid w:val="00243069"/>
    <w:rsid w:val="0024349A"/>
    <w:rsid w:val="002438E1"/>
    <w:rsid w:val="00243DCD"/>
    <w:rsid w:val="00244183"/>
    <w:rsid w:val="0024498A"/>
    <w:rsid w:val="002460CE"/>
    <w:rsid w:val="002462B2"/>
    <w:rsid w:val="00246539"/>
    <w:rsid w:val="0024695B"/>
    <w:rsid w:val="0024718D"/>
    <w:rsid w:val="00247233"/>
    <w:rsid w:val="002473B3"/>
    <w:rsid w:val="00247730"/>
    <w:rsid w:val="002479BE"/>
    <w:rsid w:val="00247DAF"/>
    <w:rsid w:val="00247F33"/>
    <w:rsid w:val="002500DF"/>
    <w:rsid w:val="002500E5"/>
    <w:rsid w:val="00250105"/>
    <w:rsid w:val="00250821"/>
    <w:rsid w:val="00250C52"/>
    <w:rsid w:val="00251CD1"/>
    <w:rsid w:val="00251D3E"/>
    <w:rsid w:val="0025203A"/>
    <w:rsid w:val="0025249D"/>
    <w:rsid w:val="0025249E"/>
    <w:rsid w:val="002525B0"/>
    <w:rsid w:val="002528C2"/>
    <w:rsid w:val="00253370"/>
    <w:rsid w:val="002535D2"/>
    <w:rsid w:val="002537BB"/>
    <w:rsid w:val="002538D8"/>
    <w:rsid w:val="00253AD8"/>
    <w:rsid w:val="00254005"/>
    <w:rsid w:val="002545A2"/>
    <w:rsid w:val="00254DE3"/>
    <w:rsid w:val="00254E0E"/>
    <w:rsid w:val="00254F75"/>
    <w:rsid w:val="00254FC2"/>
    <w:rsid w:val="0025519D"/>
    <w:rsid w:val="00255C9D"/>
    <w:rsid w:val="002572B9"/>
    <w:rsid w:val="002572BD"/>
    <w:rsid w:val="002603D4"/>
    <w:rsid w:val="00260802"/>
    <w:rsid w:val="00260E56"/>
    <w:rsid w:val="002610BE"/>
    <w:rsid w:val="002612D0"/>
    <w:rsid w:val="0026145E"/>
    <w:rsid w:val="0026179E"/>
    <w:rsid w:val="00261C22"/>
    <w:rsid w:val="00261DE5"/>
    <w:rsid w:val="00261F8B"/>
    <w:rsid w:val="00262931"/>
    <w:rsid w:val="00262BFE"/>
    <w:rsid w:val="00262E1F"/>
    <w:rsid w:val="00263814"/>
    <w:rsid w:val="002638A7"/>
    <w:rsid w:val="00263CD5"/>
    <w:rsid w:val="002641E8"/>
    <w:rsid w:val="002647B5"/>
    <w:rsid w:val="002654C0"/>
    <w:rsid w:val="002657EC"/>
    <w:rsid w:val="002657EF"/>
    <w:rsid w:val="002664A8"/>
    <w:rsid w:val="002664F9"/>
    <w:rsid w:val="002668C2"/>
    <w:rsid w:val="00266C09"/>
    <w:rsid w:val="00266E5E"/>
    <w:rsid w:val="00266ED9"/>
    <w:rsid w:val="00266EEB"/>
    <w:rsid w:val="00267145"/>
    <w:rsid w:val="002675A6"/>
    <w:rsid w:val="00267856"/>
    <w:rsid w:val="00267FED"/>
    <w:rsid w:val="002709F1"/>
    <w:rsid w:val="00270AB1"/>
    <w:rsid w:val="00270C7B"/>
    <w:rsid w:val="00270C8B"/>
    <w:rsid w:val="00270E7B"/>
    <w:rsid w:val="0027113A"/>
    <w:rsid w:val="00271599"/>
    <w:rsid w:val="00271CFC"/>
    <w:rsid w:val="002720C6"/>
    <w:rsid w:val="00272435"/>
    <w:rsid w:val="0027284E"/>
    <w:rsid w:val="00272864"/>
    <w:rsid w:val="00272ABC"/>
    <w:rsid w:val="00273186"/>
    <w:rsid w:val="0027330C"/>
    <w:rsid w:val="00273F23"/>
    <w:rsid w:val="00274187"/>
    <w:rsid w:val="002745C0"/>
    <w:rsid w:val="00274AD6"/>
    <w:rsid w:val="00275F2B"/>
    <w:rsid w:val="00275FDE"/>
    <w:rsid w:val="00276422"/>
    <w:rsid w:val="002765D8"/>
    <w:rsid w:val="002767C0"/>
    <w:rsid w:val="002770D7"/>
    <w:rsid w:val="00277114"/>
    <w:rsid w:val="002771F4"/>
    <w:rsid w:val="00277383"/>
    <w:rsid w:val="002773F8"/>
    <w:rsid w:val="002777BA"/>
    <w:rsid w:val="00277DFD"/>
    <w:rsid w:val="00280818"/>
    <w:rsid w:val="0028083C"/>
    <w:rsid w:val="00280A24"/>
    <w:rsid w:val="002811A8"/>
    <w:rsid w:val="002813CA"/>
    <w:rsid w:val="002813DA"/>
    <w:rsid w:val="002814C1"/>
    <w:rsid w:val="00281E03"/>
    <w:rsid w:val="0028206C"/>
    <w:rsid w:val="0028279F"/>
    <w:rsid w:val="00282E27"/>
    <w:rsid w:val="00282E2B"/>
    <w:rsid w:val="00283533"/>
    <w:rsid w:val="00283BC6"/>
    <w:rsid w:val="002842AC"/>
    <w:rsid w:val="0028478A"/>
    <w:rsid w:val="002847F0"/>
    <w:rsid w:val="00284BA8"/>
    <w:rsid w:val="00284C4E"/>
    <w:rsid w:val="0028508A"/>
    <w:rsid w:val="0028508B"/>
    <w:rsid w:val="0028590A"/>
    <w:rsid w:val="00285A7D"/>
    <w:rsid w:val="00286816"/>
    <w:rsid w:val="00286E02"/>
    <w:rsid w:val="00287241"/>
    <w:rsid w:val="002872A4"/>
    <w:rsid w:val="00287491"/>
    <w:rsid w:val="0028789A"/>
    <w:rsid w:val="0028799E"/>
    <w:rsid w:val="00290145"/>
    <w:rsid w:val="0029044E"/>
    <w:rsid w:val="002905A5"/>
    <w:rsid w:val="002906AA"/>
    <w:rsid w:val="002908AB"/>
    <w:rsid w:val="00291BF8"/>
    <w:rsid w:val="002921CD"/>
    <w:rsid w:val="00292737"/>
    <w:rsid w:val="00292797"/>
    <w:rsid w:val="00292A1D"/>
    <w:rsid w:val="00292FB8"/>
    <w:rsid w:val="00293643"/>
    <w:rsid w:val="00293647"/>
    <w:rsid w:val="00293C23"/>
    <w:rsid w:val="00293D40"/>
    <w:rsid w:val="00293E2C"/>
    <w:rsid w:val="00294602"/>
    <w:rsid w:val="0029467D"/>
    <w:rsid w:val="0029468D"/>
    <w:rsid w:val="002946AC"/>
    <w:rsid w:val="00294CE8"/>
    <w:rsid w:val="0029500E"/>
    <w:rsid w:val="002954E9"/>
    <w:rsid w:val="002956B3"/>
    <w:rsid w:val="0029570C"/>
    <w:rsid w:val="00295809"/>
    <w:rsid w:val="00295B70"/>
    <w:rsid w:val="002960B4"/>
    <w:rsid w:val="00296497"/>
    <w:rsid w:val="0029674B"/>
    <w:rsid w:val="00296C6F"/>
    <w:rsid w:val="00296D6B"/>
    <w:rsid w:val="00297969"/>
    <w:rsid w:val="00297B5C"/>
    <w:rsid w:val="002A05C3"/>
    <w:rsid w:val="002A0900"/>
    <w:rsid w:val="002A118F"/>
    <w:rsid w:val="002A1376"/>
    <w:rsid w:val="002A1923"/>
    <w:rsid w:val="002A2552"/>
    <w:rsid w:val="002A2615"/>
    <w:rsid w:val="002A28A0"/>
    <w:rsid w:val="002A2F09"/>
    <w:rsid w:val="002A3373"/>
    <w:rsid w:val="002A3557"/>
    <w:rsid w:val="002A3786"/>
    <w:rsid w:val="002A38BB"/>
    <w:rsid w:val="002A4BC6"/>
    <w:rsid w:val="002A528B"/>
    <w:rsid w:val="002A55F4"/>
    <w:rsid w:val="002A58B5"/>
    <w:rsid w:val="002A58EE"/>
    <w:rsid w:val="002A58F3"/>
    <w:rsid w:val="002A5AD3"/>
    <w:rsid w:val="002A5C87"/>
    <w:rsid w:val="002A5D81"/>
    <w:rsid w:val="002A5E27"/>
    <w:rsid w:val="002A5FA6"/>
    <w:rsid w:val="002A62FD"/>
    <w:rsid w:val="002A6344"/>
    <w:rsid w:val="002A6BEC"/>
    <w:rsid w:val="002A7441"/>
    <w:rsid w:val="002A77E6"/>
    <w:rsid w:val="002A79D3"/>
    <w:rsid w:val="002B0179"/>
    <w:rsid w:val="002B0F37"/>
    <w:rsid w:val="002B126D"/>
    <w:rsid w:val="002B1456"/>
    <w:rsid w:val="002B15FC"/>
    <w:rsid w:val="002B19A4"/>
    <w:rsid w:val="002B1FDE"/>
    <w:rsid w:val="002B25F0"/>
    <w:rsid w:val="002B27F5"/>
    <w:rsid w:val="002B2A82"/>
    <w:rsid w:val="002B2ABA"/>
    <w:rsid w:val="002B2F61"/>
    <w:rsid w:val="002B3222"/>
    <w:rsid w:val="002B32E3"/>
    <w:rsid w:val="002B3466"/>
    <w:rsid w:val="002B3CFB"/>
    <w:rsid w:val="002B43A2"/>
    <w:rsid w:val="002B4784"/>
    <w:rsid w:val="002B505C"/>
    <w:rsid w:val="002B51C9"/>
    <w:rsid w:val="002B5220"/>
    <w:rsid w:val="002B5ABD"/>
    <w:rsid w:val="002B5DE9"/>
    <w:rsid w:val="002B5F7E"/>
    <w:rsid w:val="002B6223"/>
    <w:rsid w:val="002B62CB"/>
    <w:rsid w:val="002B6694"/>
    <w:rsid w:val="002B6846"/>
    <w:rsid w:val="002B6AD8"/>
    <w:rsid w:val="002B7966"/>
    <w:rsid w:val="002B7E61"/>
    <w:rsid w:val="002C0B7C"/>
    <w:rsid w:val="002C0F24"/>
    <w:rsid w:val="002C133E"/>
    <w:rsid w:val="002C1804"/>
    <w:rsid w:val="002C23EF"/>
    <w:rsid w:val="002C25D0"/>
    <w:rsid w:val="002C27BE"/>
    <w:rsid w:val="002C2DE0"/>
    <w:rsid w:val="002C3867"/>
    <w:rsid w:val="002C3DE5"/>
    <w:rsid w:val="002C3F19"/>
    <w:rsid w:val="002C47C5"/>
    <w:rsid w:val="002C49B0"/>
    <w:rsid w:val="002C510E"/>
    <w:rsid w:val="002C5D13"/>
    <w:rsid w:val="002C5EFA"/>
    <w:rsid w:val="002C629B"/>
    <w:rsid w:val="002C69AE"/>
    <w:rsid w:val="002C7073"/>
    <w:rsid w:val="002C74D4"/>
    <w:rsid w:val="002C78F6"/>
    <w:rsid w:val="002C793B"/>
    <w:rsid w:val="002C7EAC"/>
    <w:rsid w:val="002D0513"/>
    <w:rsid w:val="002D1057"/>
    <w:rsid w:val="002D16C4"/>
    <w:rsid w:val="002D17F8"/>
    <w:rsid w:val="002D1EFC"/>
    <w:rsid w:val="002D2257"/>
    <w:rsid w:val="002D25F7"/>
    <w:rsid w:val="002D2714"/>
    <w:rsid w:val="002D345E"/>
    <w:rsid w:val="002D38E5"/>
    <w:rsid w:val="002D3DDA"/>
    <w:rsid w:val="002D4052"/>
    <w:rsid w:val="002D421E"/>
    <w:rsid w:val="002D422C"/>
    <w:rsid w:val="002D4975"/>
    <w:rsid w:val="002D49DD"/>
    <w:rsid w:val="002D4A31"/>
    <w:rsid w:val="002D4DF8"/>
    <w:rsid w:val="002D5043"/>
    <w:rsid w:val="002D5383"/>
    <w:rsid w:val="002D5860"/>
    <w:rsid w:val="002D5993"/>
    <w:rsid w:val="002D59BE"/>
    <w:rsid w:val="002D608A"/>
    <w:rsid w:val="002D624A"/>
    <w:rsid w:val="002D72F3"/>
    <w:rsid w:val="002D7431"/>
    <w:rsid w:val="002D752D"/>
    <w:rsid w:val="002D78F3"/>
    <w:rsid w:val="002D7ADF"/>
    <w:rsid w:val="002D7EA0"/>
    <w:rsid w:val="002E02BD"/>
    <w:rsid w:val="002E06C7"/>
    <w:rsid w:val="002E1529"/>
    <w:rsid w:val="002E1C7E"/>
    <w:rsid w:val="002E1D0B"/>
    <w:rsid w:val="002E1D39"/>
    <w:rsid w:val="002E21E5"/>
    <w:rsid w:val="002E2536"/>
    <w:rsid w:val="002E337C"/>
    <w:rsid w:val="002E362C"/>
    <w:rsid w:val="002E4639"/>
    <w:rsid w:val="002E48FD"/>
    <w:rsid w:val="002E4F8C"/>
    <w:rsid w:val="002E617F"/>
    <w:rsid w:val="002E6666"/>
    <w:rsid w:val="002E7733"/>
    <w:rsid w:val="002F01E0"/>
    <w:rsid w:val="002F09AC"/>
    <w:rsid w:val="002F0D05"/>
    <w:rsid w:val="002F1903"/>
    <w:rsid w:val="002F1AC5"/>
    <w:rsid w:val="002F1D35"/>
    <w:rsid w:val="002F23FE"/>
    <w:rsid w:val="002F2414"/>
    <w:rsid w:val="002F241D"/>
    <w:rsid w:val="002F2CA5"/>
    <w:rsid w:val="002F3084"/>
    <w:rsid w:val="002F34C0"/>
    <w:rsid w:val="002F3600"/>
    <w:rsid w:val="002F3761"/>
    <w:rsid w:val="002F39D9"/>
    <w:rsid w:val="002F3C93"/>
    <w:rsid w:val="002F4203"/>
    <w:rsid w:val="002F4657"/>
    <w:rsid w:val="002F4685"/>
    <w:rsid w:val="002F4718"/>
    <w:rsid w:val="002F5065"/>
    <w:rsid w:val="002F5094"/>
    <w:rsid w:val="002F5147"/>
    <w:rsid w:val="002F59AC"/>
    <w:rsid w:val="002F5D75"/>
    <w:rsid w:val="002F6148"/>
    <w:rsid w:val="002F7027"/>
    <w:rsid w:val="002F7529"/>
    <w:rsid w:val="002F7A47"/>
    <w:rsid w:val="002F7BF3"/>
    <w:rsid w:val="002F7D93"/>
    <w:rsid w:val="0030009F"/>
    <w:rsid w:val="0030092A"/>
    <w:rsid w:val="00300DBB"/>
    <w:rsid w:val="00301044"/>
    <w:rsid w:val="003011A0"/>
    <w:rsid w:val="00301CFB"/>
    <w:rsid w:val="00301FDD"/>
    <w:rsid w:val="003020BD"/>
    <w:rsid w:val="00302277"/>
    <w:rsid w:val="00302288"/>
    <w:rsid w:val="003024B7"/>
    <w:rsid w:val="003027DB"/>
    <w:rsid w:val="0030398D"/>
    <w:rsid w:val="003039EF"/>
    <w:rsid w:val="00303C7B"/>
    <w:rsid w:val="00304099"/>
    <w:rsid w:val="00304259"/>
    <w:rsid w:val="003055CB"/>
    <w:rsid w:val="00305738"/>
    <w:rsid w:val="00305A10"/>
    <w:rsid w:val="00306048"/>
    <w:rsid w:val="003065F7"/>
    <w:rsid w:val="0030661A"/>
    <w:rsid w:val="00306C5C"/>
    <w:rsid w:val="00306E2C"/>
    <w:rsid w:val="003074E2"/>
    <w:rsid w:val="0030798F"/>
    <w:rsid w:val="00307B5A"/>
    <w:rsid w:val="00307BCB"/>
    <w:rsid w:val="003107C2"/>
    <w:rsid w:val="00310A6A"/>
    <w:rsid w:val="00311FFB"/>
    <w:rsid w:val="003122C4"/>
    <w:rsid w:val="003139AD"/>
    <w:rsid w:val="00314326"/>
    <w:rsid w:val="00314B45"/>
    <w:rsid w:val="00314EA2"/>
    <w:rsid w:val="00315ADA"/>
    <w:rsid w:val="00315C4E"/>
    <w:rsid w:val="003160C0"/>
    <w:rsid w:val="003164E5"/>
    <w:rsid w:val="00316DC2"/>
    <w:rsid w:val="00317025"/>
    <w:rsid w:val="0031715A"/>
    <w:rsid w:val="00317170"/>
    <w:rsid w:val="0031730F"/>
    <w:rsid w:val="003177DD"/>
    <w:rsid w:val="0031784F"/>
    <w:rsid w:val="00317881"/>
    <w:rsid w:val="003179FD"/>
    <w:rsid w:val="00317FEC"/>
    <w:rsid w:val="00320044"/>
    <w:rsid w:val="0032007D"/>
    <w:rsid w:val="00320666"/>
    <w:rsid w:val="003209B7"/>
    <w:rsid w:val="00320B3A"/>
    <w:rsid w:val="00320DF2"/>
    <w:rsid w:val="003213A3"/>
    <w:rsid w:val="00321457"/>
    <w:rsid w:val="00321645"/>
    <w:rsid w:val="0032183A"/>
    <w:rsid w:val="00322406"/>
    <w:rsid w:val="0032260E"/>
    <w:rsid w:val="00322B55"/>
    <w:rsid w:val="00323437"/>
    <w:rsid w:val="003234CA"/>
    <w:rsid w:val="00323613"/>
    <w:rsid w:val="00324502"/>
    <w:rsid w:val="00324825"/>
    <w:rsid w:val="00324873"/>
    <w:rsid w:val="00324E58"/>
    <w:rsid w:val="00324EB1"/>
    <w:rsid w:val="003250AD"/>
    <w:rsid w:val="003255CA"/>
    <w:rsid w:val="0032735B"/>
    <w:rsid w:val="00327BDD"/>
    <w:rsid w:val="003300E9"/>
    <w:rsid w:val="0033072B"/>
    <w:rsid w:val="00330863"/>
    <w:rsid w:val="00331487"/>
    <w:rsid w:val="003315F6"/>
    <w:rsid w:val="003316A1"/>
    <w:rsid w:val="003319D4"/>
    <w:rsid w:val="00331AD5"/>
    <w:rsid w:val="00331BEE"/>
    <w:rsid w:val="0033211B"/>
    <w:rsid w:val="0033222E"/>
    <w:rsid w:val="003322A0"/>
    <w:rsid w:val="0033295F"/>
    <w:rsid w:val="00333636"/>
    <w:rsid w:val="003336F0"/>
    <w:rsid w:val="003336FB"/>
    <w:rsid w:val="0033391A"/>
    <w:rsid w:val="00333AB1"/>
    <w:rsid w:val="00333BAA"/>
    <w:rsid w:val="0033444C"/>
    <w:rsid w:val="0033479E"/>
    <w:rsid w:val="00335154"/>
    <w:rsid w:val="00335A0C"/>
    <w:rsid w:val="00335E8B"/>
    <w:rsid w:val="0033635D"/>
    <w:rsid w:val="003364CC"/>
    <w:rsid w:val="003366A6"/>
    <w:rsid w:val="00336AEE"/>
    <w:rsid w:val="00336B96"/>
    <w:rsid w:val="00336CA4"/>
    <w:rsid w:val="00336CF6"/>
    <w:rsid w:val="0033712F"/>
    <w:rsid w:val="003375C3"/>
    <w:rsid w:val="00337768"/>
    <w:rsid w:val="00337AEC"/>
    <w:rsid w:val="003401ED"/>
    <w:rsid w:val="00340781"/>
    <w:rsid w:val="00340A20"/>
    <w:rsid w:val="00340E23"/>
    <w:rsid w:val="00341005"/>
    <w:rsid w:val="0034103A"/>
    <w:rsid w:val="003416D9"/>
    <w:rsid w:val="0034178C"/>
    <w:rsid w:val="00341D7C"/>
    <w:rsid w:val="0034205B"/>
    <w:rsid w:val="003421CC"/>
    <w:rsid w:val="0034324F"/>
    <w:rsid w:val="0034342B"/>
    <w:rsid w:val="003436D8"/>
    <w:rsid w:val="00343A13"/>
    <w:rsid w:val="00343CCA"/>
    <w:rsid w:val="00343E01"/>
    <w:rsid w:val="00344061"/>
    <w:rsid w:val="0034481F"/>
    <w:rsid w:val="00344F5D"/>
    <w:rsid w:val="0034575E"/>
    <w:rsid w:val="00345FF5"/>
    <w:rsid w:val="00346F20"/>
    <w:rsid w:val="003470C2"/>
    <w:rsid w:val="00347642"/>
    <w:rsid w:val="00347790"/>
    <w:rsid w:val="00347998"/>
    <w:rsid w:val="00347DBF"/>
    <w:rsid w:val="00347F8D"/>
    <w:rsid w:val="00347FAB"/>
    <w:rsid w:val="0035027B"/>
    <w:rsid w:val="00350C7F"/>
    <w:rsid w:val="003510E0"/>
    <w:rsid w:val="003512CF"/>
    <w:rsid w:val="003513E9"/>
    <w:rsid w:val="00351AC2"/>
    <w:rsid w:val="00352526"/>
    <w:rsid w:val="00352558"/>
    <w:rsid w:val="0035273E"/>
    <w:rsid w:val="00352862"/>
    <w:rsid w:val="003531C7"/>
    <w:rsid w:val="00353CB0"/>
    <w:rsid w:val="00353F26"/>
    <w:rsid w:val="0035406A"/>
    <w:rsid w:val="00354671"/>
    <w:rsid w:val="0035489D"/>
    <w:rsid w:val="00354F0E"/>
    <w:rsid w:val="003552D5"/>
    <w:rsid w:val="00355B1D"/>
    <w:rsid w:val="00355D08"/>
    <w:rsid w:val="00356039"/>
    <w:rsid w:val="003564F2"/>
    <w:rsid w:val="00356510"/>
    <w:rsid w:val="003567A2"/>
    <w:rsid w:val="00356BB7"/>
    <w:rsid w:val="003571CD"/>
    <w:rsid w:val="0035748A"/>
    <w:rsid w:val="0035786D"/>
    <w:rsid w:val="00357870"/>
    <w:rsid w:val="00357938"/>
    <w:rsid w:val="00357C53"/>
    <w:rsid w:val="00357E8B"/>
    <w:rsid w:val="00357F46"/>
    <w:rsid w:val="00361028"/>
    <w:rsid w:val="00361190"/>
    <w:rsid w:val="0036165F"/>
    <w:rsid w:val="00361728"/>
    <w:rsid w:val="0036189E"/>
    <w:rsid w:val="003621AD"/>
    <w:rsid w:val="003622A7"/>
    <w:rsid w:val="00362677"/>
    <w:rsid w:val="00362855"/>
    <w:rsid w:val="00362CB5"/>
    <w:rsid w:val="00363442"/>
    <w:rsid w:val="003637CF"/>
    <w:rsid w:val="00363B0B"/>
    <w:rsid w:val="00363D15"/>
    <w:rsid w:val="00363D28"/>
    <w:rsid w:val="00363DBD"/>
    <w:rsid w:val="003640F7"/>
    <w:rsid w:val="00364990"/>
    <w:rsid w:val="003650FF"/>
    <w:rsid w:val="0036517D"/>
    <w:rsid w:val="00365385"/>
    <w:rsid w:val="00365FC2"/>
    <w:rsid w:val="003669F4"/>
    <w:rsid w:val="003670B6"/>
    <w:rsid w:val="003673A0"/>
    <w:rsid w:val="00367508"/>
    <w:rsid w:val="00367680"/>
    <w:rsid w:val="00367AD4"/>
    <w:rsid w:val="00370549"/>
    <w:rsid w:val="003707A4"/>
    <w:rsid w:val="0037132E"/>
    <w:rsid w:val="003714D3"/>
    <w:rsid w:val="00371B8F"/>
    <w:rsid w:val="003721DB"/>
    <w:rsid w:val="0037228D"/>
    <w:rsid w:val="003723DF"/>
    <w:rsid w:val="0037247E"/>
    <w:rsid w:val="00372FF7"/>
    <w:rsid w:val="00373232"/>
    <w:rsid w:val="0037389D"/>
    <w:rsid w:val="00374009"/>
    <w:rsid w:val="00374126"/>
    <w:rsid w:val="00374482"/>
    <w:rsid w:val="003747AD"/>
    <w:rsid w:val="00374CBE"/>
    <w:rsid w:val="003750DD"/>
    <w:rsid w:val="0037577D"/>
    <w:rsid w:val="003758BF"/>
    <w:rsid w:val="003758CA"/>
    <w:rsid w:val="00376100"/>
    <w:rsid w:val="003761C8"/>
    <w:rsid w:val="003770A9"/>
    <w:rsid w:val="00377357"/>
    <w:rsid w:val="0037737A"/>
    <w:rsid w:val="003777AE"/>
    <w:rsid w:val="003801B9"/>
    <w:rsid w:val="003806E9"/>
    <w:rsid w:val="00380786"/>
    <w:rsid w:val="00380A21"/>
    <w:rsid w:val="00380B7C"/>
    <w:rsid w:val="00380F6A"/>
    <w:rsid w:val="003810DA"/>
    <w:rsid w:val="003811C1"/>
    <w:rsid w:val="00381757"/>
    <w:rsid w:val="00382D11"/>
    <w:rsid w:val="003831E3"/>
    <w:rsid w:val="00383AAE"/>
    <w:rsid w:val="00383E4E"/>
    <w:rsid w:val="003840D3"/>
    <w:rsid w:val="0038417E"/>
    <w:rsid w:val="003847E4"/>
    <w:rsid w:val="00384A35"/>
    <w:rsid w:val="00385BFD"/>
    <w:rsid w:val="00385E2A"/>
    <w:rsid w:val="00385F64"/>
    <w:rsid w:val="0038611F"/>
    <w:rsid w:val="00386971"/>
    <w:rsid w:val="00386F0C"/>
    <w:rsid w:val="00386F9A"/>
    <w:rsid w:val="00387287"/>
    <w:rsid w:val="00387486"/>
    <w:rsid w:val="003875E8"/>
    <w:rsid w:val="00387E71"/>
    <w:rsid w:val="003902A2"/>
    <w:rsid w:val="00391589"/>
    <w:rsid w:val="00391F78"/>
    <w:rsid w:val="00392188"/>
    <w:rsid w:val="00392560"/>
    <w:rsid w:val="00392E99"/>
    <w:rsid w:val="00393241"/>
    <w:rsid w:val="00393350"/>
    <w:rsid w:val="003942EE"/>
    <w:rsid w:val="003942F8"/>
    <w:rsid w:val="00394BB2"/>
    <w:rsid w:val="00394C21"/>
    <w:rsid w:val="0039516A"/>
    <w:rsid w:val="00395272"/>
    <w:rsid w:val="0039547D"/>
    <w:rsid w:val="003954AC"/>
    <w:rsid w:val="003955F7"/>
    <w:rsid w:val="0039626C"/>
    <w:rsid w:val="003963B5"/>
    <w:rsid w:val="00396601"/>
    <w:rsid w:val="00396EB2"/>
    <w:rsid w:val="003970BC"/>
    <w:rsid w:val="0039710B"/>
    <w:rsid w:val="003977F6"/>
    <w:rsid w:val="0039788B"/>
    <w:rsid w:val="00397AAF"/>
    <w:rsid w:val="00397DE6"/>
    <w:rsid w:val="003A01F2"/>
    <w:rsid w:val="003A0FAF"/>
    <w:rsid w:val="003A102F"/>
    <w:rsid w:val="003A11EA"/>
    <w:rsid w:val="003A171F"/>
    <w:rsid w:val="003A1BE9"/>
    <w:rsid w:val="003A1C9A"/>
    <w:rsid w:val="003A1CBA"/>
    <w:rsid w:val="003A2789"/>
    <w:rsid w:val="003A2A15"/>
    <w:rsid w:val="003A2FD4"/>
    <w:rsid w:val="003A3403"/>
    <w:rsid w:val="003A4074"/>
    <w:rsid w:val="003A466E"/>
    <w:rsid w:val="003A46A8"/>
    <w:rsid w:val="003A4B1B"/>
    <w:rsid w:val="003A5219"/>
    <w:rsid w:val="003A5299"/>
    <w:rsid w:val="003A5372"/>
    <w:rsid w:val="003A54A5"/>
    <w:rsid w:val="003A592A"/>
    <w:rsid w:val="003A5B9D"/>
    <w:rsid w:val="003A68B4"/>
    <w:rsid w:val="003A6FFD"/>
    <w:rsid w:val="003A70F8"/>
    <w:rsid w:val="003A77C8"/>
    <w:rsid w:val="003A7F91"/>
    <w:rsid w:val="003B0440"/>
    <w:rsid w:val="003B0971"/>
    <w:rsid w:val="003B0B3E"/>
    <w:rsid w:val="003B0E68"/>
    <w:rsid w:val="003B0FEE"/>
    <w:rsid w:val="003B11C3"/>
    <w:rsid w:val="003B17C5"/>
    <w:rsid w:val="003B1B69"/>
    <w:rsid w:val="003B215C"/>
    <w:rsid w:val="003B21CA"/>
    <w:rsid w:val="003B2233"/>
    <w:rsid w:val="003B2A79"/>
    <w:rsid w:val="003B32FC"/>
    <w:rsid w:val="003B4345"/>
    <w:rsid w:val="003B45DC"/>
    <w:rsid w:val="003B45E9"/>
    <w:rsid w:val="003B4CEE"/>
    <w:rsid w:val="003B4DEC"/>
    <w:rsid w:val="003B537B"/>
    <w:rsid w:val="003B54FD"/>
    <w:rsid w:val="003B5C2D"/>
    <w:rsid w:val="003B6162"/>
    <w:rsid w:val="003B61EC"/>
    <w:rsid w:val="003B6502"/>
    <w:rsid w:val="003B6528"/>
    <w:rsid w:val="003B6735"/>
    <w:rsid w:val="003B68DF"/>
    <w:rsid w:val="003B6A69"/>
    <w:rsid w:val="003B6D61"/>
    <w:rsid w:val="003B756D"/>
    <w:rsid w:val="003B7A89"/>
    <w:rsid w:val="003C0371"/>
    <w:rsid w:val="003C0446"/>
    <w:rsid w:val="003C04A0"/>
    <w:rsid w:val="003C0568"/>
    <w:rsid w:val="003C0C13"/>
    <w:rsid w:val="003C0C73"/>
    <w:rsid w:val="003C0EA7"/>
    <w:rsid w:val="003C1611"/>
    <w:rsid w:val="003C1C76"/>
    <w:rsid w:val="003C290D"/>
    <w:rsid w:val="003C2BF3"/>
    <w:rsid w:val="003C2D66"/>
    <w:rsid w:val="003C2F90"/>
    <w:rsid w:val="003C3B22"/>
    <w:rsid w:val="003C3E2F"/>
    <w:rsid w:val="003C4B11"/>
    <w:rsid w:val="003C4FE3"/>
    <w:rsid w:val="003C500C"/>
    <w:rsid w:val="003C5620"/>
    <w:rsid w:val="003C563A"/>
    <w:rsid w:val="003C5702"/>
    <w:rsid w:val="003C586A"/>
    <w:rsid w:val="003C5AB9"/>
    <w:rsid w:val="003C64D3"/>
    <w:rsid w:val="003C6B7B"/>
    <w:rsid w:val="003C6F3D"/>
    <w:rsid w:val="003C765E"/>
    <w:rsid w:val="003C7C1A"/>
    <w:rsid w:val="003D0304"/>
    <w:rsid w:val="003D2C23"/>
    <w:rsid w:val="003D3E2D"/>
    <w:rsid w:val="003D445B"/>
    <w:rsid w:val="003D461A"/>
    <w:rsid w:val="003D46F1"/>
    <w:rsid w:val="003D4868"/>
    <w:rsid w:val="003D4903"/>
    <w:rsid w:val="003D4A6D"/>
    <w:rsid w:val="003D4C12"/>
    <w:rsid w:val="003D50A4"/>
    <w:rsid w:val="003D53D6"/>
    <w:rsid w:val="003D57FF"/>
    <w:rsid w:val="003D5A33"/>
    <w:rsid w:val="003D5B3A"/>
    <w:rsid w:val="003D6AD1"/>
    <w:rsid w:val="003D6C8A"/>
    <w:rsid w:val="003D6E31"/>
    <w:rsid w:val="003D6FE3"/>
    <w:rsid w:val="003D7676"/>
    <w:rsid w:val="003D77D8"/>
    <w:rsid w:val="003D7DA2"/>
    <w:rsid w:val="003E0327"/>
    <w:rsid w:val="003E03CE"/>
    <w:rsid w:val="003E0CDB"/>
    <w:rsid w:val="003E15B4"/>
    <w:rsid w:val="003E1C96"/>
    <w:rsid w:val="003E1CBA"/>
    <w:rsid w:val="003E1F71"/>
    <w:rsid w:val="003E2279"/>
    <w:rsid w:val="003E266B"/>
    <w:rsid w:val="003E29DE"/>
    <w:rsid w:val="003E2B56"/>
    <w:rsid w:val="003E3ABA"/>
    <w:rsid w:val="003E5B2E"/>
    <w:rsid w:val="003E5C8B"/>
    <w:rsid w:val="003E5D25"/>
    <w:rsid w:val="003E6089"/>
    <w:rsid w:val="003E6491"/>
    <w:rsid w:val="003E6852"/>
    <w:rsid w:val="003E6B19"/>
    <w:rsid w:val="003E7392"/>
    <w:rsid w:val="003E73EB"/>
    <w:rsid w:val="003E74DF"/>
    <w:rsid w:val="003E785A"/>
    <w:rsid w:val="003E7860"/>
    <w:rsid w:val="003E7BB9"/>
    <w:rsid w:val="003E7D66"/>
    <w:rsid w:val="003E7D93"/>
    <w:rsid w:val="003E7E3D"/>
    <w:rsid w:val="003E7F4B"/>
    <w:rsid w:val="003F0F21"/>
    <w:rsid w:val="003F1173"/>
    <w:rsid w:val="003F123E"/>
    <w:rsid w:val="003F13B3"/>
    <w:rsid w:val="003F22CA"/>
    <w:rsid w:val="003F2425"/>
    <w:rsid w:val="003F2900"/>
    <w:rsid w:val="003F2D3D"/>
    <w:rsid w:val="003F2F54"/>
    <w:rsid w:val="003F3430"/>
    <w:rsid w:val="003F354C"/>
    <w:rsid w:val="003F3AE0"/>
    <w:rsid w:val="003F3BC5"/>
    <w:rsid w:val="003F42BA"/>
    <w:rsid w:val="003F492C"/>
    <w:rsid w:val="003F6490"/>
    <w:rsid w:val="003F7121"/>
    <w:rsid w:val="003F7169"/>
    <w:rsid w:val="003F77BC"/>
    <w:rsid w:val="003F7965"/>
    <w:rsid w:val="00400132"/>
    <w:rsid w:val="0040014B"/>
    <w:rsid w:val="00400802"/>
    <w:rsid w:val="00400E97"/>
    <w:rsid w:val="00400EC8"/>
    <w:rsid w:val="0040122B"/>
    <w:rsid w:val="00401818"/>
    <w:rsid w:val="00401F01"/>
    <w:rsid w:val="004024C9"/>
    <w:rsid w:val="0040253E"/>
    <w:rsid w:val="00402592"/>
    <w:rsid w:val="004037B7"/>
    <w:rsid w:val="00403B35"/>
    <w:rsid w:val="00403EA8"/>
    <w:rsid w:val="00404FD1"/>
    <w:rsid w:val="004052EA"/>
    <w:rsid w:val="00405E60"/>
    <w:rsid w:val="00406452"/>
    <w:rsid w:val="00406578"/>
    <w:rsid w:val="00406CA5"/>
    <w:rsid w:val="00407483"/>
    <w:rsid w:val="00407586"/>
    <w:rsid w:val="0040793A"/>
    <w:rsid w:val="00407C7F"/>
    <w:rsid w:val="00407CE5"/>
    <w:rsid w:val="00410017"/>
    <w:rsid w:val="00410E7B"/>
    <w:rsid w:val="0041108A"/>
    <w:rsid w:val="004113D4"/>
    <w:rsid w:val="00411F4F"/>
    <w:rsid w:val="00412621"/>
    <w:rsid w:val="0041285A"/>
    <w:rsid w:val="00412A28"/>
    <w:rsid w:val="0041323A"/>
    <w:rsid w:val="0041406B"/>
    <w:rsid w:val="00414B3B"/>
    <w:rsid w:val="00414E23"/>
    <w:rsid w:val="00414F16"/>
    <w:rsid w:val="004156F1"/>
    <w:rsid w:val="00415C0B"/>
    <w:rsid w:val="00416159"/>
    <w:rsid w:val="004162B1"/>
    <w:rsid w:val="00416AEF"/>
    <w:rsid w:val="00416B45"/>
    <w:rsid w:val="00416D14"/>
    <w:rsid w:val="0041701A"/>
    <w:rsid w:val="00417B1D"/>
    <w:rsid w:val="00417C3C"/>
    <w:rsid w:val="00417D9F"/>
    <w:rsid w:val="004205E1"/>
    <w:rsid w:val="004209B7"/>
    <w:rsid w:val="0042197D"/>
    <w:rsid w:val="00421E4E"/>
    <w:rsid w:val="00421FD8"/>
    <w:rsid w:val="00422057"/>
    <w:rsid w:val="00422D9E"/>
    <w:rsid w:val="00423735"/>
    <w:rsid w:val="00423EAD"/>
    <w:rsid w:val="00423F5D"/>
    <w:rsid w:val="0042406D"/>
    <w:rsid w:val="00424365"/>
    <w:rsid w:val="00424483"/>
    <w:rsid w:val="00424650"/>
    <w:rsid w:val="004248E2"/>
    <w:rsid w:val="00424E8C"/>
    <w:rsid w:val="004259E2"/>
    <w:rsid w:val="004268C3"/>
    <w:rsid w:val="00426A97"/>
    <w:rsid w:val="00427D93"/>
    <w:rsid w:val="004304F5"/>
    <w:rsid w:val="00430D70"/>
    <w:rsid w:val="0043108D"/>
    <w:rsid w:val="0043121A"/>
    <w:rsid w:val="004316DE"/>
    <w:rsid w:val="00431D59"/>
    <w:rsid w:val="00432814"/>
    <w:rsid w:val="0043446D"/>
    <w:rsid w:val="00434C02"/>
    <w:rsid w:val="0043514A"/>
    <w:rsid w:val="004358DB"/>
    <w:rsid w:val="00435F65"/>
    <w:rsid w:val="0043623C"/>
    <w:rsid w:val="0043644E"/>
    <w:rsid w:val="00437084"/>
    <w:rsid w:val="0043725B"/>
    <w:rsid w:val="00437834"/>
    <w:rsid w:val="004378B8"/>
    <w:rsid w:val="00437AC4"/>
    <w:rsid w:val="00437C2C"/>
    <w:rsid w:val="004405FA"/>
    <w:rsid w:val="0044077A"/>
    <w:rsid w:val="004414EB"/>
    <w:rsid w:val="00441749"/>
    <w:rsid w:val="00441B52"/>
    <w:rsid w:val="00441F64"/>
    <w:rsid w:val="00441FB8"/>
    <w:rsid w:val="004421E1"/>
    <w:rsid w:val="00442BD8"/>
    <w:rsid w:val="00442E1A"/>
    <w:rsid w:val="00442E8C"/>
    <w:rsid w:val="004433CE"/>
    <w:rsid w:val="00443AAA"/>
    <w:rsid w:val="004440C2"/>
    <w:rsid w:val="0044455B"/>
    <w:rsid w:val="00444597"/>
    <w:rsid w:val="00445633"/>
    <w:rsid w:val="00445C35"/>
    <w:rsid w:val="0044609E"/>
    <w:rsid w:val="00446D08"/>
    <w:rsid w:val="00446F71"/>
    <w:rsid w:val="004470DE"/>
    <w:rsid w:val="0044712D"/>
    <w:rsid w:val="0044749F"/>
    <w:rsid w:val="004501B9"/>
    <w:rsid w:val="00450604"/>
    <w:rsid w:val="00450A7C"/>
    <w:rsid w:val="00450B48"/>
    <w:rsid w:val="00451696"/>
    <w:rsid w:val="0045185A"/>
    <w:rsid w:val="00451AF6"/>
    <w:rsid w:val="00451EC0"/>
    <w:rsid w:val="00452079"/>
    <w:rsid w:val="00452195"/>
    <w:rsid w:val="00452A74"/>
    <w:rsid w:val="0045328C"/>
    <w:rsid w:val="00453D4C"/>
    <w:rsid w:val="00453F80"/>
    <w:rsid w:val="004541AC"/>
    <w:rsid w:val="0045435C"/>
    <w:rsid w:val="004546F5"/>
    <w:rsid w:val="004547F9"/>
    <w:rsid w:val="00454932"/>
    <w:rsid w:val="00454A59"/>
    <w:rsid w:val="00454D3E"/>
    <w:rsid w:val="0045549B"/>
    <w:rsid w:val="00455BC7"/>
    <w:rsid w:val="00456028"/>
    <w:rsid w:val="004571AD"/>
    <w:rsid w:val="004574E7"/>
    <w:rsid w:val="0045750B"/>
    <w:rsid w:val="004602E1"/>
    <w:rsid w:val="004602F7"/>
    <w:rsid w:val="00460DB4"/>
    <w:rsid w:val="00460FF5"/>
    <w:rsid w:val="004617EE"/>
    <w:rsid w:val="00461D61"/>
    <w:rsid w:val="004620D0"/>
    <w:rsid w:val="0046232E"/>
    <w:rsid w:val="00462A23"/>
    <w:rsid w:val="00462AA0"/>
    <w:rsid w:val="00463248"/>
    <w:rsid w:val="004633E9"/>
    <w:rsid w:val="00463496"/>
    <w:rsid w:val="004634A9"/>
    <w:rsid w:val="00463DDF"/>
    <w:rsid w:val="00464028"/>
    <w:rsid w:val="004641C4"/>
    <w:rsid w:val="004643D6"/>
    <w:rsid w:val="00464D42"/>
    <w:rsid w:val="0046500E"/>
    <w:rsid w:val="0046544E"/>
    <w:rsid w:val="0046565B"/>
    <w:rsid w:val="0046577E"/>
    <w:rsid w:val="00465A54"/>
    <w:rsid w:val="00465F2D"/>
    <w:rsid w:val="00465FAD"/>
    <w:rsid w:val="00466632"/>
    <w:rsid w:val="004669B2"/>
    <w:rsid w:val="00466F7E"/>
    <w:rsid w:val="00467057"/>
    <w:rsid w:val="0046717A"/>
    <w:rsid w:val="004673D9"/>
    <w:rsid w:val="00467BF4"/>
    <w:rsid w:val="00467F61"/>
    <w:rsid w:val="0047010E"/>
    <w:rsid w:val="00470442"/>
    <w:rsid w:val="0047136E"/>
    <w:rsid w:val="00471A18"/>
    <w:rsid w:val="00471C19"/>
    <w:rsid w:val="004723D1"/>
    <w:rsid w:val="0047242D"/>
    <w:rsid w:val="00472782"/>
    <w:rsid w:val="004727B7"/>
    <w:rsid w:val="0047285B"/>
    <w:rsid w:val="00472ACC"/>
    <w:rsid w:val="00472D57"/>
    <w:rsid w:val="00472F5D"/>
    <w:rsid w:val="004731BC"/>
    <w:rsid w:val="00473AD4"/>
    <w:rsid w:val="004741A4"/>
    <w:rsid w:val="004743E2"/>
    <w:rsid w:val="00474A34"/>
    <w:rsid w:val="0047541A"/>
    <w:rsid w:val="004757A8"/>
    <w:rsid w:val="00475907"/>
    <w:rsid w:val="0047620B"/>
    <w:rsid w:val="00476270"/>
    <w:rsid w:val="004763E0"/>
    <w:rsid w:val="00476B3B"/>
    <w:rsid w:val="00476E58"/>
    <w:rsid w:val="004770E1"/>
    <w:rsid w:val="0047734D"/>
    <w:rsid w:val="00477E70"/>
    <w:rsid w:val="00480204"/>
    <w:rsid w:val="00480B1E"/>
    <w:rsid w:val="00480D7B"/>
    <w:rsid w:val="00481FE1"/>
    <w:rsid w:val="00482271"/>
    <w:rsid w:val="004827D7"/>
    <w:rsid w:val="00483987"/>
    <w:rsid w:val="00483A63"/>
    <w:rsid w:val="00483FA3"/>
    <w:rsid w:val="00483FCB"/>
    <w:rsid w:val="00484B9D"/>
    <w:rsid w:val="00484BC6"/>
    <w:rsid w:val="0048528B"/>
    <w:rsid w:val="0048540A"/>
    <w:rsid w:val="004855BD"/>
    <w:rsid w:val="004859B2"/>
    <w:rsid w:val="00485D9F"/>
    <w:rsid w:val="00485E6A"/>
    <w:rsid w:val="00486E38"/>
    <w:rsid w:val="0048713A"/>
    <w:rsid w:val="004877A8"/>
    <w:rsid w:val="0049052F"/>
    <w:rsid w:val="00490742"/>
    <w:rsid w:val="004911C4"/>
    <w:rsid w:val="00491360"/>
    <w:rsid w:val="004914CA"/>
    <w:rsid w:val="00491C6B"/>
    <w:rsid w:val="00491C9F"/>
    <w:rsid w:val="00491D67"/>
    <w:rsid w:val="00492198"/>
    <w:rsid w:val="004923E4"/>
    <w:rsid w:val="004932C0"/>
    <w:rsid w:val="004937E8"/>
    <w:rsid w:val="00493C90"/>
    <w:rsid w:val="00493F18"/>
    <w:rsid w:val="0049415E"/>
    <w:rsid w:val="004946C8"/>
    <w:rsid w:val="00494749"/>
    <w:rsid w:val="00494C24"/>
    <w:rsid w:val="00495218"/>
    <w:rsid w:val="00495BB7"/>
    <w:rsid w:val="00495CF0"/>
    <w:rsid w:val="00495EDC"/>
    <w:rsid w:val="00495F74"/>
    <w:rsid w:val="004962CF"/>
    <w:rsid w:val="00496BD2"/>
    <w:rsid w:val="004A03A0"/>
    <w:rsid w:val="004A071C"/>
    <w:rsid w:val="004A1146"/>
    <w:rsid w:val="004A1157"/>
    <w:rsid w:val="004A1475"/>
    <w:rsid w:val="004A1580"/>
    <w:rsid w:val="004A281B"/>
    <w:rsid w:val="004A29D6"/>
    <w:rsid w:val="004A311B"/>
    <w:rsid w:val="004A3369"/>
    <w:rsid w:val="004A39D9"/>
    <w:rsid w:val="004A40E3"/>
    <w:rsid w:val="004A4615"/>
    <w:rsid w:val="004A4777"/>
    <w:rsid w:val="004A54CF"/>
    <w:rsid w:val="004A574B"/>
    <w:rsid w:val="004A59EE"/>
    <w:rsid w:val="004A6F41"/>
    <w:rsid w:val="004A6F99"/>
    <w:rsid w:val="004A7D62"/>
    <w:rsid w:val="004B024E"/>
    <w:rsid w:val="004B13C1"/>
    <w:rsid w:val="004B153F"/>
    <w:rsid w:val="004B189A"/>
    <w:rsid w:val="004B1E9D"/>
    <w:rsid w:val="004B1F50"/>
    <w:rsid w:val="004B20AE"/>
    <w:rsid w:val="004B276B"/>
    <w:rsid w:val="004B27DC"/>
    <w:rsid w:val="004B2B5C"/>
    <w:rsid w:val="004B2D0B"/>
    <w:rsid w:val="004B3098"/>
    <w:rsid w:val="004B331C"/>
    <w:rsid w:val="004B338D"/>
    <w:rsid w:val="004B49B7"/>
    <w:rsid w:val="004B5665"/>
    <w:rsid w:val="004B598C"/>
    <w:rsid w:val="004B612C"/>
    <w:rsid w:val="004B6303"/>
    <w:rsid w:val="004B69B5"/>
    <w:rsid w:val="004B6A1F"/>
    <w:rsid w:val="004B6C12"/>
    <w:rsid w:val="004B70C2"/>
    <w:rsid w:val="004B7231"/>
    <w:rsid w:val="004B79B1"/>
    <w:rsid w:val="004C059F"/>
    <w:rsid w:val="004C05DE"/>
    <w:rsid w:val="004C0675"/>
    <w:rsid w:val="004C0680"/>
    <w:rsid w:val="004C0749"/>
    <w:rsid w:val="004C0C60"/>
    <w:rsid w:val="004C1065"/>
    <w:rsid w:val="004C10E9"/>
    <w:rsid w:val="004C127C"/>
    <w:rsid w:val="004C1DCA"/>
    <w:rsid w:val="004C2261"/>
    <w:rsid w:val="004C2C55"/>
    <w:rsid w:val="004C2DEA"/>
    <w:rsid w:val="004C2E7E"/>
    <w:rsid w:val="004C314C"/>
    <w:rsid w:val="004C33C6"/>
    <w:rsid w:val="004C3717"/>
    <w:rsid w:val="004C3CE0"/>
    <w:rsid w:val="004C427B"/>
    <w:rsid w:val="004C454A"/>
    <w:rsid w:val="004C458F"/>
    <w:rsid w:val="004C4C9A"/>
    <w:rsid w:val="004C4F40"/>
    <w:rsid w:val="004C52E0"/>
    <w:rsid w:val="004C708B"/>
    <w:rsid w:val="004C7214"/>
    <w:rsid w:val="004C7878"/>
    <w:rsid w:val="004C7F9B"/>
    <w:rsid w:val="004D025E"/>
    <w:rsid w:val="004D03E2"/>
    <w:rsid w:val="004D1035"/>
    <w:rsid w:val="004D16E4"/>
    <w:rsid w:val="004D2095"/>
    <w:rsid w:val="004D279D"/>
    <w:rsid w:val="004D2BF7"/>
    <w:rsid w:val="004D2D60"/>
    <w:rsid w:val="004D2F82"/>
    <w:rsid w:val="004D3179"/>
    <w:rsid w:val="004D38A5"/>
    <w:rsid w:val="004D3CD1"/>
    <w:rsid w:val="004D52B7"/>
    <w:rsid w:val="004D594A"/>
    <w:rsid w:val="004D5988"/>
    <w:rsid w:val="004D6CF0"/>
    <w:rsid w:val="004D7623"/>
    <w:rsid w:val="004E06EC"/>
    <w:rsid w:val="004E1255"/>
    <w:rsid w:val="004E163A"/>
    <w:rsid w:val="004E1A4B"/>
    <w:rsid w:val="004E1C0F"/>
    <w:rsid w:val="004E1C6D"/>
    <w:rsid w:val="004E1FAC"/>
    <w:rsid w:val="004E202B"/>
    <w:rsid w:val="004E2D27"/>
    <w:rsid w:val="004E3282"/>
    <w:rsid w:val="004E32F3"/>
    <w:rsid w:val="004E35AF"/>
    <w:rsid w:val="004E3D58"/>
    <w:rsid w:val="004E4202"/>
    <w:rsid w:val="004E474F"/>
    <w:rsid w:val="004E49D7"/>
    <w:rsid w:val="004E4A21"/>
    <w:rsid w:val="004E4AE0"/>
    <w:rsid w:val="004E4D38"/>
    <w:rsid w:val="004E4FF9"/>
    <w:rsid w:val="004E53D7"/>
    <w:rsid w:val="004E581E"/>
    <w:rsid w:val="004E5984"/>
    <w:rsid w:val="004E5A7E"/>
    <w:rsid w:val="004E5B57"/>
    <w:rsid w:val="004E5D22"/>
    <w:rsid w:val="004E637F"/>
    <w:rsid w:val="004E65EE"/>
    <w:rsid w:val="004E664E"/>
    <w:rsid w:val="004E6978"/>
    <w:rsid w:val="004E69BA"/>
    <w:rsid w:val="004E76AD"/>
    <w:rsid w:val="004E7826"/>
    <w:rsid w:val="004E7A15"/>
    <w:rsid w:val="004E7C49"/>
    <w:rsid w:val="004E7FA9"/>
    <w:rsid w:val="004F02C7"/>
    <w:rsid w:val="004F05A5"/>
    <w:rsid w:val="004F0EEC"/>
    <w:rsid w:val="004F130A"/>
    <w:rsid w:val="004F148D"/>
    <w:rsid w:val="004F182F"/>
    <w:rsid w:val="004F187F"/>
    <w:rsid w:val="004F1895"/>
    <w:rsid w:val="004F23A7"/>
    <w:rsid w:val="004F2706"/>
    <w:rsid w:val="004F28ED"/>
    <w:rsid w:val="004F2A0D"/>
    <w:rsid w:val="004F2A27"/>
    <w:rsid w:val="004F2A99"/>
    <w:rsid w:val="004F2C39"/>
    <w:rsid w:val="004F3A51"/>
    <w:rsid w:val="004F3AFC"/>
    <w:rsid w:val="004F3B77"/>
    <w:rsid w:val="004F4269"/>
    <w:rsid w:val="004F4BE2"/>
    <w:rsid w:val="004F4DD9"/>
    <w:rsid w:val="004F4EBD"/>
    <w:rsid w:val="004F530D"/>
    <w:rsid w:val="004F6211"/>
    <w:rsid w:val="004F683E"/>
    <w:rsid w:val="004F7F0C"/>
    <w:rsid w:val="005005FB"/>
    <w:rsid w:val="00500A1A"/>
    <w:rsid w:val="00500B8F"/>
    <w:rsid w:val="00500DE3"/>
    <w:rsid w:val="00500DF2"/>
    <w:rsid w:val="0050143A"/>
    <w:rsid w:val="00501B2E"/>
    <w:rsid w:val="0050227A"/>
    <w:rsid w:val="005022C0"/>
    <w:rsid w:val="0050245C"/>
    <w:rsid w:val="00502BB8"/>
    <w:rsid w:val="00503109"/>
    <w:rsid w:val="005033A4"/>
    <w:rsid w:val="005036DD"/>
    <w:rsid w:val="00503C42"/>
    <w:rsid w:val="005042D6"/>
    <w:rsid w:val="005046D4"/>
    <w:rsid w:val="00504A57"/>
    <w:rsid w:val="00504F56"/>
    <w:rsid w:val="0050502B"/>
    <w:rsid w:val="00505275"/>
    <w:rsid w:val="00505585"/>
    <w:rsid w:val="00505A16"/>
    <w:rsid w:val="00506A39"/>
    <w:rsid w:val="00506C9C"/>
    <w:rsid w:val="00506CA1"/>
    <w:rsid w:val="005072DD"/>
    <w:rsid w:val="00507929"/>
    <w:rsid w:val="00507CB2"/>
    <w:rsid w:val="00510412"/>
    <w:rsid w:val="005106F3"/>
    <w:rsid w:val="005114DF"/>
    <w:rsid w:val="00511523"/>
    <w:rsid w:val="0051274E"/>
    <w:rsid w:val="00512A3A"/>
    <w:rsid w:val="00512A7C"/>
    <w:rsid w:val="00512B39"/>
    <w:rsid w:val="00513420"/>
    <w:rsid w:val="0051390F"/>
    <w:rsid w:val="00513D34"/>
    <w:rsid w:val="00513EE9"/>
    <w:rsid w:val="00514147"/>
    <w:rsid w:val="005142F8"/>
    <w:rsid w:val="00514555"/>
    <w:rsid w:val="00514F9D"/>
    <w:rsid w:val="00515394"/>
    <w:rsid w:val="00515DC8"/>
    <w:rsid w:val="005160A2"/>
    <w:rsid w:val="00516797"/>
    <w:rsid w:val="0051694E"/>
    <w:rsid w:val="005169FC"/>
    <w:rsid w:val="00516BD6"/>
    <w:rsid w:val="00517108"/>
    <w:rsid w:val="0051751E"/>
    <w:rsid w:val="00517545"/>
    <w:rsid w:val="005176B3"/>
    <w:rsid w:val="00517B8E"/>
    <w:rsid w:val="00517C88"/>
    <w:rsid w:val="00520701"/>
    <w:rsid w:val="00520A61"/>
    <w:rsid w:val="00520DBB"/>
    <w:rsid w:val="0052111B"/>
    <w:rsid w:val="00521598"/>
    <w:rsid w:val="0052183C"/>
    <w:rsid w:val="00521AC6"/>
    <w:rsid w:val="00521FA0"/>
    <w:rsid w:val="0052260A"/>
    <w:rsid w:val="00522997"/>
    <w:rsid w:val="00522AD1"/>
    <w:rsid w:val="00522F3F"/>
    <w:rsid w:val="005235C8"/>
    <w:rsid w:val="00523F33"/>
    <w:rsid w:val="00524DF9"/>
    <w:rsid w:val="005250C0"/>
    <w:rsid w:val="00525831"/>
    <w:rsid w:val="00525B82"/>
    <w:rsid w:val="00525F93"/>
    <w:rsid w:val="00525FCE"/>
    <w:rsid w:val="005266A7"/>
    <w:rsid w:val="0052677E"/>
    <w:rsid w:val="005267F4"/>
    <w:rsid w:val="00526A88"/>
    <w:rsid w:val="005274AB"/>
    <w:rsid w:val="005279BA"/>
    <w:rsid w:val="00527E48"/>
    <w:rsid w:val="00527E4D"/>
    <w:rsid w:val="005301E8"/>
    <w:rsid w:val="00530A60"/>
    <w:rsid w:val="005317E6"/>
    <w:rsid w:val="0053197A"/>
    <w:rsid w:val="00531985"/>
    <w:rsid w:val="005319A3"/>
    <w:rsid w:val="00532410"/>
    <w:rsid w:val="00532524"/>
    <w:rsid w:val="005325D0"/>
    <w:rsid w:val="00532951"/>
    <w:rsid w:val="005339C9"/>
    <w:rsid w:val="00533DE5"/>
    <w:rsid w:val="00533EC7"/>
    <w:rsid w:val="00533ED1"/>
    <w:rsid w:val="0053408E"/>
    <w:rsid w:val="00534838"/>
    <w:rsid w:val="00535497"/>
    <w:rsid w:val="00535750"/>
    <w:rsid w:val="00536189"/>
    <w:rsid w:val="00536640"/>
    <w:rsid w:val="005369DE"/>
    <w:rsid w:val="00536C2B"/>
    <w:rsid w:val="00536E7F"/>
    <w:rsid w:val="00537145"/>
    <w:rsid w:val="0053772A"/>
    <w:rsid w:val="00537C91"/>
    <w:rsid w:val="00537D50"/>
    <w:rsid w:val="00537E2E"/>
    <w:rsid w:val="00540180"/>
    <w:rsid w:val="005403A7"/>
    <w:rsid w:val="00540C4F"/>
    <w:rsid w:val="005416AE"/>
    <w:rsid w:val="0054170B"/>
    <w:rsid w:val="00541AC6"/>
    <w:rsid w:val="00541C73"/>
    <w:rsid w:val="00541E6F"/>
    <w:rsid w:val="00542026"/>
    <w:rsid w:val="005421E0"/>
    <w:rsid w:val="005422EC"/>
    <w:rsid w:val="0054268D"/>
    <w:rsid w:val="0054284D"/>
    <w:rsid w:val="00542C07"/>
    <w:rsid w:val="00542ED9"/>
    <w:rsid w:val="0054375D"/>
    <w:rsid w:val="00543A83"/>
    <w:rsid w:val="00543B41"/>
    <w:rsid w:val="00544099"/>
    <w:rsid w:val="00544EF1"/>
    <w:rsid w:val="00544F78"/>
    <w:rsid w:val="00545077"/>
    <w:rsid w:val="00545728"/>
    <w:rsid w:val="005464E9"/>
    <w:rsid w:val="00546658"/>
    <w:rsid w:val="0054685E"/>
    <w:rsid w:val="00546908"/>
    <w:rsid w:val="0054733C"/>
    <w:rsid w:val="00547710"/>
    <w:rsid w:val="0054791C"/>
    <w:rsid w:val="00547E3A"/>
    <w:rsid w:val="0055000C"/>
    <w:rsid w:val="005506A1"/>
    <w:rsid w:val="005507B6"/>
    <w:rsid w:val="00550B07"/>
    <w:rsid w:val="00550BAE"/>
    <w:rsid w:val="00550D8E"/>
    <w:rsid w:val="0055115E"/>
    <w:rsid w:val="005514A0"/>
    <w:rsid w:val="005517F0"/>
    <w:rsid w:val="00551F29"/>
    <w:rsid w:val="00552012"/>
    <w:rsid w:val="0055273C"/>
    <w:rsid w:val="00552B21"/>
    <w:rsid w:val="00552F78"/>
    <w:rsid w:val="005547C6"/>
    <w:rsid w:val="00554D82"/>
    <w:rsid w:val="005550B6"/>
    <w:rsid w:val="005557EC"/>
    <w:rsid w:val="00555F2A"/>
    <w:rsid w:val="0055612B"/>
    <w:rsid w:val="00556D02"/>
    <w:rsid w:val="00556F17"/>
    <w:rsid w:val="00556F2B"/>
    <w:rsid w:val="0055720F"/>
    <w:rsid w:val="005576E4"/>
    <w:rsid w:val="00557C92"/>
    <w:rsid w:val="00557DF6"/>
    <w:rsid w:val="00560154"/>
    <w:rsid w:val="00560175"/>
    <w:rsid w:val="005607F6"/>
    <w:rsid w:val="00560D3E"/>
    <w:rsid w:val="00561253"/>
    <w:rsid w:val="0056147F"/>
    <w:rsid w:val="005617D9"/>
    <w:rsid w:val="005621F7"/>
    <w:rsid w:val="00563630"/>
    <w:rsid w:val="005636AF"/>
    <w:rsid w:val="0056378E"/>
    <w:rsid w:val="005637A8"/>
    <w:rsid w:val="00563CE2"/>
    <w:rsid w:val="00563ED4"/>
    <w:rsid w:val="005640F8"/>
    <w:rsid w:val="00564DB2"/>
    <w:rsid w:val="0056539A"/>
    <w:rsid w:val="00565B7D"/>
    <w:rsid w:val="00565BB3"/>
    <w:rsid w:val="005665F7"/>
    <w:rsid w:val="005669A4"/>
    <w:rsid w:val="0056703B"/>
    <w:rsid w:val="0056722A"/>
    <w:rsid w:val="0056796C"/>
    <w:rsid w:val="00567A64"/>
    <w:rsid w:val="00567BB2"/>
    <w:rsid w:val="00567DB7"/>
    <w:rsid w:val="00567F04"/>
    <w:rsid w:val="005702B3"/>
    <w:rsid w:val="005703B0"/>
    <w:rsid w:val="005707F8"/>
    <w:rsid w:val="00570B09"/>
    <w:rsid w:val="00570E55"/>
    <w:rsid w:val="005715A4"/>
    <w:rsid w:val="005716FD"/>
    <w:rsid w:val="005719B4"/>
    <w:rsid w:val="00571EDC"/>
    <w:rsid w:val="005722AF"/>
    <w:rsid w:val="00572387"/>
    <w:rsid w:val="005724DA"/>
    <w:rsid w:val="005728DE"/>
    <w:rsid w:val="00572F3B"/>
    <w:rsid w:val="005737D8"/>
    <w:rsid w:val="00573AC4"/>
    <w:rsid w:val="00573C58"/>
    <w:rsid w:val="00573EC0"/>
    <w:rsid w:val="00573FB1"/>
    <w:rsid w:val="00574A47"/>
    <w:rsid w:val="00574E71"/>
    <w:rsid w:val="005751FA"/>
    <w:rsid w:val="0057578A"/>
    <w:rsid w:val="00575820"/>
    <w:rsid w:val="00575BFE"/>
    <w:rsid w:val="0057611C"/>
    <w:rsid w:val="00576D6B"/>
    <w:rsid w:val="00576E59"/>
    <w:rsid w:val="0057778E"/>
    <w:rsid w:val="00577C2F"/>
    <w:rsid w:val="00577C93"/>
    <w:rsid w:val="00577EE8"/>
    <w:rsid w:val="0058006A"/>
    <w:rsid w:val="00580096"/>
    <w:rsid w:val="00580408"/>
    <w:rsid w:val="00580530"/>
    <w:rsid w:val="00580730"/>
    <w:rsid w:val="00580770"/>
    <w:rsid w:val="005808AC"/>
    <w:rsid w:val="00580FAC"/>
    <w:rsid w:val="00581007"/>
    <w:rsid w:val="005814A3"/>
    <w:rsid w:val="00581DB5"/>
    <w:rsid w:val="00582EA0"/>
    <w:rsid w:val="00583734"/>
    <w:rsid w:val="00583ABE"/>
    <w:rsid w:val="00584522"/>
    <w:rsid w:val="00584D8D"/>
    <w:rsid w:val="0058527E"/>
    <w:rsid w:val="00585565"/>
    <w:rsid w:val="005859CD"/>
    <w:rsid w:val="0058627A"/>
    <w:rsid w:val="005862BB"/>
    <w:rsid w:val="005862CE"/>
    <w:rsid w:val="00586716"/>
    <w:rsid w:val="00586A91"/>
    <w:rsid w:val="00586AC4"/>
    <w:rsid w:val="0058768C"/>
    <w:rsid w:val="005876A4"/>
    <w:rsid w:val="00590EC3"/>
    <w:rsid w:val="00591868"/>
    <w:rsid w:val="00591D26"/>
    <w:rsid w:val="00591D7F"/>
    <w:rsid w:val="00592B76"/>
    <w:rsid w:val="00593402"/>
    <w:rsid w:val="005936CF"/>
    <w:rsid w:val="00593816"/>
    <w:rsid w:val="00594316"/>
    <w:rsid w:val="005943B6"/>
    <w:rsid w:val="0059479C"/>
    <w:rsid w:val="005957B5"/>
    <w:rsid w:val="00595A23"/>
    <w:rsid w:val="00595C53"/>
    <w:rsid w:val="00596105"/>
    <w:rsid w:val="00596316"/>
    <w:rsid w:val="005966D3"/>
    <w:rsid w:val="00596EE1"/>
    <w:rsid w:val="00596F55"/>
    <w:rsid w:val="0059774D"/>
    <w:rsid w:val="00597A09"/>
    <w:rsid w:val="00597C3A"/>
    <w:rsid w:val="00597DEC"/>
    <w:rsid w:val="00597FC1"/>
    <w:rsid w:val="005A0163"/>
    <w:rsid w:val="005A0367"/>
    <w:rsid w:val="005A073A"/>
    <w:rsid w:val="005A0B3C"/>
    <w:rsid w:val="005A1227"/>
    <w:rsid w:val="005A1C30"/>
    <w:rsid w:val="005A2AA6"/>
    <w:rsid w:val="005A2BE1"/>
    <w:rsid w:val="005A2FB6"/>
    <w:rsid w:val="005A3205"/>
    <w:rsid w:val="005A5282"/>
    <w:rsid w:val="005A5463"/>
    <w:rsid w:val="005A558C"/>
    <w:rsid w:val="005A58A4"/>
    <w:rsid w:val="005A5BAF"/>
    <w:rsid w:val="005A5BCA"/>
    <w:rsid w:val="005A5CD9"/>
    <w:rsid w:val="005A612F"/>
    <w:rsid w:val="005A6F8D"/>
    <w:rsid w:val="005A7391"/>
    <w:rsid w:val="005A7695"/>
    <w:rsid w:val="005A7714"/>
    <w:rsid w:val="005A780E"/>
    <w:rsid w:val="005A7882"/>
    <w:rsid w:val="005A7B3E"/>
    <w:rsid w:val="005A7CDC"/>
    <w:rsid w:val="005B0195"/>
    <w:rsid w:val="005B0573"/>
    <w:rsid w:val="005B06E4"/>
    <w:rsid w:val="005B0D15"/>
    <w:rsid w:val="005B16EB"/>
    <w:rsid w:val="005B18BE"/>
    <w:rsid w:val="005B1F35"/>
    <w:rsid w:val="005B211D"/>
    <w:rsid w:val="005B2392"/>
    <w:rsid w:val="005B27BF"/>
    <w:rsid w:val="005B35B0"/>
    <w:rsid w:val="005B3695"/>
    <w:rsid w:val="005B39B9"/>
    <w:rsid w:val="005B4071"/>
    <w:rsid w:val="005B475C"/>
    <w:rsid w:val="005B47FC"/>
    <w:rsid w:val="005B4C71"/>
    <w:rsid w:val="005B4D29"/>
    <w:rsid w:val="005B52CA"/>
    <w:rsid w:val="005B5B2E"/>
    <w:rsid w:val="005B5F43"/>
    <w:rsid w:val="005B632E"/>
    <w:rsid w:val="005B6EDE"/>
    <w:rsid w:val="005B7564"/>
    <w:rsid w:val="005B77F1"/>
    <w:rsid w:val="005C014E"/>
    <w:rsid w:val="005C03B2"/>
    <w:rsid w:val="005C105E"/>
    <w:rsid w:val="005C1707"/>
    <w:rsid w:val="005C1B34"/>
    <w:rsid w:val="005C1F44"/>
    <w:rsid w:val="005C223D"/>
    <w:rsid w:val="005C2467"/>
    <w:rsid w:val="005C2B5B"/>
    <w:rsid w:val="005C426F"/>
    <w:rsid w:val="005C44F6"/>
    <w:rsid w:val="005C4922"/>
    <w:rsid w:val="005C4D91"/>
    <w:rsid w:val="005C5123"/>
    <w:rsid w:val="005C526E"/>
    <w:rsid w:val="005C535E"/>
    <w:rsid w:val="005C572C"/>
    <w:rsid w:val="005C58E3"/>
    <w:rsid w:val="005C5E04"/>
    <w:rsid w:val="005C618F"/>
    <w:rsid w:val="005C630E"/>
    <w:rsid w:val="005C69EB"/>
    <w:rsid w:val="005C6EE4"/>
    <w:rsid w:val="005C7701"/>
    <w:rsid w:val="005C7C21"/>
    <w:rsid w:val="005C7D89"/>
    <w:rsid w:val="005D05CD"/>
    <w:rsid w:val="005D0B7F"/>
    <w:rsid w:val="005D0C12"/>
    <w:rsid w:val="005D1077"/>
    <w:rsid w:val="005D1A4B"/>
    <w:rsid w:val="005D1F3E"/>
    <w:rsid w:val="005D2B18"/>
    <w:rsid w:val="005D321F"/>
    <w:rsid w:val="005D32D5"/>
    <w:rsid w:val="005D352D"/>
    <w:rsid w:val="005D3A6F"/>
    <w:rsid w:val="005D4312"/>
    <w:rsid w:val="005D44C4"/>
    <w:rsid w:val="005D4830"/>
    <w:rsid w:val="005D4D70"/>
    <w:rsid w:val="005D4F97"/>
    <w:rsid w:val="005D5945"/>
    <w:rsid w:val="005D63FB"/>
    <w:rsid w:val="005D67A5"/>
    <w:rsid w:val="005D691B"/>
    <w:rsid w:val="005D6B4F"/>
    <w:rsid w:val="005D6EEC"/>
    <w:rsid w:val="005D7001"/>
    <w:rsid w:val="005D77E2"/>
    <w:rsid w:val="005D79B6"/>
    <w:rsid w:val="005E060C"/>
    <w:rsid w:val="005E0DFE"/>
    <w:rsid w:val="005E11D3"/>
    <w:rsid w:val="005E1246"/>
    <w:rsid w:val="005E1454"/>
    <w:rsid w:val="005E218B"/>
    <w:rsid w:val="005E29B9"/>
    <w:rsid w:val="005E2F94"/>
    <w:rsid w:val="005E310B"/>
    <w:rsid w:val="005E3550"/>
    <w:rsid w:val="005E36C4"/>
    <w:rsid w:val="005E3913"/>
    <w:rsid w:val="005E4534"/>
    <w:rsid w:val="005E4C83"/>
    <w:rsid w:val="005E5190"/>
    <w:rsid w:val="005E527F"/>
    <w:rsid w:val="005E58ED"/>
    <w:rsid w:val="005E5FBE"/>
    <w:rsid w:val="005E6206"/>
    <w:rsid w:val="005E651C"/>
    <w:rsid w:val="005E68D5"/>
    <w:rsid w:val="005E6D31"/>
    <w:rsid w:val="005E77D3"/>
    <w:rsid w:val="005E7BED"/>
    <w:rsid w:val="005E7CEC"/>
    <w:rsid w:val="005E7E35"/>
    <w:rsid w:val="005F0A1F"/>
    <w:rsid w:val="005F0B16"/>
    <w:rsid w:val="005F0D8C"/>
    <w:rsid w:val="005F0E16"/>
    <w:rsid w:val="005F0E51"/>
    <w:rsid w:val="005F0EAB"/>
    <w:rsid w:val="005F145D"/>
    <w:rsid w:val="005F1967"/>
    <w:rsid w:val="005F1DD5"/>
    <w:rsid w:val="005F2201"/>
    <w:rsid w:val="005F28F9"/>
    <w:rsid w:val="005F2BFF"/>
    <w:rsid w:val="005F2E51"/>
    <w:rsid w:val="005F3015"/>
    <w:rsid w:val="005F3465"/>
    <w:rsid w:val="005F393D"/>
    <w:rsid w:val="005F3C83"/>
    <w:rsid w:val="005F41A2"/>
    <w:rsid w:val="005F41B2"/>
    <w:rsid w:val="005F42EA"/>
    <w:rsid w:val="005F48B6"/>
    <w:rsid w:val="005F4DFD"/>
    <w:rsid w:val="005F517F"/>
    <w:rsid w:val="005F5541"/>
    <w:rsid w:val="005F6003"/>
    <w:rsid w:val="005F6572"/>
    <w:rsid w:val="005F6745"/>
    <w:rsid w:val="005F67B4"/>
    <w:rsid w:val="005F69DB"/>
    <w:rsid w:val="005F6AD4"/>
    <w:rsid w:val="005F7F03"/>
    <w:rsid w:val="006003B3"/>
    <w:rsid w:val="00600608"/>
    <w:rsid w:val="00600B2F"/>
    <w:rsid w:val="00600E38"/>
    <w:rsid w:val="00601376"/>
    <w:rsid w:val="006013CB"/>
    <w:rsid w:val="00601999"/>
    <w:rsid w:val="00601A3D"/>
    <w:rsid w:val="00602EAA"/>
    <w:rsid w:val="00602F1A"/>
    <w:rsid w:val="00603291"/>
    <w:rsid w:val="00603A45"/>
    <w:rsid w:val="00604002"/>
    <w:rsid w:val="00604CFF"/>
    <w:rsid w:val="00604F06"/>
    <w:rsid w:val="00605567"/>
    <w:rsid w:val="006058C4"/>
    <w:rsid w:val="0060695C"/>
    <w:rsid w:val="00606BE6"/>
    <w:rsid w:val="006103EB"/>
    <w:rsid w:val="00610567"/>
    <w:rsid w:val="0061064E"/>
    <w:rsid w:val="006108C3"/>
    <w:rsid w:val="00610F78"/>
    <w:rsid w:val="00611364"/>
    <w:rsid w:val="00611FE1"/>
    <w:rsid w:val="006121FA"/>
    <w:rsid w:val="0061266E"/>
    <w:rsid w:val="006126B3"/>
    <w:rsid w:val="00612959"/>
    <w:rsid w:val="00612C46"/>
    <w:rsid w:val="00612D49"/>
    <w:rsid w:val="006130D4"/>
    <w:rsid w:val="0061335F"/>
    <w:rsid w:val="006134F6"/>
    <w:rsid w:val="006146D7"/>
    <w:rsid w:val="006147BE"/>
    <w:rsid w:val="00615AD2"/>
    <w:rsid w:val="00615C9C"/>
    <w:rsid w:val="00615FEA"/>
    <w:rsid w:val="0061687B"/>
    <w:rsid w:val="00617019"/>
    <w:rsid w:val="006176EA"/>
    <w:rsid w:val="006206C5"/>
    <w:rsid w:val="00620C52"/>
    <w:rsid w:val="00620E7F"/>
    <w:rsid w:val="006214BF"/>
    <w:rsid w:val="00621613"/>
    <w:rsid w:val="00621653"/>
    <w:rsid w:val="00621C62"/>
    <w:rsid w:val="00621F8E"/>
    <w:rsid w:val="00622AD0"/>
    <w:rsid w:val="00622E8D"/>
    <w:rsid w:val="006243CF"/>
    <w:rsid w:val="006244A3"/>
    <w:rsid w:val="00624591"/>
    <w:rsid w:val="006245C6"/>
    <w:rsid w:val="00624A78"/>
    <w:rsid w:val="006252B9"/>
    <w:rsid w:val="0062539C"/>
    <w:rsid w:val="006255AC"/>
    <w:rsid w:val="0062598B"/>
    <w:rsid w:val="00625AA2"/>
    <w:rsid w:val="00625D19"/>
    <w:rsid w:val="00625D5D"/>
    <w:rsid w:val="00625EAB"/>
    <w:rsid w:val="00626539"/>
    <w:rsid w:val="0062685C"/>
    <w:rsid w:val="00626ABF"/>
    <w:rsid w:val="00626B6E"/>
    <w:rsid w:val="00626C60"/>
    <w:rsid w:val="00626FD3"/>
    <w:rsid w:val="00627270"/>
    <w:rsid w:val="006275EE"/>
    <w:rsid w:val="006277EE"/>
    <w:rsid w:val="00627A38"/>
    <w:rsid w:val="00627A89"/>
    <w:rsid w:val="00630AF6"/>
    <w:rsid w:val="00630B28"/>
    <w:rsid w:val="006310B1"/>
    <w:rsid w:val="00631301"/>
    <w:rsid w:val="006316F2"/>
    <w:rsid w:val="0063265D"/>
    <w:rsid w:val="00632B37"/>
    <w:rsid w:val="006334FD"/>
    <w:rsid w:val="00633BA5"/>
    <w:rsid w:val="00633BAF"/>
    <w:rsid w:val="0063409C"/>
    <w:rsid w:val="00634321"/>
    <w:rsid w:val="0063442A"/>
    <w:rsid w:val="0063448F"/>
    <w:rsid w:val="00634920"/>
    <w:rsid w:val="00634C6E"/>
    <w:rsid w:val="006353F2"/>
    <w:rsid w:val="00635405"/>
    <w:rsid w:val="0063568A"/>
    <w:rsid w:val="006357C6"/>
    <w:rsid w:val="00635A28"/>
    <w:rsid w:val="00636010"/>
    <w:rsid w:val="00636252"/>
    <w:rsid w:val="00636318"/>
    <w:rsid w:val="006364A0"/>
    <w:rsid w:val="006367A0"/>
    <w:rsid w:val="00636AF0"/>
    <w:rsid w:val="00636C1B"/>
    <w:rsid w:val="00636E38"/>
    <w:rsid w:val="0063796B"/>
    <w:rsid w:val="006407FF"/>
    <w:rsid w:val="00640AF8"/>
    <w:rsid w:val="00640B3F"/>
    <w:rsid w:val="006414DC"/>
    <w:rsid w:val="00641E45"/>
    <w:rsid w:val="006423C0"/>
    <w:rsid w:val="00642788"/>
    <w:rsid w:val="006428D0"/>
    <w:rsid w:val="006438FE"/>
    <w:rsid w:val="00643EF7"/>
    <w:rsid w:val="00645F6C"/>
    <w:rsid w:val="00646055"/>
    <w:rsid w:val="006461C1"/>
    <w:rsid w:val="00646AEB"/>
    <w:rsid w:val="006478AD"/>
    <w:rsid w:val="00647AD9"/>
    <w:rsid w:val="00647E1F"/>
    <w:rsid w:val="00647FE3"/>
    <w:rsid w:val="006508A6"/>
    <w:rsid w:val="00650D2A"/>
    <w:rsid w:val="00650F25"/>
    <w:rsid w:val="006512C4"/>
    <w:rsid w:val="0065154C"/>
    <w:rsid w:val="00651740"/>
    <w:rsid w:val="00653294"/>
    <w:rsid w:val="006535C8"/>
    <w:rsid w:val="0065459C"/>
    <w:rsid w:val="00654D16"/>
    <w:rsid w:val="006550C1"/>
    <w:rsid w:val="0065558C"/>
    <w:rsid w:val="006555DC"/>
    <w:rsid w:val="00655758"/>
    <w:rsid w:val="006559DA"/>
    <w:rsid w:val="00655B9D"/>
    <w:rsid w:val="00656B40"/>
    <w:rsid w:val="00656B8D"/>
    <w:rsid w:val="00656CBB"/>
    <w:rsid w:val="00656DA1"/>
    <w:rsid w:val="00656F05"/>
    <w:rsid w:val="006570AE"/>
    <w:rsid w:val="006576E3"/>
    <w:rsid w:val="00657AAD"/>
    <w:rsid w:val="006608BD"/>
    <w:rsid w:val="00661293"/>
    <w:rsid w:val="00661313"/>
    <w:rsid w:val="006613D1"/>
    <w:rsid w:val="006614DA"/>
    <w:rsid w:val="006615C8"/>
    <w:rsid w:val="00661989"/>
    <w:rsid w:val="00661AD3"/>
    <w:rsid w:val="0066278E"/>
    <w:rsid w:val="00662D3D"/>
    <w:rsid w:val="006630AE"/>
    <w:rsid w:val="006630FC"/>
    <w:rsid w:val="00663536"/>
    <w:rsid w:val="006640E0"/>
    <w:rsid w:val="0066422B"/>
    <w:rsid w:val="006642E3"/>
    <w:rsid w:val="00664620"/>
    <w:rsid w:val="0066468D"/>
    <w:rsid w:val="006655BA"/>
    <w:rsid w:val="0066587B"/>
    <w:rsid w:val="00665AC8"/>
    <w:rsid w:val="00665E01"/>
    <w:rsid w:val="00665EA0"/>
    <w:rsid w:val="00665F06"/>
    <w:rsid w:val="00665FAC"/>
    <w:rsid w:val="00666A76"/>
    <w:rsid w:val="006672C3"/>
    <w:rsid w:val="00667466"/>
    <w:rsid w:val="006674A2"/>
    <w:rsid w:val="00667562"/>
    <w:rsid w:val="00667627"/>
    <w:rsid w:val="00667B10"/>
    <w:rsid w:val="00667DC9"/>
    <w:rsid w:val="00667E02"/>
    <w:rsid w:val="00670138"/>
    <w:rsid w:val="00670290"/>
    <w:rsid w:val="006703D0"/>
    <w:rsid w:val="00670466"/>
    <w:rsid w:val="00670823"/>
    <w:rsid w:val="00670B57"/>
    <w:rsid w:val="00670C06"/>
    <w:rsid w:val="00671EF0"/>
    <w:rsid w:val="00672486"/>
    <w:rsid w:val="00672C94"/>
    <w:rsid w:val="00672EC3"/>
    <w:rsid w:val="006730B2"/>
    <w:rsid w:val="00673CE8"/>
    <w:rsid w:val="00674845"/>
    <w:rsid w:val="00674AC0"/>
    <w:rsid w:val="00674C8F"/>
    <w:rsid w:val="00674F51"/>
    <w:rsid w:val="00675017"/>
    <w:rsid w:val="00675432"/>
    <w:rsid w:val="00675B3D"/>
    <w:rsid w:val="00675D07"/>
    <w:rsid w:val="00675E8C"/>
    <w:rsid w:val="006763FD"/>
    <w:rsid w:val="006773E7"/>
    <w:rsid w:val="00677513"/>
    <w:rsid w:val="0067783C"/>
    <w:rsid w:val="00680080"/>
    <w:rsid w:val="00680685"/>
    <w:rsid w:val="006806D3"/>
    <w:rsid w:val="00681937"/>
    <w:rsid w:val="00681BB9"/>
    <w:rsid w:val="006820B2"/>
    <w:rsid w:val="006820C5"/>
    <w:rsid w:val="00682175"/>
    <w:rsid w:val="0068219D"/>
    <w:rsid w:val="006827E0"/>
    <w:rsid w:val="0068291C"/>
    <w:rsid w:val="00682A53"/>
    <w:rsid w:val="00682B6A"/>
    <w:rsid w:val="00682D89"/>
    <w:rsid w:val="00682E0D"/>
    <w:rsid w:val="0068307F"/>
    <w:rsid w:val="006830DD"/>
    <w:rsid w:val="0068349B"/>
    <w:rsid w:val="0068369F"/>
    <w:rsid w:val="0068382C"/>
    <w:rsid w:val="00683BC5"/>
    <w:rsid w:val="00683DBA"/>
    <w:rsid w:val="0068470F"/>
    <w:rsid w:val="00684B3A"/>
    <w:rsid w:val="00685432"/>
    <w:rsid w:val="006856A7"/>
    <w:rsid w:val="0068607B"/>
    <w:rsid w:val="0068646D"/>
    <w:rsid w:val="006868FC"/>
    <w:rsid w:val="00686D80"/>
    <w:rsid w:val="0069012A"/>
    <w:rsid w:val="00690279"/>
    <w:rsid w:val="006903B1"/>
    <w:rsid w:val="00690501"/>
    <w:rsid w:val="00690B13"/>
    <w:rsid w:val="00691110"/>
    <w:rsid w:val="006914F8"/>
    <w:rsid w:val="006915DE"/>
    <w:rsid w:val="00691D2F"/>
    <w:rsid w:val="006921E6"/>
    <w:rsid w:val="00692602"/>
    <w:rsid w:val="00692B95"/>
    <w:rsid w:val="00692FBF"/>
    <w:rsid w:val="0069368E"/>
    <w:rsid w:val="006939A6"/>
    <w:rsid w:val="00694786"/>
    <w:rsid w:val="0069489D"/>
    <w:rsid w:val="00694ECB"/>
    <w:rsid w:val="006957EB"/>
    <w:rsid w:val="00695CFB"/>
    <w:rsid w:val="00695D69"/>
    <w:rsid w:val="00696759"/>
    <w:rsid w:val="00696B9B"/>
    <w:rsid w:val="00696D59"/>
    <w:rsid w:val="00697C0E"/>
    <w:rsid w:val="006A014B"/>
    <w:rsid w:val="006A05E3"/>
    <w:rsid w:val="006A1E8F"/>
    <w:rsid w:val="006A249E"/>
    <w:rsid w:val="006A2559"/>
    <w:rsid w:val="006A28E6"/>
    <w:rsid w:val="006A3286"/>
    <w:rsid w:val="006A3810"/>
    <w:rsid w:val="006A3BAA"/>
    <w:rsid w:val="006A3CED"/>
    <w:rsid w:val="006A4914"/>
    <w:rsid w:val="006A4AF0"/>
    <w:rsid w:val="006A54B4"/>
    <w:rsid w:val="006A5802"/>
    <w:rsid w:val="006A599D"/>
    <w:rsid w:val="006A59D9"/>
    <w:rsid w:val="006A5DA3"/>
    <w:rsid w:val="006A610C"/>
    <w:rsid w:val="006A611E"/>
    <w:rsid w:val="006A62A7"/>
    <w:rsid w:val="006A6A9E"/>
    <w:rsid w:val="006A6D78"/>
    <w:rsid w:val="006A790A"/>
    <w:rsid w:val="006A79F2"/>
    <w:rsid w:val="006A7AFD"/>
    <w:rsid w:val="006A7C21"/>
    <w:rsid w:val="006A7CF4"/>
    <w:rsid w:val="006B0293"/>
    <w:rsid w:val="006B0A04"/>
    <w:rsid w:val="006B181B"/>
    <w:rsid w:val="006B1B7F"/>
    <w:rsid w:val="006B1E13"/>
    <w:rsid w:val="006B27B7"/>
    <w:rsid w:val="006B2827"/>
    <w:rsid w:val="006B35A8"/>
    <w:rsid w:val="006B368D"/>
    <w:rsid w:val="006B3C52"/>
    <w:rsid w:val="006B3F2D"/>
    <w:rsid w:val="006B4E1D"/>
    <w:rsid w:val="006B4F6A"/>
    <w:rsid w:val="006B51FF"/>
    <w:rsid w:val="006B52AF"/>
    <w:rsid w:val="006B5629"/>
    <w:rsid w:val="006B5925"/>
    <w:rsid w:val="006B5D23"/>
    <w:rsid w:val="006B6028"/>
    <w:rsid w:val="006B67FA"/>
    <w:rsid w:val="006B6997"/>
    <w:rsid w:val="006B7273"/>
    <w:rsid w:val="006C187A"/>
    <w:rsid w:val="006C196B"/>
    <w:rsid w:val="006C1A36"/>
    <w:rsid w:val="006C1B1C"/>
    <w:rsid w:val="006C1B77"/>
    <w:rsid w:val="006C1B8E"/>
    <w:rsid w:val="006C1C66"/>
    <w:rsid w:val="006C1F00"/>
    <w:rsid w:val="006C2923"/>
    <w:rsid w:val="006C2B6C"/>
    <w:rsid w:val="006C2D0C"/>
    <w:rsid w:val="006C31D8"/>
    <w:rsid w:val="006C32E6"/>
    <w:rsid w:val="006C3698"/>
    <w:rsid w:val="006C3AA6"/>
    <w:rsid w:val="006C4102"/>
    <w:rsid w:val="006C4582"/>
    <w:rsid w:val="006C45A0"/>
    <w:rsid w:val="006C4C7C"/>
    <w:rsid w:val="006C4FAE"/>
    <w:rsid w:val="006C5B17"/>
    <w:rsid w:val="006C5C9F"/>
    <w:rsid w:val="006C6072"/>
    <w:rsid w:val="006C6512"/>
    <w:rsid w:val="006C6642"/>
    <w:rsid w:val="006C7027"/>
    <w:rsid w:val="006C70CC"/>
    <w:rsid w:val="006D081D"/>
    <w:rsid w:val="006D133D"/>
    <w:rsid w:val="006D136F"/>
    <w:rsid w:val="006D1842"/>
    <w:rsid w:val="006D2049"/>
    <w:rsid w:val="006D278E"/>
    <w:rsid w:val="006D2C73"/>
    <w:rsid w:val="006D34B3"/>
    <w:rsid w:val="006D3A59"/>
    <w:rsid w:val="006D4080"/>
    <w:rsid w:val="006D43CA"/>
    <w:rsid w:val="006D5911"/>
    <w:rsid w:val="006D5EAE"/>
    <w:rsid w:val="006D6101"/>
    <w:rsid w:val="006D6763"/>
    <w:rsid w:val="006D6807"/>
    <w:rsid w:val="006D6B6D"/>
    <w:rsid w:val="006D6EC5"/>
    <w:rsid w:val="006D725D"/>
    <w:rsid w:val="006D738E"/>
    <w:rsid w:val="006D796D"/>
    <w:rsid w:val="006D7AD1"/>
    <w:rsid w:val="006D7B3E"/>
    <w:rsid w:val="006D7BED"/>
    <w:rsid w:val="006E037C"/>
    <w:rsid w:val="006E0441"/>
    <w:rsid w:val="006E1F90"/>
    <w:rsid w:val="006E2691"/>
    <w:rsid w:val="006E2A3A"/>
    <w:rsid w:val="006E2A88"/>
    <w:rsid w:val="006E3197"/>
    <w:rsid w:val="006E3851"/>
    <w:rsid w:val="006E3B0E"/>
    <w:rsid w:val="006E3CBA"/>
    <w:rsid w:val="006E3DF5"/>
    <w:rsid w:val="006E3E42"/>
    <w:rsid w:val="006E4088"/>
    <w:rsid w:val="006E40C1"/>
    <w:rsid w:val="006E4128"/>
    <w:rsid w:val="006E426A"/>
    <w:rsid w:val="006E4871"/>
    <w:rsid w:val="006E4A87"/>
    <w:rsid w:val="006E52C6"/>
    <w:rsid w:val="006E582F"/>
    <w:rsid w:val="006E5B14"/>
    <w:rsid w:val="006E6C3D"/>
    <w:rsid w:val="006E6CD8"/>
    <w:rsid w:val="006E709F"/>
    <w:rsid w:val="006E732F"/>
    <w:rsid w:val="006E7929"/>
    <w:rsid w:val="006E7BFD"/>
    <w:rsid w:val="006E7EA0"/>
    <w:rsid w:val="006F0051"/>
    <w:rsid w:val="006F0E20"/>
    <w:rsid w:val="006F13A5"/>
    <w:rsid w:val="006F1845"/>
    <w:rsid w:val="006F1BAB"/>
    <w:rsid w:val="006F1D31"/>
    <w:rsid w:val="006F2142"/>
    <w:rsid w:val="006F2256"/>
    <w:rsid w:val="006F2339"/>
    <w:rsid w:val="006F305C"/>
    <w:rsid w:val="006F308D"/>
    <w:rsid w:val="006F3687"/>
    <w:rsid w:val="006F36E4"/>
    <w:rsid w:val="006F37AA"/>
    <w:rsid w:val="006F3972"/>
    <w:rsid w:val="006F3AFD"/>
    <w:rsid w:val="006F3C04"/>
    <w:rsid w:val="006F461E"/>
    <w:rsid w:val="006F47AD"/>
    <w:rsid w:val="006F493B"/>
    <w:rsid w:val="006F4CD7"/>
    <w:rsid w:val="006F52C8"/>
    <w:rsid w:val="006F5818"/>
    <w:rsid w:val="006F5941"/>
    <w:rsid w:val="006F5D11"/>
    <w:rsid w:val="006F6033"/>
    <w:rsid w:val="006F6400"/>
    <w:rsid w:val="006F67CB"/>
    <w:rsid w:val="006F69A5"/>
    <w:rsid w:val="006F7150"/>
    <w:rsid w:val="006F785E"/>
    <w:rsid w:val="00700206"/>
    <w:rsid w:val="007004A4"/>
    <w:rsid w:val="0070066C"/>
    <w:rsid w:val="007008FA"/>
    <w:rsid w:val="00700A21"/>
    <w:rsid w:val="00700B85"/>
    <w:rsid w:val="00700D7C"/>
    <w:rsid w:val="007013C0"/>
    <w:rsid w:val="0070195A"/>
    <w:rsid w:val="00701E91"/>
    <w:rsid w:val="0070216B"/>
    <w:rsid w:val="0070216C"/>
    <w:rsid w:val="007025A5"/>
    <w:rsid w:val="00703AF9"/>
    <w:rsid w:val="00704D5D"/>
    <w:rsid w:val="007050EF"/>
    <w:rsid w:val="007051F8"/>
    <w:rsid w:val="0070524F"/>
    <w:rsid w:val="007059DF"/>
    <w:rsid w:val="00705E93"/>
    <w:rsid w:val="0070606B"/>
    <w:rsid w:val="00706B5E"/>
    <w:rsid w:val="007075E6"/>
    <w:rsid w:val="007079DE"/>
    <w:rsid w:val="00707A93"/>
    <w:rsid w:val="00710283"/>
    <w:rsid w:val="0071098E"/>
    <w:rsid w:val="00710FE1"/>
    <w:rsid w:val="0071172A"/>
    <w:rsid w:val="00711AC2"/>
    <w:rsid w:val="00711CD6"/>
    <w:rsid w:val="00711D15"/>
    <w:rsid w:val="00711FFD"/>
    <w:rsid w:val="0071268B"/>
    <w:rsid w:val="00712EBD"/>
    <w:rsid w:val="0071368B"/>
    <w:rsid w:val="007137D1"/>
    <w:rsid w:val="00713C16"/>
    <w:rsid w:val="00714655"/>
    <w:rsid w:val="00715559"/>
    <w:rsid w:val="00715E49"/>
    <w:rsid w:val="00715EDA"/>
    <w:rsid w:val="00715F88"/>
    <w:rsid w:val="007160E6"/>
    <w:rsid w:val="00716178"/>
    <w:rsid w:val="00716624"/>
    <w:rsid w:val="0071668C"/>
    <w:rsid w:val="0071691E"/>
    <w:rsid w:val="00716F75"/>
    <w:rsid w:val="007175F4"/>
    <w:rsid w:val="00717793"/>
    <w:rsid w:val="00717C81"/>
    <w:rsid w:val="00720284"/>
    <w:rsid w:val="00720382"/>
    <w:rsid w:val="00720790"/>
    <w:rsid w:val="00720BB0"/>
    <w:rsid w:val="00720E51"/>
    <w:rsid w:val="00720F89"/>
    <w:rsid w:val="00720FA6"/>
    <w:rsid w:val="0072141E"/>
    <w:rsid w:val="00721613"/>
    <w:rsid w:val="00721FA5"/>
    <w:rsid w:val="007225D3"/>
    <w:rsid w:val="00722F3B"/>
    <w:rsid w:val="007230A0"/>
    <w:rsid w:val="007233AF"/>
    <w:rsid w:val="0072349E"/>
    <w:rsid w:val="00723671"/>
    <w:rsid w:val="007236DC"/>
    <w:rsid w:val="00723C31"/>
    <w:rsid w:val="00723EA4"/>
    <w:rsid w:val="00724288"/>
    <w:rsid w:val="0072475F"/>
    <w:rsid w:val="00724A92"/>
    <w:rsid w:val="00724D5D"/>
    <w:rsid w:val="0072518E"/>
    <w:rsid w:val="007256B9"/>
    <w:rsid w:val="007259BD"/>
    <w:rsid w:val="00726406"/>
    <w:rsid w:val="00727120"/>
    <w:rsid w:val="00727173"/>
    <w:rsid w:val="0073010A"/>
    <w:rsid w:val="00730ABC"/>
    <w:rsid w:val="00730B4A"/>
    <w:rsid w:val="007311BD"/>
    <w:rsid w:val="007315E7"/>
    <w:rsid w:val="00731C11"/>
    <w:rsid w:val="00732217"/>
    <w:rsid w:val="00732600"/>
    <w:rsid w:val="00732712"/>
    <w:rsid w:val="00732BBB"/>
    <w:rsid w:val="00732F43"/>
    <w:rsid w:val="00733258"/>
    <w:rsid w:val="0073393D"/>
    <w:rsid w:val="00733A97"/>
    <w:rsid w:val="0073479D"/>
    <w:rsid w:val="00734DFD"/>
    <w:rsid w:val="00734F6D"/>
    <w:rsid w:val="0073518C"/>
    <w:rsid w:val="00735640"/>
    <w:rsid w:val="00736733"/>
    <w:rsid w:val="0073673A"/>
    <w:rsid w:val="00736B97"/>
    <w:rsid w:val="00736CE1"/>
    <w:rsid w:val="00736DBB"/>
    <w:rsid w:val="00737842"/>
    <w:rsid w:val="00737B9D"/>
    <w:rsid w:val="00737FBC"/>
    <w:rsid w:val="00740309"/>
    <w:rsid w:val="00740665"/>
    <w:rsid w:val="00740F26"/>
    <w:rsid w:val="00742125"/>
    <w:rsid w:val="007428DF"/>
    <w:rsid w:val="00742AEE"/>
    <w:rsid w:val="00742B41"/>
    <w:rsid w:val="00743544"/>
    <w:rsid w:val="00743CBD"/>
    <w:rsid w:val="00743E06"/>
    <w:rsid w:val="007440E9"/>
    <w:rsid w:val="0074509B"/>
    <w:rsid w:val="00746175"/>
    <w:rsid w:val="007464D5"/>
    <w:rsid w:val="00746B6A"/>
    <w:rsid w:val="00746FD3"/>
    <w:rsid w:val="007471CE"/>
    <w:rsid w:val="0074731A"/>
    <w:rsid w:val="007473E3"/>
    <w:rsid w:val="007478E4"/>
    <w:rsid w:val="00747952"/>
    <w:rsid w:val="00747ABB"/>
    <w:rsid w:val="00747FC1"/>
    <w:rsid w:val="0075064F"/>
    <w:rsid w:val="0075070A"/>
    <w:rsid w:val="00750B9D"/>
    <w:rsid w:val="0075100F"/>
    <w:rsid w:val="007510AE"/>
    <w:rsid w:val="007513A1"/>
    <w:rsid w:val="00751975"/>
    <w:rsid w:val="00751D79"/>
    <w:rsid w:val="007521FF"/>
    <w:rsid w:val="00752247"/>
    <w:rsid w:val="007523E4"/>
    <w:rsid w:val="00752D03"/>
    <w:rsid w:val="00752DE4"/>
    <w:rsid w:val="00753293"/>
    <w:rsid w:val="00753C91"/>
    <w:rsid w:val="00753CC9"/>
    <w:rsid w:val="00754034"/>
    <w:rsid w:val="0075427C"/>
    <w:rsid w:val="00754C5D"/>
    <w:rsid w:val="007556C7"/>
    <w:rsid w:val="007570EC"/>
    <w:rsid w:val="00757417"/>
    <w:rsid w:val="00757B4A"/>
    <w:rsid w:val="00757F33"/>
    <w:rsid w:val="0076005F"/>
    <w:rsid w:val="007603C5"/>
    <w:rsid w:val="00760452"/>
    <w:rsid w:val="00760587"/>
    <w:rsid w:val="0076097B"/>
    <w:rsid w:val="00760A49"/>
    <w:rsid w:val="00760D3A"/>
    <w:rsid w:val="00761042"/>
    <w:rsid w:val="00761BD3"/>
    <w:rsid w:val="00761CDB"/>
    <w:rsid w:val="00762199"/>
    <w:rsid w:val="007622B3"/>
    <w:rsid w:val="00762332"/>
    <w:rsid w:val="0076309E"/>
    <w:rsid w:val="007631EC"/>
    <w:rsid w:val="00763414"/>
    <w:rsid w:val="00763642"/>
    <w:rsid w:val="00763A5F"/>
    <w:rsid w:val="0076454B"/>
    <w:rsid w:val="00764918"/>
    <w:rsid w:val="007649D2"/>
    <w:rsid w:val="007654AE"/>
    <w:rsid w:val="00765713"/>
    <w:rsid w:val="0076581D"/>
    <w:rsid w:val="007675DE"/>
    <w:rsid w:val="0077065D"/>
    <w:rsid w:val="0077088A"/>
    <w:rsid w:val="00770B83"/>
    <w:rsid w:val="00770DC8"/>
    <w:rsid w:val="00771362"/>
    <w:rsid w:val="00772100"/>
    <w:rsid w:val="007721B5"/>
    <w:rsid w:val="00772E8E"/>
    <w:rsid w:val="0077331E"/>
    <w:rsid w:val="007739AC"/>
    <w:rsid w:val="00773B13"/>
    <w:rsid w:val="007744DE"/>
    <w:rsid w:val="00774618"/>
    <w:rsid w:val="00774B54"/>
    <w:rsid w:val="00774B5E"/>
    <w:rsid w:val="00774B94"/>
    <w:rsid w:val="00774DE4"/>
    <w:rsid w:val="0077509F"/>
    <w:rsid w:val="00775366"/>
    <w:rsid w:val="0077552E"/>
    <w:rsid w:val="007758DB"/>
    <w:rsid w:val="00775EE3"/>
    <w:rsid w:val="0077729F"/>
    <w:rsid w:val="00780054"/>
    <w:rsid w:val="00780619"/>
    <w:rsid w:val="00780DCC"/>
    <w:rsid w:val="00781596"/>
    <w:rsid w:val="007817B5"/>
    <w:rsid w:val="0078181C"/>
    <w:rsid w:val="00781B50"/>
    <w:rsid w:val="00781C79"/>
    <w:rsid w:val="00781FB8"/>
    <w:rsid w:val="00782B38"/>
    <w:rsid w:val="00782B8A"/>
    <w:rsid w:val="0078365D"/>
    <w:rsid w:val="00783664"/>
    <w:rsid w:val="007838CE"/>
    <w:rsid w:val="00783D91"/>
    <w:rsid w:val="007846E7"/>
    <w:rsid w:val="00784852"/>
    <w:rsid w:val="007848E4"/>
    <w:rsid w:val="00784D5B"/>
    <w:rsid w:val="00785427"/>
    <w:rsid w:val="00786746"/>
    <w:rsid w:val="00786926"/>
    <w:rsid w:val="00786946"/>
    <w:rsid w:val="00786B61"/>
    <w:rsid w:val="007873E6"/>
    <w:rsid w:val="00787406"/>
    <w:rsid w:val="007877D6"/>
    <w:rsid w:val="007878A9"/>
    <w:rsid w:val="00787CD1"/>
    <w:rsid w:val="00787D88"/>
    <w:rsid w:val="00787FBA"/>
    <w:rsid w:val="007902F4"/>
    <w:rsid w:val="00790848"/>
    <w:rsid w:val="0079099A"/>
    <w:rsid w:val="00790AE5"/>
    <w:rsid w:val="00790E66"/>
    <w:rsid w:val="00791151"/>
    <w:rsid w:val="007911A4"/>
    <w:rsid w:val="00791C9A"/>
    <w:rsid w:val="00792600"/>
    <w:rsid w:val="00792812"/>
    <w:rsid w:val="00792938"/>
    <w:rsid w:val="00792BF6"/>
    <w:rsid w:val="00792E9A"/>
    <w:rsid w:val="00793099"/>
    <w:rsid w:val="0079324B"/>
    <w:rsid w:val="0079335E"/>
    <w:rsid w:val="007934EC"/>
    <w:rsid w:val="00793791"/>
    <w:rsid w:val="007938D0"/>
    <w:rsid w:val="00794CF2"/>
    <w:rsid w:val="00794D9B"/>
    <w:rsid w:val="00794E5C"/>
    <w:rsid w:val="00794EF4"/>
    <w:rsid w:val="00794FA3"/>
    <w:rsid w:val="007952E3"/>
    <w:rsid w:val="00795688"/>
    <w:rsid w:val="007956DE"/>
    <w:rsid w:val="00796317"/>
    <w:rsid w:val="00796397"/>
    <w:rsid w:val="00796666"/>
    <w:rsid w:val="00796807"/>
    <w:rsid w:val="00796CD0"/>
    <w:rsid w:val="0079709B"/>
    <w:rsid w:val="007978EB"/>
    <w:rsid w:val="00797CB0"/>
    <w:rsid w:val="007A0B1C"/>
    <w:rsid w:val="007A0CCB"/>
    <w:rsid w:val="007A13F6"/>
    <w:rsid w:val="007A1511"/>
    <w:rsid w:val="007A230D"/>
    <w:rsid w:val="007A26CA"/>
    <w:rsid w:val="007A2771"/>
    <w:rsid w:val="007A2ABF"/>
    <w:rsid w:val="007A2BF9"/>
    <w:rsid w:val="007A3144"/>
    <w:rsid w:val="007A3313"/>
    <w:rsid w:val="007A5377"/>
    <w:rsid w:val="007A53A9"/>
    <w:rsid w:val="007A5C67"/>
    <w:rsid w:val="007A62E1"/>
    <w:rsid w:val="007A705A"/>
    <w:rsid w:val="007A746B"/>
    <w:rsid w:val="007A7CEA"/>
    <w:rsid w:val="007A7F2F"/>
    <w:rsid w:val="007B05A1"/>
    <w:rsid w:val="007B0BE7"/>
    <w:rsid w:val="007B0FEE"/>
    <w:rsid w:val="007B1503"/>
    <w:rsid w:val="007B1761"/>
    <w:rsid w:val="007B19B2"/>
    <w:rsid w:val="007B1ABC"/>
    <w:rsid w:val="007B1D5A"/>
    <w:rsid w:val="007B1ED4"/>
    <w:rsid w:val="007B2413"/>
    <w:rsid w:val="007B2A44"/>
    <w:rsid w:val="007B2C85"/>
    <w:rsid w:val="007B2EA6"/>
    <w:rsid w:val="007B2F86"/>
    <w:rsid w:val="007B37E5"/>
    <w:rsid w:val="007B3D2E"/>
    <w:rsid w:val="007B4257"/>
    <w:rsid w:val="007B42B9"/>
    <w:rsid w:val="007B555D"/>
    <w:rsid w:val="007B557E"/>
    <w:rsid w:val="007B5B38"/>
    <w:rsid w:val="007B5BA0"/>
    <w:rsid w:val="007B5C8C"/>
    <w:rsid w:val="007B60D5"/>
    <w:rsid w:val="007B6147"/>
    <w:rsid w:val="007B72D6"/>
    <w:rsid w:val="007B7928"/>
    <w:rsid w:val="007B7CA2"/>
    <w:rsid w:val="007B7D91"/>
    <w:rsid w:val="007B7FF2"/>
    <w:rsid w:val="007C00FC"/>
    <w:rsid w:val="007C0246"/>
    <w:rsid w:val="007C0403"/>
    <w:rsid w:val="007C05B6"/>
    <w:rsid w:val="007C0977"/>
    <w:rsid w:val="007C0B7B"/>
    <w:rsid w:val="007C1019"/>
    <w:rsid w:val="007C1E74"/>
    <w:rsid w:val="007C2A2F"/>
    <w:rsid w:val="007C3023"/>
    <w:rsid w:val="007C34DF"/>
    <w:rsid w:val="007C3C27"/>
    <w:rsid w:val="007C3FAF"/>
    <w:rsid w:val="007C42E3"/>
    <w:rsid w:val="007C5C4D"/>
    <w:rsid w:val="007C5CB6"/>
    <w:rsid w:val="007C6114"/>
    <w:rsid w:val="007C62F9"/>
    <w:rsid w:val="007C635E"/>
    <w:rsid w:val="007C6533"/>
    <w:rsid w:val="007C6E13"/>
    <w:rsid w:val="007C6E71"/>
    <w:rsid w:val="007C6ED6"/>
    <w:rsid w:val="007C723E"/>
    <w:rsid w:val="007C73B8"/>
    <w:rsid w:val="007C770D"/>
    <w:rsid w:val="007C79F8"/>
    <w:rsid w:val="007D048A"/>
    <w:rsid w:val="007D0AB3"/>
    <w:rsid w:val="007D1183"/>
    <w:rsid w:val="007D2DC7"/>
    <w:rsid w:val="007D3075"/>
    <w:rsid w:val="007D32A8"/>
    <w:rsid w:val="007D33F8"/>
    <w:rsid w:val="007D3618"/>
    <w:rsid w:val="007D3644"/>
    <w:rsid w:val="007D3A5D"/>
    <w:rsid w:val="007D3DC0"/>
    <w:rsid w:val="007D424C"/>
    <w:rsid w:val="007D4C66"/>
    <w:rsid w:val="007D4FC6"/>
    <w:rsid w:val="007D54B7"/>
    <w:rsid w:val="007D56ED"/>
    <w:rsid w:val="007D571C"/>
    <w:rsid w:val="007D58EB"/>
    <w:rsid w:val="007D5911"/>
    <w:rsid w:val="007D6BFA"/>
    <w:rsid w:val="007D6DB9"/>
    <w:rsid w:val="007D6E9B"/>
    <w:rsid w:val="007D6F7C"/>
    <w:rsid w:val="007D728B"/>
    <w:rsid w:val="007D72F8"/>
    <w:rsid w:val="007D7590"/>
    <w:rsid w:val="007D7877"/>
    <w:rsid w:val="007D792E"/>
    <w:rsid w:val="007D7CFF"/>
    <w:rsid w:val="007D7DF9"/>
    <w:rsid w:val="007D7E9E"/>
    <w:rsid w:val="007E0122"/>
    <w:rsid w:val="007E0E91"/>
    <w:rsid w:val="007E1251"/>
    <w:rsid w:val="007E1A8E"/>
    <w:rsid w:val="007E2098"/>
    <w:rsid w:val="007E29B1"/>
    <w:rsid w:val="007E3375"/>
    <w:rsid w:val="007E36D1"/>
    <w:rsid w:val="007E3A98"/>
    <w:rsid w:val="007E3DD7"/>
    <w:rsid w:val="007E40A9"/>
    <w:rsid w:val="007E4136"/>
    <w:rsid w:val="007E4173"/>
    <w:rsid w:val="007E42E9"/>
    <w:rsid w:val="007E48EF"/>
    <w:rsid w:val="007E49DB"/>
    <w:rsid w:val="007E5717"/>
    <w:rsid w:val="007E59A4"/>
    <w:rsid w:val="007E5AA0"/>
    <w:rsid w:val="007E5FDA"/>
    <w:rsid w:val="007E60FB"/>
    <w:rsid w:val="007E6657"/>
    <w:rsid w:val="007E6E85"/>
    <w:rsid w:val="007E7295"/>
    <w:rsid w:val="007E7AC9"/>
    <w:rsid w:val="007F05D0"/>
    <w:rsid w:val="007F0AD0"/>
    <w:rsid w:val="007F1D81"/>
    <w:rsid w:val="007F1F1D"/>
    <w:rsid w:val="007F21F0"/>
    <w:rsid w:val="007F2588"/>
    <w:rsid w:val="007F26F6"/>
    <w:rsid w:val="007F27D0"/>
    <w:rsid w:val="007F2ADD"/>
    <w:rsid w:val="007F2CC7"/>
    <w:rsid w:val="007F30A7"/>
    <w:rsid w:val="007F35C8"/>
    <w:rsid w:val="007F3708"/>
    <w:rsid w:val="007F379F"/>
    <w:rsid w:val="007F3C35"/>
    <w:rsid w:val="007F3C36"/>
    <w:rsid w:val="007F3E21"/>
    <w:rsid w:val="007F4462"/>
    <w:rsid w:val="007F44F7"/>
    <w:rsid w:val="007F4AAC"/>
    <w:rsid w:val="007F4FB7"/>
    <w:rsid w:val="007F5125"/>
    <w:rsid w:val="007F52D1"/>
    <w:rsid w:val="007F5357"/>
    <w:rsid w:val="007F5483"/>
    <w:rsid w:val="007F57A5"/>
    <w:rsid w:val="007F58BD"/>
    <w:rsid w:val="007F60D4"/>
    <w:rsid w:val="007F6407"/>
    <w:rsid w:val="007F653B"/>
    <w:rsid w:val="007F705A"/>
    <w:rsid w:val="007F768E"/>
    <w:rsid w:val="0080030E"/>
    <w:rsid w:val="00800A8F"/>
    <w:rsid w:val="00800DB8"/>
    <w:rsid w:val="008013C6"/>
    <w:rsid w:val="00801536"/>
    <w:rsid w:val="008019E4"/>
    <w:rsid w:val="00802444"/>
    <w:rsid w:val="008028DF"/>
    <w:rsid w:val="00803A0E"/>
    <w:rsid w:val="00803DB3"/>
    <w:rsid w:val="008042E0"/>
    <w:rsid w:val="00804A61"/>
    <w:rsid w:val="0080519E"/>
    <w:rsid w:val="00805AFE"/>
    <w:rsid w:val="008061CA"/>
    <w:rsid w:val="00806776"/>
    <w:rsid w:val="00806AED"/>
    <w:rsid w:val="008071BF"/>
    <w:rsid w:val="0080759F"/>
    <w:rsid w:val="00807AE4"/>
    <w:rsid w:val="00807DD3"/>
    <w:rsid w:val="00810591"/>
    <w:rsid w:val="00810A26"/>
    <w:rsid w:val="00810A80"/>
    <w:rsid w:val="00810FD9"/>
    <w:rsid w:val="008110FE"/>
    <w:rsid w:val="00811350"/>
    <w:rsid w:val="00811F60"/>
    <w:rsid w:val="00812001"/>
    <w:rsid w:val="008131E5"/>
    <w:rsid w:val="0081321A"/>
    <w:rsid w:val="008132F7"/>
    <w:rsid w:val="008141ED"/>
    <w:rsid w:val="00814B96"/>
    <w:rsid w:val="00814FB9"/>
    <w:rsid w:val="00815277"/>
    <w:rsid w:val="008158DB"/>
    <w:rsid w:val="00815C1C"/>
    <w:rsid w:val="00816389"/>
    <w:rsid w:val="008163F5"/>
    <w:rsid w:val="008165F1"/>
    <w:rsid w:val="008165F2"/>
    <w:rsid w:val="00816BDB"/>
    <w:rsid w:val="00816E15"/>
    <w:rsid w:val="008176D4"/>
    <w:rsid w:val="00817762"/>
    <w:rsid w:val="008201A4"/>
    <w:rsid w:val="0082052C"/>
    <w:rsid w:val="00820B1A"/>
    <w:rsid w:val="008213F4"/>
    <w:rsid w:val="00821E53"/>
    <w:rsid w:val="00821F37"/>
    <w:rsid w:val="008224ED"/>
    <w:rsid w:val="0082267F"/>
    <w:rsid w:val="00822C4C"/>
    <w:rsid w:val="00823862"/>
    <w:rsid w:val="008238B5"/>
    <w:rsid w:val="00823E32"/>
    <w:rsid w:val="00823ECE"/>
    <w:rsid w:val="00824685"/>
    <w:rsid w:val="00824C1E"/>
    <w:rsid w:val="00824DB6"/>
    <w:rsid w:val="008253E8"/>
    <w:rsid w:val="0082561F"/>
    <w:rsid w:val="00825878"/>
    <w:rsid w:val="008265A0"/>
    <w:rsid w:val="00826C9B"/>
    <w:rsid w:val="00826D86"/>
    <w:rsid w:val="00826EA0"/>
    <w:rsid w:val="00826EFD"/>
    <w:rsid w:val="0082707E"/>
    <w:rsid w:val="00827594"/>
    <w:rsid w:val="008277AC"/>
    <w:rsid w:val="00827E60"/>
    <w:rsid w:val="00827FD9"/>
    <w:rsid w:val="0083040D"/>
    <w:rsid w:val="0083065A"/>
    <w:rsid w:val="00830727"/>
    <w:rsid w:val="008308EC"/>
    <w:rsid w:val="008309D4"/>
    <w:rsid w:val="0083141B"/>
    <w:rsid w:val="00831D6F"/>
    <w:rsid w:val="00832210"/>
    <w:rsid w:val="008322BD"/>
    <w:rsid w:val="00832595"/>
    <w:rsid w:val="00832D93"/>
    <w:rsid w:val="00833BC2"/>
    <w:rsid w:val="00833C8F"/>
    <w:rsid w:val="00833DD5"/>
    <w:rsid w:val="00833E43"/>
    <w:rsid w:val="008343BF"/>
    <w:rsid w:val="00834B68"/>
    <w:rsid w:val="0083586F"/>
    <w:rsid w:val="00835BA1"/>
    <w:rsid w:val="00836534"/>
    <w:rsid w:val="008369B6"/>
    <w:rsid w:val="00836A41"/>
    <w:rsid w:val="00837417"/>
    <w:rsid w:val="00837BDA"/>
    <w:rsid w:val="008405EC"/>
    <w:rsid w:val="00840B96"/>
    <w:rsid w:val="00841551"/>
    <w:rsid w:val="008418AB"/>
    <w:rsid w:val="00841D0A"/>
    <w:rsid w:val="00841FC9"/>
    <w:rsid w:val="0084204E"/>
    <w:rsid w:val="008423A0"/>
    <w:rsid w:val="008428EC"/>
    <w:rsid w:val="00843159"/>
    <w:rsid w:val="008432CB"/>
    <w:rsid w:val="00843451"/>
    <w:rsid w:val="00843663"/>
    <w:rsid w:val="00843895"/>
    <w:rsid w:val="008443F5"/>
    <w:rsid w:val="00844C43"/>
    <w:rsid w:val="00845077"/>
    <w:rsid w:val="0084611E"/>
    <w:rsid w:val="008466F0"/>
    <w:rsid w:val="00846FE0"/>
    <w:rsid w:val="00847AB0"/>
    <w:rsid w:val="0085142B"/>
    <w:rsid w:val="00851EC4"/>
    <w:rsid w:val="00852BE3"/>
    <w:rsid w:val="00852C5A"/>
    <w:rsid w:val="00852F5B"/>
    <w:rsid w:val="0085332E"/>
    <w:rsid w:val="00853611"/>
    <w:rsid w:val="0085364F"/>
    <w:rsid w:val="0085423A"/>
    <w:rsid w:val="0085452F"/>
    <w:rsid w:val="00855272"/>
    <w:rsid w:val="00855695"/>
    <w:rsid w:val="00855974"/>
    <w:rsid w:val="0085629B"/>
    <w:rsid w:val="00856A2C"/>
    <w:rsid w:val="008571BA"/>
    <w:rsid w:val="008571D4"/>
    <w:rsid w:val="008603D3"/>
    <w:rsid w:val="008606FD"/>
    <w:rsid w:val="00860F92"/>
    <w:rsid w:val="008613EF"/>
    <w:rsid w:val="00861607"/>
    <w:rsid w:val="00861B9A"/>
    <w:rsid w:val="00862196"/>
    <w:rsid w:val="0086219E"/>
    <w:rsid w:val="00862DB0"/>
    <w:rsid w:val="00862E50"/>
    <w:rsid w:val="0086367E"/>
    <w:rsid w:val="0086371F"/>
    <w:rsid w:val="008638A7"/>
    <w:rsid w:val="00863B22"/>
    <w:rsid w:val="00863D05"/>
    <w:rsid w:val="0086407F"/>
    <w:rsid w:val="00864468"/>
    <w:rsid w:val="008644B7"/>
    <w:rsid w:val="008645AF"/>
    <w:rsid w:val="008647F9"/>
    <w:rsid w:val="00864DA8"/>
    <w:rsid w:val="0086509D"/>
    <w:rsid w:val="008650F8"/>
    <w:rsid w:val="00865184"/>
    <w:rsid w:val="00865C94"/>
    <w:rsid w:val="00866416"/>
    <w:rsid w:val="00867E75"/>
    <w:rsid w:val="00870206"/>
    <w:rsid w:val="00870394"/>
    <w:rsid w:val="008709EC"/>
    <w:rsid w:val="00870D61"/>
    <w:rsid w:val="00871931"/>
    <w:rsid w:val="00871A38"/>
    <w:rsid w:val="00871D31"/>
    <w:rsid w:val="00871DCB"/>
    <w:rsid w:val="00872665"/>
    <w:rsid w:val="00872742"/>
    <w:rsid w:val="00872CF8"/>
    <w:rsid w:val="00872D48"/>
    <w:rsid w:val="00872DA4"/>
    <w:rsid w:val="00872F38"/>
    <w:rsid w:val="008736C5"/>
    <w:rsid w:val="0087437D"/>
    <w:rsid w:val="008747AE"/>
    <w:rsid w:val="008749C8"/>
    <w:rsid w:val="00875203"/>
    <w:rsid w:val="00875942"/>
    <w:rsid w:val="00875F6E"/>
    <w:rsid w:val="00876132"/>
    <w:rsid w:val="00876287"/>
    <w:rsid w:val="00876C64"/>
    <w:rsid w:val="00877275"/>
    <w:rsid w:val="008776C0"/>
    <w:rsid w:val="00877F62"/>
    <w:rsid w:val="008805A1"/>
    <w:rsid w:val="00880B7D"/>
    <w:rsid w:val="00880F8D"/>
    <w:rsid w:val="00881A26"/>
    <w:rsid w:val="00881B56"/>
    <w:rsid w:val="00881CA0"/>
    <w:rsid w:val="00881F0F"/>
    <w:rsid w:val="008826B2"/>
    <w:rsid w:val="00882ED3"/>
    <w:rsid w:val="0088356A"/>
    <w:rsid w:val="008836FB"/>
    <w:rsid w:val="00883708"/>
    <w:rsid w:val="00883EF9"/>
    <w:rsid w:val="00884F69"/>
    <w:rsid w:val="008850DE"/>
    <w:rsid w:val="008858C1"/>
    <w:rsid w:val="00886081"/>
    <w:rsid w:val="00886193"/>
    <w:rsid w:val="00886A29"/>
    <w:rsid w:val="00886C14"/>
    <w:rsid w:val="008870D1"/>
    <w:rsid w:val="008870DF"/>
    <w:rsid w:val="00887335"/>
    <w:rsid w:val="008879E9"/>
    <w:rsid w:val="00887AA1"/>
    <w:rsid w:val="00887C90"/>
    <w:rsid w:val="00890195"/>
    <w:rsid w:val="00890845"/>
    <w:rsid w:val="00890C9A"/>
    <w:rsid w:val="00890CC6"/>
    <w:rsid w:val="00890E3C"/>
    <w:rsid w:val="008915F5"/>
    <w:rsid w:val="008919DB"/>
    <w:rsid w:val="00891A9E"/>
    <w:rsid w:val="00891B71"/>
    <w:rsid w:val="008927A0"/>
    <w:rsid w:val="00892B01"/>
    <w:rsid w:val="00892C64"/>
    <w:rsid w:val="008934A9"/>
    <w:rsid w:val="0089379D"/>
    <w:rsid w:val="0089430E"/>
    <w:rsid w:val="008948C7"/>
    <w:rsid w:val="00894D47"/>
    <w:rsid w:val="00894E73"/>
    <w:rsid w:val="00895448"/>
    <w:rsid w:val="00896458"/>
    <w:rsid w:val="0089648B"/>
    <w:rsid w:val="008966D4"/>
    <w:rsid w:val="00896798"/>
    <w:rsid w:val="0089737D"/>
    <w:rsid w:val="008974AE"/>
    <w:rsid w:val="008976A4"/>
    <w:rsid w:val="00897773"/>
    <w:rsid w:val="00897C37"/>
    <w:rsid w:val="008A048B"/>
    <w:rsid w:val="008A0C8F"/>
    <w:rsid w:val="008A1015"/>
    <w:rsid w:val="008A11E1"/>
    <w:rsid w:val="008A1B63"/>
    <w:rsid w:val="008A2447"/>
    <w:rsid w:val="008A27A5"/>
    <w:rsid w:val="008A347C"/>
    <w:rsid w:val="008A3645"/>
    <w:rsid w:val="008A37A4"/>
    <w:rsid w:val="008A3BDA"/>
    <w:rsid w:val="008A40B2"/>
    <w:rsid w:val="008A4316"/>
    <w:rsid w:val="008A431C"/>
    <w:rsid w:val="008A440C"/>
    <w:rsid w:val="008A49F4"/>
    <w:rsid w:val="008A4C00"/>
    <w:rsid w:val="008A5C8C"/>
    <w:rsid w:val="008A5E27"/>
    <w:rsid w:val="008A6548"/>
    <w:rsid w:val="008A6833"/>
    <w:rsid w:val="008A690C"/>
    <w:rsid w:val="008A6C89"/>
    <w:rsid w:val="008A75E4"/>
    <w:rsid w:val="008B0101"/>
    <w:rsid w:val="008B0E4B"/>
    <w:rsid w:val="008B0F0C"/>
    <w:rsid w:val="008B2137"/>
    <w:rsid w:val="008B2985"/>
    <w:rsid w:val="008B2C36"/>
    <w:rsid w:val="008B3177"/>
    <w:rsid w:val="008B3690"/>
    <w:rsid w:val="008B3C2C"/>
    <w:rsid w:val="008B3CF0"/>
    <w:rsid w:val="008B3D6C"/>
    <w:rsid w:val="008B444F"/>
    <w:rsid w:val="008B44D3"/>
    <w:rsid w:val="008B509D"/>
    <w:rsid w:val="008B5186"/>
    <w:rsid w:val="008B51DB"/>
    <w:rsid w:val="008B52C3"/>
    <w:rsid w:val="008B55DA"/>
    <w:rsid w:val="008B55F8"/>
    <w:rsid w:val="008B6062"/>
    <w:rsid w:val="008B62FD"/>
    <w:rsid w:val="008B6670"/>
    <w:rsid w:val="008B681D"/>
    <w:rsid w:val="008B693A"/>
    <w:rsid w:val="008B6E54"/>
    <w:rsid w:val="008B76AE"/>
    <w:rsid w:val="008B786F"/>
    <w:rsid w:val="008B7F96"/>
    <w:rsid w:val="008C00DB"/>
    <w:rsid w:val="008C0DC2"/>
    <w:rsid w:val="008C11B6"/>
    <w:rsid w:val="008C17E2"/>
    <w:rsid w:val="008C19AB"/>
    <w:rsid w:val="008C2511"/>
    <w:rsid w:val="008C27C6"/>
    <w:rsid w:val="008C2EDC"/>
    <w:rsid w:val="008C335A"/>
    <w:rsid w:val="008C33EC"/>
    <w:rsid w:val="008C3F68"/>
    <w:rsid w:val="008C427F"/>
    <w:rsid w:val="008C48A1"/>
    <w:rsid w:val="008C4BD6"/>
    <w:rsid w:val="008C4F26"/>
    <w:rsid w:val="008C527C"/>
    <w:rsid w:val="008C5417"/>
    <w:rsid w:val="008C5646"/>
    <w:rsid w:val="008C5DA0"/>
    <w:rsid w:val="008C6008"/>
    <w:rsid w:val="008C6272"/>
    <w:rsid w:val="008C65EB"/>
    <w:rsid w:val="008C677D"/>
    <w:rsid w:val="008C6C80"/>
    <w:rsid w:val="008C6F0C"/>
    <w:rsid w:val="008C70F7"/>
    <w:rsid w:val="008C72AA"/>
    <w:rsid w:val="008C7309"/>
    <w:rsid w:val="008C7547"/>
    <w:rsid w:val="008C75BC"/>
    <w:rsid w:val="008C7EE1"/>
    <w:rsid w:val="008D0E81"/>
    <w:rsid w:val="008D0E9A"/>
    <w:rsid w:val="008D1705"/>
    <w:rsid w:val="008D1CF3"/>
    <w:rsid w:val="008D1EBA"/>
    <w:rsid w:val="008D2BDC"/>
    <w:rsid w:val="008D2FB7"/>
    <w:rsid w:val="008D31D7"/>
    <w:rsid w:val="008D338C"/>
    <w:rsid w:val="008D3523"/>
    <w:rsid w:val="008D390F"/>
    <w:rsid w:val="008D45F0"/>
    <w:rsid w:val="008D486A"/>
    <w:rsid w:val="008D52DE"/>
    <w:rsid w:val="008D552A"/>
    <w:rsid w:val="008D55A1"/>
    <w:rsid w:val="008D58B9"/>
    <w:rsid w:val="008D6A1D"/>
    <w:rsid w:val="008D6E8C"/>
    <w:rsid w:val="008D78A2"/>
    <w:rsid w:val="008E019F"/>
    <w:rsid w:val="008E0D6F"/>
    <w:rsid w:val="008E12EE"/>
    <w:rsid w:val="008E1554"/>
    <w:rsid w:val="008E1B6D"/>
    <w:rsid w:val="008E251A"/>
    <w:rsid w:val="008E27C2"/>
    <w:rsid w:val="008E3106"/>
    <w:rsid w:val="008E31DD"/>
    <w:rsid w:val="008E3490"/>
    <w:rsid w:val="008E355F"/>
    <w:rsid w:val="008E4727"/>
    <w:rsid w:val="008E5310"/>
    <w:rsid w:val="008E5C1F"/>
    <w:rsid w:val="008E6D2F"/>
    <w:rsid w:val="008E7117"/>
    <w:rsid w:val="008E7428"/>
    <w:rsid w:val="008E7842"/>
    <w:rsid w:val="008F0046"/>
    <w:rsid w:val="008F0894"/>
    <w:rsid w:val="008F08EA"/>
    <w:rsid w:val="008F0C64"/>
    <w:rsid w:val="008F0EBC"/>
    <w:rsid w:val="008F1069"/>
    <w:rsid w:val="008F165E"/>
    <w:rsid w:val="008F194D"/>
    <w:rsid w:val="008F19A0"/>
    <w:rsid w:val="008F19B4"/>
    <w:rsid w:val="008F19D5"/>
    <w:rsid w:val="008F1BB8"/>
    <w:rsid w:val="008F2096"/>
    <w:rsid w:val="008F2362"/>
    <w:rsid w:val="008F2451"/>
    <w:rsid w:val="008F2D33"/>
    <w:rsid w:val="008F2F73"/>
    <w:rsid w:val="008F3357"/>
    <w:rsid w:val="008F351E"/>
    <w:rsid w:val="008F3FF3"/>
    <w:rsid w:val="008F4104"/>
    <w:rsid w:val="008F4431"/>
    <w:rsid w:val="008F45C4"/>
    <w:rsid w:val="008F4712"/>
    <w:rsid w:val="008F486A"/>
    <w:rsid w:val="008F4DBA"/>
    <w:rsid w:val="008F5291"/>
    <w:rsid w:val="008F557D"/>
    <w:rsid w:val="008F5693"/>
    <w:rsid w:val="008F5E11"/>
    <w:rsid w:val="008F5F49"/>
    <w:rsid w:val="008F606A"/>
    <w:rsid w:val="008F6301"/>
    <w:rsid w:val="008F6495"/>
    <w:rsid w:val="008F665F"/>
    <w:rsid w:val="008F68B9"/>
    <w:rsid w:val="008F6E1F"/>
    <w:rsid w:val="008F6FAB"/>
    <w:rsid w:val="008F7176"/>
    <w:rsid w:val="008F7B3D"/>
    <w:rsid w:val="008F7B8A"/>
    <w:rsid w:val="008F7F77"/>
    <w:rsid w:val="00900031"/>
    <w:rsid w:val="00900588"/>
    <w:rsid w:val="009011B2"/>
    <w:rsid w:val="00901C95"/>
    <w:rsid w:val="00901CCD"/>
    <w:rsid w:val="009021E6"/>
    <w:rsid w:val="00902441"/>
    <w:rsid w:val="00902512"/>
    <w:rsid w:val="00902C1B"/>
    <w:rsid w:val="00902CA5"/>
    <w:rsid w:val="00902E76"/>
    <w:rsid w:val="0090338B"/>
    <w:rsid w:val="0090403D"/>
    <w:rsid w:val="00904182"/>
    <w:rsid w:val="00904403"/>
    <w:rsid w:val="00904420"/>
    <w:rsid w:val="009046BA"/>
    <w:rsid w:val="00904D59"/>
    <w:rsid w:val="00905A68"/>
    <w:rsid w:val="00905FEF"/>
    <w:rsid w:val="00906AF7"/>
    <w:rsid w:val="00906F14"/>
    <w:rsid w:val="009074A5"/>
    <w:rsid w:val="009078F9"/>
    <w:rsid w:val="00907A6E"/>
    <w:rsid w:val="00907B1B"/>
    <w:rsid w:val="00907C61"/>
    <w:rsid w:val="00907D58"/>
    <w:rsid w:val="0091006E"/>
    <w:rsid w:val="00910320"/>
    <w:rsid w:val="0091089B"/>
    <w:rsid w:val="00910A5D"/>
    <w:rsid w:val="00910BED"/>
    <w:rsid w:val="00910E9A"/>
    <w:rsid w:val="00910F27"/>
    <w:rsid w:val="0091140F"/>
    <w:rsid w:val="00911D16"/>
    <w:rsid w:val="00912142"/>
    <w:rsid w:val="00912D5B"/>
    <w:rsid w:val="00912DA1"/>
    <w:rsid w:val="009132ED"/>
    <w:rsid w:val="00913308"/>
    <w:rsid w:val="00913747"/>
    <w:rsid w:val="00913A83"/>
    <w:rsid w:val="00913CF3"/>
    <w:rsid w:val="00913E1F"/>
    <w:rsid w:val="009141F1"/>
    <w:rsid w:val="00914274"/>
    <w:rsid w:val="00914E41"/>
    <w:rsid w:val="00914F84"/>
    <w:rsid w:val="0091550C"/>
    <w:rsid w:val="00915AE4"/>
    <w:rsid w:val="00915C10"/>
    <w:rsid w:val="00916406"/>
    <w:rsid w:val="009168A6"/>
    <w:rsid w:val="00916D52"/>
    <w:rsid w:val="00916EF5"/>
    <w:rsid w:val="00917315"/>
    <w:rsid w:val="00920360"/>
    <w:rsid w:val="009205D3"/>
    <w:rsid w:val="009206D3"/>
    <w:rsid w:val="009211C1"/>
    <w:rsid w:val="009216D1"/>
    <w:rsid w:val="009219C0"/>
    <w:rsid w:val="00921B4A"/>
    <w:rsid w:val="0092262A"/>
    <w:rsid w:val="00922A16"/>
    <w:rsid w:val="00923C81"/>
    <w:rsid w:val="00924623"/>
    <w:rsid w:val="009246E0"/>
    <w:rsid w:val="009259FB"/>
    <w:rsid w:val="00925F9F"/>
    <w:rsid w:val="00925FB8"/>
    <w:rsid w:val="009265DF"/>
    <w:rsid w:val="00926656"/>
    <w:rsid w:val="00927CDF"/>
    <w:rsid w:val="00930051"/>
    <w:rsid w:val="00930339"/>
    <w:rsid w:val="00930493"/>
    <w:rsid w:val="0093110D"/>
    <w:rsid w:val="0093143C"/>
    <w:rsid w:val="00931616"/>
    <w:rsid w:val="0093185E"/>
    <w:rsid w:val="00931B33"/>
    <w:rsid w:val="00931BBC"/>
    <w:rsid w:val="00931E2D"/>
    <w:rsid w:val="00932062"/>
    <w:rsid w:val="009328CC"/>
    <w:rsid w:val="00933126"/>
    <w:rsid w:val="00933E3C"/>
    <w:rsid w:val="009346F8"/>
    <w:rsid w:val="00935288"/>
    <w:rsid w:val="0093570E"/>
    <w:rsid w:val="009357ED"/>
    <w:rsid w:val="00935EC6"/>
    <w:rsid w:val="009367DF"/>
    <w:rsid w:val="00936E93"/>
    <w:rsid w:val="0093722B"/>
    <w:rsid w:val="009372C1"/>
    <w:rsid w:val="00937AA9"/>
    <w:rsid w:val="00937AB1"/>
    <w:rsid w:val="00937ACF"/>
    <w:rsid w:val="0094003B"/>
    <w:rsid w:val="00940112"/>
    <w:rsid w:val="00940309"/>
    <w:rsid w:val="0094042F"/>
    <w:rsid w:val="00940679"/>
    <w:rsid w:val="0094068D"/>
    <w:rsid w:val="00940D03"/>
    <w:rsid w:val="00941466"/>
    <w:rsid w:val="009419B9"/>
    <w:rsid w:val="00941CAD"/>
    <w:rsid w:val="00942B03"/>
    <w:rsid w:val="00942CA6"/>
    <w:rsid w:val="0094380A"/>
    <w:rsid w:val="00943D17"/>
    <w:rsid w:val="00943D64"/>
    <w:rsid w:val="00943EB8"/>
    <w:rsid w:val="009443D8"/>
    <w:rsid w:val="0094440F"/>
    <w:rsid w:val="0094449B"/>
    <w:rsid w:val="009447B4"/>
    <w:rsid w:val="009454ED"/>
    <w:rsid w:val="009465FF"/>
    <w:rsid w:val="00946F32"/>
    <w:rsid w:val="00946FCE"/>
    <w:rsid w:val="0094720D"/>
    <w:rsid w:val="0094781E"/>
    <w:rsid w:val="00947920"/>
    <w:rsid w:val="00950888"/>
    <w:rsid w:val="00950A01"/>
    <w:rsid w:val="00950D20"/>
    <w:rsid w:val="0095193F"/>
    <w:rsid w:val="00951C69"/>
    <w:rsid w:val="0095235F"/>
    <w:rsid w:val="0095291D"/>
    <w:rsid w:val="00952EEE"/>
    <w:rsid w:val="00953220"/>
    <w:rsid w:val="009536A0"/>
    <w:rsid w:val="00953718"/>
    <w:rsid w:val="00953A52"/>
    <w:rsid w:val="00954A3F"/>
    <w:rsid w:val="00955102"/>
    <w:rsid w:val="00956168"/>
    <w:rsid w:val="0095626D"/>
    <w:rsid w:val="00956A94"/>
    <w:rsid w:val="00956F0F"/>
    <w:rsid w:val="00957325"/>
    <w:rsid w:val="009579C8"/>
    <w:rsid w:val="009579C9"/>
    <w:rsid w:val="00957D37"/>
    <w:rsid w:val="0096120F"/>
    <w:rsid w:val="00961242"/>
    <w:rsid w:val="0096196C"/>
    <w:rsid w:val="00961B52"/>
    <w:rsid w:val="00961C44"/>
    <w:rsid w:val="00961D9F"/>
    <w:rsid w:val="009620A8"/>
    <w:rsid w:val="00962374"/>
    <w:rsid w:val="00962597"/>
    <w:rsid w:val="009626D4"/>
    <w:rsid w:val="009626F1"/>
    <w:rsid w:val="00962835"/>
    <w:rsid w:val="0096284E"/>
    <w:rsid w:val="00962B9E"/>
    <w:rsid w:val="00962C26"/>
    <w:rsid w:val="00963219"/>
    <w:rsid w:val="0096398E"/>
    <w:rsid w:val="00964010"/>
    <w:rsid w:val="009641E8"/>
    <w:rsid w:val="00964373"/>
    <w:rsid w:val="00964CA6"/>
    <w:rsid w:val="00964E1C"/>
    <w:rsid w:val="00965861"/>
    <w:rsid w:val="00965BED"/>
    <w:rsid w:val="0096665D"/>
    <w:rsid w:val="00966EC9"/>
    <w:rsid w:val="009673B1"/>
    <w:rsid w:val="00967407"/>
    <w:rsid w:val="0096759F"/>
    <w:rsid w:val="00967672"/>
    <w:rsid w:val="00967A16"/>
    <w:rsid w:val="00967D40"/>
    <w:rsid w:val="009701BE"/>
    <w:rsid w:val="0097196B"/>
    <w:rsid w:val="009722CC"/>
    <w:rsid w:val="00972CBE"/>
    <w:rsid w:val="00973513"/>
    <w:rsid w:val="00973806"/>
    <w:rsid w:val="009745F5"/>
    <w:rsid w:val="009747C3"/>
    <w:rsid w:val="009748EE"/>
    <w:rsid w:val="00974908"/>
    <w:rsid w:val="009749F9"/>
    <w:rsid w:val="00974B82"/>
    <w:rsid w:val="009750B4"/>
    <w:rsid w:val="00976020"/>
    <w:rsid w:val="0097619D"/>
    <w:rsid w:val="0097635E"/>
    <w:rsid w:val="009765C7"/>
    <w:rsid w:val="009769EA"/>
    <w:rsid w:val="009769EE"/>
    <w:rsid w:val="00976A1D"/>
    <w:rsid w:val="00976AC0"/>
    <w:rsid w:val="00976CCF"/>
    <w:rsid w:val="00976D95"/>
    <w:rsid w:val="009775E4"/>
    <w:rsid w:val="0097768C"/>
    <w:rsid w:val="00980402"/>
    <w:rsid w:val="009812A6"/>
    <w:rsid w:val="00981370"/>
    <w:rsid w:val="0098240E"/>
    <w:rsid w:val="00983058"/>
    <w:rsid w:val="00983136"/>
    <w:rsid w:val="00983702"/>
    <w:rsid w:val="00983FD7"/>
    <w:rsid w:val="00984906"/>
    <w:rsid w:val="00984DF0"/>
    <w:rsid w:val="00985350"/>
    <w:rsid w:val="00985599"/>
    <w:rsid w:val="009856DF"/>
    <w:rsid w:val="00985735"/>
    <w:rsid w:val="00985DCB"/>
    <w:rsid w:val="0098604D"/>
    <w:rsid w:val="009862A4"/>
    <w:rsid w:val="00986447"/>
    <w:rsid w:val="009865DB"/>
    <w:rsid w:val="009865E5"/>
    <w:rsid w:val="00986A20"/>
    <w:rsid w:val="00986A54"/>
    <w:rsid w:val="00986B2E"/>
    <w:rsid w:val="00987718"/>
    <w:rsid w:val="00987982"/>
    <w:rsid w:val="00987AC8"/>
    <w:rsid w:val="00990414"/>
    <w:rsid w:val="00991125"/>
    <w:rsid w:val="00991237"/>
    <w:rsid w:val="009914A5"/>
    <w:rsid w:val="009914EE"/>
    <w:rsid w:val="00991CD3"/>
    <w:rsid w:val="00991FAC"/>
    <w:rsid w:val="00991FF7"/>
    <w:rsid w:val="00992613"/>
    <w:rsid w:val="009932BF"/>
    <w:rsid w:val="00993697"/>
    <w:rsid w:val="00993A63"/>
    <w:rsid w:val="00993D41"/>
    <w:rsid w:val="00994037"/>
    <w:rsid w:val="009940F2"/>
    <w:rsid w:val="00994189"/>
    <w:rsid w:val="0099420C"/>
    <w:rsid w:val="00994ED4"/>
    <w:rsid w:val="009957A0"/>
    <w:rsid w:val="00995842"/>
    <w:rsid w:val="00995971"/>
    <w:rsid w:val="00995C44"/>
    <w:rsid w:val="00996732"/>
    <w:rsid w:val="0099685F"/>
    <w:rsid w:val="00996BD8"/>
    <w:rsid w:val="00996E56"/>
    <w:rsid w:val="00996FF4"/>
    <w:rsid w:val="009971C5"/>
    <w:rsid w:val="009976A0"/>
    <w:rsid w:val="00997759"/>
    <w:rsid w:val="00997A5E"/>
    <w:rsid w:val="00997B80"/>
    <w:rsid w:val="00997C4A"/>
    <w:rsid w:val="00997F87"/>
    <w:rsid w:val="009A0097"/>
    <w:rsid w:val="009A044E"/>
    <w:rsid w:val="009A0774"/>
    <w:rsid w:val="009A0D83"/>
    <w:rsid w:val="009A17B1"/>
    <w:rsid w:val="009A17C3"/>
    <w:rsid w:val="009A1B61"/>
    <w:rsid w:val="009A2296"/>
    <w:rsid w:val="009A231C"/>
    <w:rsid w:val="009A278E"/>
    <w:rsid w:val="009A2E3D"/>
    <w:rsid w:val="009A38BA"/>
    <w:rsid w:val="009A39C3"/>
    <w:rsid w:val="009A44D6"/>
    <w:rsid w:val="009A46F1"/>
    <w:rsid w:val="009A496C"/>
    <w:rsid w:val="009A5386"/>
    <w:rsid w:val="009A54B5"/>
    <w:rsid w:val="009A62B1"/>
    <w:rsid w:val="009A6486"/>
    <w:rsid w:val="009A6A4F"/>
    <w:rsid w:val="009A6DE0"/>
    <w:rsid w:val="009A7C1D"/>
    <w:rsid w:val="009B0091"/>
    <w:rsid w:val="009B0103"/>
    <w:rsid w:val="009B132A"/>
    <w:rsid w:val="009B1BD0"/>
    <w:rsid w:val="009B1F71"/>
    <w:rsid w:val="009B204D"/>
    <w:rsid w:val="009B2458"/>
    <w:rsid w:val="009B2545"/>
    <w:rsid w:val="009B2E78"/>
    <w:rsid w:val="009B317B"/>
    <w:rsid w:val="009B3D63"/>
    <w:rsid w:val="009B3DEE"/>
    <w:rsid w:val="009B3F9E"/>
    <w:rsid w:val="009B497E"/>
    <w:rsid w:val="009B4A45"/>
    <w:rsid w:val="009B4B95"/>
    <w:rsid w:val="009B4CD4"/>
    <w:rsid w:val="009B5631"/>
    <w:rsid w:val="009B5A66"/>
    <w:rsid w:val="009B5B8D"/>
    <w:rsid w:val="009B6C2A"/>
    <w:rsid w:val="009B6C37"/>
    <w:rsid w:val="009B6E52"/>
    <w:rsid w:val="009B7002"/>
    <w:rsid w:val="009B7666"/>
    <w:rsid w:val="009B76BF"/>
    <w:rsid w:val="009B7758"/>
    <w:rsid w:val="009B7773"/>
    <w:rsid w:val="009C02CB"/>
    <w:rsid w:val="009C04F0"/>
    <w:rsid w:val="009C0E59"/>
    <w:rsid w:val="009C1597"/>
    <w:rsid w:val="009C16D0"/>
    <w:rsid w:val="009C202E"/>
    <w:rsid w:val="009C25A5"/>
    <w:rsid w:val="009C2603"/>
    <w:rsid w:val="009C309E"/>
    <w:rsid w:val="009C3109"/>
    <w:rsid w:val="009C33F2"/>
    <w:rsid w:val="009C4811"/>
    <w:rsid w:val="009C49AB"/>
    <w:rsid w:val="009C4D65"/>
    <w:rsid w:val="009C560E"/>
    <w:rsid w:val="009C5755"/>
    <w:rsid w:val="009C6371"/>
    <w:rsid w:val="009C6BC5"/>
    <w:rsid w:val="009C6FE4"/>
    <w:rsid w:val="009C7092"/>
    <w:rsid w:val="009C7124"/>
    <w:rsid w:val="009C73C1"/>
    <w:rsid w:val="009C7DCE"/>
    <w:rsid w:val="009D002D"/>
    <w:rsid w:val="009D003F"/>
    <w:rsid w:val="009D01C7"/>
    <w:rsid w:val="009D045F"/>
    <w:rsid w:val="009D08C5"/>
    <w:rsid w:val="009D09E6"/>
    <w:rsid w:val="009D1644"/>
    <w:rsid w:val="009D1AAB"/>
    <w:rsid w:val="009D1B02"/>
    <w:rsid w:val="009D1CC0"/>
    <w:rsid w:val="009D2406"/>
    <w:rsid w:val="009D2A13"/>
    <w:rsid w:val="009D3BED"/>
    <w:rsid w:val="009D40D0"/>
    <w:rsid w:val="009D40F9"/>
    <w:rsid w:val="009D49E7"/>
    <w:rsid w:val="009D4A0A"/>
    <w:rsid w:val="009D4BAA"/>
    <w:rsid w:val="009D4C0D"/>
    <w:rsid w:val="009D4FD7"/>
    <w:rsid w:val="009D53B6"/>
    <w:rsid w:val="009D55BA"/>
    <w:rsid w:val="009D583B"/>
    <w:rsid w:val="009D5A1D"/>
    <w:rsid w:val="009D602A"/>
    <w:rsid w:val="009D6354"/>
    <w:rsid w:val="009D6D7F"/>
    <w:rsid w:val="009D6E72"/>
    <w:rsid w:val="009D75BD"/>
    <w:rsid w:val="009E0683"/>
    <w:rsid w:val="009E0B0B"/>
    <w:rsid w:val="009E0B4C"/>
    <w:rsid w:val="009E2049"/>
    <w:rsid w:val="009E286F"/>
    <w:rsid w:val="009E297C"/>
    <w:rsid w:val="009E3075"/>
    <w:rsid w:val="009E3A60"/>
    <w:rsid w:val="009E40F6"/>
    <w:rsid w:val="009E44C7"/>
    <w:rsid w:val="009E4A81"/>
    <w:rsid w:val="009E5331"/>
    <w:rsid w:val="009E5498"/>
    <w:rsid w:val="009E5690"/>
    <w:rsid w:val="009E58FC"/>
    <w:rsid w:val="009E5AA2"/>
    <w:rsid w:val="009E5D05"/>
    <w:rsid w:val="009E638D"/>
    <w:rsid w:val="009E65AC"/>
    <w:rsid w:val="009E6BB4"/>
    <w:rsid w:val="009E6E73"/>
    <w:rsid w:val="009E7C06"/>
    <w:rsid w:val="009F0330"/>
    <w:rsid w:val="009F0556"/>
    <w:rsid w:val="009F117B"/>
    <w:rsid w:val="009F1418"/>
    <w:rsid w:val="009F165D"/>
    <w:rsid w:val="009F19D4"/>
    <w:rsid w:val="009F255F"/>
    <w:rsid w:val="009F2EBB"/>
    <w:rsid w:val="009F30A5"/>
    <w:rsid w:val="009F32B6"/>
    <w:rsid w:val="009F396E"/>
    <w:rsid w:val="009F49A0"/>
    <w:rsid w:val="009F4DB4"/>
    <w:rsid w:val="009F50F7"/>
    <w:rsid w:val="009F5172"/>
    <w:rsid w:val="009F591D"/>
    <w:rsid w:val="009F5EFB"/>
    <w:rsid w:val="009F6ACC"/>
    <w:rsid w:val="009F6B0E"/>
    <w:rsid w:val="009F7309"/>
    <w:rsid w:val="009F735D"/>
    <w:rsid w:val="009F7633"/>
    <w:rsid w:val="009F7913"/>
    <w:rsid w:val="009F7F59"/>
    <w:rsid w:val="00A005C6"/>
    <w:rsid w:val="00A016BB"/>
    <w:rsid w:val="00A0202E"/>
    <w:rsid w:val="00A02284"/>
    <w:rsid w:val="00A02D7E"/>
    <w:rsid w:val="00A03293"/>
    <w:rsid w:val="00A0353A"/>
    <w:rsid w:val="00A04129"/>
    <w:rsid w:val="00A04D54"/>
    <w:rsid w:val="00A04E6F"/>
    <w:rsid w:val="00A04EB0"/>
    <w:rsid w:val="00A05B2F"/>
    <w:rsid w:val="00A063A3"/>
    <w:rsid w:val="00A06414"/>
    <w:rsid w:val="00A0647B"/>
    <w:rsid w:val="00A06C12"/>
    <w:rsid w:val="00A075E2"/>
    <w:rsid w:val="00A0762F"/>
    <w:rsid w:val="00A07BD0"/>
    <w:rsid w:val="00A10917"/>
    <w:rsid w:val="00A1129A"/>
    <w:rsid w:val="00A117CD"/>
    <w:rsid w:val="00A11989"/>
    <w:rsid w:val="00A11AC3"/>
    <w:rsid w:val="00A1216C"/>
    <w:rsid w:val="00A12268"/>
    <w:rsid w:val="00A12987"/>
    <w:rsid w:val="00A13052"/>
    <w:rsid w:val="00A13074"/>
    <w:rsid w:val="00A1363C"/>
    <w:rsid w:val="00A136D2"/>
    <w:rsid w:val="00A13877"/>
    <w:rsid w:val="00A13A61"/>
    <w:rsid w:val="00A13CA9"/>
    <w:rsid w:val="00A140C5"/>
    <w:rsid w:val="00A1411D"/>
    <w:rsid w:val="00A1442F"/>
    <w:rsid w:val="00A1449E"/>
    <w:rsid w:val="00A144AA"/>
    <w:rsid w:val="00A14A21"/>
    <w:rsid w:val="00A14ECB"/>
    <w:rsid w:val="00A150A5"/>
    <w:rsid w:val="00A153C6"/>
    <w:rsid w:val="00A15A3F"/>
    <w:rsid w:val="00A15D97"/>
    <w:rsid w:val="00A15F1E"/>
    <w:rsid w:val="00A1641A"/>
    <w:rsid w:val="00A16708"/>
    <w:rsid w:val="00A17EE4"/>
    <w:rsid w:val="00A17FCB"/>
    <w:rsid w:val="00A202B7"/>
    <w:rsid w:val="00A2038D"/>
    <w:rsid w:val="00A205F2"/>
    <w:rsid w:val="00A20977"/>
    <w:rsid w:val="00A21473"/>
    <w:rsid w:val="00A216D2"/>
    <w:rsid w:val="00A21F3D"/>
    <w:rsid w:val="00A224CB"/>
    <w:rsid w:val="00A2301E"/>
    <w:rsid w:val="00A236C5"/>
    <w:rsid w:val="00A237A4"/>
    <w:rsid w:val="00A24065"/>
    <w:rsid w:val="00A24593"/>
    <w:rsid w:val="00A2461D"/>
    <w:rsid w:val="00A2462A"/>
    <w:rsid w:val="00A24E56"/>
    <w:rsid w:val="00A24E89"/>
    <w:rsid w:val="00A253B8"/>
    <w:rsid w:val="00A2541F"/>
    <w:rsid w:val="00A2567D"/>
    <w:rsid w:val="00A25B7F"/>
    <w:rsid w:val="00A25C3F"/>
    <w:rsid w:val="00A25CCB"/>
    <w:rsid w:val="00A25D29"/>
    <w:rsid w:val="00A269B0"/>
    <w:rsid w:val="00A270D1"/>
    <w:rsid w:val="00A27273"/>
    <w:rsid w:val="00A2774F"/>
    <w:rsid w:val="00A27AA4"/>
    <w:rsid w:val="00A27B01"/>
    <w:rsid w:val="00A30027"/>
    <w:rsid w:val="00A30495"/>
    <w:rsid w:val="00A30D77"/>
    <w:rsid w:val="00A30E47"/>
    <w:rsid w:val="00A3179D"/>
    <w:rsid w:val="00A31A68"/>
    <w:rsid w:val="00A31DF6"/>
    <w:rsid w:val="00A323D2"/>
    <w:rsid w:val="00A3283A"/>
    <w:rsid w:val="00A32845"/>
    <w:rsid w:val="00A32B2E"/>
    <w:rsid w:val="00A32B55"/>
    <w:rsid w:val="00A32C1B"/>
    <w:rsid w:val="00A32F80"/>
    <w:rsid w:val="00A33550"/>
    <w:rsid w:val="00A34071"/>
    <w:rsid w:val="00A342F0"/>
    <w:rsid w:val="00A34574"/>
    <w:rsid w:val="00A348A4"/>
    <w:rsid w:val="00A34C1D"/>
    <w:rsid w:val="00A34CB6"/>
    <w:rsid w:val="00A34F8F"/>
    <w:rsid w:val="00A35521"/>
    <w:rsid w:val="00A358A2"/>
    <w:rsid w:val="00A35D72"/>
    <w:rsid w:val="00A35E1B"/>
    <w:rsid w:val="00A36155"/>
    <w:rsid w:val="00A371A9"/>
    <w:rsid w:val="00A373CE"/>
    <w:rsid w:val="00A378C4"/>
    <w:rsid w:val="00A37D18"/>
    <w:rsid w:val="00A40D42"/>
    <w:rsid w:val="00A40DE0"/>
    <w:rsid w:val="00A41124"/>
    <w:rsid w:val="00A414E5"/>
    <w:rsid w:val="00A41BF5"/>
    <w:rsid w:val="00A42184"/>
    <w:rsid w:val="00A425B0"/>
    <w:rsid w:val="00A42604"/>
    <w:rsid w:val="00A433DF"/>
    <w:rsid w:val="00A433F8"/>
    <w:rsid w:val="00A43925"/>
    <w:rsid w:val="00A439A0"/>
    <w:rsid w:val="00A43A63"/>
    <w:rsid w:val="00A43C8D"/>
    <w:rsid w:val="00A43D73"/>
    <w:rsid w:val="00A446B8"/>
    <w:rsid w:val="00A44EC7"/>
    <w:rsid w:val="00A44FE2"/>
    <w:rsid w:val="00A45289"/>
    <w:rsid w:val="00A45364"/>
    <w:rsid w:val="00A456A7"/>
    <w:rsid w:val="00A46CAD"/>
    <w:rsid w:val="00A46CC4"/>
    <w:rsid w:val="00A46E10"/>
    <w:rsid w:val="00A46E61"/>
    <w:rsid w:val="00A46EE2"/>
    <w:rsid w:val="00A47698"/>
    <w:rsid w:val="00A478F2"/>
    <w:rsid w:val="00A50654"/>
    <w:rsid w:val="00A5093F"/>
    <w:rsid w:val="00A50B36"/>
    <w:rsid w:val="00A5100F"/>
    <w:rsid w:val="00A51056"/>
    <w:rsid w:val="00A5121E"/>
    <w:rsid w:val="00A5153E"/>
    <w:rsid w:val="00A52139"/>
    <w:rsid w:val="00A5218F"/>
    <w:rsid w:val="00A522C5"/>
    <w:rsid w:val="00A527FA"/>
    <w:rsid w:val="00A53909"/>
    <w:rsid w:val="00A53FF4"/>
    <w:rsid w:val="00A54002"/>
    <w:rsid w:val="00A54273"/>
    <w:rsid w:val="00A549D3"/>
    <w:rsid w:val="00A54E96"/>
    <w:rsid w:val="00A5545D"/>
    <w:rsid w:val="00A554CD"/>
    <w:rsid w:val="00A5588B"/>
    <w:rsid w:val="00A55D2B"/>
    <w:rsid w:val="00A56435"/>
    <w:rsid w:val="00A5698E"/>
    <w:rsid w:val="00A56D2E"/>
    <w:rsid w:val="00A571D9"/>
    <w:rsid w:val="00A572FB"/>
    <w:rsid w:val="00A57351"/>
    <w:rsid w:val="00A57EF4"/>
    <w:rsid w:val="00A60112"/>
    <w:rsid w:val="00A60553"/>
    <w:rsid w:val="00A60714"/>
    <w:rsid w:val="00A60A95"/>
    <w:rsid w:val="00A60C6E"/>
    <w:rsid w:val="00A60DD5"/>
    <w:rsid w:val="00A61C0B"/>
    <w:rsid w:val="00A61D0A"/>
    <w:rsid w:val="00A61DC1"/>
    <w:rsid w:val="00A6291E"/>
    <w:rsid w:val="00A62EF6"/>
    <w:rsid w:val="00A62FAB"/>
    <w:rsid w:val="00A635E9"/>
    <w:rsid w:val="00A63D67"/>
    <w:rsid w:val="00A63EC1"/>
    <w:rsid w:val="00A63F58"/>
    <w:rsid w:val="00A63F8F"/>
    <w:rsid w:val="00A647D1"/>
    <w:rsid w:val="00A64A76"/>
    <w:rsid w:val="00A64F0F"/>
    <w:rsid w:val="00A65503"/>
    <w:rsid w:val="00A656D5"/>
    <w:rsid w:val="00A658BD"/>
    <w:rsid w:val="00A66240"/>
    <w:rsid w:val="00A668D4"/>
    <w:rsid w:val="00A66917"/>
    <w:rsid w:val="00A66A8C"/>
    <w:rsid w:val="00A66E44"/>
    <w:rsid w:val="00A673EF"/>
    <w:rsid w:val="00A67522"/>
    <w:rsid w:val="00A67939"/>
    <w:rsid w:val="00A67B39"/>
    <w:rsid w:val="00A67E4A"/>
    <w:rsid w:val="00A67E7A"/>
    <w:rsid w:val="00A7123D"/>
    <w:rsid w:val="00A7131E"/>
    <w:rsid w:val="00A71AB5"/>
    <w:rsid w:val="00A720EC"/>
    <w:rsid w:val="00A72275"/>
    <w:rsid w:val="00A7232F"/>
    <w:rsid w:val="00A72F9E"/>
    <w:rsid w:val="00A73636"/>
    <w:rsid w:val="00A73F4B"/>
    <w:rsid w:val="00A7442C"/>
    <w:rsid w:val="00A7443B"/>
    <w:rsid w:val="00A74BFE"/>
    <w:rsid w:val="00A74C75"/>
    <w:rsid w:val="00A7549F"/>
    <w:rsid w:val="00A75A7E"/>
    <w:rsid w:val="00A75B9B"/>
    <w:rsid w:val="00A75BC2"/>
    <w:rsid w:val="00A75D42"/>
    <w:rsid w:val="00A7671B"/>
    <w:rsid w:val="00A768C3"/>
    <w:rsid w:val="00A76B9C"/>
    <w:rsid w:val="00A76BDC"/>
    <w:rsid w:val="00A7774D"/>
    <w:rsid w:val="00A77964"/>
    <w:rsid w:val="00A77D9C"/>
    <w:rsid w:val="00A8007F"/>
    <w:rsid w:val="00A80149"/>
    <w:rsid w:val="00A80541"/>
    <w:rsid w:val="00A80F48"/>
    <w:rsid w:val="00A815DB"/>
    <w:rsid w:val="00A81814"/>
    <w:rsid w:val="00A81A96"/>
    <w:rsid w:val="00A81AEF"/>
    <w:rsid w:val="00A81BC1"/>
    <w:rsid w:val="00A81D15"/>
    <w:rsid w:val="00A824A5"/>
    <w:rsid w:val="00A8274D"/>
    <w:rsid w:val="00A82B79"/>
    <w:rsid w:val="00A82C78"/>
    <w:rsid w:val="00A833BD"/>
    <w:rsid w:val="00A83F18"/>
    <w:rsid w:val="00A8449F"/>
    <w:rsid w:val="00A84607"/>
    <w:rsid w:val="00A84792"/>
    <w:rsid w:val="00A849AB"/>
    <w:rsid w:val="00A84B2F"/>
    <w:rsid w:val="00A84E3D"/>
    <w:rsid w:val="00A850C7"/>
    <w:rsid w:val="00A86044"/>
    <w:rsid w:val="00A866C1"/>
    <w:rsid w:val="00A86A72"/>
    <w:rsid w:val="00A86CFD"/>
    <w:rsid w:val="00A87025"/>
    <w:rsid w:val="00A871B2"/>
    <w:rsid w:val="00A872FA"/>
    <w:rsid w:val="00A873A1"/>
    <w:rsid w:val="00A87692"/>
    <w:rsid w:val="00A87995"/>
    <w:rsid w:val="00A90288"/>
    <w:rsid w:val="00A9092B"/>
    <w:rsid w:val="00A90CB6"/>
    <w:rsid w:val="00A91A62"/>
    <w:rsid w:val="00A92094"/>
    <w:rsid w:val="00A92543"/>
    <w:rsid w:val="00A92A12"/>
    <w:rsid w:val="00A92CAB"/>
    <w:rsid w:val="00A92F28"/>
    <w:rsid w:val="00A931BA"/>
    <w:rsid w:val="00A936BB"/>
    <w:rsid w:val="00A93A95"/>
    <w:rsid w:val="00A93C95"/>
    <w:rsid w:val="00A94AE1"/>
    <w:rsid w:val="00A94FFC"/>
    <w:rsid w:val="00A952B9"/>
    <w:rsid w:val="00A95305"/>
    <w:rsid w:val="00A95BE3"/>
    <w:rsid w:val="00A96008"/>
    <w:rsid w:val="00A960BE"/>
    <w:rsid w:val="00A960DD"/>
    <w:rsid w:val="00A962B5"/>
    <w:rsid w:val="00A96761"/>
    <w:rsid w:val="00A96CE0"/>
    <w:rsid w:val="00A97A9E"/>
    <w:rsid w:val="00AA04D5"/>
    <w:rsid w:val="00AA093C"/>
    <w:rsid w:val="00AA0BB6"/>
    <w:rsid w:val="00AA0C36"/>
    <w:rsid w:val="00AA0D65"/>
    <w:rsid w:val="00AA0FFB"/>
    <w:rsid w:val="00AA1265"/>
    <w:rsid w:val="00AA1275"/>
    <w:rsid w:val="00AA12D3"/>
    <w:rsid w:val="00AA1D5F"/>
    <w:rsid w:val="00AA1E2A"/>
    <w:rsid w:val="00AA1E3C"/>
    <w:rsid w:val="00AA20DC"/>
    <w:rsid w:val="00AA21D4"/>
    <w:rsid w:val="00AA2B03"/>
    <w:rsid w:val="00AA3C17"/>
    <w:rsid w:val="00AA3C6F"/>
    <w:rsid w:val="00AA3E97"/>
    <w:rsid w:val="00AA3FF0"/>
    <w:rsid w:val="00AA4271"/>
    <w:rsid w:val="00AA45CB"/>
    <w:rsid w:val="00AA4608"/>
    <w:rsid w:val="00AA4E57"/>
    <w:rsid w:val="00AA4F0B"/>
    <w:rsid w:val="00AA5180"/>
    <w:rsid w:val="00AA5363"/>
    <w:rsid w:val="00AA62D3"/>
    <w:rsid w:val="00AA64D8"/>
    <w:rsid w:val="00AA6691"/>
    <w:rsid w:val="00AA74B5"/>
    <w:rsid w:val="00AA7683"/>
    <w:rsid w:val="00AA7C63"/>
    <w:rsid w:val="00AA7DFC"/>
    <w:rsid w:val="00AA7FDE"/>
    <w:rsid w:val="00AB097D"/>
    <w:rsid w:val="00AB0AA1"/>
    <w:rsid w:val="00AB0CD6"/>
    <w:rsid w:val="00AB22B5"/>
    <w:rsid w:val="00AB2FD0"/>
    <w:rsid w:val="00AB32DD"/>
    <w:rsid w:val="00AB368B"/>
    <w:rsid w:val="00AB3980"/>
    <w:rsid w:val="00AB410B"/>
    <w:rsid w:val="00AB43FC"/>
    <w:rsid w:val="00AB4836"/>
    <w:rsid w:val="00AB4F9E"/>
    <w:rsid w:val="00AB540F"/>
    <w:rsid w:val="00AB587A"/>
    <w:rsid w:val="00AB589B"/>
    <w:rsid w:val="00AB5BEA"/>
    <w:rsid w:val="00AB5C24"/>
    <w:rsid w:val="00AB5EEC"/>
    <w:rsid w:val="00AB79AD"/>
    <w:rsid w:val="00AB7DE6"/>
    <w:rsid w:val="00AC029F"/>
    <w:rsid w:val="00AC05A7"/>
    <w:rsid w:val="00AC08D6"/>
    <w:rsid w:val="00AC0AAE"/>
    <w:rsid w:val="00AC120C"/>
    <w:rsid w:val="00AC233A"/>
    <w:rsid w:val="00AC31BC"/>
    <w:rsid w:val="00AC3729"/>
    <w:rsid w:val="00AC41F3"/>
    <w:rsid w:val="00AC455F"/>
    <w:rsid w:val="00AC4719"/>
    <w:rsid w:val="00AC4970"/>
    <w:rsid w:val="00AC4D4B"/>
    <w:rsid w:val="00AC5549"/>
    <w:rsid w:val="00AC5A28"/>
    <w:rsid w:val="00AC5C70"/>
    <w:rsid w:val="00AC5EC2"/>
    <w:rsid w:val="00AC6946"/>
    <w:rsid w:val="00AC6A9E"/>
    <w:rsid w:val="00AC6C33"/>
    <w:rsid w:val="00AC7072"/>
    <w:rsid w:val="00AC722A"/>
    <w:rsid w:val="00AC778E"/>
    <w:rsid w:val="00AC7B71"/>
    <w:rsid w:val="00AC7DA3"/>
    <w:rsid w:val="00AD001C"/>
    <w:rsid w:val="00AD04CD"/>
    <w:rsid w:val="00AD0638"/>
    <w:rsid w:val="00AD0FD4"/>
    <w:rsid w:val="00AD1050"/>
    <w:rsid w:val="00AD10CA"/>
    <w:rsid w:val="00AD116D"/>
    <w:rsid w:val="00AD2A12"/>
    <w:rsid w:val="00AD2F82"/>
    <w:rsid w:val="00AD3103"/>
    <w:rsid w:val="00AD35BA"/>
    <w:rsid w:val="00AD3DC6"/>
    <w:rsid w:val="00AD416F"/>
    <w:rsid w:val="00AD46DD"/>
    <w:rsid w:val="00AD483F"/>
    <w:rsid w:val="00AD5270"/>
    <w:rsid w:val="00AD658B"/>
    <w:rsid w:val="00AD68B0"/>
    <w:rsid w:val="00AD6A9D"/>
    <w:rsid w:val="00AD6DDE"/>
    <w:rsid w:val="00AD6FEB"/>
    <w:rsid w:val="00AD76AA"/>
    <w:rsid w:val="00AD7858"/>
    <w:rsid w:val="00AD7CC2"/>
    <w:rsid w:val="00AD7D31"/>
    <w:rsid w:val="00AE0314"/>
    <w:rsid w:val="00AE19DB"/>
    <w:rsid w:val="00AE1F97"/>
    <w:rsid w:val="00AE2022"/>
    <w:rsid w:val="00AE2836"/>
    <w:rsid w:val="00AE2BCC"/>
    <w:rsid w:val="00AE31A1"/>
    <w:rsid w:val="00AE3AF7"/>
    <w:rsid w:val="00AE3EED"/>
    <w:rsid w:val="00AE40F9"/>
    <w:rsid w:val="00AE4462"/>
    <w:rsid w:val="00AE47E0"/>
    <w:rsid w:val="00AE4D64"/>
    <w:rsid w:val="00AE50DF"/>
    <w:rsid w:val="00AE54C3"/>
    <w:rsid w:val="00AE5549"/>
    <w:rsid w:val="00AE562C"/>
    <w:rsid w:val="00AE5634"/>
    <w:rsid w:val="00AE5A78"/>
    <w:rsid w:val="00AE5F0B"/>
    <w:rsid w:val="00AE6343"/>
    <w:rsid w:val="00AE6624"/>
    <w:rsid w:val="00AE6C8E"/>
    <w:rsid w:val="00AE6D3F"/>
    <w:rsid w:val="00AE7EF6"/>
    <w:rsid w:val="00AF009B"/>
    <w:rsid w:val="00AF073E"/>
    <w:rsid w:val="00AF08A8"/>
    <w:rsid w:val="00AF10B9"/>
    <w:rsid w:val="00AF11BB"/>
    <w:rsid w:val="00AF13E7"/>
    <w:rsid w:val="00AF1542"/>
    <w:rsid w:val="00AF157E"/>
    <w:rsid w:val="00AF1BD1"/>
    <w:rsid w:val="00AF1F00"/>
    <w:rsid w:val="00AF1F0F"/>
    <w:rsid w:val="00AF28D4"/>
    <w:rsid w:val="00AF3683"/>
    <w:rsid w:val="00AF39A2"/>
    <w:rsid w:val="00AF39F7"/>
    <w:rsid w:val="00AF3C5A"/>
    <w:rsid w:val="00AF444B"/>
    <w:rsid w:val="00AF4698"/>
    <w:rsid w:val="00AF5527"/>
    <w:rsid w:val="00AF5677"/>
    <w:rsid w:val="00AF57B9"/>
    <w:rsid w:val="00AF5A45"/>
    <w:rsid w:val="00AF5B14"/>
    <w:rsid w:val="00AF5D29"/>
    <w:rsid w:val="00AF5DF8"/>
    <w:rsid w:val="00AF69F1"/>
    <w:rsid w:val="00AF6C42"/>
    <w:rsid w:val="00AF71EE"/>
    <w:rsid w:val="00AF7267"/>
    <w:rsid w:val="00AF7DF9"/>
    <w:rsid w:val="00AF7F5B"/>
    <w:rsid w:val="00AF7FC1"/>
    <w:rsid w:val="00B00282"/>
    <w:rsid w:val="00B00F4B"/>
    <w:rsid w:val="00B00FAD"/>
    <w:rsid w:val="00B010C6"/>
    <w:rsid w:val="00B01231"/>
    <w:rsid w:val="00B016A5"/>
    <w:rsid w:val="00B01B57"/>
    <w:rsid w:val="00B01DDA"/>
    <w:rsid w:val="00B025CB"/>
    <w:rsid w:val="00B036D2"/>
    <w:rsid w:val="00B03864"/>
    <w:rsid w:val="00B03872"/>
    <w:rsid w:val="00B03B05"/>
    <w:rsid w:val="00B03E6E"/>
    <w:rsid w:val="00B042CF"/>
    <w:rsid w:val="00B04FE3"/>
    <w:rsid w:val="00B051EE"/>
    <w:rsid w:val="00B056BD"/>
    <w:rsid w:val="00B06361"/>
    <w:rsid w:val="00B069F5"/>
    <w:rsid w:val="00B06DD4"/>
    <w:rsid w:val="00B07009"/>
    <w:rsid w:val="00B070B3"/>
    <w:rsid w:val="00B0745E"/>
    <w:rsid w:val="00B103B0"/>
    <w:rsid w:val="00B10A1E"/>
    <w:rsid w:val="00B10DED"/>
    <w:rsid w:val="00B11491"/>
    <w:rsid w:val="00B118E0"/>
    <w:rsid w:val="00B12754"/>
    <w:rsid w:val="00B12F80"/>
    <w:rsid w:val="00B12FB7"/>
    <w:rsid w:val="00B12FFA"/>
    <w:rsid w:val="00B132D8"/>
    <w:rsid w:val="00B13319"/>
    <w:rsid w:val="00B13428"/>
    <w:rsid w:val="00B13794"/>
    <w:rsid w:val="00B1415B"/>
    <w:rsid w:val="00B146A2"/>
    <w:rsid w:val="00B14C06"/>
    <w:rsid w:val="00B1585E"/>
    <w:rsid w:val="00B159C5"/>
    <w:rsid w:val="00B16467"/>
    <w:rsid w:val="00B165E7"/>
    <w:rsid w:val="00B16745"/>
    <w:rsid w:val="00B16FDB"/>
    <w:rsid w:val="00B17451"/>
    <w:rsid w:val="00B1755C"/>
    <w:rsid w:val="00B176E0"/>
    <w:rsid w:val="00B17A26"/>
    <w:rsid w:val="00B17CD2"/>
    <w:rsid w:val="00B17EB5"/>
    <w:rsid w:val="00B202A7"/>
    <w:rsid w:val="00B202FE"/>
    <w:rsid w:val="00B21C15"/>
    <w:rsid w:val="00B22258"/>
    <w:rsid w:val="00B226B1"/>
    <w:rsid w:val="00B22C10"/>
    <w:rsid w:val="00B22ED9"/>
    <w:rsid w:val="00B2390D"/>
    <w:rsid w:val="00B23C44"/>
    <w:rsid w:val="00B23D4D"/>
    <w:rsid w:val="00B24857"/>
    <w:rsid w:val="00B24DF3"/>
    <w:rsid w:val="00B2519B"/>
    <w:rsid w:val="00B25648"/>
    <w:rsid w:val="00B258EA"/>
    <w:rsid w:val="00B259AE"/>
    <w:rsid w:val="00B25BFC"/>
    <w:rsid w:val="00B262D7"/>
    <w:rsid w:val="00B270EB"/>
    <w:rsid w:val="00B275BF"/>
    <w:rsid w:val="00B27E19"/>
    <w:rsid w:val="00B30279"/>
    <w:rsid w:val="00B305ED"/>
    <w:rsid w:val="00B3073E"/>
    <w:rsid w:val="00B30A0B"/>
    <w:rsid w:val="00B3104E"/>
    <w:rsid w:val="00B31194"/>
    <w:rsid w:val="00B32309"/>
    <w:rsid w:val="00B32989"/>
    <w:rsid w:val="00B32D42"/>
    <w:rsid w:val="00B33822"/>
    <w:rsid w:val="00B33F96"/>
    <w:rsid w:val="00B34024"/>
    <w:rsid w:val="00B34418"/>
    <w:rsid w:val="00B34527"/>
    <w:rsid w:val="00B34659"/>
    <w:rsid w:val="00B3472A"/>
    <w:rsid w:val="00B34BE3"/>
    <w:rsid w:val="00B351BC"/>
    <w:rsid w:val="00B352BE"/>
    <w:rsid w:val="00B355E2"/>
    <w:rsid w:val="00B3570F"/>
    <w:rsid w:val="00B35DBC"/>
    <w:rsid w:val="00B3605F"/>
    <w:rsid w:val="00B360BC"/>
    <w:rsid w:val="00B364C9"/>
    <w:rsid w:val="00B36688"/>
    <w:rsid w:val="00B36857"/>
    <w:rsid w:val="00B36C26"/>
    <w:rsid w:val="00B36FF8"/>
    <w:rsid w:val="00B3728F"/>
    <w:rsid w:val="00B37353"/>
    <w:rsid w:val="00B374A7"/>
    <w:rsid w:val="00B404E3"/>
    <w:rsid w:val="00B40EA0"/>
    <w:rsid w:val="00B41094"/>
    <w:rsid w:val="00B41340"/>
    <w:rsid w:val="00B41428"/>
    <w:rsid w:val="00B4178D"/>
    <w:rsid w:val="00B4216D"/>
    <w:rsid w:val="00B425CB"/>
    <w:rsid w:val="00B426DA"/>
    <w:rsid w:val="00B4292D"/>
    <w:rsid w:val="00B42983"/>
    <w:rsid w:val="00B430DC"/>
    <w:rsid w:val="00B4379F"/>
    <w:rsid w:val="00B437C1"/>
    <w:rsid w:val="00B43C59"/>
    <w:rsid w:val="00B44261"/>
    <w:rsid w:val="00B44EAC"/>
    <w:rsid w:val="00B45104"/>
    <w:rsid w:val="00B453C6"/>
    <w:rsid w:val="00B45F7D"/>
    <w:rsid w:val="00B4674C"/>
    <w:rsid w:val="00B4697F"/>
    <w:rsid w:val="00B46D25"/>
    <w:rsid w:val="00B46D51"/>
    <w:rsid w:val="00B46D63"/>
    <w:rsid w:val="00B46E3C"/>
    <w:rsid w:val="00B474EB"/>
    <w:rsid w:val="00B500D1"/>
    <w:rsid w:val="00B500E0"/>
    <w:rsid w:val="00B50697"/>
    <w:rsid w:val="00B508E4"/>
    <w:rsid w:val="00B50FF5"/>
    <w:rsid w:val="00B51087"/>
    <w:rsid w:val="00B52330"/>
    <w:rsid w:val="00B52A0D"/>
    <w:rsid w:val="00B53025"/>
    <w:rsid w:val="00B530B1"/>
    <w:rsid w:val="00B5368E"/>
    <w:rsid w:val="00B53B44"/>
    <w:rsid w:val="00B53FFE"/>
    <w:rsid w:val="00B54BF6"/>
    <w:rsid w:val="00B54BF8"/>
    <w:rsid w:val="00B54E97"/>
    <w:rsid w:val="00B54EC9"/>
    <w:rsid w:val="00B5520D"/>
    <w:rsid w:val="00B5527F"/>
    <w:rsid w:val="00B5558B"/>
    <w:rsid w:val="00B55D7F"/>
    <w:rsid w:val="00B561CC"/>
    <w:rsid w:val="00B56275"/>
    <w:rsid w:val="00B56609"/>
    <w:rsid w:val="00B578FC"/>
    <w:rsid w:val="00B57A9D"/>
    <w:rsid w:val="00B6000A"/>
    <w:rsid w:val="00B602FB"/>
    <w:rsid w:val="00B6041E"/>
    <w:rsid w:val="00B60AAB"/>
    <w:rsid w:val="00B60EE4"/>
    <w:rsid w:val="00B613A8"/>
    <w:rsid w:val="00B6194D"/>
    <w:rsid w:val="00B61D96"/>
    <w:rsid w:val="00B627ED"/>
    <w:rsid w:val="00B631BD"/>
    <w:rsid w:val="00B640CF"/>
    <w:rsid w:val="00B64AEA"/>
    <w:rsid w:val="00B65044"/>
    <w:rsid w:val="00B6526B"/>
    <w:rsid w:val="00B65886"/>
    <w:rsid w:val="00B65BAD"/>
    <w:rsid w:val="00B65C96"/>
    <w:rsid w:val="00B65E1A"/>
    <w:rsid w:val="00B65F09"/>
    <w:rsid w:val="00B66913"/>
    <w:rsid w:val="00B67011"/>
    <w:rsid w:val="00B675BE"/>
    <w:rsid w:val="00B679A2"/>
    <w:rsid w:val="00B67F02"/>
    <w:rsid w:val="00B700C6"/>
    <w:rsid w:val="00B7062D"/>
    <w:rsid w:val="00B707B2"/>
    <w:rsid w:val="00B70A07"/>
    <w:rsid w:val="00B70B95"/>
    <w:rsid w:val="00B70D02"/>
    <w:rsid w:val="00B70E26"/>
    <w:rsid w:val="00B70EF0"/>
    <w:rsid w:val="00B718A2"/>
    <w:rsid w:val="00B71C39"/>
    <w:rsid w:val="00B71D7F"/>
    <w:rsid w:val="00B71E35"/>
    <w:rsid w:val="00B7257B"/>
    <w:rsid w:val="00B728C9"/>
    <w:rsid w:val="00B7294D"/>
    <w:rsid w:val="00B7321E"/>
    <w:rsid w:val="00B7369E"/>
    <w:rsid w:val="00B73BF3"/>
    <w:rsid w:val="00B73CA0"/>
    <w:rsid w:val="00B73CB6"/>
    <w:rsid w:val="00B73DD9"/>
    <w:rsid w:val="00B741E1"/>
    <w:rsid w:val="00B746E7"/>
    <w:rsid w:val="00B74F53"/>
    <w:rsid w:val="00B7564F"/>
    <w:rsid w:val="00B75A2E"/>
    <w:rsid w:val="00B75C48"/>
    <w:rsid w:val="00B75C8D"/>
    <w:rsid w:val="00B761C7"/>
    <w:rsid w:val="00B762CD"/>
    <w:rsid w:val="00B76385"/>
    <w:rsid w:val="00B76642"/>
    <w:rsid w:val="00B7673C"/>
    <w:rsid w:val="00B76816"/>
    <w:rsid w:val="00B76926"/>
    <w:rsid w:val="00B76D99"/>
    <w:rsid w:val="00B76F57"/>
    <w:rsid w:val="00B777E3"/>
    <w:rsid w:val="00B77831"/>
    <w:rsid w:val="00B77B05"/>
    <w:rsid w:val="00B8034F"/>
    <w:rsid w:val="00B80ABC"/>
    <w:rsid w:val="00B80F34"/>
    <w:rsid w:val="00B81608"/>
    <w:rsid w:val="00B8168A"/>
    <w:rsid w:val="00B8182B"/>
    <w:rsid w:val="00B81EED"/>
    <w:rsid w:val="00B8284D"/>
    <w:rsid w:val="00B82B87"/>
    <w:rsid w:val="00B82EE3"/>
    <w:rsid w:val="00B830D2"/>
    <w:rsid w:val="00B832FC"/>
    <w:rsid w:val="00B83C8D"/>
    <w:rsid w:val="00B83F3E"/>
    <w:rsid w:val="00B83FE7"/>
    <w:rsid w:val="00B84B50"/>
    <w:rsid w:val="00B84DC5"/>
    <w:rsid w:val="00B84F64"/>
    <w:rsid w:val="00B854D4"/>
    <w:rsid w:val="00B859C2"/>
    <w:rsid w:val="00B85B75"/>
    <w:rsid w:val="00B85EA1"/>
    <w:rsid w:val="00B8656D"/>
    <w:rsid w:val="00B86FD7"/>
    <w:rsid w:val="00B87822"/>
    <w:rsid w:val="00B90061"/>
    <w:rsid w:val="00B906A9"/>
    <w:rsid w:val="00B90D09"/>
    <w:rsid w:val="00B90D44"/>
    <w:rsid w:val="00B90D56"/>
    <w:rsid w:val="00B912F7"/>
    <w:rsid w:val="00B916DB"/>
    <w:rsid w:val="00B921E8"/>
    <w:rsid w:val="00B922FC"/>
    <w:rsid w:val="00B9234F"/>
    <w:rsid w:val="00B92686"/>
    <w:rsid w:val="00B927D3"/>
    <w:rsid w:val="00B93381"/>
    <w:rsid w:val="00B935E3"/>
    <w:rsid w:val="00B939D8"/>
    <w:rsid w:val="00B9408A"/>
    <w:rsid w:val="00B94456"/>
    <w:rsid w:val="00B954D2"/>
    <w:rsid w:val="00B95670"/>
    <w:rsid w:val="00B95DDE"/>
    <w:rsid w:val="00B95EB3"/>
    <w:rsid w:val="00B961A1"/>
    <w:rsid w:val="00B96325"/>
    <w:rsid w:val="00B96A42"/>
    <w:rsid w:val="00B97B96"/>
    <w:rsid w:val="00BA0E69"/>
    <w:rsid w:val="00BA10A2"/>
    <w:rsid w:val="00BA1A7E"/>
    <w:rsid w:val="00BA1B87"/>
    <w:rsid w:val="00BA1DD7"/>
    <w:rsid w:val="00BA21C0"/>
    <w:rsid w:val="00BA2674"/>
    <w:rsid w:val="00BA26CB"/>
    <w:rsid w:val="00BA2909"/>
    <w:rsid w:val="00BA3021"/>
    <w:rsid w:val="00BA350C"/>
    <w:rsid w:val="00BA3EF2"/>
    <w:rsid w:val="00BA45E9"/>
    <w:rsid w:val="00BA4BD0"/>
    <w:rsid w:val="00BA526C"/>
    <w:rsid w:val="00BA5426"/>
    <w:rsid w:val="00BA547B"/>
    <w:rsid w:val="00BA54AD"/>
    <w:rsid w:val="00BA56C5"/>
    <w:rsid w:val="00BA64B7"/>
    <w:rsid w:val="00BA68CB"/>
    <w:rsid w:val="00BA75EA"/>
    <w:rsid w:val="00BA7749"/>
    <w:rsid w:val="00BA7B0C"/>
    <w:rsid w:val="00BB0855"/>
    <w:rsid w:val="00BB09EF"/>
    <w:rsid w:val="00BB0CF9"/>
    <w:rsid w:val="00BB0E20"/>
    <w:rsid w:val="00BB17E3"/>
    <w:rsid w:val="00BB1914"/>
    <w:rsid w:val="00BB1A44"/>
    <w:rsid w:val="00BB266C"/>
    <w:rsid w:val="00BB278D"/>
    <w:rsid w:val="00BB27B7"/>
    <w:rsid w:val="00BB2934"/>
    <w:rsid w:val="00BB332D"/>
    <w:rsid w:val="00BB3960"/>
    <w:rsid w:val="00BB3972"/>
    <w:rsid w:val="00BB3DC9"/>
    <w:rsid w:val="00BB3EAD"/>
    <w:rsid w:val="00BB3FD3"/>
    <w:rsid w:val="00BB420C"/>
    <w:rsid w:val="00BB4496"/>
    <w:rsid w:val="00BB485D"/>
    <w:rsid w:val="00BB4C36"/>
    <w:rsid w:val="00BB4CCC"/>
    <w:rsid w:val="00BB582F"/>
    <w:rsid w:val="00BB58E6"/>
    <w:rsid w:val="00BB5A70"/>
    <w:rsid w:val="00BB5C5F"/>
    <w:rsid w:val="00BB7124"/>
    <w:rsid w:val="00BC02A0"/>
    <w:rsid w:val="00BC0576"/>
    <w:rsid w:val="00BC07FD"/>
    <w:rsid w:val="00BC0927"/>
    <w:rsid w:val="00BC0CE1"/>
    <w:rsid w:val="00BC0E84"/>
    <w:rsid w:val="00BC1B09"/>
    <w:rsid w:val="00BC1BC4"/>
    <w:rsid w:val="00BC1DF3"/>
    <w:rsid w:val="00BC22BB"/>
    <w:rsid w:val="00BC268C"/>
    <w:rsid w:val="00BC28E4"/>
    <w:rsid w:val="00BC299E"/>
    <w:rsid w:val="00BC2E8F"/>
    <w:rsid w:val="00BC3346"/>
    <w:rsid w:val="00BC38EB"/>
    <w:rsid w:val="00BC392E"/>
    <w:rsid w:val="00BC3B6E"/>
    <w:rsid w:val="00BC3B97"/>
    <w:rsid w:val="00BC3E92"/>
    <w:rsid w:val="00BC4045"/>
    <w:rsid w:val="00BC413D"/>
    <w:rsid w:val="00BC462A"/>
    <w:rsid w:val="00BC5ABD"/>
    <w:rsid w:val="00BC5AC6"/>
    <w:rsid w:val="00BC5C62"/>
    <w:rsid w:val="00BC6006"/>
    <w:rsid w:val="00BC6C18"/>
    <w:rsid w:val="00BC6C34"/>
    <w:rsid w:val="00BC760D"/>
    <w:rsid w:val="00BC77ED"/>
    <w:rsid w:val="00BC7B8B"/>
    <w:rsid w:val="00BC7F0D"/>
    <w:rsid w:val="00BD0075"/>
    <w:rsid w:val="00BD02EA"/>
    <w:rsid w:val="00BD1137"/>
    <w:rsid w:val="00BD129C"/>
    <w:rsid w:val="00BD160B"/>
    <w:rsid w:val="00BD163E"/>
    <w:rsid w:val="00BD2296"/>
    <w:rsid w:val="00BD366A"/>
    <w:rsid w:val="00BD3962"/>
    <w:rsid w:val="00BD40EC"/>
    <w:rsid w:val="00BD47A9"/>
    <w:rsid w:val="00BD4A6D"/>
    <w:rsid w:val="00BD4C79"/>
    <w:rsid w:val="00BD610D"/>
    <w:rsid w:val="00BD6386"/>
    <w:rsid w:val="00BD63DB"/>
    <w:rsid w:val="00BD64EA"/>
    <w:rsid w:val="00BD6BA6"/>
    <w:rsid w:val="00BD71C5"/>
    <w:rsid w:val="00BD737F"/>
    <w:rsid w:val="00BD749B"/>
    <w:rsid w:val="00BD76AF"/>
    <w:rsid w:val="00BD78D5"/>
    <w:rsid w:val="00BE0011"/>
    <w:rsid w:val="00BE0C5B"/>
    <w:rsid w:val="00BE1097"/>
    <w:rsid w:val="00BE1341"/>
    <w:rsid w:val="00BE15A0"/>
    <w:rsid w:val="00BE17D8"/>
    <w:rsid w:val="00BE1A9A"/>
    <w:rsid w:val="00BE1BED"/>
    <w:rsid w:val="00BE1C05"/>
    <w:rsid w:val="00BE287C"/>
    <w:rsid w:val="00BE2A75"/>
    <w:rsid w:val="00BE3006"/>
    <w:rsid w:val="00BE3177"/>
    <w:rsid w:val="00BE3B9A"/>
    <w:rsid w:val="00BE47D4"/>
    <w:rsid w:val="00BE4F47"/>
    <w:rsid w:val="00BE52CA"/>
    <w:rsid w:val="00BE5A11"/>
    <w:rsid w:val="00BE627B"/>
    <w:rsid w:val="00BE62B5"/>
    <w:rsid w:val="00BE6812"/>
    <w:rsid w:val="00BE6F2A"/>
    <w:rsid w:val="00BE7480"/>
    <w:rsid w:val="00BF001A"/>
    <w:rsid w:val="00BF0055"/>
    <w:rsid w:val="00BF059B"/>
    <w:rsid w:val="00BF072F"/>
    <w:rsid w:val="00BF0753"/>
    <w:rsid w:val="00BF14A8"/>
    <w:rsid w:val="00BF19B0"/>
    <w:rsid w:val="00BF1DCB"/>
    <w:rsid w:val="00BF2481"/>
    <w:rsid w:val="00BF28E3"/>
    <w:rsid w:val="00BF2CD7"/>
    <w:rsid w:val="00BF2EBF"/>
    <w:rsid w:val="00BF2F47"/>
    <w:rsid w:val="00BF2FA9"/>
    <w:rsid w:val="00BF33FC"/>
    <w:rsid w:val="00BF3E7F"/>
    <w:rsid w:val="00BF4054"/>
    <w:rsid w:val="00BF50E7"/>
    <w:rsid w:val="00BF552D"/>
    <w:rsid w:val="00BF57A2"/>
    <w:rsid w:val="00BF5984"/>
    <w:rsid w:val="00BF5BEB"/>
    <w:rsid w:val="00BF6425"/>
    <w:rsid w:val="00BF65EA"/>
    <w:rsid w:val="00BF69DD"/>
    <w:rsid w:val="00BF6B89"/>
    <w:rsid w:val="00BF70E4"/>
    <w:rsid w:val="00BF79BA"/>
    <w:rsid w:val="00BF7FFD"/>
    <w:rsid w:val="00C000D8"/>
    <w:rsid w:val="00C0034F"/>
    <w:rsid w:val="00C00641"/>
    <w:rsid w:val="00C010BB"/>
    <w:rsid w:val="00C016E2"/>
    <w:rsid w:val="00C01DC1"/>
    <w:rsid w:val="00C03537"/>
    <w:rsid w:val="00C03541"/>
    <w:rsid w:val="00C03653"/>
    <w:rsid w:val="00C03675"/>
    <w:rsid w:val="00C038A0"/>
    <w:rsid w:val="00C03EEC"/>
    <w:rsid w:val="00C04138"/>
    <w:rsid w:val="00C0474A"/>
    <w:rsid w:val="00C05129"/>
    <w:rsid w:val="00C0571E"/>
    <w:rsid w:val="00C05B27"/>
    <w:rsid w:val="00C05C0C"/>
    <w:rsid w:val="00C06885"/>
    <w:rsid w:val="00C068F0"/>
    <w:rsid w:val="00C06C96"/>
    <w:rsid w:val="00C06F6B"/>
    <w:rsid w:val="00C06F8D"/>
    <w:rsid w:val="00C071FA"/>
    <w:rsid w:val="00C07365"/>
    <w:rsid w:val="00C0748E"/>
    <w:rsid w:val="00C10011"/>
    <w:rsid w:val="00C101D9"/>
    <w:rsid w:val="00C10228"/>
    <w:rsid w:val="00C104A1"/>
    <w:rsid w:val="00C10AC7"/>
    <w:rsid w:val="00C1121D"/>
    <w:rsid w:val="00C11595"/>
    <w:rsid w:val="00C11A4E"/>
    <w:rsid w:val="00C11F6F"/>
    <w:rsid w:val="00C121D0"/>
    <w:rsid w:val="00C1231E"/>
    <w:rsid w:val="00C12504"/>
    <w:rsid w:val="00C12627"/>
    <w:rsid w:val="00C12D36"/>
    <w:rsid w:val="00C13B05"/>
    <w:rsid w:val="00C13D56"/>
    <w:rsid w:val="00C13EC0"/>
    <w:rsid w:val="00C14950"/>
    <w:rsid w:val="00C149AE"/>
    <w:rsid w:val="00C14F55"/>
    <w:rsid w:val="00C14F9D"/>
    <w:rsid w:val="00C15062"/>
    <w:rsid w:val="00C154BB"/>
    <w:rsid w:val="00C158CE"/>
    <w:rsid w:val="00C15A76"/>
    <w:rsid w:val="00C15ACE"/>
    <w:rsid w:val="00C16062"/>
    <w:rsid w:val="00C161A9"/>
    <w:rsid w:val="00C165B7"/>
    <w:rsid w:val="00C166DB"/>
    <w:rsid w:val="00C16CD6"/>
    <w:rsid w:val="00C16D5C"/>
    <w:rsid w:val="00C1719F"/>
    <w:rsid w:val="00C17DE2"/>
    <w:rsid w:val="00C2015E"/>
    <w:rsid w:val="00C202B5"/>
    <w:rsid w:val="00C20E73"/>
    <w:rsid w:val="00C2125C"/>
    <w:rsid w:val="00C21497"/>
    <w:rsid w:val="00C21C48"/>
    <w:rsid w:val="00C2214F"/>
    <w:rsid w:val="00C22357"/>
    <w:rsid w:val="00C22C34"/>
    <w:rsid w:val="00C23014"/>
    <w:rsid w:val="00C230EA"/>
    <w:rsid w:val="00C23420"/>
    <w:rsid w:val="00C23B4B"/>
    <w:rsid w:val="00C244FA"/>
    <w:rsid w:val="00C24557"/>
    <w:rsid w:val="00C24669"/>
    <w:rsid w:val="00C249F1"/>
    <w:rsid w:val="00C24F2A"/>
    <w:rsid w:val="00C251B0"/>
    <w:rsid w:val="00C2550C"/>
    <w:rsid w:val="00C258C3"/>
    <w:rsid w:val="00C25C9C"/>
    <w:rsid w:val="00C25EA2"/>
    <w:rsid w:val="00C25ED2"/>
    <w:rsid w:val="00C2638C"/>
    <w:rsid w:val="00C26D7B"/>
    <w:rsid w:val="00C26DE0"/>
    <w:rsid w:val="00C26E4F"/>
    <w:rsid w:val="00C26FEC"/>
    <w:rsid w:val="00C3039C"/>
    <w:rsid w:val="00C30637"/>
    <w:rsid w:val="00C30736"/>
    <w:rsid w:val="00C30F82"/>
    <w:rsid w:val="00C31158"/>
    <w:rsid w:val="00C3181C"/>
    <w:rsid w:val="00C319DD"/>
    <w:rsid w:val="00C323FA"/>
    <w:rsid w:val="00C32983"/>
    <w:rsid w:val="00C32A88"/>
    <w:rsid w:val="00C32DEF"/>
    <w:rsid w:val="00C33716"/>
    <w:rsid w:val="00C3372E"/>
    <w:rsid w:val="00C33854"/>
    <w:rsid w:val="00C33DA0"/>
    <w:rsid w:val="00C3428C"/>
    <w:rsid w:val="00C34402"/>
    <w:rsid w:val="00C34422"/>
    <w:rsid w:val="00C34DB6"/>
    <w:rsid w:val="00C35363"/>
    <w:rsid w:val="00C35893"/>
    <w:rsid w:val="00C359EA"/>
    <w:rsid w:val="00C35C4A"/>
    <w:rsid w:val="00C36162"/>
    <w:rsid w:val="00C3693F"/>
    <w:rsid w:val="00C36ABD"/>
    <w:rsid w:val="00C36DD6"/>
    <w:rsid w:val="00C36EC7"/>
    <w:rsid w:val="00C3700C"/>
    <w:rsid w:val="00C3711E"/>
    <w:rsid w:val="00C37B9D"/>
    <w:rsid w:val="00C400D4"/>
    <w:rsid w:val="00C40BC9"/>
    <w:rsid w:val="00C40DBD"/>
    <w:rsid w:val="00C40FDB"/>
    <w:rsid w:val="00C4145C"/>
    <w:rsid w:val="00C4155B"/>
    <w:rsid w:val="00C41756"/>
    <w:rsid w:val="00C41B22"/>
    <w:rsid w:val="00C41C26"/>
    <w:rsid w:val="00C4231F"/>
    <w:rsid w:val="00C423A2"/>
    <w:rsid w:val="00C4276B"/>
    <w:rsid w:val="00C427FD"/>
    <w:rsid w:val="00C42AD0"/>
    <w:rsid w:val="00C43277"/>
    <w:rsid w:val="00C43898"/>
    <w:rsid w:val="00C43F27"/>
    <w:rsid w:val="00C44BD1"/>
    <w:rsid w:val="00C45603"/>
    <w:rsid w:val="00C4568F"/>
    <w:rsid w:val="00C46735"/>
    <w:rsid w:val="00C46B5F"/>
    <w:rsid w:val="00C47161"/>
    <w:rsid w:val="00C471A5"/>
    <w:rsid w:val="00C4738F"/>
    <w:rsid w:val="00C47CEB"/>
    <w:rsid w:val="00C47EFB"/>
    <w:rsid w:val="00C47F74"/>
    <w:rsid w:val="00C50024"/>
    <w:rsid w:val="00C50917"/>
    <w:rsid w:val="00C51A3B"/>
    <w:rsid w:val="00C51AF2"/>
    <w:rsid w:val="00C51BC6"/>
    <w:rsid w:val="00C51CC3"/>
    <w:rsid w:val="00C51F39"/>
    <w:rsid w:val="00C521BB"/>
    <w:rsid w:val="00C52253"/>
    <w:rsid w:val="00C5263A"/>
    <w:rsid w:val="00C5272C"/>
    <w:rsid w:val="00C52786"/>
    <w:rsid w:val="00C52A74"/>
    <w:rsid w:val="00C52BE8"/>
    <w:rsid w:val="00C52E05"/>
    <w:rsid w:val="00C5303F"/>
    <w:rsid w:val="00C531AE"/>
    <w:rsid w:val="00C531D3"/>
    <w:rsid w:val="00C53A4D"/>
    <w:rsid w:val="00C53FF2"/>
    <w:rsid w:val="00C5416E"/>
    <w:rsid w:val="00C542A6"/>
    <w:rsid w:val="00C54378"/>
    <w:rsid w:val="00C544B6"/>
    <w:rsid w:val="00C549A4"/>
    <w:rsid w:val="00C549DF"/>
    <w:rsid w:val="00C54E60"/>
    <w:rsid w:val="00C54EF1"/>
    <w:rsid w:val="00C55149"/>
    <w:rsid w:val="00C55489"/>
    <w:rsid w:val="00C55992"/>
    <w:rsid w:val="00C55DD1"/>
    <w:rsid w:val="00C56765"/>
    <w:rsid w:val="00C573F2"/>
    <w:rsid w:val="00C5773D"/>
    <w:rsid w:val="00C57F5C"/>
    <w:rsid w:val="00C606BD"/>
    <w:rsid w:val="00C6074A"/>
    <w:rsid w:val="00C607FD"/>
    <w:rsid w:val="00C611BD"/>
    <w:rsid w:val="00C612E7"/>
    <w:rsid w:val="00C61B52"/>
    <w:rsid w:val="00C61E56"/>
    <w:rsid w:val="00C6215A"/>
    <w:rsid w:val="00C6248B"/>
    <w:rsid w:val="00C63194"/>
    <w:rsid w:val="00C6391A"/>
    <w:rsid w:val="00C63E07"/>
    <w:rsid w:val="00C64027"/>
    <w:rsid w:val="00C644BD"/>
    <w:rsid w:val="00C646F9"/>
    <w:rsid w:val="00C64BBA"/>
    <w:rsid w:val="00C651FC"/>
    <w:rsid w:val="00C665A8"/>
    <w:rsid w:val="00C673C6"/>
    <w:rsid w:val="00C6742B"/>
    <w:rsid w:val="00C67B01"/>
    <w:rsid w:val="00C7041F"/>
    <w:rsid w:val="00C705F0"/>
    <w:rsid w:val="00C7078E"/>
    <w:rsid w:val="00C70A6A"/>
    <w:rsid w:val="00C70CA7"/>
    <w:rsid w:val="00C710BB"/>
    <w:rsid w:val="00C713B9"/>
    <w:rsid w:val="00C718B9"/>
    <w:rsid w:val="00C71F0E"/>
    <w:rsid w:val="00C7261E"/>
    <w:rsid w:val="00C7279B"/>
    <w:rsid w:val="00C728AD"/>
    <w:rsid w:val="00C72DE3"/>
    <w:rsid w:val="00C73569"/>
    <w:rsid w:val="00C735BC"/>
    <w:rsid w:val="00C738D2"/>
    <w:rsid w:val="00C73AE7"/>
    <w:rsid w:val="00C74210"/>
    <w:rsid w:val="00C752D6"/>
    <w:rsid w:val="00C75729"/>
    <w:rsid w:val="00C75820"/>
    <w:rsid w:val="00C75A99"/>
    <w:rsid w:val="00C76315"/>
    <w:rsid w:val="00C764DF"/>
    <w:rsid w:val="00C7657F"/>
    <w:rsid w:val="00C76B11"/>
    <w:rsid w:val="00C76E1D"/>
    <w:rsid w:val="00C77441"/>
    <w:rsid w:val="00C77943"/>
    <w:rsid w:val="00C779CD"/>
    <w:rsid w:val="00C77D5E"/>
    <w:rsid w:val="00C77DA4"/>
    <w:rsid w:val="00C77E42"/>
    <w:rsid w:val="00C80384"/>
    <w:rsid w:val="00C8099D"/>
    <w:rsid w:val="00C80CA6"/>
    <w:rsid w:val="00C80D15"/>
    <w:rsid w:val="00C8101D"/>
    <w:rsid w:val="00C81F06"/>
    <w:rsid w:val="00C81FEB"/>
    <w:rsid w:val="00C82BAD"/>
    <w:rsid w:val="00C82D3D"/>
    <w:rsid w:val="00C82E29"/>
    <w:rsid w:val="00C82F69"/>
    <w:rsid w:val="00C83593"/>
    <w:rsid w:val="00C835B3"/>
    <w:rsid w:val="00C8361A"/>
    <w:rsid w:val="00C83801"/>
    <w:rsid w:val="00C83A92"/>
    <w:rsid w:val="00C83F56"/>
    <w:rsid w:val="00C84A5E"/>
    <w:rsid w:val="00C84A72"/>
    <w:rsid w:val="00C84B1E"/>
    <w:rsid w:val="00C84B24"/>
    <w:rsid w:val="00C84C8F"/>
    <w:rsid w:val="00C84C97"/>
    <w:rsid w:val="00C84EFB"/>
    <w:rsid w:val="00C85774"/>
    <w:rsid w:val="00C857E0"/>
    <w:rsid w:val="00C85B54"/>
    <w:rsid w:val="00C85BA1"/>
    <w:rsid w:val="00C86346"/>
    <w:rsid w:val="00C864A3"/>
    <w:rsid w:val="00C8692A"/>
    <w:rsid w:val="00C86AE1"/>
    <w:rsid w:val="00C87E4B"/>
    <w:rsid w:val="00C9074A"/>
    <w:rsid w:val="00C908EB"/>
    <w:rsid w:val="00C90C09"/>
    <w:rsid w:val="00C91173"/>
    <w:rsid w:val="00C91474"/>
    <w:rsid w:val="00C914BA"/>
    <w:rsid w:val="00C9163B"/>
    <w:rsid w:val="00C91A2F"/>
    <w:rsid w:val="00C9274C"/>
    <w:rsid w:val="00C92E84"/>
    <w:rsid w:val="00C930C8"/>
    <w:rsid w:val="00C9355A"/>
    <w:rsid w:val="00C93843"/>
    <w:rsid w:val="00C93F2A"/>
    <w:rsid w:val="00C95281"/>
    <w:rsid w:val="00C95A24"/>
    <w:rsid w:val="00C96111"/>
    <w:rsid w:val="00C96139"/>
    <w:rsid w:val="00C96308"/>
    <w:rsid w:val="00C967CD"/>
    <w:rsid w:val="00C96A9C"/>
    <w:rsid w:val="00C96E7A"/>
    <w:rsid w:val="00C96E7D"/>
    <w:rsid w:val="00C96FBB"/>
    <w:rsid w:val="00C9725B"/>
    <w:rsid w:val="00C9767B"/>
    <w:rsid w:val="00C97A85"/>
    <w:rsid w:val="00CA0082"/>
    <w:rsid w:val="00CA0215"/>
    <w:rsid w:val="00CA08F7"/>
    <w:rsid w:val="00CA0EF5"/>
    <w:rsid w:val="00CA10C3"/>
    <w:rsid w:val="00CA1824"/>
    <w:rsid w:val="00CA183A"/>
    <w:rsid w:val="00CA1DCA"/>
    <w:rsid w:val="00CA238C"/>
    <w:rsid w:val="00CA23BA"/>
    <w:rsid w:val="00CA2560"/>
    <w:rsid w:val="00CA2834"/>
    <w:rsid w:val="00CA2D2D"/>
    <w:rsid w:val="00CA360E"/>
    <w:rsid w:val="00CA3BDE"/>
    <w:rsid w:val="00CA3DDE"/>
    <w:rsid w:val="00CA4A23"/>
    <w:rsid w:val="00CA5097"/>
    <w:rsid w:val="00CA5277"/>
    <w:rsid w:val="00CA58A0"/>
    <w:rsid w:val="00CA609F"/>
    <w:rsid w:val="00CA625C"/>
    <w:rsid w:val="00CA64DD"/>
    <w:rsid w:val="00CA699F"/>
    <w:rsid w:val="00CA6B2A"/>
    <w:rsid w:val="00CA725C"/>
    <w:rsid w:val="00CA739E"/>
    <w:rsid w:val="00CA7738"/>
    <w:rsid w:val="00CA7BF0"/>
    <w:rsid w:val="00CB00AE"/>
    <w:rsid w:val="00CB0596"/>
    <w:rsid w:val="00CB06BC"/>
    <w:rsid w:val="00CB0802"/>
    <w:rsid w:val="00CB0C55"/>
    <w:rsid w:val="00CB0CFC"/>
    <w:rsid w:val="00CB0D57"/>
    <w:rsid w:val="00CB0FAD"/>
    <w:rsid w:val="00CB1142"/>
    <w:rsid w:val="00CB1D82"/>
    <w:rsid w:val="00CB216A"/>
    <w:rsid w:val="00CB24F6"/>
    <w:rsid w:val="00CB2694"/>
    <w:rsid w:val="00CB2F67"/>
    <w:rsid w:val="00CB3CBB"/>
    <w:rsid w:val="00CB44EB"/>
    <w:rsid w:val="00CB44F5"/>
    <w:rsid w:val="00CB4B5D"/>
    <w:rsid w:val="00CB5293"/>
    <w:rsid w:val="00CB531D"/>
    <w:rsid w:val="00CB5818"/>
    <w:rsid w:val="00CB5EFA"/>
    <w:rsid w:val="00CB63A1"/>
    <w:rsid w:val="00CB6F59"/>
    <w:rsid w:val="00CB72BC"/>
    <w:rsid w:val="00CB734B"/>
    <w:rsid w:val="00CB73AF"/>
    <w:rsid w:val="00CB7E4F"/>
    <w:rsid w:val="00CC03B4"/>
    <w:rsid w:val="00CC059F"/>
    <w:rsid w:val="00CC1211"/>
    <w:rsid w:val="00CC12B2"/>
    <w:rsid w:val="00CC2040"/>
    <w:rsid w:val="00CC20EA"/>
    <w:rsid w:val="00CC228B"/>
    <w:rsid w:val="00CC25A4"/>
    <w:rsid w:val="00CC32E1"/>
    <w:rsid w:val="00CC3E0A"/>
    <w:rsid w:val="00CC4700"/>
    <w:rsid w:val="00CC4873"/>
    <w:rsid w:val="00CC5B62"/>
    <w:rsid w:val="00CC5F3D"/>
    <w:rsid w:val="00CC61C2"/>
    <w:rsid w:val="00CC6898"/>
    <w:rsid w:val="00CC7127"/>
    <w:rsid w:val="00CC77A8"/>
    <w:rsid w:val="00CC7A79"/>
    <w:rsid w:val="00CD021C"/>
    <w:rsid w:val="00CD0329"/>
    <w:rsid w:val="00CD12A4"/>
    <w:rsid w:val="00CD1321"/>
    <w:rsid w:val="00CD1772"/>
    <w:rsid w:val="00CD1BC5"/>
    <w:rsid w:val="00CD1E88"/>
    <w:rsid w:val="00CD1F16"/>
    <w:rsid w:val="00CD2133"/>
    <w:rsid w:val="00CD2363"/>
    <w:rsid w:val="00CD281E"/>
    <w:rsid w:val="00CD2C29"/>
    <w:rsid w:val="00CD324D"/>
    <w:rsid w:val="00CD390E"/>
    <w:rsid w:val="00CD3D57"/>
    <w:rsid w:val="00CD4398"/>
    <w:rsid w:val="00CD4485"/>
    <w:rsid w:val="00CD46EB"/>
    <w:rsid w:val="00CD4922"/>
    <w:rsid w:val="00CD4BDB"/>
    <w:rsid w:val="00CD5741"/>
    <w:rsid w:val="00CD5EF8"/>
    <w:rsid w:val="00CD6079"/>
    <w:rsid w:val="00CD630C"/>
    <w:rsid w:val="00CD6546"/>
    <w:rsid w:val="00CD6809"/>
    <w:rsid w:val="00CD6F45"/>
    <w:rsid w:val="00CD7B60"/>
    <w:rsid w:val="00CE0378"/>
    <w:rsid w:val="00CE04B7"/>
    <w:rsid w:val="00CE0FEB"/>
    <w:rsid w:val="00CE1045"/>
    <w:rsid w:val="00CE1318"/>
    <w:rsid w:val="00CE13CB"/>
    <w:rsid w:val="00CE23BC"/>
    <w:rsid w:val="00CE2AA6"/>
    <w:rsid w:val="00CE3319"/>
    <w:rsid w:val="00CE3D14"/>
    <w:rsid w:val="00CE3ECB"/>
    <w:rsid w:val="00CE5961"/>
    <w:rsid w:val="00CE5DD0"/>
    <w:rsid w:val="00CE6687"/>
    <w:rsid w:val="00CE6A21"/>
    <w:rsid w:val="00CE72C2"/>
    <w:rsid w:val="00CE773F"/>
    <w:rsid w:val="00CE788C"/>
    <w:rsid w:val="00CE7CBB"/>
    <w:rsid w:val="00CE7E24"/>
    <w:rsid w:val="00CF023C"/>
    <w:rsid w:val="00CF0948"/>
    <w:rsid w:val="00CF1814"/>
    <w:rsid w:val="00CF1835"/>
    <w:rsid w:val="00CF1BA0"/>
    <w:rsid w:val="00CF249F"/>
    <w:rsid w:val="00CF26D7"/>
    <w:rsid w:val="00CF27ED"/>
    <w:rsid w:val="00CF2D73"/>
    <w:rsid w:val="00CF403B"/>
    <w:rsid w:val="00CF4212"/>
    <w:rsid w:val="00CF43C6"/>
    <w:rsid w:val="00CF448F"/>
    <w:rsid w:val="00CF5AB7"/>
    <w:rsid w:val="00CF606F"/>
    <w:rsid w:val="00CF6304"/>
    <w:rsid w:val="00CF6A22"/>
    <w:rsid w:val="00CF6C17"/>
    <w:rsid w:val="00CF715D"/>
    <w:rsid w:val="00D0009C"/>
    <w:rsid w:val="00D00EE0"/>
    <w:rsid w:val="00D01231"/>
    <w:rsid w:val="00D0125C"/>
    <w:rsid w:val="00D0135C"/>
    <w:rsid w:val="00D01550"/>
    <w:rsid w:val="00D015DD"/>
    <w:rsid w:val="00D015EE"/>
    <w:rsid w:val="00D0162E"/>
    <w:rsid w:val="00D017AF"/>
    <w:rsid w:val="00D02040"/>
    <w:rsid w:val="00D02810"/>
    <w:rsid w:val="00D02DBA"/>
    <w:rsid w:val="00D035EB"/>
    <w:rsid w:val="00D038E1"/>
    <w:rsid w:val="00D043A1"/>
    <w:rsid w:val="00D04B5B"/>
    <w:rsid w:val="00D0524D"/>
    <w:rsid w:val="00D061C3"/>
    <w:rsid w:val="00D0729D"/>
    <w:rsid w:val="00D076AB"/>
    <w:rsid w:val="00D07975"/>
    <w:rsid w:val="00D07A0A"/>
    <w:rsid w:val="00D07AE8"/>
    <w:rsid w:val="00D1062B"/>
    <w:rsid w:val="00D1090B"/>
    <w:rsid w:val="00D10E95"/>
    <w:rsid w:val="00D11515"/>
    <w:rsid w:val="00D11558"/>
    <w:rsid w:val="00D117FA"/>
    <w:rsid w:val="00D11DE9"/>
    <w:rsid w:val="00D12048"/>
    <w:rsid w:val="00D122DD"/>
    <w:rsid w:val="00D134AB"/>
    <w:rsid w:val="00D13510"/>
    <w:rsid w:val="00D135BA"/>
    <w:rsid w:val="00D139E9"/>
    <w:rsid w:val="00D13AC9"/>
    <w:rsid w:val="00D13D54"/>
    <w:rsid w:val="00D1415B"/>
    <w:rsid w:val="00D1435B"/>
    <w:rsid w:val="00D14770"/>
    <w:rsid w:val="00D14F01"/>
    <w:rsid w:val="00D150C9"/>
    <w:rsid w:val="00D1546F"/>
    <w:rsid w:val="00D15CE2"/>
    <w:rsid w:val="00D15D73"/>
    <w:rsid w:val="00D15DE2"/>
    <w:rsid w:val="00D168B4"/>
    <w:rsid w:val="00D16A48"/>
    <w:rsid w:val="00D16C99"/>
    <w:rsid w:val="00D17E20"/>
    <w:rsid w:val="00D17EE6"/>
    <w:rsid w:val="00D206E6"/>
    <w:rsid w:val="00D20805"/>
    <w:rsid w:val="00D20E16"/>
    <w:rsid w:val="00D20E6C"/>
    <w:rsid w:val="00D210C7"/>
    <w:rsid w:val="00D218B7"/>
    <w:rsid w:val="00D21937"/>
    <w:rsid w:val="00D21A8F"/>
    <w:rsid w:val="00D21B7A"/>
    <w:rsid w:val="00D21BED"/>
    <w:rsid w:val="00D22A01"/>
    <w:rsid w:val="00D22D00"/>
    <w:rsid w:val="00D23AFA"/>
    <w:rsid w:val="00D2541B"/>
    <w:rsid w:val="00D2595D"/>
    <w:rsid w:val="00D259B7"/>
    <w:rsid w:val="00D2605B"/>
    <w:rsid w:val="00D260B0"/>
    <w:rsid w:val="00D26140"/>
    <w:rsid w:val="00D26454"/>
    <w:rsid w:val="00D26FC6"/>
    <w:rsid w:val="00D272D7"/>
    <w:rsid w:val="00D27A12"/>
    <w:rsid w:val="00D30808"/>
    <w:rsid w:val="00D30A83"/>
    <w:rsid w:val="00D30EA0"/>
    <w:rsid w:val="00D31027"/>
    <w:rsid w:val="00D31041"/>
    <w:rsid w:val="00D31344"/>
    <w:rsid w:val="00D31F69"/>
    <w:rsid w:val="00D32424"/>
    <w:rsid w:val="00D32447"/>
    <w:rsid w:val="00D32A2B"/>
    <w:rsid w:val="00D32B68"/>
    <w:rsid w:val="00D32BA8"/>
    <w:rsid w:val="00D33629"/>
    <w:rsid w:val="00D33B1D"/>
    <w:rsid w:val="00D34360"/>
    <w:rsid w:val="00D34537"/>
    <w:rsid w:val="00D34B1B"/>
    <w:rsid w:val="00D34F7D"/>
    <w:rsid w:val="00D358FF"/>
    <w:rsid w:val="00D35AF5"/>
    <w:rsid w:val="00D35ED7"/>
    <w:rsid w:val="00D36674"/>
    <w:rsid w:val="00D36BF9"/>
    <w:rsid w:val="00D36C38"/>
    <w:rsid w:val="00D36C54"/>
    <w:rsid w:val="00D372EC"/>
    <w:rsid w:val="00D37354"/>
    <w:rsid w:val="00D3741A"/>
    <w:rsid w:val="00D37A77"/>
    <w:rsid w:val="00D37AAA"/>
    <w:rsid w:val="00D37FAF"/>
    <w:rsid w:val="00D4010B"/>
    <w:rsid w:val="00D402C2"/>
    <w:rsid w:val="00D40C0F"/>
    <w:rsid w:val="00D40D28"/>
    <w:rsid w:val="00D40DB8"/>
    <w:rsid w:val="00D40DE4"/>
    <w:rsid w:val="00D40FDE"/>
    <w:rsid w:val="00D41389"/>
    <w:rsid w:val="00D413D4"/>
    <w:rsid w:val="00D41474"/>
    <w:rsid w:val="00D4159A"/>
    <w:rsid w:val="00D4225C"/>
    <w:rsid w:val="00D423F2"/>
    <w:rsid w:val="00D4275C"/>
    <w:rsid w:val="00D42863"/>
    <w:rsid w:val="00D428F3"/>
    <w:rsid w:val="00D4296A"/>
    <w:rsid w:val="00D43009"/>
    <w:rsid w:val="00D4374B"/>
    <w:rsid w:val="00D43A2D"/>
    <w:rsid w:val="00D43E71"/>
    <w:rsid w:val="00D43F15"/>
    <w:rsid w:val="00D44496"/>
    <w:rsid w:val="00D444B3"/>
    <w:rsid w:val="00D448AC"/>
    <w:rsid w:val="00D44C64"/>
    <w:rsid w:val="00D44FCB"/>
    <w:rsid w:val="00D453E4"/>
    <w:rsid w:val="00D4577E"/>
    <w:rsid w:val="00D45ADD"/>
    <w:rsid w:val="00D45D10"/>
    <w:rsid w:val="00D45ECA"/>
    <w:rsid w:val="00D46138"/>
    <w:rsid w:val="00D463B6"/>
    <w:rsid w:val="00D46AAB"/>
    <w:rsid w:val="00D46F40"/>
    <w:rsid w:val="00D4726C"/>
    <w:rsid w:val="00D47D3B"/>
    <w:rsid w:val="00D501F9"/>
    <w:rsid w:val="00D50308"/>
    <w:rsid w:val="00D50312"/>
    <w:rsid w:val="00D506D1"/>
    <w:rsid w:val="00D50CDA"/>
    <w:rsid w:val="00D50CE6"/>
    <w:rsid w:val="00D518B9"/>
    <w:rsid w:val="00D51FFC"/>
    <w:rsid w:val="00D521AA"/>
    <w:rsid w:val="00D521CC"/>
    <w:rsid w:val="00D52A9A"/>
    <w:rsid w:val="00D53206"/>
    <w:rsid w:val="00D532F8"/>
    <w:rsid w:val="00D534F7"/>
    <w:rsid w:val="00D53A9C"/>
    <w:rsid w:val="00D53AEB"/>
    <w:rsid w:val="00D543BE"/>
    <w:rsid w:val="00D54950"/>
    <w:rsid w:val="00D55223"/>
    <w:rsid w:val="00D552AC"/>
    <w:rsid w:val="00D5549F"/>
    <w:rsid w:val="00D55BA6"/>
    <w:rsid w:val="00D55D7F"/>
    <w:rsid w:val="00D55E12"/>
    <w:rsid w:val="00D5609A"/>
    <w:rsid w:val="00D56313"/>
    <w:rsid w:val="00D56511"/>
    <w:rsid w:val="00D5657D"/>
    <w:rsid w:val="00D56A91"/>
    <w:rsid w:val="00D56C07"/>
    <w:rsid w:val="00D572E2"/>
    <w:rsid w:val="00D573DB"/>
    <w:rsid w:val="00D57946"/>
    <w:rsid w:val="00D5798F"/>
    <w:rsid w:val="00D57A10"/>
    <w:rsid w:val="00D602CC"/>
    <w:rsid w:val="00D602E5"/>
    <w:rsid w:val="00D606CC"/>
    <w:rsid w:val="00D60B0B"/>
    <w:rsid w:val="00D61B91"/>
    <w:rsid w:val="00D61FC3"/>
    <w:rsid w:val="00D62F59"/>
    <w:rsid w:val="00D6301E"/>
    <w:rsid w:val="00D632DC"/>
    <w:rsid w:val="00D64002"/>
    <w:rsid w:val="00D640E4"/>
    <w:rsid w:val="00D641BF"/>
    <w:rsid w:val="00D6461A"/>
    <w:rsid w:val="00D647BD"/>
    <w:rsid w:val="00D64EA4"/>
    <w:rsid w:val="00D658B1"/>
    <w:rsid w:val="00D65B4C"/>
    <w:rsid w:val="00D65BBC"/>
    <w:rsid w:val="00D66749"/>
    <w:rsid w:val="00D669A1"/>
    <w:rsid w:val="00D6730B"/>
    <w:rsid w:val="00D67374"/>
    <w:rsid w:val="00D67742"/>
    <w:rsid w:val="00D67899"/>
    <w:rsid w:val="00D6796A"/>
    <w:rsid w:val="00D67B0B"/>
    <w:rsid w:val="00D67E26"/>
    <w:rsid w:val="00D67EDF"/>
    <w:rsid w:val="00D7070E"/>
    <w:rsid w:val="00D70983"/>
    <w:rsid w:val="00D70CCD"/>
    <w:rsid w:val="00D70D36"/>
    <w:rsid w:val="00D7200C"/>
    <w:rsid w:val="00D72307"/>
    <w:rsid w:val="00D7275B"/>
    <w:rsid w:val="00D7289D"/>
    <w:rsid w:val="00D72A1A"/>
    <w:rsid w:val="00D72B7B"/>
    <w:rsid w:val="00D73BAA"/>
    <w:rsid w:val="00D73F34"/>
    <w:rsid w:val="00D7437C"/>
    <w:rsid w:val="00D74A26"/>
    <w:rsid w:val="00D74A57"/>
    <w:rsid w:val="00D75488"/>
    <w:rsid w:val="00D767D3"/>
    <w:rsid w:val="00D76D1C"/>
    <w:rsid w:val="00D76F17"/>
    <w:rsid w:val="00D77316"/>
    <w:rsid w:val="00D802CD"/>
    <w:rsid w:val="00D80582"/>
    <w:rsid w:val="00D80588"/>
    <w:rsid w:val="00D80E37"/>
    <w:rsid w:val="00D812C9"/>
    <w:rsid w:val="00D81414"/>
    <w:rsid w:val="00D81453"/>
    <w:rsid w:val="00D81B08"/>
    <w:rsid w:val="00D82167"/>
    <w:rsid w:val="00D82250"/>
    <w:rsid w:val="00D82B11"/>
    <w:rsid w:val="00D83157"/>
    <w:rsid w:val="00D83647"/>
    <w:rsid w:val="00D83683"/>
    <w:rsid w:val="00D83922"/>
    <w:rsid w:val="00D83B5D"/>
    <w:rsid w:val="00D84A65"/>
    <w:rsid w:val="00D84C02"/>
    <w:rsid w:val="00D86114"/>
    <w:rsid w:val="00D8638E"/>
    <w:rsid w:val="00D87175"/>
    <w:rsid w:val="00D87209"/>
    <w:rsid w:val="00D87C68"/>
    <w:rsid w:val="00D9043B"/>
    <w:rsid w:val="00D909FE"/>
    <w:rsid w:val="00D90C42"/>
    <w:rsid w:val="00D915B2"/>
    <w:rsid w:val="00D91D2B"/>
    <w:rsid w:val="00D91DCE"/>
    <w:rsid w:val="00D91EC7"/>
    <w:rsid w:val="00D92227"/>
    <w:rsid w:val="00D922DA"/>
    <w:rsid w:val="00D92F8B"/>
    <w:rsid w:val="00D930C0"/>
    <w:rsid w:val="00D93421"/>
    <w:rsid w:val="00D9354C"/>
    <w:rsid w:val="00D938C9"/>
    <w:rsid w:val="00D93DA2"/>
    <w:rsid w:val="00D94866"/>
    <w:rsid w:val="00D94B33"/>
    <w:rsid w:val="00D94B58"/>
    <w:rsid w:val="00D94BAE"/>
    <w:rsid w:val="00D95025"/>
    <w:rsid w:val="00D9534E"/>
    <w:rsid w:val="00D95F73"/>
    <w:rsid w:val="00D965E2"/>
    <w:rsid w:val="00D96A27"/>
    <w:rsid w:val="00D96CD3"/>
    <w:rsid w:val="00D97089"/>
    <w:rsid w:val="00D97673"/>
    <w:rsid w:val="00D9779D"/>
    <w:rsid w:val="00D97D20"/>
    <w:rsid w:val="00D97FDF"/>
    <w:rsid w:val="00DA00B5"/>
    <w:rsid w:val="00DA03C1"/>
    <w:rsid w:val="00DA055C"/>
    <w:rsid w:val="00DA16DD"/>
    <w:rsid w:val="00DA1798"/>
    <w:rsid w:val="00DA18C3"/>
    <w:rsid w:val="00DA1B85"/>
    <w:rsid w:val="00DA1C4D"/>
    <w:rsid w:val="00DA2E81"/>
    <w:rsid w:val="00DA2E89"/>
    <w:rsid w:val="00DA3833"/>
    <w:rsid w:val="00DA43AA"/>
    <w:rsid w:val="00DA46DF"/>
    <w:rsid w:val="00DA4B58"/>
    <w:rsid w:val="00DA4F23"/>
    <w:rsid w:val="00DA57B2"/>
    <w:rsid w:val="00DA5A61"/>
    <w:rsid w:val="00DA5D4E"/>
    <w:rsid w:val="00DA5FF1"/>
    <w:rsid w:val="00DA62B8"/>
    <w:rsid w:val="00DA6A2A"/>
    <w:rsid w:val="00DA7B16"/>
    <w:rsid w:val="00DA7C53"/>
    <w:rsid w:val="00DB0259"/>
    <w:rsid w:val="00DB0995"/>
    <w:rsid w:val="00DB1806"/>
    <w:rsid w:val="00DB18FA"/>
    <w:rsid w:val="00DB1E45"/>
    <w:rsid w:val="00DB1EC9"/>
    <w:rsid w:val="00DB29F9"/>
    <w:rsid w:val="00DB2CD1"/>
    <w:rsid w:val="00DB2E99"/>
    <w:rsid w:val="00DB38FA"/>
    <w:rsid w:val="00DB3A3E"/>
    <w:rsid w:val="00DB4A97"/>
    <w:rsid w:val="00DB4EB3"/>
    <w:rsid w:val="00DB520F"/>
    <w:rsid w:val="00DB53E9"/>
    <w:rsid w:val="00DB5ABB"/>
    <w:rsid w:val="00DB5D51"/>
    <w:rsid w:val="00DB604A"/>
    <w:rsid w:val="00DB6114"/>
    <w:rsid w:val="00DB739C"/>
    <w:rsid w:val="00DB752E"/>
    <w:rsid w:val="00DB7749"/>
    <w:rsid w:val="00DB78DF"/>
    <w:rsid w:val="00DB7997"/>
    <w:rsid w:val="00DB7D22"/>
    <w:rsid w:val="00DB7F61"/>
    <w:rsid w:val="00DC023A"/>
    <w:rsid w:val="00DC02F7"/>
    <w:rsid w:val="00DC05C1"/>
    <w:rsid w:val="00DC098D"/>
    <w:rsid w:val="00DC0AF7"/>
    <w:rsid w:val="00DC0B62"/>
    <w:rsid w:val="00DC0C85"/>
    <w:rsid w:val="00DC1280"/>
    <w:rsid w:val="00DC12EC"/>
    <w:rsid w:val="00DC16A7"/>
    <w:rsid w:val="00DC1807"/>
    <w:rsid w:val="00DC1BE4"/>
    <w:rsid w:val="00DC2068"/>
    <w:rsid w:val="00DC2173"/>
    <w:rsid w:val="00DC2210"/>
    <w:rsid w:val="00DC2B33"/>
    <w:rsid w:val="00DC2FC9"/>
    <w:rsid w:val="00DC35FF"/>
    <w:rsid w:val="00DC3A48"/>
    <w:rsid w:val="00DC3BA0"/>
    <w:rsid w:val="00DC3CE4"/>
    <w:rsid w:val="00DC473A"/>
    <w:rsid w:val="00DC487D"/>
    <w:rsid w:val="00DC543B"/>
    <w:rsid w:val="00DC65FA"/>
    <w:rsid w:val="00DC6A43"/>
    <w:rsid w:val="00DC6E35"/>
    <w:rsid w:val="00DC6EF8"/>
    <w:rsid w:val="00DC7027"/>
    <w:rsid w:val="00DC73D0"/>
    <w:rsid w:val="00DC772A"/>
    <w:rsid w:val="00DC7D9D"/>
    <w:rsid w:val="00DC7EE1"/>
    <w:rsid w:val="00DD06EA"/>
    <w:rsid w:val="00DD10CD"/>
    <w:rsid w:val="00DD1C24"/>
    <w:rsid w:val="00DD2826"/>
    <w:rsid w:val="00DD358F"/>
    <w:rsid w:val="00DD3648"/>
    <w:rsid w:val="00DD3B85"/>
    <w:rsid w:val="00DD42BA"/>
    <w:rsid w:val="00DD472A"/>
    <w:rsid w:val="00DD4831"/>
    <w:rsid w:val="00DD4959"/>
    <w:rsid w:val="00DD4DDE"/>
    <w:rsid w:val="00DD5425"/>
    <w:rsid w:val="00DD5C93"/>
    <w:rsid w:val="00DD5F8F"/>
    <w:rsid w:val="00DD606D"/>
    <w:rsid w:val="00DD664C"/>
    <w:rsid w:val="00DD6917"/>
    <w:rsid w:val="00DD6A07"/>
    <w:rsid w:val="00DD71F7"/>
    <w:rsid w:val="00DD7219"/>
    <w:rsid w:val="00DD76E1"/>
    <w:rsid w:val="00DD7998"/>
    <w:rsid w:val="00DD7BBC"/>
    <w:rsid w:val="00DD7C45"/>
    <w:rsid w:val="00DD7F4F"/>
    <w:rsid w:val="00DE026A"/>
    <w:rsid w:val="00DE08BC"/>
    <w:rsid w:val="00DE0C76"/>
    <w:rsid w:val="00DE0D93"/>
    <w:rsid w:val="00DE1239"/>
    <w:rsid w:val="00DE1C81"/>
    <w:rsid w:val="00DE2332"/>
    <w:rsid w:val="00DE240D"/>
    <w:rsid w:val="00DE355F"/>
    <w:rsid w:val="00DE368A"/>
    <w:rsid w:val="00DE378F"/>
    <w:rsid w:val="00DE399D"/>
    <w:rsid w:val="00DE3A5F"/>
    <w:rsid w:val="00DE3AC1"/>
    <w:rsid w:val="00DE409B"/>
    <w:rsid w:val="00DE41FF"/>
    <w:rsid w:val="00DE49A4"/>
    <w:rsid w:val="00DE4C50"/>
    <w:rsid w:val="00DE503F"/>
    <w:rsid w:val="00DE5466"/>
    <w:rsid w:val="00DE5525"/>
    <w:rsid w:val="00DE5A11"/>
    <w:rsid w:val="00DE5DDD"/>
    <w:rsid w:val="00DE601C"/>
    <w:rsid w:val="00DE63DA"/>
    <w:rsid w:val="00DE66BE"/>
    <w:rsid w:val="00DE7029"/>
    <w:rsid w:val="00DE761A"/>
    <w:rsid w:val="00DE77A3"/>
    <w:rsid w:val="00DE7948"/>
    <w:rsid w:val="00DE7FD0"/>
    <w:rsid w:val="00DF029E"/>
    <w:rsid w:val="00DF0DED"/>
    <w:rsid w:val="00DF11B5"/>
    <w:rsid w:val="00DF11FB"/>
    <w:rsid w:val="00DF1BCC"/>
    <w:rsid w:val="00DF1C8A"/>
    <w:rsid w:val="00DF2289"/>
    <w:rsid w:val="00DF2D3A"/>
    <w:rsid w:val="00DF3132"/>
    <w:rsid w:val="00DF31A3"/>
    <w:rsid w:val="00DF4B29"/>
    <w:rsid w:val="00DF4D05"/>
    <w:rsid w:val="00DF4ED4"/>
    <w:rsid w:val="00DF65E2"/>
    <w:rsid w:val="00DF6CA2"/>
    <w:rsid w:val="00DF7AB2"/>
    <w:rsid w:val="00DF7D45"/>
    <w:rsid w:val="00E007E5"/>
    <w:rsid w:val="00E01538"/>
    <w:rsid w:val="00E01585"/>
    <w:rsid w:val="00E026D3"/>
    <w:rsid w:val="00E02896"/>
    <w:rsid w:val="00E029BA"/>
    <w:rsid w:val="00E02B05"/>
    <w:rsid w:val="00E032EE"/>
    <w:rsid w:val="00E03B08"/>
    <w:rsid w:val="00E03B83"/>
    <w:rsid w:val="00E03FC0"/>
    <w:rsid w:val="00E04722"/>
    <w:rsid w:val="00E052EA"/>
    <w:rsid w:val="00E05714"/>
    <w:rsid w:val="00E058CD"/>
    <w:rsid w:val="00E0596F"/>
    <w:rsid w:val="00E05A94"/>
    <w:rsid w:val="00E05BFA"/>
    <w:rsid w:val="00E062CD"/>
    <w:rsid w:val="00E0643C"/>
    <w:rsid w:val="00E06A7B"/>
    <w:rsid w:val="00E06AE4"/>
    <w:rsid w:val="00E06B49"/>
    <w:rsid w:val="00E073B9"/>
    <w:rsid w:val="00E076A5"/>
    <w:rsid w:val="00E078E8"/>
    <w:rsid w:val="00E100CA"/>
    <w:rsid w:val="00E102E8"/>
    <w:rsid w:val="00E105CA"/>
    <w:rsid w:val="00E10CAB"/>
    <w:rsid w:val="00E114E5"/>
    <w:rsid w:val="00E13996"/>
    <w:rsid w:val="00E139F7"/>
    <w:rsid w:val="00E140FF"/>
    <w:rsid w:val="00E1433A"/>
    <w:rsid w:val="00E146FA"/>
    <w:rsid w:val="00E15424"/>
    <w:rsid w:val="00E158FE"/>
    <w:rsid w:val="00E161D2"/>
    <w:rsid w:val="00E161E9"/>
    <w:rsid w:val="00E17661"/>
    <w:rsid w:val="00E17698"/>
    <w:rsid w:val="00E17902"/>
    <w:rsid w:val="00E201F6"/>
    <w:rsid w:val="00E204F7"/>
    <w:rsid w:val="00E207E3"/>
    <w:rsid w:val="00E218BB"/>
    <w:rsid w:val="00E219E7"/>
    <w:rsid w:val="00E21A05"/>
    <w:rsid w:val="00E21DF2"/>
    <w:rsid w:val="00E21FDB"/>
    <w:rsid w:val="00E223D9"/>
    <w:rsid w:val="00E228D9"/>
    <w:rsid w:val="00E23395"/>
    <w:rsid w:val="00E239A6"/>
    <w:rsid w:val="00E23B51"/>
    <w:rsid w:val="00E24802"/>
    <w:rsid w:val="00E24C3C"/>
    <w:rsid w:val="00E25058"/>
    <w:rsid w:val="00E25202"/>
    <w:rsid w:val="00E25BFE"/>
    <w:rsid w:val="00E268B8"/>
    <w:rsid w:val="00E2721B"/>
    <w:rsid w:val="00E2728A"/>
    <w:rsid w:val="00E27EA1"/>
    <w:rsid w:val="00E3086E"/>
    <w:rsid w:val="00E30939"/>
    <w:rsid w:val="00E30BF7"/>
    <w:rsid w:val="00E30C04"/>
    <w:rsid w:val="00E31450"/>
    <w:rsid w:val="00E3185E"/>
    <w:rsid w:val="00E31932"/>
    <w:rsid w:val="00E31EF1"/>
    <w:rsid w:val="00E33011"/>
    <w:rsid w:val="00E336E5"/>
    <w:rsid w:val="00E3375A"/>
    <w:rsid w:val="00E33B15"/>
    <w:rsid w:val="00E33DCE"/>
    <w:rsid w:val="00E3403A"/>
    <w:rsid w:val="00E34053"/>
    <w:rsid w:val="00E3519C"/>
    <w:rsid w:val="00E35565"/>
    <w:rsid w:val="00E35858"/>
    <w:rsid w:val="00E35C01"/>
    <w:rsid w:val="00E35EE1"/>
    <w:rsid w:val="00E360DB"/>
    <w:rsid w:val="00E362F0"/>
    <w:rsid w:val="00E36405"/>
    <w:rsid w:val="00E36928"/>
    <w:rsid w:val="00E36E18"/>
    <w:rsid w:val="00E37149"/>
    <w:rsid w:val="00E374D5"/>
    <w:rsid w:val="00E37564"/>
    <w:rsid w:val="00E37951"/>
    <w:rsid w:val="00E40105"/>
    <w:rsid w:val="00E4054F"/>
    <w:rsid w:val="00E4066A"/>
    <w:rsid w:val="00E40683"/>
    <w:rsid w:val="00E4085F"/>
    <w:rsid w:val="00E409E6"/>
    <w:rsid w:val="00E41282"/>
    <w:rsid w:val="00E424A0"/>
    <w:rsid w:val="00E4283E"/>
    <w:rsid w:val="00E42C0F"/>
    <w:rsid w:val="00E42CC9"/>
    <w:rsid w:val="00E4316D"/>
    <w:rsid w:val="00E4354E"/>
    <w:rsid w:val="00E43D36"/>
    <w:rsid w:val="00E43E88"/>
    <w:rsid w:val="00E446E5"/>
    <w:rsid w:val="00E44ABF"/>
    <w:rsid w:val="00E44B44"/>
    <w:rsid w:val="00E44C34"/>
    <w:rsid w:val="00E4544A"/>
    <w:rsid w:val="00E454AD"/>
    <w:rsid w:val="00E459A4"/>
    <w:rsid w:val="00E459E9"/>
    <w:rsid w:val="00E45EC4"/>
    <w:rsid w:val="00E45FB8"/>
    <w:rsid w:val="00E46482"/>
    <w:rsid w:val="00E47226"/>
    <w:rsid w:val="00E479E4"/>
    <w:rsid w:val="00E47C5F"/>
    <w:rsid w:val="00E507CB"/>
    <w:rsid w:val="00E5081C"/>
    <w:rsid w:val="00E508BF"/>
    <w:rsid w:val="00E5091B"/>
    <w:rsid w:val="00E50A63"/>
    <w:rsid w:val="00E50E59"/>
    <w:rsid w:val="00E511B5"/>
    <w:rsid w:val="00E520BA"/>
    <w:rsid w:val="00E52484"/>
    <w:rsid w:val="00E528EA"/>
    <w:rsid w:val="00E529B1"/>
    <w:rsid w:val="00E52CC5"/>
    <w:rsid w:val="00E52E30"/>
    <w:rsid w:val="00E53117"/>
    <w:rsid w:val="00E535A8"/>
    <w:rsid w:val="00E53671"/>
    <w:rsid w:val="00E55298"/>
    <w:rsid w:val="00E55A1A"/>
    <w:rsid w:val="00E55B69"/>
    <w:rsid w:val="00E5620C"/>
    <w:rsid w:val="00E56319"/>
    <w:rsid w:val="00E572FC"/>
    <w:rsid w:val="00E57859"/>
    <w:rsid w:val="00E578BD"/>
    <w:rsid w:val="00E57E1A"/>
    <w:rsid w:val="00E57F98"/>
    <w:rsid w:val="00E602DE"/>
    <w:rsid w:val="00E6060B"/>
    <w:rsid w:val="00E608D8"/>
    <w:rsid w:val="00E60D04"/>
    <w:rsid w:val="00E61142"/>
    <w:rsid w:val="00E61587"/>
    <w:rsid w:val="00E619C9"/>
    <w:rsid w:val="00E61BB0"/>
    <w:rsid w:val="00E61EC8"/>
    <w:rsid w:val="00E624A0"/>
    <w:rsid w:val="00E625EF"/>
    <w:rsid w:val="00E633F1"/>
    <w:rsid w:val="00E636F5"/>
    <w:rsid w:val="00E636FD"/>
    <w:rsid w:val="00E6378B"/>
    <w:rsid w:val="00E64617"/>
    <w:rsid w:val="00E6542B"/>
    <w:rsid w:val="00E6548E"/>
    <w:rsid w:val="00E656BB"/>
    <w:rsid w:val="00E65D92"/>
    <w:rsid w:val="00E663CF"/>
    <w:rsid w:val="00E66418"/>
    <w:rsid w:val="00E66989"/>
    <w:rsid w:val="00E669D9"/>
    <w:rsid w:val="00E66D16"/>
    <w:rsid w:val="00E674F1"/>
    <w:rsid w:val="00E6763F"/>
    <w:rsid w:val="00E67D35"/>
    <w:rsid w:val="00E70037"/>
    <w:rsid w:val="00E70976"/>
    <w:rsid w:val="00E70A84"/>
    <w:rsid w:val="00E71356"/>
    <w:rsid w:val="00E7161D"/>
    <w:rsid w:val="00E72897"/>
    <w:rsid w:val="00E72BEB"/>
    <w:rsid w:val="00E72E41"/>
    <w:rsid w:val="00E73712"/>
    <w:rsid w:val="00E73AA5"/>
    <w:rsid w:val="00E73EAE"/>
    <w:rsid w:val="00E74254"/>
    <w:rsid w:val="00E748D0"/>
    <w:rsid w:val="00E7562E"/>
    <w:rsid w:val="00E75860"/>
    <w:rsid w:val="00E75926"/>
    <w:rsid w:val="00E7629E"/>
    <w:rsid w:val="00E763A2"/>
    <w:rsid w:val="00E768D4"/>
    <w:rsid w:val="00E7696C"/>
    <w:rsid w:val="00E76DD1"/>
    <w:rsid w:val="00E7708D"/>
    <w:rsid w:val="00E77E05"/>
    <w:rsid w:val="00E80450"/>
    <w:rsid w:val="00E804FD"/>
    <w:rsid w:val="00E80540"/>
    <w:rsid w:val="00E805B8"/>
    <w:rsid w:val="00E80793"/>
    <w:rsid w:val="00E80AE7"/>
    <w:rsid w:val="00E80B36"/>
    <w:rsid w:val="00E81025"/>
    <w:rsid w:val="00E8108A"/>
    <w:rsid w:val="00E810C1"/>
    <w:rsid w:val="00E81283"/>
    <w:rsid w:val="00E8130A"/>
    <w:rsid w:val="00E81915"/>
    <w:rsid w:val="00E81A0C"/>
    <w:rsid w:val="00E81B3F"/>
    <w:rsid w:val="00E8265E"/>
    <w:rsid w:val="00E82D83"/>
    <w:rsid w:val="00E82E8A"/>
    <w:rsid w:val="00E832F8"/>
    <w:rsid w:val="00E83357"/>
    <w:rsid w:val="00E83405"/>
    <w:rsid w:val="00E8377A"/>
    <w:rsid w:val="00E838D1"/>
    <w:rsid w:val="00E83ABC"/>
    <w:rsid w:val="00E847EA"/>
    <w:rsid w:val="00E84A60"/>
    <w:rsid w:val="00E84D86"/>
    <w:rsid w:val="00E851A8"/>
    <w:rsid w:val="00E85646"/>
    <w:rsid w:val="00E8576F"/>
    <w:rsid w:val="00E86519"/>
    <w:rsid w:val="00E865CA"/>
    <w:rsid w:val="00E86712"/>
    <w:rsid w:val="00E8681A"/>
    <w:rsid w:val="00E86AC3"/>
    <w:rsid w:val="00E86B93"/>
    <w:rsid w:val="00E87076"/>
    <w:rsid w:val="00E87129"/>
    <w:rsid w:val="00E874A6"/>
    <w:rsid w:val="00E9026D"/>
    <w:rsid w:val="00E90644"/>
    <w:rsid w:val="00E906D0"/>
    <w:rsid w:val="00E916FE"/>
    <w:rsid w:val="00E91EF9"/>
    <w:rsid w:val="00E921BF"/>
    <w:rsid w:val="00E92C50"/>
    <w:rsid w:val="00E93529"/>
    <w:rsid w:val="00E938D5"/>
    <w:rsid w:val="00E93DC1"/>
    <w:rsid w:val="00E9424F"/>
    <w:rsid w:val="00E947C4"/>
    <w:rsid w:val="00E948E7"/>
    <w:rsid w:val="00E94F82"/>
    <w:rsid w:val="00E950A9"/>
    <w:rsid w:val="00E95E0D"/>
    <w:rsid w:val="00E96458"/>
    <w:rsid w:val="00E964E6"/>
    <w:rsid w:val="00E96B61"/>
    <w:rsid w:val="00E96F6A"/>
    <w:rsid w:val="00E97CD2"/>
    <w:rsid w:val="00E97E3B"/>
    <w:rsid w:val="00EA02AB"/>
    <w:rsid w:val="00EA045A"/>
    <w:rsid w:val="00EA0E5D"/>
    <w:rsid w:val="00EA1C73"/>
    <w:rsid w:val="00EA24A7"/>
    <w:rsid w:val="00EA2794"/>
    <w:rsid w:val="00EA2E48"/>
    <w:rsid w:val="00EA2FE8"/>
    <w:rsid w:val="00EA3D57"/>
    <w:rsid w:val="00EA412C"/>
    <w:rsid w:val="00EA4281"/>
    <w:rsid w:val="00EA451B"/>
    <w:rsid w:val="00EA45E6"/>
    <w:rsid w:val="00EA46E3"/>
    <w:rsid w:val="00EA474D"/>
    <w:rsid w:val="00EA4A2F"/>
    <w:rsid w:val="00EA4C0A"/>
    <w:rsid w:val="00EA4D2E"/>
    <w:rsid w:val="00EA4E95"/>
    <w:rsid w:val="00EA51D2"/>
    <w:rsid w:val="00EA5469"/>
    <w:rsid w:val="00EA6198"/>
    <w:rsid w:val="00EA6699"/>
    <w:rsid w:val="00EA709E"/>
    <w:rsid w:val="00EA70C5"/>
    <w:rsid w:val="00EB03A7"/>
    <w:rsid w:val="00EB064F"/>
    <w:rsid w:val="00EB06A7"/>
    <w:rsid w:val="00EB089A"/>
    <w:rsid w:val="00EB189A"/>
    <w:rsid w:val="00EB1DEF"/>
    <w:rsid w:val="00EB2219"/>
    <w:rsid w:val="00EB286F"/>
    <w:rsid w:val="00EB2DAC"/>
    <w:rsid w:val="00EB350D"/>
    <w:rsid w:val="00EB37A2"/>
    <w:rsid w:val="00EB3B68"/>
    <w:rsid w:val="00EB41EB"/>
    <w:rsid w:val="00EB434D"/>
    <w:rsid w:val="00EB453D"/>
    <w:rsid w:val="00EB4D30"/>
    <w:rsid w:val="00EB5106"/>
    <w:rsid w:val="00EB55B9"/>
    <w:rsid w:val="00EB59B9"/>
    <w:rsid w:val="00EB5C9E"/>
    <w:rsid w:val="00EB6DF5"/>
    <w:rsid w:val="00EB748E"/>
    <w:rsid w:val="00EB7827"/>
    <w:rsid w:val="00EC0033"/>
    <w:rsid w:val="00EC0117"/>
    <w:rsid w:val="00EC012C"/>
    <w:rsid w:val="00EC097A"/>
    <w:rsid w:val="00EC0A30"/>
    <w:rsid w:val="00EC191D"/>
    <w:rsid w:val="00EC1930"/>
    <w:rsid w:val="00EC2921"/>
    <w:rsid w:val="00EC2A37"/>
    <w:rsid w:val="00EC2F3A"/>
    <w:rsid w:val="00EC3410"/>
    <w:rsid w:val="00EC35DC"/>
    <w:rsid w:val="00EC39DA"/>
    <w:rsid w:val="00EC3BCE"/>
    <w:rsid w:val="00EC3E02"/>
    <w:rsid w:val="00EC3E9C"/>
    <w:rsid w:val="00EC3FD3"/>
    <w:rsid w:val="00EC4263"/>
    <w:rsid w:val="00EC489D"/>
    <w:rsid w:val="00EC5485"/>
    <w:rsid w:val="00EC58CC"/>
    <w:rsid w:val="00EC5AF4"/>
    <w:rsid w:val="00EC5B04"/>
    <w:rsid w:val="00EC696F"/>
    <w:rsid w:val="00EC7030"/>
    <w:rsid w:val="00EC7207"/>
    <w:rsid w:val="00EC73FF"/>
    <w:rsid w:val="00EC7C35"/>
    <w:rsid w:val="00ED0560"/>
    <w:rsid w:val="00ED0AE2"/>
    <w:rsid w:val="00ED0C5F"/>
    <w:rsid w:val="00ED122C"/>
    <w:rsid w:val="00ED1526"/>
    <w:rsid w:val="00ED1C29"/>
    <w:rsid w:val="00ED1F7B"/>
    <w:rsid w:val="00ED20F3"/>
    <w:rsid w:val="00ED29E5"/>
    <w:rsid w:val="00ED2C72"/>
    <w:rsid w:val="00ED306B"/>
    <w:rsid w:val="00ED342F"/>
    <w:rsid w:val="00ED3719"/>
    <w:rsid w:val="00ED3A0A"/>
    <w:rsid w:val="00ED3D65"/>
    <w:rsid w:val="00ED3EE1"/>
    <w:rsid w:val="00ED3F20"/>
    <w:rsid w:val="00ED42EA"/>
    <w:rsid w:val="00ED42ED"/>
    <w:rsid w:val="00ED4D52"/>
    <w:rsid w:val="00ED4DE7"/>
    <w:rsid w:val="00ED501C"/>
    <w:rsid w:val="00ED592C"/>
    <w:rsid w:val="00ED5DF5"/>
    <w:rsid w:val="00ED5F9B"/>
    <w:rsid w:val="00ED606E"/>
    <w:rsid w:val="00ED6276"/>
    <w:rsid w:val="00ED628E"/>
    <w:rsid w:val="00ED646B"/>
    <w:rsid w:val="00ED65AF"/>
    <w:rsid w:val="00ED6723"/>
    <w:rsid w:val="00ED6F38"/>
    <w:rsid w:val="00ED7570"/>
    <w:rsid w:val="00ED7742"/>
    <w:rsid w:val="00ED7CA0"/>
    <w:rsid w:val="00EE1A64"/>
    <w:rsid w:val="00EE1D4B"/>
    <w:rsid w:val="00EE215B"/>
    <w:rsid w:val="00EE2FAA"/>
    <w:rsid w:val="00EE3137"/>
    <w:rsid w:val="00EE34C5"/>
    <w:rsid w:val="00EE3FDC"/>
    <w:rsid w:val="00EE44C7"/>
    <w:rsid w:val="00EE4651"/>
    <w:rsid w:val="00EE470D"/>
    <w:rsid w:val="00EE4807"/>
    <w:rsid w:val="00EE48EB"/>
    <w:rsid w:val="00EE498F"/>
    <w:rsid w:val="00EE49CF"/>
    <w:rsid w:val="00EE4AD3"/>
    <w:rsid w:val="00EE4D77"/>
    <w:rsid w:val="00EE4FBD"/>
    <w:rsid w:val="00EE581B"/>
    <w:rsid w:val="00EE58B3"/>
    <w:rsid w:val="00EE6586"/>
    <w:rsid w:val="00EE66E6"/>
    <w:rsid w:val="00EE6F28"/>
    <w:rsid w:val="00EE72A7"/>
    <w:rsid w:val="00EE77A8"/>
    <w:rsid w:val="00EE77F5"/>
    <w:rsid w:val="00EE7871"/>
    <w:rsid w:val="00EE7B7B"/>
    <w:rsid w:val="00EF006A"/>
    <w:rsid w:val="00EF057B"/>
    <w:rsid w:val="00EF0CF1"/>
    <w:rsid w:val="00EF0ECA"/>
    <w:rsid w:val="00EF127A"/>
    <w:rsid w:val="00EF134C"/>
    <w:rsid w:val="00EF21D9"/>
    <w:rsid w:val="00EF2ABF"/>
    <w:rsid w:val="00EF2D8C"/>
    <w:rsid w:val="00EF2F2E"/>
    <w:rsid w:val="00EF2F4B"/>
    <w:rsid w:val="00EF347E"/>
    <w:rsid w:val="00EF372A"/>
    <w:rsid w:val="00EF3F8F"/>
    <w:rsid w:val="00EF4134"/>
    <w:rsid w:val="00EF4296"/>
    <w:rsid w:val="00EF489B"/>
    <w:rsid w:val="00EF4A73"/>
    <w:rsid w:val="00EF4EB9"/>
    <w:rsid w:val="00EF55D0"/>
    <w:rsid w:val="00EF581D"/>
    <w:rsid w:val="00EF5BAA"/>
    <w:rsid w:val="00EF5BFA"/>
    <w:rsid w:val="00EF6275"/>
    <w:rsid w:val="00EF630B"/>
    <w:rsid w:val="00EF6525"/>
    <w:rsid w:val="00EF65F4"/>
    <w:rsid w:val="00EF6B1E"/>
    <w:rsid w:val="00EF6C84"/>
    <w:rsid w:val="00EF6E9C"/>
    <w:rsid w:val="00EF737F"/>
    <w:rsid w:val="00EF73C5"/>
    <w:rsid w:val="00EF7522"/>
    <w:rsid w:val="00EF7FD6"/>
    <w:rsid w:val="00F00E11"/>
    <w:rsid w:val="00F01094"/>
    <w:rsid w:val="00F010FA"/>
    <w:rsid w:val="00F01114"/>
    <w:rsid w:val="00F018D7"/>
    <w:rsid w:val="00F01D04"/>
    <w:rsid w:val="00F02921"/>
    <w:rsid w:val="00F02CD3"/>
    <w:rsid w:val="00F02EA2"/>
    <w:rsid w:val="00F03202"/>
    <w:rsid w:val="00F036EC"/>
    <w:rsid w:val="00F0482E"/>
    <w:rsid w:val="00F05F28"/>
    <w:rsid w:val="00F063FA"/>
    <w:rsid w:val="00F06414"/>
    <w:rsid w:val="00F06823"/>
    <w:rsid w:val="00F06F0F"/>
    <w:rsid w:val="00F070C2"/>
    <w:rsid w:val="00F07241"/>
    <w:rsid w:val="00F07F5B"/>
    <w:rsid w:val="00F1055C"/>
    <w:rsid w:val="00F10BCD"/>
    <w:rsid w:val="00F10F99"/>
    <w:rsid w:val="00F1170E"/>
    <w:rsid w:val="00F119EB"/>
    <w:rsid w:val="00F12A0D"/>
    <w:rsid w:val="00F12CA2"/>
    <w:rsid w:val="00F1320E"/>
    <w:rsid w:val="00F13834"/>
    <w:rsid w:val="00F1395B"/>
    <w:rsid w:val="00F13F7C"/>
    <w:rsid w:val="00F14142"/>
    <w:rsid w:val="00F142A3"/>
    <w:rsid w:val="00F142C6"/>
    <w:rsid w:val="00F14431"/>
    <w:rsid w:val="00F14471"/>
    <w:rsid w:val="00F147B8"/>
    <w:rsid w:val="00F14D21"/>
    <w:rsid w:val="00F157C9"/>
    <w:rsid w:val="00F158A9"/>
    <w:rsid w:val="00F159ED"/>
    <w:rsid w:val="00F15F93"/>
    <w:rsid w:val="00F164CA"/>
    <w:rsid w:val="00F169E9"/>
    <w:rsid w:val="00F17B51"/>
    <w:rsid w:val="00F17D96"/>
    <w:rsid w:val="00F200D4"/>
    <w:rsid w:val="00F202B2"/>
    <w:rsid w:val="00F20987"/>
    <w:rsid w:val="00F20A6C"/>
    <w:rsid w:val="00F20EAC"/>
    <w:rsid w:val="00F21008"/>
    <w:rsid w:val="00F214E2"/>
    <w:rsid w:val="00F21533"/>
    <w:rsid w:val="00F21644"/>
    <w:rsid w:val="00F21E1A"/>
    <w:rsid w:val="00F220D8"/>
    <w:rsid w:val="00F226DE"/>
    <w:rsid w:val="00F2289E"/>
    <w:rsid w:val="00F229CF"/>
    <w:rsid w:val="00F22A55"/>
    <w:rsid w:val="00F232F8"/>
    <w:rsid w:val="00F23A71"/>
    <w:rsid w:val="00F23D49"/>
    <w:rsid w:val="00F2431B"/>
    <w:rsid w:val="00F245A3"/>
    <w:rsid w:val="00F2546D"/>
    <w:rsid w:val="00F25E01"/>
    <w:rsid w:val="00F26E4E"/>
    <w:rsid w:val="00F26F3A"/>
    <w:rsid w:val="00F27371"/>
    <w:rsid w:val="00F27C94"/>
    <w:rsid w:val="00F3001A"/>
    <w:rsid w:val="00F30150"/>
    <w:rsid w:val="00F30338"/>
    <w:rsid w:val="00F307CA"/>
    <w:rsid w:val="00F31132"/>
    <w:rsid w:val="00F313EE"/>
    <w:rsid w:val="00F31A10"/>
    <w:rsid w:val="00F3239C"/>
    <w:rsid w:val="00F32B0F"/>
    <w:rsid w:val="00F32C2F"/>
    <w:rsid w:val="00F32D2C"/>
    <w:rsid w:val="00F32DF8"/>
    <w:rsid w:val="00F32F78"/>
    <w:rsid w:val="00F3320F"/>
    <w:rsid w:val="00F33327"/>
    <w:rsid w:val="00F3335A"/>
    <w:rsid w:val="00F33F2C"/>
    <w:rsid w:val="00F344FE"/>
    <w:rsid w:val="00F3465B"/>
    <w:rsid w:val="00F358EA"/>
    <w:rsid w:val="00F3650D"/>
    <w:rsid w:val="00F36A32"/>
    <w:rsid w:val="00F36DC7"/>
    <w:rsid w:val="00F36F3A"/>
    <w:rsid w:val="00F36F67"/>
    <w:rsid w:val="00F3701B"/>
    <w:rsid w:val="00F37ADB"/>
    <w:rsid w:val="00F4004A"/>
    <w:rsid w:val="00F400D2"/>
    <w:rsid w:val="00F40803"/>
    <w:rsid w:val="00F40D17"/>
    <w:rsid w:val="00F40F3F"/>
    <w:rsid w:val="00F410E9"/>
    <w:rsid w:val="00F41F6F"/>
    <w:rsid w:val="00F426B7"/>
    <w:rsid w:val="00F427AA"/>
    <w:rsid w:val="00F4281F"/>
    <w:rsid w:val="00F42A4A"/>
    <w:rsid w:val="00F42AA7"/>
    <w:rsid w:val="00F42FF3"/>
    <w:rsid w:val="00F4341B"/>
    <w:rsid w:val="00F43604"/>
    <w:rsid w:val="00F43801"/>
    <w:rsid w:val="00F43D21"/>
    <w:rsid w:val="00F43D8F"/>
    <w:rsid w:val="00F442B7"/>
    <w:rsid w:val="00F44D28"/>
    <w:rsid w:val="00F46D83"/>
    <w:rsid w:val="00F46E8B"/>
    <w:rsid w:val="00F47D2F"/>
    <w:rsid w:val="00F47EFA"/>
    <w:rsid w:val="00F505B2"/>
    <w:rsid w:val="00F50AD2"/>
    <w:rsid w:val="00F50B85"/>
    <w:rsid w:val="00F515D3"/>
    <w:rsid w:val="00F517DB"/>
    <w:rsid w:val="00F51DA8"/>
    <w:rsid w:val="00F520AA"/>
    <w:rsid w:val="00F5216D"/>
    <w:rsid w:val="00F52A12"/>
    <w:rsid w:val="00F53A7E"/>
    <w:rsid w:val="00F53ADE"/>
    <w:rsid w:val="00F53F7B"/>
    <w:rsid w:val="00F544E7"/>
    <w:rsid w:val="00F54609"/>
    <w:rsid w:val="00F547D6"/>
    <w:rsid w:val="00F5481E"/>
    <w:rsid w:val="00F54BCE"/>
    <w:rsid w:val="00F54D71"/>
    <w:rsid w:val="00F55040"/>
    <w:rsid w:val="00F55970"/>
    <w:rsid w:val="00F559BE"/>
    <w:rsid w:val="00F55F9F"/>
    <w:rsid w:val="00F56066"/>
    <w:rsid w:val="00F57992"/>
    <w:rsid w:val="00F6019C"/>
    <w:rsid w:val="00F60874"/>
    <w:rsid w:val="00F60D84"/>
    <w:rsid w:val="00F60E6E"/>
    <w:rsid w:val="00F6159C"/>
    <w:rsid w:val="00F61887"/>
    <w:rsid w:val="00F6199B"/>
    <w:rsid w:val="00F62A77"/>
    <w:rsid w:val="00F6357B"/>
    <w:rsid w:val="00F637AA"/>
    <w:rsid w:val="00F63957"/>
    <w:rsid w:val="00F64768"/>
    <w:rsid w:val="00F64C89"/>
    <w:rsid w:val="00F64D2C"/>
    <w:rsid w:val="00F65363"/>
    <w:rsid w:val="00F655E0"/>
    <w:rsid w:val="00F65930"/>
    <w:rsid w:val="00F65B6C"/>
    <w:rsid w:val="00F65BE9"/>
    <w:rsid w:val="00F6745D"/>
    <w:rsid w:val="00F676A2"/>
    <w:rsid w:val="00F67746"/>
    <w:rsid w:val="00F6792E"/>
    <w:rsid w:val="00F701F9"/>
    <w:rsid w:val="00F70B21"/>
    <w:rsid w:val="00F71156"/>
    <w:rsid w:val="00F7173F"/>
    <w:rsid w:val="00F71782"/>
    <w:rsid w:val="00F71A77"/>
    <w:rsid w:val="00F71A7B"/>
    <w:rsid w:val="00F71A93"/>
    <w:rsid w:val="00F729BB"/>
    <w:rsid w:val="00F72F07"/>
    <w:rsid w:val="00F72FAE"/>
    <w:rsid w:val="00F73F43"/>
    <w:rsid w:val="00F740B8"/>
    <w:rsid w:val="00F74686"/>
    <w:rsid w:val="00F747F1"/>
    <w:rsid w:val="00F74C3A"/>
    <w:rsid w:val="00F75A9F"/>
    <w:rsid w:val="00F75DEC"/>
    <w:rsid w:val="00F7634B"/>
    <w:rsid w:val="00F76DDD"/>
    <w:rsid w:val="00F771D6"/>
    <w:rsid w:val="00F77AA3"/>
    <w:rsid w:val="00F77D11"/>
    <w:rsid w:val="00F77E8B"/>
    <w:rsid w:val="00F77ED2"/>
    <w:rsid w:val="00F80236"/>
    <w:rsid w:val="00F808F2"/>
    <w:rsid w:val="00F80AA3"/>
    <w:rsid w:val="00F81848"/>
    <w:rsid w:val="00F818DC"/>
    <w:rsid w:val="00F81B41"/>
    <w:rsid w:val="00F8203F"/>
    <w:rsid w:val="00F82340"/>
    <w:rsid w:val="00F8348C"/>
    <w:rsid w:val="00F8361B"/>
    <w:rsid w:val="00F83ABA"/>
    <w:rsid w:val="00F83CE5"/>
    <w:rsid w:val="00F840EB"/>
    <w:rsid w:val="00F848E0"/>
    <w:rsid w:val="00F855A7"/>
    <w:rsid w:val="00F86017"/>
    <w:rsid w:val="00F864E1"/>
    <w:rsid w:val="00F86FCD"/>
    <w:rsid w:val="00F873AA"/>
    <w:rsid w:val="00F903D4"/>
    <w:rsid w:val="00F9072E"/>
    <w:rsid w:val="00F90966"/>
    <w:rsid w:val="00F90D32"/>
    <w:rsid w:val="00F913A5"/>
    <w:rsid w:val="00F91F0A"/>
    <w:rsid w:val="00F923C8"/>
    <w:rsid w:val="00F924CC"/>
    <w:rsid w:val="00F9256E"/>
    <w:rsid w:val="00F92AFA"/>
    <w:rsid w:val="00F92D3B"/>
    <w:rsid w:val="00F935C4"/>
    <w:rsid w:val="00F93A86"/>
    <w:rsid w:val="00F93DBB"/>
    <w:rsid w:val="00F94417"/>
    <w:rsid w:val="00F94CBD"/>
    <w:rsid w:val="00F94D01"/>
    <w:rsid w:val="00F94FC6"/>
    <w:rsid w:val="00F956D3"/>
    <w:rsid w:val="00F957DF"/>
    <w:rsid w:val="00F95AB2"/>
    <w:rsid w:val="00F968C2"/>
    <w:rsid w:val="00F969CD"/>
    <w:rsid w:val="00F96C9D"/>
    <w:rsid w:val="00F96CA9"/>
    <w:rsid w:val="00F96D0A"/>
    <w:rsid w:val="00F96D9E"/>
    <w:rsid w:val="00F96E1C"/>
    <w:rsid w:val="00F96E43"/>
    <w:rsid w:val="00F97642"/>
    <w:rsid w:val="00F97681"/>
    <w:rsid w:val="00F97717"/>
    <w:rsid w:val="00FA062C"/>
    <w:rsid w:val="00FA124F"/>
    <w:rsid w:val="00FA125F"/>
    <w:rsid w:val="00FA146A"/>
    <w:rsid w:val="00FA1DF2"/>
    <w:rsid w:val="00FA3959"/>
    <w:rsid w:val="00FA3D8B"/>
    <w:rsid w:val="00FA3DF6"/>
    <w:rsid w:val="00FA48FB"/>
    <w:rsid w:val="00FA4BC8"/>
    <w:rsid w:val="00FA4F0D"/>
    <w:rsid w:val="00FA5148"/>
    <w:rsid w:val="00FA5394"/>
    <w:rsid w:val="00FA55FC"/>
    <w:rsid w:val="00FA5CEA"/>
    <w:rsid w:val="00FA5F80"/>
    <w:rsid w:val="00FA6278"/>
    <w:rsid w:val="00FA6535"/>
    <w:rsid w:val="00FA7079"/>
    <w:rsid w:val="00FA7FA3"/>
    <w:rsid w:val="00FB0122"/>
    <w:rsid w:val="00FB013A"/>
    <w:rsid w:val="00FB067A"/>
    <w:rsid w:val="00FB0B4B"/>
    <w:rsid w:val="00FB0D46"/>
    <w:rsid w:val="00FB0DB2"/>
    <w:rsid w:val="00FB0F21"/>
    <w:rsid w:val="00FB1451"/>
    <w:rsid w:val="00FB158F"/>
    <w:rsid w:val="00FB1AF4"/>
    <w:rsid w:val="00FB2085"/>
    <w:rsid w:val="00FB27A6"/>
    <w:rsid w:val="00FB37F2"/>
    <w:rsid w:val="00FB3A98"/>
    <w:rsid w:val="00FB4157"/>
    <w:rsid w:val="00FB5035"/>
    <w:rsid w:val="00FB53F4"/>
    <w:rsid w:val="00FB58DD"/>
    <w:rsid w:val="00FB5C82"/>
    <w:rsid w:val="00FB6622"/>
    <w:rsid w:val="00FB6AB0"/>
    <w:rsid w:val="00FB6E3B"/>
    <w:rsid w:val="00FB76AB"/>
    <w:rsid w:val="00FB7D57"/>
    <w:rsid w:val="00FB7E71"/>
    <w:rsid w:val="00FC01BD"/>
    <w:rsid w:val="00FC02D9"/>
    <w:rsid w:val="00FC037D"/>
    <w:rsid w:val="00FC0458"/>
    <w:rsid w:val="00FC05B4"/>
    <w:rsid w:val="00FC0FE9"/>
    <w:rsid w:val="00FC17EC"/>
    <w:rsid w:val="00FC195B"/>
    <w:rsid w:val="00FC1DE4"/>
    <w:rsid w:val="00FC1E89"/>
    <w:rsid w:val="00FC1F80"/>
    <w:rsid w:val="00FC2B0B"/>
    <w:rsid w:val="00FC2C90"/>
    <w:rsid w:val="00FC340A"/>
    <w:rsid w:val="00FC34B7"/>
    <w:rsid w:val="00FC3A9B"/>
    <w:rsid w:val="00FC4379"/>
    <w:rsid w:val="00FC461E"/>
    <w:rsid w:val="00FC59B8"/>
    <w:rsid w:val="00FC5C92"/>
    <w:rsid w:val="00FC6AE8"/>
    <w:rsid w:val="00FD0A94"/>
    <w:rsid w:val="00FD1198"/>
    <w:rsid w:val="00FD1890"/>
    <w:rsid w:val="00FD1A8C"/>
    <w:rsid w:val="00FD1F50"/>
    <w:rsid w:val="00FD36BC"/>
    <w:rsid w:val="00FD3A8F"/>
    <w:rsid w:val="00FD45E8"/>
    <w:rsid w:val="00FD4879"/>
    <w:rsid w:val="00FD49F6"/>
    <w:rsid w:val="00FD4F78"/>
    <w:rsid w:val="00FD52DD"/>
    <w:rsid w:val="00FD6155"/>
    <w:rsid w:val="00FD616E"/>
    <w:rsid w:val="00FD61AB"/>
    <w:rsid w:val="00FD6216"/>
    <w:rsid w:val="00FD6FE0"/>
    <w:rsid w:val="00FD71EE"/>
    <w:rsid w:val="00FD7475"/>
    <w:rsid w:val="00FD7A21"/>
    <w:rsid w:val="00FD7B96"/>
    <w:rsid w:val="00FD7D1F"/>
    <w:rsid w:val="00FD7FC7"/>
    <w:rsid w:val="00FE08E6"/>
    <w:rsid w:val="00FE0C26"/>
    <w:rsid w:val="00FE0E0E"/>
    <w:rsid w:val="00FE136B"/>
    <w:rsid w:val="00FE19F5"/>
    <w:rsid w:val="00FE1B6D"/>
    <w:rsid w:val="00FE1C92"/>
    <w:rsid w:val="00FE2363"/>
    <w:rsid w:val="00FE281F"/>
    <w:rsid w:val="00FE2FA4"/>
    <w:rsid w:val="00FE3991"/>
    <w:rsid w:val="00FE3B5D"/>
    <w:rsid w:val="00FE4820"/>
    <w:rsid w:val="00FE4886"/>
    <w:rsid w:val="00FE4AAB"/>
    <w:rsid w:val="00FE5075"/>
    <w:rsid w:val="00FE5A09"/>
    <w:rsid w:val="00FE681D"/>
    <w:rsid w:val="00FE69D4"/>
    <w:rsid w:val="00FE7028"/>
    <w:rsid w:val="00FE746E"/>
    <w:rsid w:val="00FF0236"/>
    <w:rsid w:val="00FF09F6"/>
    <w:rsid w:val="00FF1681"/>
    <w:rsid w:val="00FF18D7"/>
    <w:rsid w:val="00FF1998"/>
    <w:rsid w:val="00FF1D7C"/>
    <w:rsid w:val="00FF25E1"/>
    <w:rsid w:val="00FF3551"/>
    <w:rsid w:val="00FF38BD"/>
    <w:rsid w:val="00FF3D3D"/>
    <w:rsid w:val="00FF4253"/>
    <w:rsid w:val="00FF5596"/>
    <w:rsid w:val="00FF5A7E"/>
    <w:rsid w:val="00FF5CC6"/>
    <w:rsid w:val="00FF5F0D"/>
    <w:rsid w:val="00FF5F15"/>
    <w:rsid w:val="00FF7F7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5746E12B"/>
  <w15:docId w15:val="{AE19F356-E4F9-45E6-9207-E9F56BCC7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SimSun" w:hAnsi="Calibri"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F65EB"/>
    <w:pPr>
      <w:spacing w:after="60"/>
      <w:jc w:val="both"/>
    </w:pPr>
    <w:rPr>
      <w:szCs w:val="24"/>
      <w:lang w:eastAsia="en-US"/>
    </w:rPr>
  </w:style>
  <w:style w:type="paragraph" w:styleId="Heading1">
    <w:name w:val="heading 1"/>
    <w:basedOn w:val="Normal"/>
    <w:next w:val="Normal"/>
    <w:link w:val="Heading1Char"/>
    <w:qFormat/>
    <w:rsid w:val="008F1069"/>
    <w:pPr>
      <w:keepNext/>
      <w:numPr>
        <w:numId w:val="1"/>
      </w:numPr>
      <w:pBdr>
        <w:top w:val="single" w:sz="4" w:space="1" w:color="auto"/>
      </w:pBdr>
      <w:suppressAutoHyphens/>
      <w:spacing w:before="104" w:after="226"/>
      <w:outlineLvl w:val="0"/>
    </w:pPr>
    <w:rPr>
      <w:rFonts w:ascii="Century Gothic" w:hAnsi="Century Gothic"/>
      <w:b/>
      <w:smallCaps/>
      <w:spacing w:val="-2"/>
      <w:sz w:val="28"/>
      <w:szCs w:val="20"/>
    </w:rPr>
  </w:style>
  <w:style w:type="paragraph" w:styleId="Heading2">
    <w:name w:val="heading 2"/>
    <w:basedOn w:val="Normal"/>
    <w:next w:val="Normal"/>
    <w:link w:val="Heading2Char1"/>
    <w:qFormat/>
    <w:rsid w:val="00B24DF3"/>
    <w:pPr>
      <w:keepNext/>
      <w:outlineLvl w:val="1"/>
    </w:pPr>
    <w:rPr>
      <w:rFonts w:asciiTheme="minorHAnsi" w:hAnsiTheme="minorHAnsi"/>
      <w:b/>
      <w:bCs/>
      <w:szCs w:val="20"/>
    </w:rPr>
  </w:style>
  <w:style w:type="paragraph" w:styleId="Heading3">
    <w:name w:val="heading 3"/>
    <w:basedOn w:val="CommentSubject"/>
    <w:next w:val="Normal"/>
    <w:link w:val="Heading3Char"/>
    <w:qFormat/>
    <w:rsid w:val="00B24DF3"/>
    <w:pPr>
      <w:keepNext/>
      <w:spacing w:before="240" w:after="240"/>
      <w:outlineLvl w:val="2"/>
    </w:pPr>
    <w:rPr>
      <w:bCs w:val="0"/>
      <w:sz w:val="22"/>
      <w:szCs w:val="22"/>
      <w:u w:val="single"/>
      <w:lang w:val="en-GB"/>
    </w:rPr>
  </w:style>
  <w:style w:type="paragraph" w:styleId="Heading4">
    <w:name w:val="heading 4"/>
    <w:aliases w:val="Annex,Kopje"/>
    <w:basedOn w:val="Heading2"/>
    <w:next w:val="Normal"/>
    <w:link w:val="Heading4Char"/>
    <w:qFormat/>
    <w:rsid w:val="00B24DF3"/>
    <w:pPr>
      <w:outlineLvl w:val="3"/>
    </w:pPr>
    <w:rPr>
      <w:sz w:val="22"/>
      <w:szCs w:val="22"/>
    </w:rPr>
  </w:style>
  <w:style w:type="paragraph" w:styleId="Heading5">
    <w:name w:val="heading 5"/>
    <w:aliases w:val="Annex 1"/>
    <w:basedOn w:val="Normal"/>
    <w:next w:val="Normal"/>
    <w:link w:val="Heading5Char"/>
    <w:qFormat/>
    <w:rsid w:val="00B24DF3"/>
    <w:pPr>
      <w:keepNext/>
      <w:keepLines/>
      <w:spacing w:before="40" w:after="0" w:line="259" w:lineRule="auto"/>
      <w:jc w:val="left"/>
      <w:outlineLvl w:val="4"/>
    </w:pPr>
    <w:rPr>
      <w:rFonts w:asciiTheme="minorHAnsi" w:hAnsiTheme="minorHAnsi" w:cstheme="majorBidi"/>
      <w:b/>
      <w:szCs w:val="20"/>
      <w:lang w:val="en-GB"/>
    </w:rPr>
  </w:style>
  <w:style w:type="paragraph" w:styleId="Heading6">
    <w:name w:val="heading 6"/>
    <w:basedOn w:val="Normal"/>
    <w:next w:val="Normal"/>
    <w:link w:val="Heading6Char"/>
    <w:qFormat/>
    <w:rsid w:val="00E3185E"/>
    <w:pPr>
      <w:keepNext/>
      <w:spacing w:after="120"/>
      <w:jc w:val="left"/>
      <w:outlineLvl w:val="5"/>
    </w:pPr>
    <w:rPr>
      <w:rFonts w:asciiTheme="minorHAnsi" w:eastAsia="Times New Roman" w:hAnsiTheme="minorHAnsi"/>
      <w:b/>
      <w:bCs/>
      <w:szCs w:val="20"/>
      <w:lang w:val="x-none" w:eastAsia="x-none"/>
    </w:rPr>
  </w:style>
  <w:style w:type="paragraph" w:styleId="Heading7">
    <w:name w:val="heading 7"/>
    <w:basedOn w:val="Normal"/>
    <w:next w:val="Normal"/>
    <w:link w:val="Heading7Char"/>
    <w:qFormat/>
    <w:rsid w:val="005C535E"/>
    <w:pPr>
      <w:keepNext/>
      <w:spacing w:after="0"/>
      <w:jc w:val="left"/>
      <w:outlineLvl w:val="6"/>
    </w:pPr>
    <w:rPr>
      <w:rFonts w:ascii="Times New Roman" w:eastAsia="Times New Roman" w:hAnsi="Times New Roman"/>
      <w:b/>
      <w:bCs/>
      <w:lang w:val="x-none" w:eastAsia="x-none"/>
    </w:rPr>
  </w:style>
  <w:style w:type="paragraph" w:styleId="Heading8">
    <w:name w:val="heading 8"/>
    <w:basedOn w:val="Normal"/>
    <w:next w:val="Normal"/>
    <w:link w:val="Heading8Char"/>
    <w:unhideWhenUsed/>
    <w:qFormat/>
    <w:rsid w:val="000923DC"/>
    <w:pPr>
      <w:spacing w:before="240"/>
      <w:outlineLvl w:val="7"/>
    </w:pPr>
    <w:rPr>
      <w:i/>
      <w:iCs/>
      <w:sz w:val="24"/>
    </w:rPr>
  </w:style>
  <w:style w:type="paragraph" w:styleId="Heading9">
    <w:name w:val="heading 9"/>
    <w:basedOn w:val="Normal"/>
    <w:next w:val="Normal"/>
    <w:link w:val="Heading9Char"/>
    <w:qFormat/>
    <w:rsid w:val="005C535E"/>
    <w:pPr>
      <w:keepNext/>
      <w:framePr w:w="3801" w:h="4681" w:hSpace="180" w:wrap="around" w:vAnchor="text" w:hAnchor="page" w:x="7141" w:y="1441"/>
      <w:spacing w:after="0"/>
      <w:jc w:val="left"/>
      <w:outlineLvl w:val="8"/>
    </w:pPr>
    <w:rPr>
      <w:rFonts w:ascii="Times New Roman" w:eastAsia="Times New Roman" w:hAnsi="Times New Roman"/>
      <w:b/>
      <w:bCs/>
      <w:sz w:val="24"/>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D260B0"/>
    <w:rPr>
      <w:rFonts w:ascii="Tahoma" w:hAnsi="Tahoma" w:cs="Tahoma"/>
      <w:sz w:val="16"/>
      <w:szCs w:val="16"/>
    </w:rPr>
  </w:style>
  <w:style w:type="character" w:customStyle="1" w:styleId="Heading1Char">
    <w:name w:val="Heading 1 Char"/>
    <w:link w:val="Heading1"/>
    <w:locked/>
    <w:rsid w:val="00CB0802"/>
    <w:rPr>
      <w:rFonts w:ascii="Century Gothic" w:hAnsi="Century Gothic"/>
      <w:b/>
      <w:smallCaps/>
      <w:spacing w:val="-2"/>
      <w:sz w:val="28"/>
      <w:lang w:eastAsia="en-US"/>
    </w:rPr>
  </w:style>
  <w:style w:type="character" w:customStyle="1" w:styleId="Heading2Char1">
    <w:name w:val="Heading 2 Char1"/>
    <w:link w:val="Heading2"/>
    <w:locked/>
    <w:rsid w:val="00B24DF3"/>
    <w:rPr>
      <w:rFonts w:asciiTheme="minorHAnsi" w:hAnsiTheme="minorHAnsi"/>
      <w:b/>
      <w:bCs/>
      <w:lang w:eastAsia="en-US"/>
    </w:rPr>
  </w:style>
  <w:style w:type="character" w:customStyle="1" w:styleId="Heading3Char">
    <w:name w:val="Heading 3 Char"/>
    <w:link w:val="Heading3"/>
    <w:locked/>
    <w:rsid w:val="00B24DF3"/>
    <w:rPr>
      <w:b/>
      <w:sz w:val="22"/>
      <w:szCs w:val="22"/>
      <w:u w:val="single"/>
      <w:lang w:val="en-GB" w:eastAsia="en-US"/>
    </w:rPr>
  </w:style>
  <w:style w:type="character" w:customStyle="1" w:styleId="Heading4Char">
    <w:name w:val="Heading 4 Char"/>
    <w:aliases w:val="Annex Char,Kopje Char"/>
    <w:link w:val="Heading4"/>
    <w:locked/>
    <w:rsid w:val="00B24DF3"/>
    <w:rPr>
      <w:rFonts w:asciiTheme="minorHAnsi" w:hAnsiTheme="minorHAnsi"/>
      <w:b/>
      <w:bCs/>
      <w:sz w:val="22"/>
      <w:szCs w:val="22"/>
      <w:lang w:eastAsia="en-US"/>
    </w:rPr>
  </w:style>
  <w:style w:type="character" w:customStyle="1" w:styleId="Heading5Char">
    <w:name w:val="Heading 5 Char"/>
    <w:aliases w:val="Annex 1 Char"/>
    <w:link w:val="Heading5"/>
    <w:locked/>
    <w:rsid w:val="00B24DF3"/>
    <w:rPr>
      <w:rFonts w:asciiTheme="minorHAnsi" w:hAnsiTheme="minorHAnsi" w:cstheme="majorBidi"/>
      <w:b/>
      <w:lang w:val="en-GB" w:eastAsia="en-US"/>
    </w:rPr>
  </w:style>
  <w:style w:type="paragraph" w:styleId="Header">
    <w:name w:val="header"/>
    <w:basedOn w:val="Normal"/>
    <w:link w:val="HeaderChar"/>
    <w:uiPriority w:val="99"/>
    <w:rsid w:val="00E93DC1"/>
    <w:pPr>
      <w:tabs>
        <w:tab w:val="center" w:pos="4153"/>
        <w:tab w:val="right" w:pos="8306"/>
      </w:tabs>
    </w:pPr>
  </w:style>
  <w:style w:type="character" w:customStyle="1" w:styleId="HeaderChar">
    <w:name w:val="Header Char"/>
    <w:link w:val="Header"/>
    <w:uiPriority w:val="99"/>
    <w:locked/>
    <w:rsid w:val="00CB0802"/>
    <w:rPr>
      <w:rFonts w:ascii="Arial" w:hAnsi="Arial" w:cs="Times New Roman"/>
      <w:sz w:val="24"/>
      <w:szCs w:val="24"/>
      <w:lang w:val="en-GB"/>
    </w:rPr>
  </w:style>
  <w:style w:type="paragraph" w:styleId="Footer">
    <w:name w:val="footer"/>
    <w:basedOn w:val="Normal"/>
    <w:link w:val="FooterChar"/>
    <w:uiPriority w:val="99"/>
    <w:rsid w:val="00E93DC1"/>
    <w:pPr>
      <w:tabs>
        <w:tab w:val="center" w:pos="4153"/>
        <w:tab w:val="right" w:pos="8306"/>
      </w:tabs>
    </w:pPr>
  </w:style>
  <w:style w:type="character" w:customStyle="1" w:styleId="FooterChar">
    <w:name w:val="Footer Char"/>
    <w:link w:val="Footer"/>
    <w:uiPriority w:val="99"/>
    <w:locked/>
    <w:rsid w:val="00CB0802"/>
    <w:rPr>
      <w:rFonts w:ascii="Arial" w:hAnsi="Arial" w:cs="Times New Roman"/>
      <w:sz w:val="24"/>
      <w:szCs w:val="24"/>
      <w:lang w:val="en-GB"/>
    </w:rPr>
  </w:style>
  <w:style w:type="character" w:styleId="PageNumber">
    <w:name w:val="page number"/>
    <w:uiPriority w:val="99"/>
    <w:rsid w:val="00E93DC1"/>
    <w:rPr>
      <w:rFonts w:cs="Times New Roman"/>
    </w:rPr>
  </w:style>
  <w:style w:type="paragraph" w:styleId="FootnoteText">
    <w:name w:val="footnote text"/>
    <w:aliases w:val="Geneva 9,Font: Geneva 9,Boston 10,f,single space,footnote text,Footnote,otnote Text,Footnote Text Char Char Char,Footnote Text Char Char Char Char Char Char Char,Footnote Text Char Char Char Char Char,Footnotes,Footnote Text Char Char1,fn"/>
    <w:basedOn w:val="Normal"/>
    <w:link w:val="FootnoteTextChar1"/>
    <w:uiPriority w:val="99"/>
    <w:qFormat/>
    <w:rsid w:val="00E93DC1"/>
    <w:pPr>
      <w:widowControl w:val="0"/>
    </w:pPr>
    <w:rPr>
      <w:rFonts w:ascii="Courier" w:hAnsi="Courier"/>
      <w:szCs w:val="20"/>
    </w:rPr>
  </w:style>
  <w:style w:type="character" w:customStyle="1" w:styleId="FootnoteTextChar1">
    <w:name w:val="Footnote Text Char1"/>
    <w:aliases w:val="Geneva 9 Char,Font: Geneva 9 Char,Boston 10 Char,f Char,single space Char,footnote text Char,Footnote Char,otnote Text Char,Footnote Text Char Char Char Char1,Footnote Text Char Char Char Char Char Char Char Char1,Footnotes Char"/>
    <w:link w:val="FootnoteText"/>
    <w:uiPriority w:val="99"/>
    <w:locked/>
    <w:rsid w:val="00CB0802"/>
    <w:rPr>
      <w:rFonts w:ascii="Arial" w:hAnsi="Arial" w:cs="Times New Roman"/>
      <w:lang w:val="en-GB"/>
    </w:rPr>
  </w:style>
  <w:style w:type="paragraph" w:styleId="BodyText3">
    <w:name w:val="Body Text 3"/>
    <w:basedOn w:val="Normal"/>
    <w:link w:val="BodyText3Char"/>
    <w:rsid w:val="00E93DC1"/>
    <w:rPr>
      <w:szCs w:val="20"/>
    </w:rPr>
  </w:style>
  <w:style w:type="character" w:customStyle="1" w:styleId="BodyText3Char">
    <w:name w:val="Body Text 3 Char"/>
    <w:link w:val="BodyText3"/>
    <w:locked/>
    <w:rsid w:val="00CB0802"/>
    <w:rPr>
      <w:rFonts w:ascii="Arial" w:hAnsi="Arial" w:cs="Times New Roman"/>
      <w:sz w:val="16"/>
      <w:szCs w:val="16"/>
      <w:lang w:val="en-GB"/>
    </w:rPr>
  </w:style>
  <w:style w:type="paragraph" w:styleId="BodyTextIndent">
    <w:name w:val="Body Text Indent"/>
    <w:basedOn w:val="Normal"/>
    <w:link w:val="BodyTextIndentChar"/>
    <w:rsid w:val="00E93DC1"/>
    <w:pPr>
      <w:tabs>
        <w:tab w:val="left" w:pos="360"/>
      </w:tabs>
    </w:pPr>
    <w:rPr>
      <w:b/>
      <w:i/>
      <w:sz w:val="28"/>
      <w:szCs w:val="20"/>
    </w:rPr>
  </w:style>
  <w:style w:type="character" w:customStyle="1" w:styleId="BodyTextIndentChar">
    <w:name w:val="Body Text Indent Char"/>
    <w:link w:val="BodyTextIndent"/>
    <w:locked/>
    <w:rsid w:val="00CB0802"/>
    <w:rPr>
      <w:rFonts w:ascii="Arial" w:hAnsi="Arial" w:cs="Times New Roman"/>
      <w:sz w:val="24"/>
      <w:szCs w:val="24"/>
      <w:lang w:val="en-GB"/>
    </w:rPr>
  </w:style>
  <w:style w:type="character" w:styleId="Hyperlink">
    <w:name w:val="Hyperlink"/>
    <w:uiPriority w:val="99"/>
    <w:qFormat/>
    <w:rsid w:val="00E93DC1"/>
    <w:rPr>
      <w:rFonts w:cs="Times New Roman"/>
      <w:color w:val="0000FF"/>
      <w:u w:val="single"/>
    </w:rPr>
  </w:style>
  <w:style w:type="character" w:styleId="FollowedHyperlink">
    <w:name w:val="FollowedHyperlink"/>
    <w:rsid w:val="00E93DC1"/>
    <w:rPr>
      <w:rFonts w:cs="Times New Roman"/>
      <w:color w:val="800080"/>
      <w:u w:val="single"/>
    </w:rPr>
  </w:style>
  <w:style w:type="paragraph" w:styleId="BodyText">
    <w:name w:val="Body Text"/>
    <w:basedOn w:val="Normal"/>
    <w:link w:val="BodyTextChar"/>
    <w:rsid w:val="00E93DC1"/>
    <w:pPr>
      <w:pBdr>
        <w:bottom w:val="single" w:sz="4" w:space="1" w:color="auto"/>
      </w:pBdr>
    </w:pPr>
    <w:rPr>
      <w:rFonts w:ascii="Arial Narrow" w:hAnsi="Arial Narrow"/>
      <w:i/>
      <w:iCs/>
    </w:rPr>
  </w:style>
  <w:style w:type="character" w:customStyle="1" w:styleId="BodyTextChar">
    <w:name w:val="Body Text Char"/>
    <w:link w:val="BodyText"/>
    <w:locked/>
    <w:rsid w:val="00CB0802"/>
    <w:rPr>
      <w:rFonts w:ascii="Arial" w:hAnsi="Arial" w:cs="Times New Roman"/>
      <w:sz w:val="24"/>
      <w:szCs w:val="24"/>
      <w:lang w:val="en-GB"/>
    </w:rPr>
  </w:style>
  <w:style w:type="paragraph" w:styleId="BodyText2">
    <w:name w:val="Body Text 2"/>
    <w:basedOn w:val="Normal"/>
    <w:link w:val="BodyText2Char"/>
    <w:rsid w:val="00E93DC1"/>
    <w:pPr>
      <w:spacing w:before="120" w:after="120"/>
    </w:pPr>
    <w:rPr>
      <w:rFonts w:ascii="Arial Narrow" w:hAnsi="Arial Narrow"/>
    </w:rPr>
  </w:style>
  <w:style w:type="character" w:customStyle="1" w:styleId="BodyText2Char">
    <w:name w:val="Body Text 2 Char"/>
    <w:link w:val="BodyText2"/>
    <w:locked/>
    <w:rsid w:val="00CB0802"/>
    <w:rPr>
      <w:rFonts w:ascii="Arial" w:hAnsi="Arial" w:cs="Times New Roman"/>
      <w:sz w:val="24"/>
      <w:szCs w:val="24"/>
      <w:lang w:val="en-GB"/>
    </w:rPr>
  </w:style>
  <w:style w:type="character" w:customStyle="1" w:styleId="BalloonTextChar">
    <w:name w:val="Balloon Text Char"/>
    <w:link w:val="BalloonText"/>
    <w:uiPriority w:val="99"/>
    <w:semiHidden/>
    <w:locked/>
    <w:rsid w:val="00CB0802"/>
    <w:rPr>
      <w:rFonts w:cs="Times New Roman"/>
      <w:sz w:val="2"/>
      <w:lang w:val="en-GB"/>
    </w:rPr>
  </w:style>
  <w:style w:type="character" w:styleId="CommentReference">
    <w:name w:val="annotation reference"/>
    <w:rsid w:val="00EF6275"/>
    <w:rPr>
      <w:rFonts w:cs="Times New Roman"/>
      <w:sz w:val="16"/>
      <w:szCs w:val="16"/>
    </w:rPr>
  </w:style>
  <w:style w:type="paragraph" w:styleId="CommentText">
    <w:name w:val="annotation text"/>
    <w:basedOn w:val="Normal"/>
    <w:link w:val="CommentTextChar"/>
    <w:uiPriority w:val="99"/>
    <w:rsid w:val="00EF6275"/>
    <w:rPr>
      <w:szCs w:val="20"/>
    </w:rPr>
  </w:style>
  <w:style w:type="character" w:customStyle="1" w:styleId="CommentTextChar">
    <w:name w:val="Comment Text Char"/>
    <w:link w:val="CommentText"/>
    <w:uiPriority w:val="99"/>
    <w:locked/>
    <w:rsid w:val="00CB0802"/>
    <w:rPr>
      <w:rFonts w:ascii="Arial" w:hAnsi="Arial" w:cs="Times New Roman"/>
      <w:lang w:val="en-GB"/>
    </w:rPr>
  </w:style>
  <w:style w:type="paragraph" w:styleId="CommentSubject">
    <w:name w:val="annotation subject"/>
    <w:basedOn w:val="CommentText"/>
    <w:next w:val="CommentText"/>
    <w:link w:val="CommentSubjectChar"/>
    <w:rsid w:val="00EF6275"/>
    <w:rPr>
      <w:b/>
      <w:bCs/>
    </w:rPr>
  </w:style>
  <w:style w:type="character" w:customStyle="1" w:styleId="CommentSubjectChar">
    <w:name w:val="Comment Subject Char"/>
    <w:link w:val="CommentSubject"/>
    <w:locked/>
    <w:rsid w:val="00CB0802"/>
    <w:rPr>
      <w:rFonts w:ascii="Arial" w:hAnsi="Arial" w:cs="Times New Roman"/>
      <w:b/>
      <w:bCs/>
      <w:lang w:val="en-GB"/>
    </w:rPr>
  </w:style>
  <w:style w:type="table" w:styleId="TableGrid">
    <w:name w:val="Table Grid"/>
    <w:basedOn w:val="TableNormal"/>
    <w:uiPriority w:val="39"/>
    <w:rsid w:val="002333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 webb,webb"/>
    <w:basedOn w:val="Normal"/>
    <w:uiPriority w:val="99"/>
    <w:rsid w:val="00E663CF"/>
    <w:pPr>
      <w:spacing w:before="100" w:beforeAutospacing="1" w:after="100" w:afterAutospacing="1"/>
    </w:pPr>
    <w:rPr>
      <w:rFonts w:ascii="Times New Roman" w:hAnsi="Times New Roman"/>
      <w:sz w:val="24"/>
    </w:rPr>
  </w:style>
  <w:style w:type="character" w:styleId="Emphasis">
    <w:name w:val="Emphasis"/>
    <w:uiPriority w:val="20"/>
    <w:qFormat/>
    <w:rsid w:val="00F30150"/>
    <w:rPr>
      <w:rFonts w:cs="Times New Roman"/>
      <w:i/>
      <w:iCs/>
    </w:rPr>
  </w:style>
  <w:style w:type="character" w:styleId="FootnoteReference">
    <w:name w:val="footnote reference"/>
    <w:aliases w:val="16 Point,Superscript 6 Point,Superscript 6 Point + 11 pt,ftref,Footnote Reference Number,SUPERS,SUPERS1,SUPERS2,SUPERS3,BVI fnr,BVI fnr Car Car,BVI fnr Car,BVI fnr Car Car Car Car,FNRefe Char Char Char,BVI fnr Char Char Char,fr,headin"/>
    <w:link w:val="CharCharCharCharCarChar"/>
    <w:uiPriority w:val="99"/>
    <w:qFormat/>
    <w:rsid w:val="00BF50E7"/>
    <w:rPr>
      <w:rFonts w:ascii="Arial" w:hAnsi="Arial" w:cs="Times New Roman"/>
      <w:sz w:val="18"/>
      <w:vertAlign w:val="superscript"/>
    </w:rPr>
  </w:style>
  <w:style w:type="paragraph" w:customStyle="1" w:styleId="Char">
    <w:name w:val="Char"/>
    <w:basedOn w:val="Heading2"/>
    <w:rsid w:val="00912142"/>
    <w:pPr>
      <w:pageBreakBefore/>
      <w:tabs>
        <w:tab w:val="left" w:pos="850"/>
        <w:tab w:val="left" w:pos="1191"/>
        <w:tab w:val="left" w:pos="1531"/>
      </w:tabs>
      <w:jc w:val="center"/>
    </w:pPr>
    <w:rPr>
      <w:rFonts w:ascii="Tahoma" w:hAnsi="Tahoma" w:cs="Tahoma"/>
      <w:bCs w:val="0"/>
      <w:color w:val="FFFFFF"/>
      <w:spacing w:val="20"/>
      <w:szCs w:val="22"/>
      <w:lang w:eastAsia="zh-CN"/>
    </w:rPr>
  </w:style>
  <w:style w:type="paragraph" w:styleId="ListParagraph">
    <w:name w:val="List Paragraph"/>
    <w:aliases w:val="List Paragraph1,Project Profile name,Paragraphe de liste1,Numbered paragraph,Paragraphe de liste,Medium Grid 1 - Accent 21,List Paragraph (numbered (a)),Numbered List Paragraph,References,ReferencesCxSpLast,Table/Figure Heading,En tête 1"/>
    <w:basedOn w:val="Normal"/>
    <w:link w:val="ListParagraphChar"/>
    <w:uiPriority w:val="34"/>
    <w:qFormat/>
    <w:rsid w:val="00DB520F"/>
    <w:pPr>
      <w:spacing w:after="0"/>
      <w:ind w:left="720"/>
      <w:jc w:val="left"/>
    </w:pPr>
    <w:rPr>
      <w:rFonts w:ascii="Times New Roman" w:hAnsi="Times New Roman"/>
      <w:sz w:val="24"/>
    </w:rPr>
  </w:style>
  <w:style w:type="paragraph" w:styleId="Title">
    <w:name w:val="Title"/>
    <w:basedOn w:val="Normal"/>
    <w:link w:val="TitleChar"/>
    <w:qFormat/>
    <w:rsid w:val="00700D7C"/>
    <w:pPr>
      <w:pBdr>
        <w:top w:val="single" w:sz="4" w:space="1" w:color="auto"/>
        <w:left w:val="single" w:sz="4" w:space="4" w:color="auto"/>
        <w:bottom w:val="single" w:sz="4" w:space="1" w:color="auto"/>
        <w:right w:val="single" w:sz="4" w:space="4" w:color="auto"/>
      </w:pBdr>
      <w:spacing w:before="240"/>
      <w:jc w:val="center"/>
      <w:outlineLvl w:val="0"/>
    </w:pPr>
    <w:rPr>
      <w:rFonts w:cs="Arial"/>
      <w:b/>
      <w:bCs/>
      <w:kern w:val="28"/>
      <w:sz w:val="32"/>
      <w:szCs w:val="32"/>
    </w:rPr>
  </w:style>
  <w:style w:type="character" w:customStyle="1" w:styleId="TitleChar">
    <w:name w:val="Title Char"/>
    <w:link w:val="Title"/>
    <w:locked/>
    <w:rsid w:val="00CB0802"/>
    <w:rPr>
      <w:rFonts w:ascii="Cambria" w:hAnsi="Cambria" w:cs="Times New Roman"/>
      <w:b/>
      <w:bCs/>
      <w:kern w:val="28"/>
      <w:sz w:val="32"/>
      <w:szCs w:val="32"/>
      <w:lang w:val="en-GB"/>
    </w:rPr>
  </w:style>
  <w:style w:type="paragraph" w:customStyle="1" w:styleId="CharCharChar1">
    <w:name w:val="Char Char Char1"/>
    <w:basedOn w:val="Normal"/>
    <w:uiPriority w:val="99"/>
    <w:rsid w:val="00340E23"/>
    <w:pPr>
      <w:spacing w:after="160" w:line="240" w:lineRule="exact"/>
      <w:jc w:val="left"/>
    </w:pPr>
    <w:rPr>
      <w:rFonts w:cs="Arial"/>
      <w:szCs w:val="20"/>
    </w:rPr>
  </w:style>
  <w:style w:type="paragraph" w:customStyle="1" w:styleId="JFHeading3">
    <w:name w:val="JF Heading 3"/>
    <w:basedOn w:val="Heading3"/>
    <w:rsid w:val="0015737E"/>
    <w:pPr>
      <w:keepNext w:val="0"/>
      <w:pBdr>
        <w:bottom w:val="dotted" w:sz="4" w:space="2" w:color="666666"/>
      </w:pBdr>
      <w:spacing w:after="0"/>
      <w:jc w:val="left"/>
    </w:pPr>
    <w:rPr>
      <w:rFonts w:ascii="Times New Roman" w:eastAsia="MS Mincho" w:hAnsi="Times New Roman"/>
      <w:b w:val="0"/>
      <w:i/>
      <w:lang w:eastAsia="ja-JP"/>
    </w:rPr>
  </w:style>
  <w:style w:type="character" w:styleId="Strong">
    <w:name w:val="Strong"/>
    <w:uiPriority w:val="22"/>
    <w:qFormat/>
    <w:rsid w:val="00724288"/>
    <w:rPr>
      <w:rFonts w:cs="Times New Roman"/>
      <w:b/>
      <w:bCs/>
    </w:rPr>
  </w:style>
  <w:style w:type="paragraph" w:customStyle="1" w:styleId="Default">
    <w:name w:val="Default"/>
    <w:rsid w:val="00724288"/>
    <w:pPr>
      <w:autoSpaceDE w:val="0"/>
      <w:autoSpaceDN w:val="0"/>
      <w:adjustRightInd w:val="0"/>
    </w:pPr>
    <w:rPr>
      <w:rFonts w:ascii="Arial" w:eastAsia="MS Mincho" w:hAnsi="Arial" w:cs="Arial"/>
      <w:color w:val="000000"/>
      <w:sz w:val="24"/>
      <w:szCs w:val="24"/>
    </w:rPr>
  </w:style>
  <w:style w:type="paragraph" w:customStyle="1" w:styleId="bodyfont">
    <w:name w:val="bodyfont"/>
    <w:basedOn w:val="Normal"/>
    <w:rsid w:val="00724288"/>
    <w:pPr>
      <w:spacing w:before="100" w:beforeAutospacing="1" w:after="100" w:afterAutospacing="1"/>
      <w:jc w:val="left"/>
    </w:pPr>
    <w:rPr>
      <w:rFonts w:eastAsia="MS Mincho" w:cs="Arial"/>
      <w:sz w:val="12"/>
      <w:szCs w:val="12"/>
      <w:lang w:eastAsia="ja-JP"/>
    </w:rPr>
  </w:style>
  <w:style w:type="paragraph" w:customStyle="1" w:styleId="JFHeading1">
    <w:name w:val="JF Heading 1"/>
    <w:basedOn w:val="Heading1"/>
    <w:rsid w:val="00724288"/>
    <w:pPr>
      <w:pBdr>
        <w:top w:val="none" w:sz="0" w:space="0" w:color="auto"/>
      </w:pBdr>
      <w:suppressAutoHyphens w:val="0"/>
      <w:spacing w:before="240" w:after="60"/>
      <w:jc w:val="left"/>
    </w:pPr>
    <w:rPr>
      <w:rFonts w:ascii="Times New Roman" w:hAnsi="Times New Roman" w:cs="Arial"/>
      <w:bCs/>
      <w:smallCaps w:val="0"/>
      <w:spacing w:val="0"/>
      <w:kern w:val="32"/>
      <w:sz w:val="24"/>
      <w:szCs w:val="32"/>
      <w:u w:val="single"/>
    </w:rPr>
  </w:style>
  <w:style w:type="paragraph" w:customStyle="1" w:styleId="Pa2">
    <w:name w:val="Pa2"/>
    <w:basedOn w:val="Default"/>
    <w:next w:val="Default"/>
    <w:rsid w:val="00D37FAF"/>
    <w:pPr>
      <w:spacing w:line="191" w:lineRule="atLeast"/>
    </w:pPr>
    <w:rPr>
      <w:rFonts w:ascii="Adobe Garamond Pro" w:hAnsi="Adobe Garamond Pro" w:cs="Times New Roman"/>
      <w:color w:val="auto"/>
    </w:rPr>
  </w:style>
  <w:style w:type="character" w:customStyle="1" w:styleId="bodytag3">
    <w:name w:val="bodytag3"/>
    <w:rsid w:val="00D37FAF"/>
    <w:rPr>
      <w:rFonts w:ascii="Trebuchet MS" w:hAnsi="Trebuchet MS" w:cs="Times New Roman"/>
      <w:sz w:val="15"/>
      <w:szCs w:val="15"/>
    </w:rPr>
  </w:style>
  <w:style w:type="paragraph" w:styleId="EndnoteText">
    <w:name w:val="endnote text"/>
    <w:aliases w:val=" Char"/>
    <w:basedOn w:val="Normal"/>
    <w:link w:val="EndnoteTextChar"/>
    <w:semiHidden/>
    <w:rsid w:val="00D37FAF"/>
    <w:pPr>
      <w:spacing w:after="0"/>
      <w:jc w:val="left"/>
    </w:pPr>
    <w:rPr>
      <w:rFonts w:eastAsia="MS Mincho"/>
      <w:szCs w:val="20"/>
      <w:lang w:eastAsia="ja-JP"/>
    </w:rPr>
  </w:style>
  <w:style w:type="character" w:customStyle="1" w:styleId="EndnoteTextChar">
    <w:name w:val="Endnote Text Char"/>
    <w:aliases w:val=" Char Char"/>
    <w:link w:val="EndnoteText"/>
    <w:semiHidden/>
    <w:locked/>
    <w:rsid w:val="00CB0802"/>
    <w:rPr>
      <w:rFonts w:ascii="Arial" w:hAnsi="Arial" w:cs="Times New Roman"/>
      <w:lang w:val="en-GB"/>
    </w:rPr>
  </w:style>
  <w:style w:type="character" w:styleId="EndnoteReference">
    <w:name w:val="endnote reference"/>
    <w:semiHidden/>
    <w:rsid w:val="00D37FAF"/>
    <w:rPr>
      <w:rFonts w:cs="Times New Roman"/>
      <w:vertAlign w:val="superscript"/>
    </w:rPr>
  </w:style>
  <w:style w:type="character" w:customStyle="1" w:styleId="mw-headline">
    <w:name w:val="mw-headline"/>
    <w:rsid w:val="00AF7267"/>
    <w:rPr>
      <w:rFonts w:cs="Times New Roman"/>
    </w:rPr>
  </w:style>
  <w:style w:type="paragraph" w:customStyle="1" w:styleId="CharCharCharCharCharCharChar">
    <w:name w:val="Char Char Char Char Char Char Char"/>
    <w:basedOn w:val="Heading2"/>
    <w:rsid w:val="00BC22BB"/>
    <w:pPr>
      <w:pageBreakBefore/>
      <w:tabs>
        <w:tab w:val="left" w:pos="850"/>
        <w:tab w:val="left" w:pos="1191"/>
        <w:tab w:val="left" w:pos="1531"/>
      </w:tabs>
      <w:spacing w:before="120" w:after="120"/>
      <w:jc w:val="center"/>
    </w:pPr>
    <w:rPr>
      <w:rFonts w:ascii="Tahoma" w:eastAsia="MS Mincho" w:hAnsi="Tahoma" w:cs="Tahoma"/>
      <w:bCs w:val="0"/>
      <w:color w:val="FFFFFF"/>
      <w:spacing w:val="20"/>
      <w:szCs w:val="22"/>
      <w:lang w:eastAsia="zh-CN"/>
    </w:rPr>
  </w:style>
  <w:style w:type="paragraph" w:customStyle="1" w:styleId="CarCar">
    <w:name w:val="Car Car"/>
    <w:basedOn w:val="Heading2"/>
    <w:rsid w:val="00AE562C"/>
    <w:pPr>
      <w:pageBreakBefore/>
      <w:tabs>
        <w:tab w:val="left" w:pos="850"/>
        <w:tab w:val="left" w:pos="1191"/>
        <w:tab w:val="left" w:pos="1531"/>
      </w:tabs>
      <w:spacing w:before="120" w:after="120"/>
      <w:jc w:val="center"/>
    </w:pPr>
    <w:rPr>
      <w:rFonts w:ascii="Tahoma" w:eastAsia="MS Mincho" w:hAnsi="Tahoma" w:cs="Tahoma"/>
      <w:bCs w:val="0"/>
      <w:color w:val="FFFFFF"/>
      <w:spacing w:val="20"/>
      <w:szCs w:val="22"/>
      <w:lang w:eastAsia="zh-CN"/>
    </w:rPr>
  </w:style>
  <w:style w:type="paragraph" w:customStyle="1" w:styleId="Arial">
    <w:name w:val="Arial"/>
    <w:basedOn w:val="Normal"/>
    <w:rsid w:val="00544099"/>
    <w:pPr>
      <w:spacing w:after="0"/>
    </w:pPr>
    <w:rPr>
      <w:rFonts w:ascii="Arial Narrow" w:hAnsi="Arial Narrow" w:cs="Arial"/>
      <w:szCs w:val="20"/>
    </w:rPr>
  </w:style>
  <w:style w:type="paragraph" w:customStyle="1" w:styleId="Paragraph">
    <w:name w:val="Paragraph"/>
    <w:basedOn w:val="Normal"/>
    <w:link w:val="ParagraphChar"/>
    <w:qFormat/>
    <w:rsid w:val="000D00F9"/>
    <w:pPr>
      <w:numPr>
        <w:numId w:val="2"/>
      </w:numPr>
      <w:spacing w:after="240"/>
      <w:jc w:val="left"/>
    </w:pPr>
    <w:rPr>
      <w:rFonts w:ascii="Times New Roman" w:hAnsi="Times New Roman" w:cs="Angsana New"/>
      <w:noProof/>
      <w:szCs w:val="22"/>
    </w:rPr>
  </w:style>
  <w:style w:type="character" w:customStyle="1" w:styleId="ParagraphChar">
    <w:name w:val="Paragraph Char"/>
    <w:link w:val="Paragraph"/>
    <w:rsid w:val="000D00F9"/>
    <w:rPr>
      <w:rFonts w:ascii="Times New Roman" w:hAnsi="Times New Roman" w:cs="Angsana New"/>
      <w:noProof/>
      <w:szCs w:val="22"/>
      <w:lang w:eastAsia="en-US"/>
    </w:rPr>
  </w:style>
  <w:style w:type="paragraph" w:customStyle="1" w:styleId="Bullets">
    <w:name w:val="Bullets"/>
    <w:aliases w:val="Párrafo de lista,ADB paragraph numbering,Paragraphe de liste 1,Titulo 4,NULLETS 2,• List Paragraph"/>
    <w:basedOn w:val="Paragraph"/>
    <w:link w:val="BulletsChar"/>
    <w:qFormat/>
    <w:rsid w:val="000D00F9"/>
    <w:pPr>
      <w:numPr>
        <w:numId w:val="3"/>
      </w:numPr>
      <w:spacing w:before="60" w:after="0"/>
    </w:pPr>
  </w:style>
  <w:style w:type="character" w:customStyle="1" w:styleId="BulletsChar">
    <w:name w:val="Bullets Char"/>
    <w:link w:val="Bullets"/>
    <w:rsid w:val="000D00F9"/>
    <w:rPr>
      <w:rFonts w:ascii="Times New Roman" w:hAnsi="Times New Roman" w:cs="Angsana New"/>
      <w:noProof/>
      <w:szCs w:val="22"/>
      <w:lang w:eastAsia="en-US"/>
    </w:rPr>
  </w:style>
  <w:style w:type="paragraph" w:styleId="TOC2">
    <w:name w:val="toc 2"/>
    <w:basedOn w:val="Normal"/>
    <w:next w:val="Normal"/>
    <w:autoRedefine/>
    <w:uiPriority w:val="39"/>
    <w:locked/>
    <w:rsid w:val="001B376F"/>
    <w:pPr>
      <w:tabs>
        <w:tab w:val="right" w:pos="9923"/>
      </w:tabs>
      <w:ind w:left="567"/>
    </w:pPr>
  </w:style>
  <w:style w:type="paragraph" w:styleId="TOC1">
    <w:name w:val="toc 1"/>
    <w:basedOn w:val="Normal"/>
    <w:next w:val="Normal"/>
    <w:autoRedefine/>
    <w:uiPriority w:val="39"/>
    <w:locked/>
    <w:rsid w:val="001B376F"/>
    <w:pPr>
      <w:tabs>
        <w:tab w:val="left" w:pos="540"/>
        <w:tab w:val="right" w:pos="9923"/>
      </w:tabs>
    </w:pPr>
  </w:style>
  <w:style w:type="character" w:customStyle="1" w:styleId="Heading2Char">
    <w:name w:val="Heading 2 Char"/>
    <w:locked/>
    <w:rsid w:val="00720790"/>
    <w:rPr>
      <w:rFonts w:ascii="Cambria" w:hAnsi="Cambria" w:cs="Times New Roman"/>
      <w:b/>
      <w:bCs/>
      <w:i/>
      <w:iCs/>
      <w:sz w:val="28"/>
      <w:szCs w:val="28"/>
      <w:lang w:val="en-GB"/>
    </w:rPr>
  </w:style>
  <w:style w:type="character" w:customStyle="1" w:styleId="FootnoteTextChar">
    <w:name w:val="Footnote Text Char"/>
    <w:aliases w:val="Footnote Text Char Char Char Char,Footnote Text Char Char Char Char Char Char Char Char,Footnote Text Char Char Char Char Char Char1,Footnote Text Char Char Char Char Char Char Char1,Footnote Text Char Char Char Char Ch Char Char"/>
    <w:uiPriority w:val="99"/>
    <w:locked/>
    <w:rsid w:val="00720790"/>
    <w:rPr>
      <w:rFonts w:ascii="Arial" w:hAnsi="Arial" w:cs="Times New Roman"/>
      <w:lang w:val="en-GB"/>
    </w:rPr>
  </w:style>
  <w:style w:type="paragraph" w:customStyle="1" w:styleId="Normalbullets">
    <w:name w:val="Normal bullets"/>
    <w:basedOn w:val="Normal"/>
    <w:rsid w:val="003847E4"/>
    <w:pPr>
      <w:numPr>
        <w:numId w:val="4"/>
      </w:numPr>
    </w:pPr>
  </w:style>
  <w:style w:type="paragraph" w:customStyle="1" w:styleId="Text">
    <w:name w:val="Text"/>
    <w:basedOn w:val="Normal"/>
    <w:rsid w:val="00C26FEC"/>
    <w:pPr>
      <w:spacing w:before="240" w:after="0" w:line="252" w:lineRule="auto"/>
    </w:pPr>
    <w:rPr>
      <w:rFonts w:ascii="Times New Roman" w:hAnsi="Times New Roman"/>
      <w:szCs w:val="20"/>
    </w:rPr>
  </w:style>
  <w:style w:type="paragraph" w:customStyle="1" w:styleId="CharCharChar11">
    <w:name w:val="Char Char Char11"/>
    <w:basedOn w:val="Normal"/>
    <w:rsid w:val="00B27E19"/>
    <w:pPr>
      <w:spacing w:after="160" w:line="240" w:lineRule="exact"/>
      <w:jc w:val="left"/>
    </w:pPr>
    <w:rPr>
      <w:rFonts w:cs="Arial"/>
      <w:szCs w:val="20"/>
    </w:rPr>
  </w:style>
  <w:style w:type="paragraph" w:customStyle="1" w:styleId="BodyText23">
    <w:name w:val="Body Text 23"/>
    <w:basedOn w:val="Normal"/>
    <w:rsid w:val="00B27E19"/>
    <w:pPr>
      <w:widowControl w:val="0"/>
      <w:tabs>
        <w:tab w:val="left" w:pos="547"/>
      </w:tabs>
      <w:spacing w:after="0"/>
      <w:jc w:val="left"/>
    </w:pPr>
    <w:rPr>
      <w:rFonts w:ascii="Times New Roman" w:hAnsi="Times New Roman"/>
      <w:snapToGrid w:val="0"/>
      <w:szCs w:val="20"/>
    </w:rPr>
  </w:style>
  <w:style w:type="paragraph" w:styleId="Caption">
    <w:name w:val="caption"/>
    <w:basedOn w:val="Normal"/>
    <w:next w:val="Normal"/>
    <w:uiPriority w:val="99"/>
    <w:qFormat/>
    <w:rsid w:val="0070606B"/>
    <w:pPr>
      <w:spacing w:after="0"/>
      <w:jc w:val="left"/>
    </w:pPr>
    <w:rPr>
      <w:rFonts w:ascii="Times New Roman" w:hAnsi="Times New Roman"/>
      <w:b/>
      <w:bCs/>
      <w:sz w:val="28"/>
    </w:rPr>
  </w:style>
  <w:style w:type="paragraph" w:customStyle="1" w:styleId="TableT">
    <w:name w:val="TableT"/>
    <w:basedOn w:val="Normal"/>
    <w:autoRedefine/>
    <w:rsid w:val="00550BAE"/>
    <w:pPr>
      <w:jc w:val="left"/>
    </w:pPr>
    <w:rPr>
      <w:rFonts w:ascii="Times New Roman" w:hAnsi="Times New Roman"/>
      <w:noProof/>
      <w:szCs w:val="20"/>
    </w:rPr>
  </w:style>
  <w:style w:type="paragraph" w:customStyle="1" w:styleId="ParaCharChar">
    <w:name w:val="Para Char Char"/>
    <w:basedOn w:val="Normal"/>
    <w:link w:val="ParaCharCharChar"/>
    <w:autoRedefine/>
    <w:rsid w:val="00597DEC"/>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0"/>
      <w:ind w:right="-7"/>
      <w:jc w:val="left"/>
    </w:pPr>
    <w:rPr>
      <w:rFonts w:eastAsia="Arial Unicode MS" w:cs="Arial"/>
      <w:szCs w:val="20"/>
    </w:rPr>
  </w:style>
  <w:style w:type="character" w:customStyle="1" w:styleId="ParaCharCharChar">
    <w:name w:val="Para Char Char Char"/>
    <w:link w:val="ParaCharChar"/>
    <w:rsid w:val="00597DEC"/>
    <w:rPr>
      <w:rFonts w:ascii="Calibri" w:eastAsia="Arial Unicode MS" w:hAnsi="Calibri" w:cs="Arial"/>
      <w:lang w:val="en-GB"/>
    </w:rPr>
  </w:style>
  <w:style w:type="paragraph" w:customStyle="1" w:styleId="TableHCharCharChar">
    <w:name w:val="TableH Char Char Char"/>
    <w:basedOn w:val="Normal"/>
    <w:link w:val="TableHCharCharCharChar"/>
    <w:autoRedefine/>
    <w:rsid w:val="00E43E88"/>
    <w:pPr>
      <w:spacing w:before="240"/>
      <w:jc w:val="left"/>
    </w:pPr>
    <w:rPr>
      <w:rFonts w:ascii="Times New Roman" w:hAnsi="Times New Roman"/>
      <w:b/>
      <w:sz w:val="21"/>
      <w:szCs w:val="22"/>
    </w:rPr>
  </w:style>
  <w:style w:type="character" w:customStyle="1" w:styleId="TableHCharCharCharChar">
    <w:name w:val="TableH Char Char Char Char"/>
    <w:link w:val="TableHCharCharChar"/>
    <w:rsid w:val="00E43E88"/>
    <w:rPr>
      <w:b/>
      <w:sz w:val="21"/>
      <w:szCs w:val="22"/>
    </w:rPr>
  </w:style>
  <w:style w:type="character" w:customStyle="1" w:styleId="Heading8Char">
    <w:name w:val="Heading 8 Char"/>
    <w:link w:val="Heading8"/>
    <w:rsid w:val="000923DC"/>
    <w:rPr>
      <w:rFonts w:ascii="Calibri" w:eastAsia="Times New Roman" w:hAnsi="Calibri" w:cs="Times New Roman"/>
      <w:i/>
      <w:iCs/>
      <w:sz w:val="24"/>
      <w:szCs w:val="24"/>
      <w:lang w:val="en-GB"/>
    </w:rPr>
  </w:style>
  <w:style w:type="character" w:customStyle="1" w:styleId="highlighttext">
    <w:name w:val="highlighttext"/>
    <w:rsid w:val="00CA725C"/>
    <w:rPr>
      <w:rFonts w:ascii="Times New Roman" w:hAnsi="Times New Roman"/>
      <w:sz w:val="22"/>
      <w:bdr w:val="none" w:sz="0" w:space="0" w:color="auto"/>
      <w:shd w:val="clear" w:color="auto" w:fill="B3B3B3"/>
    </w:rPr>
  </w:style>
  <w:style w:type="paragraph" w:customStyle="1" w:styleId="steptext">
    <w:name w:val="steptext"/>
    <w:basedOn w:val="Normal"/>
    <w:rsid w:val="00CA725C"/>
    <w:pPr>
      <w:spacing w:after="0"/>
      <w:jc w:val="left"/>
    </w:pPr>
    <w:rPr>
      <w:rFonts w:ascii="Times New Roman" w:hAnsi="Times New Roman"/>
    </w:rPr>
  </w:style>
  <w:style w:type="paragraph" w:customStyle="1" w:styleId="NumberedList2">
    <w:name w:val="Numbered List 2"/>
    <w:aliases w:val="nl2"/>
    <w:basedOn w:val="Normal"/>
    <w:rsid w:val="00CA725C"/>
    <w:pPr>
      <w:spacing w:after="0" w:line="240" w:lineRule="atLeast"/>
      <w:ind w:hanging="360"/>
      <w:jc w:val="left"/>
    </w:pPr>
    <w:rPr>
      <w:rFonts w:ascii="Arial Unicode MS" w:hAnsi="Arial Unicode MS"/>
      <w:szCs w:val="22"/>
    </w:rPr>
  </w:style>
  <w:style w:type="paragraph" w:customStyle="1" w:styleId="CharChar">
    <w:name w:val="Char Char Знак Знак"/>
    <w:basedOn w:val="Normal"/>
    <w:rsid w:val="00E61BB0"/>
    <w:pPr>
      <w:spacing w:after="160" w:line="240" w:lineRule="exact"/>
      <w:jc w:val="left"/>
    </w:pPr>
    <w:rPr>
      <w:rFonts w:ascii="Times New Roman" w:hAnsi="Times New Roman" w:cs="Arial"/>
      <w:szCs w:val="20"/>
      <w:lang w:val="de-CH" w:eastAsia="de-CH"/>
    </w:rPr>
  </w:style>
  <w:style w:type="paragraph" w:styleId="PlainText">
    <w:name w:val="Plain Text"/>
    <w:basedOn w:val="Normal"/>
    <w:link w:val="PlainTextChar"/>
    <w:uiPriority w:val="99"/>
    <w:unhideWhenUsed/>
    <w:rsid w:val="00FC1F80"/>
    <w:pPr>
      <w:spacing w:after="0"/>
      <w:jc w:val="left"/>
    </w:pPr>
    <w:rPr>
      <w:rFonts w:ascii="Consolas" w:eastAsia="Calibri" w:hAnsi="Consolas"/>
      <w:sz w:val="21"/>
      <w:szCs w:val="21"/>
    </w:rPr>
  </w:style>
  <w:style w:type="character" w:customStyle="1" w:styleId="PlainTextChar">
    <w:name w:val="Plain Text Char"/>
    <w:link w:val="PlainText"/>
    <w:uiPriority w:val="99"/>
    <w:rsid w:val="00FC1F80"/>
    <w:rPr>
      <w:rFonts w:ascii="Consolas" w:eastAsia="Calibri" w:hAnsi="Consolas"/>
      <w:sz w:val="21"/>
      <w:szCs w:val="21"/>
    </w:rPr>
  </w:style>
  <w:style w:type="paragraph" w:styleId="TOCHeading">
    <w:name w:val="TOC Heading"/>
    <w:basedOn w:val="Heading1"/>
    <w:next w:val="Normal"/>
    <w:uiPriority w:val="39"/>
    <w:unhideWhenUsed/>
    <w:qFormat/>
    <w:rsid w:val="006B67FA"/>
    <w:pPr>
      <w:keepLines/>
      <w:numPr>
        <w:numId w:val="0"/>
      </w:numPr>
      <w:pBdr>
        <w:top w:val="none" w:sz="0" w:space="0" w:color="auto"/>
      </w:pBdr>
      <w:suppressAutoHyphens w:val="0"/>
      <w:spacing w:before="480" w:after="0" w:line="276" w:lineRule="auto"/>
      <w:jc w:val="left"/>
      <w:outlineLvl w:val="9"/>
    </w:pPr>
    <w:rPr>
      <w:rFonts w:ascii="Cambria" w:hAnsi="Cambria"/>
      <w:bCs/>
      <w:smallCaps w:val="0"/>
      <w:color w:val="365F91"/>
      <w:spacing w:val="0"/>
      <w:szCs w:val="28"/>
    </w:rPr>
  </w:style>
  <w:style w:type="paragraph" w:styleId="NoSpacing">
    <w:name w:val="No Spacing"/>
    <w:link w:val="NoSpacingChar"/>
    <w:uiPriority w:val="1"/>
    <w:qFormat/>
    <w:rsid w:val="004C454A"/>
    <w:rPr>
      <w:rFonts w:ascii="Times" w:eastAsia="Times" w:hAnsi="Times"/>
      <w:sz w:val="24"/>
      <w:szCs w:val="24"/>
      <w:lang w:eastAsia="en-US"/>
    </w:rPr>
  </w:style>
  <w:style w:type="character" w:customStyle="1" w:styleId="NoSpacingChar">
    <w:name w:val="No Spacing Char"/>
    <w:link w:val="NoSpacing"/>
    <w:uiPriority w:val="1"/>
    <w:rsid w:val="004C454A"/>
    <w:rPr>
      <w:rFonts w:ascii="Times" w:eastAsia="Times" w:hAnsi="Times"/>
      <w:sz w:val="24"/>
    </w:rPr>
  </w:style>
  <w:style w:type="character" w:customStyle="1" w:styleId="ListParagraphChar">
    <w:name w:val="List Paragraph Char"/>
    <w:aliases w:val="List Paragraph1 Char,Project Profile name Char,Paragraphe de liste1 Char,Numbered paragraph Char,Paragraphe de liste Char,Medium Grid 1 - Accent 21 Char,List Paragraph (numbered (a)) Char,Numbered List Paragraph Char,References Char"/>
    <w:link w:val="ListParagraph"/>
    <w:uiPriority w:val="34"/>
    <w:qFormat/>
    <w:rsid w:val="00881F0F"/>
    <w:rPr>
      <w:sz w:val="24"/>
      <w:szCs w:val="24"/>
    </w:rPr>
  </w:style>
  <w:style w:type="character" w:customStyle="1" w:styleId="PlainTextChar1">
    <w:name w:val="Plain Text Char1"/>
    <w:uiPriority w:val="99"/>
    <w:locked/>
    <w:rsid w:val="00666A76"/>
    <w:rPr>
      <w:rFonts w:ascii="Consolas" w:eastAsia="Times New Roman" w:hAnsi="Consolas" w:cs="Times New Roman"/>
      <w:sz w:val="20"/>
      <w:szCs w:val="20"/>
    </w:rPr>
  </w:style>
  <w:style w:type="character" w:styleId="IntenseReference">
    <w:name w:val="Intense Reference"/>
    <w:uiPriority w:val="32"/>
    <w:qFormat/>
    <w:rsid w:val="00DA4B58"/>
    <w:rPr>
      <w:b/>
      <w:bCs/>
      <w:smallCaps/>
      <w:color w:val="C0504D"/>
      <w:spacing w:val="5"/>
      <w:u w:val="single"/>
    </w:rPr>
  </w:style>
  <w:style w:type="character" w:customStyle="1" w:styleId="StyleHeading2NotBoldChar">
    <w:name w:val="Style Heading 2 + Not Bold Char"/>
    <w:rsid w:val="00DA4B58"/>
    <w:rPr>
      <w:rFonts w:ascii="Book Antiqua" w:hAnsi="Book Antiqua" w:cs="Arial"/>
      <w:b/>
      <w:i/>
      <w:sz w:val="22"/>
      <w:szCs w:val="28"/>
      <w:lang w:val="en-US" w:eastAsia="ar-SA"/>
    </w:rPr>
  </w:style>
  <w:style w:type="character" w:customStyle="1" w:styleId="apple-converted-space">
    <w:name w:val="apple-converted-space"/>
    <w:basedOn w:val="DefaultParagraphFont"/>
    <w:rsid w:val="00655B9D"/>
  </w:style>
  <w:style w:type="paragraph" w:customStyle="1" w:styleId="bodybullets">
    <w:name w:val="body bullets"/>
    <w:basedOn w:val="Normal"/>
    <w:next w:val="Normal"/>
    <w:qFormat/>
    <w:rsid w:val="003A6FFD"/>
    <w:pPr>
      <w:numPr>
        <w:numId w:val="6"/>
      </w:numPr>
      <w:spacing w:before="60" w:line="260" w:lineRule="exact"/>
      <w:jc w:val="left"/>
    </w:pPr>
    <w:rPr>
      <w:rFonts w:eastAsia="Times New Roman"/>
      <w:lang w:eastAsia="ja-JP"/>
    </w:rPr>
  </w:style>
  <w:style w:type="character" w:customStyle="1" w:styleId="ColorfulList-Accent1Char">
    <w:name w:val="Colorful List - Accent 1 Char"/>
    <w:link w:val="ColorfulList-Accent12"/>
    <w:uiPriority w:val="34"/>
    <w:locked/>
    <w:rsid w:val="00007B01"/>
  </w:style>
  <w:style w:type="paragraph" w:customStyle="1" w:styleId="ColorfulList-Accent12">
    <w:name w:val="Colorful List - Accent 12"/>
    <w:basedOn w:val="Normal"/>
    <w:link w:val="ColorfulList-Accent1Char"/>
    <w:uiPriority w:val="34"/>
    <w:rsid w:val="00007B01"/>
    <w:pPr>
      <w:spacing w:after="0"/>
      <w:ind w:left="720"/>
      <w:jc w:val="left"/>
    </w:pPr>
    <w:rPr>
      <w:szCs w:val="20"/>
    </w:rPr>
  </w:style>
  <w:style w:type="paragraph" w:styleId="TOC3">
    <w:name w:val="toc 3"/>
    <w:basedOn w:val="Normal"/>
    <w:next w:val="Normal"/>
    <w:autoRedefine/>
    <w:uiPriority w:val="39"/>
    <w:unhideWhenUsed/>
    <w:rsid w:val="006957EB"/>
    <w:pPr>
      <w:ind w:left="40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link w:val="FootnoteReference"/>
    <w:uiPriority w:val="99"/>
    <w:rsid w:val="00872F38"/>
    <w:pPr>
      <w:spacing w:after="160" w:line="240" w:lineRule="exact"/>
    </w:pPr>
    <w:rPr>
      <w:rFonts w:ascii="Arial" w:hAnsi="Arial"/>
      <w:sz w:val="18"/>
      <w:szCs w:val="20"/>
      <w:vertAlign w:val="superscript"/>
    </w:rPr>
  </w:style>
  <w:style w:type="character" w:customStyle="1" w:styleId="Mention1">
    <w:name w:val="Mention1"/>
    <w:uiPriority w:val="99"/>
    <w:semiHidden/>
    <w:unhideWhenUsed/>
    <w:rsid w:val="00254E0E"/>
    <w:rPr>
      <w:color w:val="2B579A"/>
      <w:shd w:val="clear" w:color="auto" w:fill="E6E6E6"/>
    </w:rPr>
  </w:style>
  <w:style w:type="character" w:customStyle="1" w:styleId="Heading6Char">
    <w:name w:val="Heading 6 Char"/>
    <w:basedOn w:val="DefaultParagraphFont"/>
    <w:link w:val="Heading6"/>
    <w:rsid w:val="00E3185E"/>
    <w:rPr>
      <w:rFonts w:asciiTheme="minorHAnsi" w:eastAsia="Times New Roman" w:hAnsiTheme="minorHAnsi"/>
      <w:b/>
      <w:bCs/>
      <w:lang w:val="x-none" w:eastAsia="x-none"/>
    </w:rPr>
  </w:style>
  <w:style w:type="character" w:customStyle="1" w:styleId="Heading7Char">
    <w:name w:val="Heading 7 Char"/>
    <w:basedOn w:val="DefaultParagraphFont"/>
    <w:link w:val="Heading7"/>
    <w:rsid w:val="005C535E"/>
    <w:rPr>
      <w:rFonts w:ascii="Times New Roman" w:eastAsia="Times New Roman" w:hAnsi="Times New Roman"/>
      <w:b/>
      <w:bCs/>
      <w:szCs w:val="24"/>
      <w:lang w:val="x-none" w:eastAsia="x-none"/>
    </w:rPr>
  </w:style>
  <w:style w:type="character" w:customStyle="1" w:styleId="Heading9Char">
    <w:name w:val="Heading 9 Char"/>
    <w:basedOn w:val="DefaultParagraphFont"/>
    <w:link w:val="Heading9"/>
    <w:rsid w:val="005C535E"/>
    <w:rPr>
      <w:rFonts w:ascii="Times New Roman" w:eastAsia="Times New Roman" w:hAnsi="Times New Roman"/>
      <w:b/>
      <w:bCs/>
      <w:sz w:val="24"/>
      <w:szCs w:val="24"/>
      <w:lang w:val="x-none" w:eastAsia="x-none"/>
    </w:rPr>
  </w:style>
  <w:style w:type="numbering" w:customStyle="1" w:styleId="NoList1">
    <w:name w:val="No List1"/>
    <w:next w:val="NoList"/>
    <w:uiPriority w:val="99"/>
    <w:semiHidden/>
    <w:rsid w:val="005C535E"/>
  </w:style>
  <w:style w:type="paragraph" w:customStyle="1" w:styleId="Outline">
    <w:name w:val="Outline"/>
    <w:basedOn w:val="Normal"/>
    <w:rsid w:val="005C535E"/>
    <w:pPr>
      <w:spacing w:before="240" w:after="0"/>
      <w:jc w:val="left"/>
    </w:pPr>
    <w:rPr>
      <w:rFonts w:ascii="Times New Roman" w:eastAsia="Times New Roman" w:hAnsi="Times New Roman"/>
      <w:kern w:val="28"/>
      <w:sz w:val="24"/>
      <w:szCs w:val="20"/>
    </w:rPr>
  </w:style>
  <w:style w:type="paragraph" w:styleId="BodyTextIndent2">
    <w:name w:val="Body Text Indent 2"/>
    <w:basedOn w:val="Normal"/>
    <w:link w:val="BodyTextIndent2Char"/>
    <w:rsid w:val="005C535E"/>
    <w:pPr>
      <w:spacing w:after="0"/>
      <w:ind w:left="360"/>
      <w:jc w:val="left"/>
    </w:pPr>
    <w:rPr>
      <w:rFonts w:ascii="Times New Roman" w:eastAsia="Times New Roman" w:hAnsi="Times New Roman"/>
      <w:i/>
      <w:iCs/>
      <w:lang w:val="x-none" w:eastAsia="x-none"/>
    </w:rPr>
  </w:style>
  <w:style w:type="character" w:customStyle="1" w:styleId="BodyTextIndent2Char">
    <w:name w:val="Body Text Indent 2 Char"/>
    <w:basedOn w:val="DefaultParagraphFont"/>
    <w:link w:val="BodyTextIndent2"/>
    <w:rsid w:val="005C535E"/>
    <w:rPr>
      <w:rFonts w:ascii="Times New Roman" w:eastAsia="Times New Roman" w:hAnsi="Times New Roman"/>
      <w:i/>
      <w:iCs/>
      <w:szCs w:val="24"/>
      <w:lang w:val="x-none" w:eastAsia="x-none"/>
    </w:rPr>
  </w:style>
  <w:style w:type="paragraph" w:styleId="BodyTextIndent3">
    <w:name w:val="Body Text Indent 3"/>
    <w:basedOn w:val="Normal"/>
    <w:link w:val="BodyTextIndent3Char"/>
    <w:rsid w:val="005C535E"/>
    <w:pPr>
      <w:spacing w:after="0"/>
      <w:ind w:left="540"/>
      <w:jc w:val="left"/>
    </w:pPr>
    <w:rPr>
      <w:rFonts w:ascii="Times New Roman" w:eastAsia="Times New Roman" w:hAnsi="Times New Roman"/>
      <w:sz w:val="24"/>
      <w:lang w:val="x-none" w:eastAsia="x-none"/>
    </w:rPr>
  </w:style>
  <w:style w:type="character" w:customStyle="1" w:styleId="BodyTextIndent3Char">
    <w:name w:val="Body Text Indent 3 Char"/>
    <w:basedOn w:val="DefaultParagraphFont"/>
    <w:link w:val="BodyTextIndent3"/>
    <w:rsid w:val="005C535E"/>
    <w:rPr>
      <w:rFonts w:ascii="Times New Roman" w:eastAsia="Times New Roman" w:hAnsi="Times New Roman"/>
      <w:sz w:val="24"/>
      <w:szCs w:val="24"/>
      <w:lang w:val="x-none" w:eastAsia="x-none"/>
    </w:rPr>
  </w:style>
  <w:style w:type="paragraph" w:styleId="DocumentMap">
    <w:name w:val="Document Map"/>
    <w:basedOn w:val="Normal"/>
    <w:link w:val="DocumentMapChar"/>
    <w:semiHidden/>
    <w:rsid w:val="005C535E"/>
    <w:pPr>
      <w:shd w:val="clear" w:color="auto" w:fill="000080"/>
      <w:spacing w:after="0"/>
      <w:jc w:val="left"/>
    </w:pPr>
    <w:rPr>
      <w:rFonts w:ascii="Tahoma" w:eastAsia="Times New Roman" w:hAnsi="Tahoma"/>
      <w:szCs w:val="20"/>
      <w:lang w:val="x-none" w:eastAsia="x-none"/>
    </w:rPr>
  </w:style>
  <w:style w:type="character" w:customStyle="1" w:styleId="DocumentMapChar">
    <w:name w:val="Document Map Char"/>
    <w:basedOn w:val="DefaultParagraphFont"/>
    <w:link w:val="DocumentMap"/>
    <w:semiHidden/>
    <w:rsid w:val="005C535E"/>
    <w:rPr>
      <w:rFonts w:ascii="Tahoma" w:eastAsia="Times New Roman" w:hAnsi="Tahoma"/>
      <w:shd w:val="clear" w:color="auto" w:fill="000080"/>
      <w:lang w:val="x-none" w:eastAsia="x-none"/>
    </w:rPr>
  </w:style>
  <w:style w:type="paragraph" w:customStyle="1" w:styleId="MainParanoChapter">
    <w:name w:val="Main Para no Chapter #"/>
    <w:basedOn w:val="Normal"/>
    <w:link w:val="MainParanoChapterChar"/>
    <w:autoRedefine/>
    <w:uiPriority w:val="99"/>
    <w:qFormat/>
    <w:rsid w:val="005C535E"/>
    <w:pPr>
      <w:numPr>
        <w:numId w:val="12"/>
      </w:numPr>
      <w:spacing w:before="120" w:after="240"/>
      <w:ind w:left="0" w:firstLine="0"/>
      <w:jc w:val="left"/>
      <w:outlineLvl w:val="1"/>
    </w:pPr>
    <w:rPr>
      <w:rFonts w:ascii="Times New Roman" w:eastAsia="Times New Roman" w:hAnsi="Times New Roman"/>
      <w:color w:val="000000"/>
      <w:sz w:val="24"/>
      <w:lang w:val="x-none" w:eastAsia="x-none"/>
    </w:rPr>
  </w:style>
  <w:style w:type="character" w:customStyle="1" w:styleId="MainParanoChapterChar">
    <w:name w:val="Main Para no Chapter # Char"/>
    <w:link w:val="MainParanoChapter"/>
    <w:uiPriority w:val="99"/>
    <w:locked/>
    <w:rsid w:val="005C535E"/>
    <w:rPr>
      <w:rFonts w:ascii="Times New Roman" w:eastAsia="Times New Roman" w:hAnsi="Times New Roman"/>
      <w:color w:val="000000"/>
      <w:sz w:val="24"/>
      <w:szCs w:val="24"/>
      <w:lang w:val="x-none" w:eastAsia="x-none"/>
    </w:rPr>
  </w:style>
  <w:style w:type="paragraph" w:styleId="z-TopofForm">
    <w:name w:val="HTML Top of Form"/>
    <w:basedOn w:val="Normal"/>
    <w:next w:val="Normal"/>
    <w:link w:val="z-TopofFormChar"/>
    <w:hidden/>
    <w:rsid w:val="005C535E"/>
    <w:pPr>
      <w:pBdr>
        <w:bottom w:val="single" w:sz="6" w:space="1" w:color="auto"/>
      </w:pBdr>
      <w:spacing w:after="0"/>
      <w:jc w:val="center"/>
    </w:pPr>
    <w:rPr>
      <w:rFonts w:ascii="Arial" w:eastAsia="Times New Roman" w:hAnsi="Arial"/>
      <w:vanish/>
      <w:sz w:val="16"/>
      <w:szCs w:val="16"/>
      <w:lang w:val="x-none" w:eastAsia="x-none"/>
    </w:rPr>
  </w:style>
  <w:style w:type="character" w:customStyle="1" w:styleId="z-TopofFormChar">
    <w:name w:val="z-Top of Form Char"/>
    <w:basedOn w:val="DefaultParagraphFont"/>
    <w:link w:val="z-TopofForm"/>
    <w:rsid w:val="005C535E"/>
    <w:rPr>
      <w:rFonts w:ascii="Arial" w:eastAsia="Times New Roman" w:hAnsi="Arial"/>
      <w:vanish/>
      <w:sz w:val="16"/>
      <w:szCs w:val="16"/>
      <w:lang w:val="x-none" w:eastAsia="x-none"/>
    </w:rPr>
  </w:style>
  <w:style w:type="paragraph" w:styleId="z-BottomofForm">
    <w:name w:val="HTML Bottom of Form"/>
    <w:basedOn w:val="Normal"/>
    <w:next w:val="Normal"/>
    <w:link w:val="z-BottomofFormChar"/>
    <w:hidden/>
    <w:rsid w:val="005C535E"/>
    <w:pPr>
      <w:pBdr>
        <w:top w:val="single" w:sz="6" w:space="1" w:color="auto"/>
      </w:pBdr>
      <w:spacing w:after="0"/>
      <w:jc w:val="center"/>
    </w:pPr>
    <w:rPr>
      <w:rFonts w:ascii="Arial" w:eastAsia="Times New Roman" w:hAnsi="Arial"/>
      <w:vanish/>
      <w:sz w:val="16"/>
      <w:szCs w:val="16"/>
      <w:lang w:val="x-none" w:eastAsia="x-none"/>
    </w:rPr>
  </w:style>
  <w:style w:type="character" w:customStyle="1" w:styleId="z-BottomofFormChar">
    <w:name w:val="z-Bottom of Form Char"/>
    <w:basedOn w:val="DefaultParagraphFont"/>
    <w:link w:val="z-BottomofForm"/>
    <w:rsid w:val="005C535E"/>
    <w:rPr>
      <w:rFonts w:ascii="Arial" w:eastAsia="Times New Roman" w:hAnsi="Arial"/>
      <w:vanish/>
      <w:sz w:val="16"/>
      <w:szCs w:val="16"/>
      <w:lang w:val="x-none" w:eastAsia="x-none"/>
    </w:rPr>
  </w:style>
  <w:style w:type="numbering" w:customStyle="1" w:styleId="NoList2">
    <w:name w:val="No List2"/>
    <w:next w:val="NoList"/>
    <w:uiPriority w:val="99"/>
    <w:semiHidden/>
    <w:unhideWhenUsed/>
    <w:rsid w:val="005C535E"/>
  </w:style>
  <w:style w:type="numbering" w:customStyle="1" w:styleId="NoList11">
    <w:name w:val="No List11"/>
    <w:next w:val="NoList"/>
    <w:semiHidden/>
    <w:rsid w:val="005C535E"/>
  </w:style>
  <w:style w:type="table" w:customStyle="1" w:styleId="TableGrid1">
    <w:name w:val="Table Grid1"/>
    <w:basedOn w:val="TableNormal"/>
    <w:next w:val="TableGrid"/>
    <w:uiPriority w:val="59"/>
    <w:rsid w:val="005C535E"/>
    <w:rPr>
      <w:rFonts w:ascii="Times New Roman" w:eastAsia="Times New Roman" w:hAnsi="Times New Roma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EFFieldtoFillout">
    <w:name w:val="GEF Field to Fill out"/>
    <w:basedOn w:val="Normal"/>
    <w:link w:val="GEFFieldtoFilloutChar"/>
    <w:qFormat/>
    <w:rsid w:val="005C535E"/>
    <w:pPr>
      <w:spacing w:after="0"/>
      <w:ind w:left="-720"/>
      <w:jc w:val="left"/>
    </w:pPr>
    <w:rPr>
      <w:rFonts w:ascii="Times New Roman" w:eastAsia="Times New Roman" w:hAnsi="Times New Roman"/>
      <w:color w:val="000000"/>
      <w:sz w:val="22"/>
      <w:szCs w:val="22"/>
      <w:lang w:val="x-none" w:eastAsia="x-none"/>
    </w:rPr>
  </w:style>
  <w:style w:type="paragraph" w:customStyle="1" w:styleId="GEFPartHeading">
    <w:name w:val="GEF Part Heading"/>
    <w:basedOn w:val="ListParagraph"/>
    <w:qFormat/>
    <w:rsid w:val="005C535E"/>
    <w:pPr>
      <w:snapToGrid w:val="0"/>
      <w:spacing w:before="120" w:after="120"/>
      <w:ind w:left="-720"/>
      <w:outlineLvl w:val="0"/>
    </w:pPr>
    <w:rPr>
      <w:rFonts w:ascii="Times New Roman Bold" w:eastAsia="Times New Roman" w:hAnsi="Times New Roman Bold"/>
      <w:b/>
      <w:caps/>
      <w:noProof/>
      <w:color w:val="000000"/>
      <w:sz w:val="22"/>
      <w:szCs w:val="22"/>
      <w:u w:val="single"/>
      <w:lang w:val="en-GB"/>
    </w:rPr>
  </w:style>
  <w:style w:type="paragraph" w:customStyle="1" w:styleId="GEFQuestion">
    <w:name w:val="GEF Question"/>
    <w:basedOn w:val="Normal"/>
    <w:next w:val="Normal"/>
    <w:qFormat/>
    <w:rsid w:val="005C535E"/>
    <w:pPr>
      <w:spacing w:after="0"/>
      <w:ind w:left="-720"/>
      <w:jc w:val="left"/>
    </w:pPr>
    <w:rPr>
      <w:rFonts w:ascii="Times New Roman" w:eastAsia="Times New Roman" w:hAnsi="Times New Roman"/>
      <w:sz w:val="22"/>
    </w:rPr>
  </w:style>
  <w:style w:type="character" w:customStyle="1" w:styleId="GEFFieldtoFilloutChar">
    <w:name w:val="GEF Field to Fill out Char"/>
    <w:link w:val="GEFFieldtoFillout"/>
    <w:rsid w:val="005C535E"/>
    <w:rPr>
      <w:rFonts w:ascii="Times New Roman" w:eastAsia="Times New Roman" w:hAnsi="Times New Roman"/>
      <w:color w:val="000000"/>
      <w:sz w:val="22"/>
      <w:szCs w:val="22"/>
      <w:lang w:val="x-none" w:eastAsia="x-none"/>
    </w:rPr>
  </w:style>
  <w:style w:type="paragraph" w:customStyle="1" w:styleId="NumberedParasPIF">
    <w:name w:val="Numbered Paras PIF"/>
    <w:basedOn w:val="Normal"/>
    <w:qFormat/>
    <w:rsid w:val="00CA3DDE"/>
    <w:pPr>
      <w:numPr>
        <w:numId w:val="13"/>
      </w:numPr>
      <w:spacing w:after="100"/>
    </w:pPr>
    <w:rPr>
      <w:rFonts w:ascii="Times New Roman" w:eastAsia="Times New Roman" w:hAnsi="Times New Roman"/>
      <w:szCs w:val="18"/>
      <w:lang w:val="en-GB"/>
    </w:rPr>
  </w:style>
  <w:style w:type="paragraph" w:styleId="Revision">
    <w:name w:val="Revision"/>
    <w:hidden/>
    <w:uiPriority w:val="99"/>
    <w:semiHidden/>
    <w:rsid w:val="002B126D"/>
    <w:rPr>
      <w:szCs w:val="24"/>
      <w:lang w:eastAsia="en-US"/>
    </w:rPr>
  </w:style>
  <w:style w:type="table" w:customStyle="1" w:styleId="TableGrid2">
    <w:name w:val="Table Grid2"/>
    <w:basedOn w:val="TableNormal"/>
    <w:next w:val="TableGrid"/>
    <w:uiPriority w:val="59"/>
    <w:rsid w:val="003F796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3F796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3F796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3F796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2">
    <w:name w:val="Mention2"/>
    <w:uiPriority w:val="99"/>
    <w:semiHidden/>
    <w:unhideWhenUsed/>
    <w:rsid w:val="00727173"/>
    <w:rPr>
      <w:color w:val="2B579A"/>
      <w:shd w:val="clear" w:color="auto" w:fill="E6E6E6"/>
    </w:rPr>
  </w:style>
  <w:style w:type="paragraph" w:customStyle="1" w:styleId="xmsonormal">
    <w:name w:val="x_msonormal"/>
    <w:basedOn w:val="Normal"/>
    <w:rsid w:val="00727173"/>
    <w:pPr>
      <w:spacing w:before="100" w:beforeAutospacing="1" w:after="100" w:afterAutospacing="1"/>
      <w:jc w:val="left"/>
    </w:pPr>
    <w:rPr>
      <w:rFonts w:ascii="Times New Roman" w:eastAsia="Times New Roman" w:hAnsi="Times New Roman"/>
      <w:sz w:val="24"/>
      <w:lang w:val="es-ES" w:eastAsia="es-ES"/>
    </w:rPr>
  </w:style>
  <w:style w:type="character" w:customStyle="1" w:styleId="UnresolvedMention1">
    <w:name w:val="Unresolved Mention1"/>
    <w:uiPriority w:val="99"/>
    <w:semiHidden/>
    <w:unhideWhenUsed/>
    <w:rsid w:val="00727173"/>
    <w:rPr>
      <w:color w:val="605E5C"/>
      <w:shd w:val="clear" w:color="auto" w:fill="E1DFDD"/>
    </w:rPr>
  </w:style>
  <w:style w:type="paragraph" w:customStyle="1" w:styleId="GEFTableHeading">
    <w:name w:val="GEF Table Heading"/>
    <w:basedOn w:val="Normal"/>
    <w:next w:val="Normal"/>
    <w:qFormat/>
    <w:rsid w:val="00727173"/>
    <w:pPr>
      <w:spacing w:after="0"/>
      <w:ind w:left="-720"/>
      <w:jc w:val="left"/>
    </w:pPr>
    <w:rPr>
      <w:rFonts w:ascii="Times New Roman Bold" w:eastAsia="Times New Roman" w:hAnsi="Times New Roman Bold"/>
      <w:b/>
      <w:bCs/>
      <w:smallCaps/>
      <w:color w:val="000000"/>
      <w:sz w:val="22"/>
      <w:szCs w:val="22"/>
    </w:rPr>
  </w:style>
  <w:style w:type="paragraph" w:customStyle="1" w:styleId="GEFInstruction">
    <w:name w:val="GEF Instruction"/>
    <w:basedOn w:val="Normal"/>
    <w:next w:val="Normal"/>
    <w:qFormat/>
    <w:rsid w:val="00727173"/>
    <w:pPr>
      <w:spacing w:after="0"/>
      <w:ind w:left="-540"/>
      <w:jc w:val="left"/>
    </w:pPr>
    <w:rPr>
      <w:rFonts w:ascii="Times New Roman" w:eastAsia="Times New Roman" w:hAnsi="Times New Roman"/>
    </w:rPr>
  </w:style>
  <w:style w:type="character" w:customStyle="1" w:styleId="hps">
    <w:name w:val="hps"/>
    <w:uiPriority w:val="99"/>
    <w:rsid w:val="009A044E"/>
  </w:style>
  <w:style w:type="character" w:customStyle="1" w:styleId="shorttext">
    <w:name w:val="short_text"/>
    <w:rsid w:val="009A044E"/>
  </w:style>
  <w:style w:type="numbering" w:customStyle="1" w:styleId="NoList3">
    <w:name w:val="No List3"/>
    <w:next w:val="NoList"/>
    <w:uiPriority w:val="99"/>
    <w:semiHidden/>
    <w:unhideWhenUsed/>
    <w:rsid w:val="009A044E"/>
  </w:style>
  <w:style w:type="paragraph" w:customStyle="1" w:styleId="Normal1">
    <w:name w:val="Normal1"/>
    <w:basedOn w:val="Normal"/>
    <w:next w:val="Normal"/>
    <w:rsid w:val="0079324B"/>
    <w:pPr>
      <w:spacing w:after="0"/>
      <w:ind w:left="360" w:hanging="360"/>
      <w:jc w:val="left"/>
    </w:pPr>
    <w:rPr>
      <w:rFonts w:eastAsia="Times New Roman"/>
      <w:noProof/>
      <w:lang w:eastAsia="ja-JP"/>
    </w:rPr>
  </w:style>
  <w:style w:type="paragraph" w:customStyle="1" w:styleId="Char2">
    <w:name w:val="Char2"/>
    <w:basedOn w:val="Normal"/>
    <w:uiPriority w:val="99"/>
    <w:rsid w:val="00D72A1A"/>
    <w:pPr>
      <w:spacing w:after="160" w:line="240" w:lineRule="exact"/>
      <w:jc w:val="left"/>
    </w:pPr>
    <w:rPr>
      <w:rFonts w:ascii="Times New Roman" w:eastAsia="Times New Roman" w:hAnsi="Times New Roman"/>
      <w:szCs w:val="20"/>
      <w:vertAlign w:val="superscript"/>
      <w:lang w:val="x-none" w:eastAsia="x-none"/>
    </w:rPr>
  </w:style>
  <w:style w:type="table" w:customStyle="1" w:styleId="TableGrid6">
    <w:name w:val="Table Grid6"/>
    <w:basedOn w:val="TableNormal"/>
    <w:next w:val="TableGrid"/>
    <w:uiPriority w:val="39"/>
    <w:rsid w:val="00154620"/>
    <w:rPr>
      <w:rFonts w:asciiTheme="minorHAnsi" w:eastAsiaTheme="minorHAnsi" w:hAnsiTheme="minorHAnsi" w:cstheme="minorBid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8C4F26"/>
  </w:style>
  <w:style w:type="table" w:customStyle="1" w:styleId="TableGrid7">
    <w:name w:val="Table Grid7"/>
    <w:basedOn w:val="TableNormal"/>
    <w:next w:val="TableGrid"/>
    <w:uiPriority w:val="39"/>
    <w:rsid w:val="008C4F26"/>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8C4F26"/>
    <w:rPr>
      <w:color w:val="808080"/>
    </w:rPr>
  </w:style>
  <w:style w:type="character" w:customStyle="1" w:styleId="UnresolvedMention10">
    <w:name w:val="Unresolved Mention1"/>
    <w:uiPriority w:val="99"/>
    <w:semiHidden/>
    <w:unhideWhenUsed/>
    <w:rsid w:val="008C4F26"/>
    <w:rPr>
      <w:color w:val="808080"/>
      <w:shd w:val="clear" w:color="auto" w:fill="E6E6E6"/>
    </w:rPr>
  </w:style>
  <w:style w:type="character" w:styleId="HTMLCite">
    <w:name w:val="HTML Cite"/>
    <w:uiPriority w:val="99"/>
    <w:unhideWhenUsed/>
    <w:rsid w:val="008C4F26"/>
    <w:rPr>
      <w:i/>
      <w:iCs/>
    </w:rPr>
  </w:style>
  <w:style w:type="character" w:customStyle="1" w:styleId="cs1-format">
    <w:name w:val="cs1-format"/>
    <w:rsid w:val="008C4F26"/>
  </w:style>
  <w:style w:type="character" w:customStyle="1" w:styleId="A6">
    <w:name w:val="A6"/>
    <w:uiPriority w:val="99"/>
    <w:rsid w:val="008C4F26"/>
    <w:rPr>
      <w:rFonts w:cs="Minion Pro"/>
      <w:color w:val="000000"/>
    </w:rPr>
  </w:style>
  <w:style w:type="table" w:customStyle="1" w:styleId="TableGrid11">
    <w:name w:val="Table Grid11"/>
    <w:basedOn w:val="TableNormal"/>
    <w:next w:val="TableGrid"/>
    <w:uiPriority w:val="59"/>
    <w:rsid w:val="008C4F26"/>
    <w:rPr>
      <w:rFonts w:ascii="Cambria" w:eastAsia="MS Mincho" w:hAnsi="Cambr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8C4F26"/>
    <w:rPr>
      <w:rFonts w:ascii="Cambria" w:eastAsia="MS Mincho" w:hAnsi="Cambr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15">
    <w:name w:val="Pa15"/>
    <w:basedOn w:val="Default"/>
    <w:next w:val="Default"/>
    <w:uiPriority w:val="99"/>
    <w:rsid w:val="008C4F26"/>
    <w:pPr>
      <w:spacing w:line="221" w:lineRule="atLeast"/>
    </w:pPr>
    <w:rPr>
      <w:rFonts w:ascii="Calibri" w:eastAsia="Times New Roman" w:hAnsi="Calibri" w:cs="Times New Roman"/>
      <w:color w:val="auto"/>
      <w:lang w:eastAsia="en-US"/>
    </w:rPr>
  </w:style>
  <w:style w:type="character" w:customStyle="1" w:styleId="A7">
    <w:name w:val="A7"/>
    <w:uiPriority w:val="99"/>
    <w:rsid w:val="008C4F26"/>
    <w:rPr>
      <w:rFonts w:ascii="EUSXRQ+Calibri" w:hAnsi="EUSXRQ+Calibri" w:cs="EUSXRQ+Calibri"/>
      <w:color w:val="000000"/>
      <w:sz w:val="12"/>
      <w:szCs w:val="12"/>
    </w:rPr>
  </w:style>
  <w:style w:type="numbering" w:customStyle="1" w:styleId="NoList12">
    <w:name w:val="No List12"/>
    <w:next w:val="NoList"/>
    <w:uiPriority w:val="99"/>
    <w:semiHidden/>
    <w:unhideWhenUsed/>
    <w:rsid w:val="008C4F26"/>
  </w:style>
  <w:style w:type="character" w:customStyle="1" w:styleId="A2">
    <w:name w:val="A2"/>
    <w:uiPriority w:val="99"/>
    <w:rsid w:val="008C4F26"/>
    <w:rPr>
      <w:rFonts w:cs="Museo 700"/>
      <w:b/>
      <w:bCs/>
      <w:color w:val="000000"/>
      <w:sz w:val="68"/>
      <w:szCs w:val="68"/>
    </w:rPr>
  </w:style>
  <w:style w:type="table" w:customStyle="1" w:styleId="TableBlue">
    <w:name w:val="Table Blue"/>
    <w:basedOn w:val="TableNormal"/>
    <w:qFormat/>
    <w:rsid w:val="008C4F26"/>
    <w:pPr>
      <w:jc w:val="right"/>
    </w:pPr>
    <w:rPr>
      <w:rFonts w:ascii="Trebuchet MS" w:eastAsiaTheme="minorHAnsi" w:hAnsi="Trebuchet MS" w:cstheme="minorBidi"/>
      <w:color w:val="595959"/>
      <w:sz w:val="24"/>
      <w:szCs w:val="24"/>
      <w:lang w:eastAsia="en-US"/>
    </w:rPr>
    <w:tblPr>
      <w:tblBorders>
        <w:top w:val="single" w:sz="4" w:space="0" w:color="497083"/>
        <w:left w:val="single" w:sz="4" w:space="0" w:color="497083"/>
        <w:bottom w:val="single" w:sz="4" w:space="0" w:color="497083"/>
        <w:right w:val="single" w:sz="4" w:space="0" w:color="497083"/>
        <w:insideH w:val="single" w:sz="4" w:space="0" w:color="497083"/>
        <w:insideV w:val="single" w:sz="4" w:space="0" w:color="497083"/>
      </w:tblBorders>
    </w:tblPr>
    <w:tcPr>
      <w:vAlign w:val="center"/>
    </w:tcPr>
    <w:tblStylePr w:type="firstRow">
      <w:pPr>
        <w:jc w:val="left"/>
      </w:pPr>
      <w:rPr>
        <w:color w:val="FDF7C6"/>
      </w:rPr>
      <w:tblPr/>
      <w:tcPr>
        <w:tcBorders>
          <w:top w:val="nil"/>
          <w:left w:val="nil"/>
          <w:bottom w:val="single" w:sz="4" w:space="0" w:color="FDF7C6"/>
          <w:right w:val="nil"/>
          <w:insideH w:val="nil"/>
          <w:insideV w:val="single" w:sz="4" w:space="0" w:color="FDF7C6"/>
          <w:tl2br w:val="nil"/>
          <w:tr2bl w:val="nil"/>
        </w:tcBorders>
        <w:shd w:val="clear" w:color="auto" w:fill="497083"/>
      </w:tcPr>
    </w:tblStylePr>
    <w:tblStylePr w:type="firstCol">
      <w:pPr>
        <w:jc w:val="left"/>
      </w:pPr>
    </w:tblStylePr>
  </w:style>
  <w:style w:type="table" w:customStyle="1" w:styleId="TableGrid31">
    <w:name w:val="Table Grid31"/>
    <w:basedOn w:val="TableNormal"/>
    <w:next w:val="TableGrid"/>
    <w:uiPriority w:val="39"/>
    <w:rsid w:val="008C4F2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24">
    <w:name w:val="Pa24"/>
    <w:basedOn w:val="Default"/>
    <w:next w:val="Default"/>
    <w:uiPriority w:val="99"/>
    <w:rsid w:val="008C4F26"/>
    <w:pPr>
      <w:spacing w:line="201" w:lineRule="atLeast"/>
    </w:pPr>
    <w:rPr>
      <w:rFonts w:ascii="EC Square Sans Pro Medium" w:eastAsiaTheme="minorHAnsi" w:hAnsi="EC Square Sans Pro Medium" w:cstheme="minorBidi"/>
      <w:color w:val="auto"/>
      <w:lang w:eastAsia="en-US"/>
    </w:rPr>
  </w:style>
  <w:style w:type="paragraph" w:customStyle="1" w:styleId="Pa6">
    <w:name w:val="Pa6"/>
    <w:basedOn w:val="Default"/>
    <w:next w:val="Default"/>
    <w:uiPriority w:val="99"/>
    <w:rsid w:val="008C4F26"/>
    <w:pPr>
      <w:spacing w:line="201" w:lineRule="atLeast"/>
    </w:pPr>
    <w:rPr>
      <w:rFonts w:ascii="EC Square Sans Pro Medium" w:eastAsiaTheme="minorHAnsi" w:hAnsi="EC Square Sans Pro Medium" w:cstheme="minorBidi"/>
      <w:color w:val="auto"/>
      <w:lang w:eastAsia="en-US"/>
    </w:rPr>
  </w:style>
  <w:style w:type="character" w:customStyle="1" w:styleId="A17">
    <w:name w:val="A17"/>
    <w:uiPriority w:val="99"/>
    <w:rsid w:val="008C4F26"/>
    <w:rPr>
      <w:rFonts w:cs="EC Square Sans Pro Light"/>
      <w:color w:val="000000"/>
      <w:sz w:val="14"/>
      <w:szCs w:val="14"/>
    </w:rPr>
  </w:style>
  <w:style w:type="paragraph" w:customStyle="1" w:styleId="Pa22">
    <w:name w:val="Pa22"/>
    <w:basedOn w:val="Default"/>
    <w:next w:val="Default"/>
    <w:uiPriority w:val="99"/>
    <w:rsid w:val="008C4F26"/>
    <w:pPr>
      <w:spacing w:line="201" w:lineRule="atLeast"/>
    </w:pPr>
    <w:rPr>
      <w:rFonts w:ascii="EC Square Sans Pro" w:eastAsiaTheme="minorHAnsi" w:hAnsi="EC Square Sans Pro" w:cstheme="minorBidi"/>
      <w:color w:val="auto"/>
      <w:lang w:eastAsia="en-US"/>
    </w:rPr>
  </w:style>
  <w:style w:type="character" w:customStyle="1" w:styleId="A19">
    <w:name w:val="A19"/>
    <w:uiPriority w:val="99"/>
    <w:rsid w:val="008C4F26"/>
    <w:rPr>
      <w:rFonts w:ascii="EC Square Sans Pro Thin" w:hAnsi="EC Square Sans Pro Thin" w:cs="EC Square Sans Pro Thin"/>
      <w:color w:val="000000"/>
      <w:sz w:val="98"/>
      <w:szCs w:val="98"/>
    </w:rPr>
  </w:style>
  <w:style w:type="character" w:customStyle="1" w:styleId="A20">
    <w:name w:val="A20"/>
    <w:uiPriority w:val="99"/>
    <w:rsid w:val="008C4F26"/>
    <w:rPr>
      <w:rFonts w:ascii="EC Square Sans Pro Light" w:hAnsi="EC Square Sans Pro Light" w:cs="EC Square Sans Pro Light"/>
      <w:color w:val="000000"/>
      <w:sz w:val="11"/>
      <w:szCs w:val="11"/>
    </w:rPr>
  </w:style>
  <w:style w:type="paragraph" w:customStyle="1" w:styleId="Pa25">
    <w:name w:val="Pa25"/>
    <w:basedOn w:val="Default"/>
    <w:next w:val="Default"/>
    <w:uiPriority w:val="99"/>
    <w:rsid w:val="008C4F26"/>
    <w:pPr>
      <w:spacing w:line="181" w:lineRule="atLeast"/>
    </w:pPr>
    <w:rPr>
      <w:rFonts w:ascii="EC Square Sans Pro Medium" w:eastAsiaTheme="minorHAnsi" w:hAnsi="EC Square Sans Pro Medium" w:cstheme="minorBidi"/>
      <w:color w:val="auto"/>
      <w:lang w:eastAsia="en-US"/>
    </w:rPr>
  </w:style>
  <w:style w:type="paragraph" w:customStyle="1" w:styleId="m9183434040989463963msolistparagraph">
    <w:name w:val="m_9183434040989463963msolistparagraph"/>
    <w:basedOn w:val="Normal"/>
    <w:rsid w:val="008C4F26"/>
    <w:pPr>
      <w:spacing w:before="100" w:beforeAutospacing="1" w:after="100" w:afterAutospacing="1"/>
      <w:jc w:val="left"/>
    </w:pPr>
    <w:rPr>
      <w:rFonts w:ascii="Times New Roman" w:eastAsia="Times New Roman" w:hAnsi="Times New Roman"/>
      <w:sz w:val="24"/>
    </w:rPr>
  </w:style>
  <w:style w:type="paragraph" w:customStyle="1" w:styleId="m9183434040989463963gefquestion">
    <w:name w:val="m_9183434040989463963gefquestion"/>
    <w:basedOn w:val="Normal"/>
    <w:rsid w:val="008C4F26"/>
    <w:pPr>
      <w:spacing w:before="100" w:beforeAutospacing="1" w:after="100" w:afterAutospacing="1"/>
      <w:jc w:val="left"/>
    </w:pPr>
    <w:rPr>
      <w:rFonts w:ascii="Times New Roman" w:eastAsia="Times New Roman" w:hAnsi="Times New Roman"/>
      <w:sz w:val="24"/>
    </w:rPr>
  </w:style>
  <w:style w:type="table" w:customStyle="1" w:styleId="TableGrid8">
    <w:name w:val="Table Grid8"/>
    <w:basedOn w:val="TableNormal"/>
    <w:next w:val="TableGrid"/>
    <w:uiPriority w:val="39"/>
    <w:rsid w:val="006555DC"/>
    <w:rPr>
      <w:rFonts w:asciiTheme="minorHAnsi" w:eastAsiaTheme="minorHAnsi" w:hAnsiTheme="minorHAnsi" w:cstheme="minorBid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utlineSEQSs">
    <w:name w:val="outline SEQSs"/>
    <w:autoRedefine/>
    <w:qFormat/>
    <w:rsid w:val="00A153C6"/>
    <w:pPr>
      <w:numPr>
        <w:numId w:val="53"/>
      </w:numPr>
      <w:tabs>
        <w:tab w:val="num" w:pos="360"/>
        <w:tab w:val="left" w:pos="2880"/>
      </w:tabs>
      <w:spacing w:before="60" w:after="60" w:line="360" w:lineRule="auto"/>
      <w:ind w:firstLine="0"/>
    </w:pPr>
    <w:rPr>
      <w:rFonts w:eastAsia="MS Mincho"/>
      <w:b/>
      <w:sz w:val="24"/>
      <w:szCs w:val="24"/>
    </w:rPr>
  </w:style>
  <w:style w:type="paragraph" w:styleId="ListBullet">
    <w:name w:val="List Bullet"/>
    <w:basedOn w:val="Normal"/>
    <w:uiPriority w:val="99"/>
    <w:semiHidden/>
    <w:unhideWhenUsed/>
    <w:rsid w:val="00A153C6"/>
    <w:pPr>
      <w:numPr>
        <w:numId w:val="55"/>
      </w:numPr>
      <w:spacing w:after="0"/>
      <w:contextualSpacing/>
      <w:jc w:val="left"/>
    </w:pPr>
    <w:rPr>
      <w:rFonts w:asciiTheme="majorHAnsi" w:eastAsiaTheme="minorEastAsia" w:hAnsiTheme="majorHAnsi" w:cstheme="minorBidi"/>
      <w:lang w:eastAsia="ja-JP"/>
    </w:rPr>
  </w:style>
  <w:style w:type="character" w:customStyle="1" w:styleId="tlid-translation">
    <w:name w:val="tlid-translation"/>
    <w:rsid w:val="004E7FA9"/>
  </w:style>
  <w:style w:type="paragraph" w:customStyle="1" w:styleId="Tabletext">
    <w:name w:val="Tabletext"/>
    <w:basedOn w:val="Normal"/>
    <w:autoRedefine/>
    <w:qFormat/>
    <w:rsid w:val="004E7FA9"/>
    <w:pPr>
      <w:spacing w:after="0"/>
      <w:jc w:val="left"/>
    </w:pPr>
    <w:rPr>
      <w:rFonts w:ascii="Times New Roman" w:eastAsia="Times New Roman" w:hAnsi="Times New Roman" w:cs="Calibri"/>
      <w:sz w:val="18"/>
      <w:szCs w:val="18"/>
    </w:rPr>
  </w:style>
  <w:style w:type="paragraph" w:customStyle="1" w:styleId="caption1">
    <w:name w:val="caption 1"/>
    <w:basedOn w:val="Normal"/>
    <w:qFormat/>
    <w:rsid w:val="004E7FA9"/>
    <w:pPr>
      <w:spacing w:after="120"/>
      <w:ind w:left="274"/>
    </w:pPr>
    <w:rPr>
      <w:rFonts w:ascii="Garamond" w:eastAsia="ヒラギノ角ゴ Pro W3" w:hAnsi="Garamond"/>
      <w:color w:val="000000"/>
      <w:sz w:val="24"/>
      <w:lang w:eastAsia="ja-JP"/>
    </w:rPr>
  </w:style>
  <w:style w:type="paragraph" w:customStyle="1" w:styleId="listbulletsSESP">
    <w:name w:val="list bullets SESP"/>
    <w:basedOn w:val="ListBullet"/>
    <w:autoRedefine/>
    <w:qFormat/>
    <w:rsid w:val="004E7FA9"/>
    <w:pPr>
      <w:numPr>
        <w:numId w:val="57"/>
      </w:numPr>
      <w:ind w:hanging="360"/>
    </w:pPr>
  </w:style>
  <w:style w:type="paragraph" w:customStyle="1" w:styleId="Heading1a">
    <w:name w:val="Heading 1a"/>
    <w:basedOn w:val="Normal"/>
    <w:next w:val="Normal"/>
    <w:qFormat/>
    <w:rsid w:val="004E7FA9"/>
    <w:pPr>
      <w:suppressAutoHyphens/>
      <w:spacing w:after="0" w:line="288" w:lineRule="auto"/>
      <w:jc w:val="left"/>
    </w:pPr>
    <w:rPr>
      <w:rFonts w:ascii="Times New Roman" w:eastAsia="Times" w:hAnsi="Times New Roman"/>
      <w:b/>
      <w:sz w:val="26"/>
      <w:szCs w:val="20"/>
      <w:lang w:eastAsia="ja-JP"/>
    </w:rPr>
  </w:style>
  <w:style w:type="paragraph" w:customStyle="1" w:styleId="SEQSbodynumbered">
    <w:name w:val="SEQS body numbered"/>
    <w:basedOn w:val="Normal"/>
    <w:autoRedefine/>
    <w:qFormat/>
    <w:rsid w:val="004E7FA9"/>
    <w:pPr>
      <w:tabs>
        <w:tab w:val="left" w:pos="360"/>
      </w:tabs>
      <w:spacing w:before="120" w:after="120" w:line="300" w:lineRule="auto"/>
      <w:jc w:val="left"/>
    </w:pPr>
    <w:rPr>
      <w:rFonts w:ascii="Times New Roman" w:eastAsia="MS Mincho" w:hAnsi="Times New Roman"/>
      <w:bCs/>
      <w:lang w:eastAsia="ja-JP"/>
    </w:rPr>
  </w:style>
  <w:style w:type="table" w:styleId="MediumList2-Accent4">
    <w:name w:val="Medium List 2 Accent 4"/>
    <w:basedOn w:val="TableNormal"/>
    <w:uiPriority w:val="66"/>
    <w:rsid w:val="004E7FA9"/>
    <w:rPr>
      <w:rFonts w:ascii="Calibri Light" w:eastAsia="MS Gothic" w:hAnsi="Calibri Light"/>
      <w:color w:val="000000"/>
      <w:sz w:val="24"/>
      <w:szCs w:val="24"/>
    </w:rPr>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rPr>
        <w:sz w:val="24"/>
        <w:szCs w:val="24"/>
      </w:rPr>
      <w:tblPr/>
      <w:tcPr>
        <w:tcBorders>
          <w:top w:val="nil"/>
          <w:left w:val="nil"/>
          <w:bottom w:val="single" w:sz="24" w:space="0" w:color="FFC000"/>
          <w:right w:val="nil"/>
          <w:insideH w:val="nil"/>
          <w:insideV w:val="nil"/>
        </w:tcBorders>
        <w:shd w:val="clear" w:color="auto" w:fill="FFFFFF"/>
      </w:tcPr>
    </w:tblStylePr>
    <w:tblStylePr w:type="lastRow">
      <w:tblPr/>
      <w:tcPr>
        <w:tcBorders>
          <w:top w:val="single" w:sz="8" w:space="0" w:color="FFC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FFC000"/>
          <w:insideH w:val="nil"/>
          <w:insideV w:val="nil"/>
        </w:tcBorders>
        <w:shd w:val="clear" w:color="auto" w:fill="FFFFFF"/>
      </w:tcPr>
    </w:tblStylePr>
    <w:tblStylePr w:type="lastCol">
      <w:tblPr/>
      <w:tcPr>
        <w:tcBorders>
          <w:top w:val="nil"/>
          <w:left w:val="single" w:sz="8" w:space="0" w:color="FFC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FEFC0"/>
      </w:tcPr>
    </w:tblStylePr>
    <w:tblStylePr w:type="band1Horz">
      <w:tblPr/>
      <w:tcPr>
        <w:tcBorders>
          <w:top w:val="nil"/>
          <w:bottom w:val="nil"/>
          <w:insideH w:val="nil"/>
          <w:insideV w:val="nil"/>
        </w:tcBorders>
        <w:shd w:val="clear" w:color="auto" w:fill="FFEFC0"/>
      </w:tcPr>
    </w:tblStylePr>
    <w:tblStylePr w:type="nwCell">
      <w:tblPr/>
      <w:tcPr>
        <w:shd w:val="clear" w:color="auto" w:fill="FFFFFF"/>
      </w:tcPr>
    </w:tblStylePr>
    <w:tblStylePr w:type="swCell">
      <w:tblPr/>
      <w:tcPr>
        <w:tcBorders>
          <w:top w:val="nil"/>
        </w:tcBorders>
      </w:tcPr>
    </w:tblStylePr>
  </w:style>
  <w:style w:type="paragraph" w:customStyle="1" w:styleId="listlettered">
    <w:name w:val="list lettered"/>
    <w:basedOn w:val="listbulletsSESP"/>
    <w:qFormat/>
    <w:rsid w:val="004E7FA9"/>
    <w:pPr>
      <w:numPr>
        <w:numId w:val="58"/>
      </w:numPr>
      <w:tabs>
        <w:tab w:val="clear" w:pos="1080"/>
        <w:tab w:val="num" w:pos="360"/>
      </w:tabs>
      <w:spacing w:before="60" w:after="60" w:line="300" w:lineRule="auto"/>
      <w:ind w:left="972" w:hanging="270"/>
    </w:pPr>
    <w:rPr>
      <w:rFonts w:ascii="Calibri" w:eastAsia="ヒラギノ角ゴ Pro W3" w:hAnsi="Calibri" w:cs="Times New Roman"/>
      <w:color w:val="000000"/>
      <w:szCs w:val="20"/>
    </w:rPr>
  </w:style>
  <w:style w:type="paragraph" w:customStyle="1" w:styleId="SESPbody">
    <w:name w:val="SESP body"/>
    <w:basedOn w:val="SEQSbodynumbered"/>
    <w:qFormat/>
    <w:rsid w:val="004E7FA9"/>
  </w:style>
  <w:style w:type="paragraph" w:styleId="TOC4">
    <w:name w:val="toc 4"/>
    <w:basedOn w:val="Normal"/>
    <w:next w:val="Normal"/>
    <w:autoRedefine/>
    <w:uiPriority w:val="39"/>
    <w:unhideWhenUsed/>
    <w:rsid w:val="004E7FA9"/>
    <w:pPr>
      <w:spacing w:after="0"/>
      <w:ind w:left="600"/>
      <w:jc w:val="left"/>
    </w:pPr>
    <w:rPr>
      <w:rFonts w:ascii="Calibri Light" w:eastAsia="MS Mincho" w:hAnsi="Calibri Light" w:cs="Arial"/>
      <w:lang w:eastAsia="ja-JP"/>
    </w:rPr>
  </w:style>
  <w:style w:type="paragraph" w:styleId="TOC5">
    <w:name w:val="toc 5"/>
    <w:basedOn w:val="Normal"/>
    <w:next w:val="Normal"/>
    <w:autoRedefine/>
    <w:uiPriority w:val="39"/>
    <w:unhideWhenUsed/>
    <w:rsid w:val="004E7FA9"/>
    <w:pPr>
      <w:spacing w:after="0"/>
      <w:ind w:left="800"/>
      <w:jc w:val="left"/>
    </w:pPr>
    <w:rPr>
      <w:rFonts w:ascii="Calibri Light" w:eastAsia="MS Mincho" w:hAnsi="Calibri Light" w:cs="Arial"/>
      <w:lang w:eastAsia="ja-JP"/>
    </w:rPr>
  </w:style>
  <w:style w:type="paragraph" w:styleId="TOC6">
    <w:name w:val="toc 6"/>
    <w:basedOn w:val="Normal"/>
    <w:next w:val="Normal"/>
    <w:autoRedefine/>
    <w:uiPriority w:val="39"/>
    <w:unhideWhenUsed/>
    <w:rsid w:val="004E7FA9"/>
    <w:pPr>
      <w:spacing w:after="0"/>
      <w:ind w:left="1000"/>
      <w:jc w:val="left"/>
    </w:pPr>
    <w:rPr>
      <w:rFonts w:ascii="Calibri Light" w:eastAsia="MS Mincho" w:hAnsi="Calibri Light" w:cs="Arial"/>
      <w:lang w:eastAsia="ja-JP"/>
    </w:rPr>
  </w:style>
  <w:style w:type="paragraph" w:styleId="TOC7">
    <w:name w:val="toc 7"/>
    <w:basedOn w:val="Normal"/>
    <w:next w:val="Normal"/>
    <w:autoRedefine/>
    <w:uiPriority w:val="39"/>
    <w:unhideWhenUsed/>
    <w:rsid w:val="004E7FA9"/>
    <w:pPr>
      <w:spacing w:after="0"/>
      <w:ind w:left="1200"/>
      <w:jc w:val="left"/>
    </w:pPr>
    <w:rPr>
      <w:rFonts w:ascii="Calibri Light" w:eastAsia="MS Mincho" w:hAnsi="Calibri Light" w:cs="Arial"/>
      <w:lang w:eastAsia="ja-JP"/>
    </w:rPr>
  </w:style>
  <w:style w:type="paragraph" w:styleId="TOC8">
    <w:name w:val="toc 8"/>
    <w:basedOn w:val="Normal"/>
    <w:next w:val="Normal"/>
    <w:autoRedefine/>
    <w:uiPriority w:val="39"/>
    <w:unhideWhenUsed/>
    <w:rsid w:val="004E7FA9"/>
    <w:pPr>
      <w:spacing w:after="0"/>
      <w:ind w:left="1400"/>
      <w:jc w:val="left"/>
    </w:pPr>
    <w:rPr>
      <w:rFonts w:ascii="Calibri Light" w:eastAsia="MS Mincho" w:hAnsi="Calibri Light" w:cs="Arial"/>
      <w:lang w:eastAsia="ja-JP"/>
    </w:rPr>
  </w:style>
  <w:style w:type="paragraph" w:styleId="TOC9">
    <w:name w:val="toc 9"/>
    <w:basedOn w:val="Normal"/>
    <w:next w:val="Normal"/>
    <w:autoRedefine/>
    <w:uiPriority w:val="39"/>
    <w:unhideWhenUsed/>
    <w:rsid w:val="004E7FA9"/>
    <w:pPr>
      <w:spacing w:after="0"/>
      <w:ind w:left="1600"/>
      <w:jc w:val="left"/>
    </w:pPr>
    <w:rPr>
      <w:rFonts w:ascii="Calibri Light" w:eastAsia="MS Mincho" w:hAnsi="Calibri Light" w:cs="Arial"/>
      <w:lang w:eastAsia="ja-JP"/>
    </w:rPr>
  </w:style>
  <w:style w:type="paragraph" w:customStyle="1" w:styleId="SESPbodynumbered">
    <w:name w:val="SESP body numbered"/>
    <w:basedOn w:val="SESPbody"/>
    <w:qFormat/>
    <w:rsid w:val="004E7FA9"/>
    <w:pPr>
      <w:numPr>
        <w:numId w:val="59"/>
      </w:numPr>
      <w:ind w:left="0" w:firstLine="0"/>
    </w:pPr>
  </w:style>
  <w:style w:type="paragraph" w:customStyle="1" w:styleId="listbullets1">
    <w:name w:val="list bullets 1"/>
    <w:basedOn w:val="Normal"/>
    <w:autoRedefine/>
    <w:qFormat/>
    <w:rsid w:val="004E7FA9"/>
    <w:pPr>
      <w:numPr>
        <w:numId w:val="60"/>
      </w:numPr>
      <w:spacing w:before="60" w:line="300" w:lineRule="auto"/>
      <w:jc w:val="left"/>
    </w:pPr>
    <w:rPr>
      <w:rFonts w:ascii="Times New Roman" w:eastAsia="ヒラギノ角ゴ Pro W3" w:hAnsi="Times New Roman"/>
      <w:color w:val="000000"/>
      <w:szCs w:val="20"/>
      <w:lang w:eastAsia="ja-JP"/>
    </w:rPr>
  </w:style>
  <w:style w:type="paragraph" w:customStyle="1" w:styleId="TableParagraph">
    <w:name w:val="Table Paragraph"/>
    <w:basedOn w:val="Normal"/>
    <w:uiPriority w:val="1"/>
    <w:qFormat/>
    <w:rsid w:val="004E7FA9"/>
    <w:pPr>
      <w:widowControl w:val="0"/>
      <w:spacing w:after="0"/>
      <w:jc w:val="left"/>
    </w:pPr>
    <w:rPr>
      <w:rFonts w:eastAsia="Calibri" w:cs="Arial"/>
      <w:sz w:val="24"/>
    </w:rPr>
  </w:style>
  <w:style w:type="paragraph" w:customStyle="1" w:styleId="xfmc5">
    <w:name w:val="xfmc5"/>
    <w:basedOn w:val="Normal"/>
    <w:rsid w:val="004E7FA9"/>
    <w:pPr>
      <w:spacing w:before="100" w:beforeAutospacing="1" w:after="100" w:afterAutospacing="1"/>
      <w:jc w:val="left"/>
    </w:pPr>
    <w:rPr>
      <w:rFonts w:ascii="Times New Roman" w:eastAsia="Times New Roman" w:hAnsi="Times New Roman"/>
      <w:sz w:val="24"/>
      <w:lang w:val="ru-RU" w:eastAsia="ru-RU"/>
    </w:rPr>
  </w:style>
  <w:style w:type="numbering" w:customStyle="1" w:styleId="NoList111">
    <w:name w:val="No List111"/>
    <w:next w:val="NoList"/>
    <w:semiHidden/>
    <w:rsid w:val="004E7FA9"/>
  </w:style>
  <w:style w:type="paragraph" w:customStyle="1" w:styleId="Annexparagraph">
    <w:name w:val="Annex paragraph"/>
    <w:basedOn w:val="Normal"/>
    <w:link w:val="AnnexparagraphChar"/>
    <w:autoRedefine/>
    <w:rsid w:val="004E7FA9"/>
    <w:pPr>
      <w:tabs>
        <w:tab w:val="left" w:pos="3686"/>
      </w:tabs>
      <w:spacing w:after="0"/>
    </w:pPr>
    <w:rPr>
      <w:rFonts w:ascii="Times New Roman" w:eastAsia="Arial Unicode MS" w:hAnsi="Times New Roman"/>
      <w:sz w:val="22"/>
      <w:szCs w:val="22"/>
    </w:rPr>
  </w:style>
  <w:style w:type="character" w:customStyle="1" w:styleId="AnnexparagraphChar">
    <w:name w:val="Annex paragraph Char"/>
    <w:link w:val="Annexparagraph"/>
    <w:locked/>
    <w:rsid w:val="004E7FA9"/>
    <w:rPr>
      <w:rFonts w:ascii="Times New Roman" w:eastAsia="Arial Unicode MS" w:hAnsi="Times New Roman"/>
      <w:sz w:val="22"/>
      <w:szCs w:val="22"/>
      <w:lang w:eastAsia="en-US"/>
    </w:rPr>
  </w:style>
  <w:style w:type="paragraph" w:customStyle="1" w:styleId="Annextabletext">
    <w:name w:val="Annex table text"/>
    <w:basedOn w:val="Normal"/>
    <w:autoRedefine/>
    <w:rsid w:val="004E7FA9"/>
    <w:pPr>
      <w:widowControl w:val="0"/>
      <w:spacing w:after="0"/>
      <w:ind w:left="144" w:hanging="144"/>
    </w:pPr>
    <w:rPr>
      <w:rFonts w:ascii="Times New Roman" w:eastAsiaTheme="minorEastAsia" w:hAnsi="Times New Roman"/>
      <w:sz w:val="24"/>
      <w:lang w:val="ru-RU"/>
    </w:rPr>
  </w:style>
  <w:style w:type="paragraph" w:customStyle="1" w:styleId="Listbulleted">
    <w:name w:val="List bulleted"/>
    <w:basedOn w:val="Normal"/>
    <w:link w:val="ListbulletedChar"/>
    <w:autoRedefine/>
    <w:qFormat/>
    <w:rsid w:val="004E7FA9"/>
    <w:pPr>
      <w:numPr>
        <w:numId w:val="61"/>
      </w:numPr>
      <w:tabs>
        <w:tab w:val="left" w:pos="4820"/>
      </w:tabs>
      <w:spacing w:after="120"/>
    </w:pPr>
    <w:rPr>
      <w:rFonts w:ascii="Times New Roman" w:eastAsia="Calibri" w:hAnsi="Times New Roman"/>
      <w:color w:val="000000"/>
      <w:sz w:val="22"/>
      <w:szCs w:val="22"/>
      <w:lang w:val="kk-KZ"/>
    </w:rPr>
  </w:style>
  <w:style w:type="character" w:customStyle="1" w:styleId="ListbulletedChar">
    <w:name w:val="List bulleted Char"/>
    <w:link w:val="Listbulleted"/>
    <w:rsid w:val="004E7FA9"/>
    <w:rPr>
      <w:rFonts w:ascii="Times New Roman" w:eastAsia="Calibri" w:hAnsi="Times New Roman"/>
      <w:color w:val="000000"/>
      <w:sz w:val="22"/>
      <w:szCs w:val="22"/>
      <w:lang w:val="kk-KZ" w:eastAsia="en-US"/>
    </w:rPr>
  </w:style>
  <w:style w:type="paragraph" w:customStyle="1" w:styleId="Tabletext0">
    <w:name w:val="Table text"/>
    <w:basedOn w:val="Normal"/>
    <w:autoRedefine/>
    <w:qFormat/>
    <w:rsid w:val="004E7FA9"/>
    <w:pPr>
      <w:widowControl w:val="0"/>
      <w:spacing w:after="0"/>
      <w:ind w:left="144" w:hanging="144"/>
      <w:jc w:val="left"/>
    </w:pPr>
    <w:rPr>
      <w:rFonts w:ascii="Times New Roman" w:eastAsia="Times New Roman" w:hAnsi="Times New Roman"/>
      <w:iCs/>
      <w:color w:val="000000"/>
      <w:sz w:val="18"/>
      <w:szCs w:val="18"/>
    </w:rPr>
  </w:style>
  <w:style w:type="paragraph" w:customStyle="1" w:styleId="Baikalpara1">
    <w:name w:val="Baikal para 1"/>
    <w:basedOn w:val="Normal"/>
    <w:uiPriority w:val="99"/>
    <w:rsid w:val="004E7FA9"/>
    <w:pPr>
      <w:tabs>
        <w:tab w:val="num" w:pos="216"/>
        <w:tab w:val="left" w:pos="360"/>
        <w:tab w:val="left" w:pos="450"/>
      </w:tabs>
      <w:autoSpaceDE w:val="0"/>
      <w:autoSpaceDN w:val="0"/>
      <w:spacing w:before="60" w:after="0"/>
    </w:pPr>
    <w:rPr>
      <w:rFonts w:ascii="Arial Mon" w:eastAsia="Times New Roman" w:hAnsi="Arial Mon" w:cs="Arial Mon"/>
      <w:noProof/>
      <w:sz w:val="22"/>
      <w:szCs w:val="22"/>
    </w:rPr>
  </w:style>
  <w:style w:type="character" w:customStyle="1" w:styleId="UnresolvedMention100">
    <w:name w:val="Unresolved Mention10"/>
    <w:basedOn w:val="DefaultParagraphFont"/>
    <w:uiPriority w:val="99"/>
    <w:semiHidden/>
    <w:unhideWhenUsed/>
    <w:rsid w:val="004E7FA9"/>
    <w:rPr>
      <w:color w:val="605E5C"/>
      <w:shd w:val="clear" w:color="auto" w:fill="E1DFDD"/>
    </w:rPr>
  </w:style>
  <w:style w:type="paragraph" w:styleId="HTMLPreformatted">
    <w:name w:val="HTML Preformatted"/>
    <w:basedOn w:val="Normal"/>
    <w:link w:val="HTMLPreformattedChar"/>
    <w:uiPriority w:val="99"/>
    <w:semiHidden/>
    <w:unhideWhenUsed/>
    <w:rsid w:val="004E7FA9"/>
    <w:pPr>
      <w:spacing w:after="0"/>
      <w:jc w:val="left"/>
    </w:pPr>
    <w:rPr>
      <w:rFonts w:ascii="Consolas" w:eastAsiaTheme="minorHAnsi" w:hAnsi="Consolas" w:cs="Consolas"/>
      <w:szCs w:val="20"/>
    </w:rPr>
  </w:style>
  <w:style w:type="character" w:customStyle="1" w:styleId="HTMLPreformattedChar">
    <w:name w:val="HTML Preformatted Char"/>
    <w:basedOn w:val="DefaultParagraphFont"/>
    <w:link w:val="HTMLPreformatted"/>
    <w:uiPriority w:val="99"/>
    <w:semiHidden/>
    <w:rsid w:val="004E7FA9"/>
    <w:rPr>
      <w:rFonts w:ascii="Consolas" w:eastAsiaTheme="minorHAnsi" w:hAnsi="Consolas" w:cs="Consolas"/>
      <w:lang w:eastAsia="en-US"/>
    </w:rPr>
  </w:style>
  <w:style w:type="paragraph" w:customStyle="1" w:styleId="bodytext0">
    <w:name w:val="bodytext"/>
    <w:basedOn w:val="Normal"/>
    <w:uiPriority w:val="99"/>
    <w:rsid w:val="004E7FA9"/>
    <w:pPr>
      <w:spacing w:after="120"/>
      <w:jc w:val="left"/>
    </w:pPr>
    <w:rPr>
      <w:rFonts w:ascii="Times New Roman" w:eastAsia="PMingLiU" w:hAnsi="Times New Roman"/>
      <w:color w:val="000000"/>
      <w:sz w:val="24"/>
      <w:lang w:val="en-GB" w:eastAsia="zh-TW"/>
    </w:rPr>
  </w:style>
  <w:style w:type="table" w:styleId="TableGridLight">
    <w:name w:val="Grid Table Light"/>
    <w:basedOn w:val="TableNormal"/>
    <w:uiPriority w:val="40"/>
    <w:rsid w:val="004E7FA9"/>
    <w:rPr>
      <w:rFonts w:asciiTheme="minorHAnsi" w:eastAsiaTheme="minorHAnsi" w:hAnsiTheme="minorHAnsi" w:cstheme="minorBidi"/>
      <w:sz w:val="22"/>
      <w:szCs w:val="22"/>
      <w:lang w:val="ru-RU"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NoList21">
    <w:name w:val="No List21"/>
    <w:next w:val="NoList"/>
    <w:uiPriority w:val="99"/>
    <w:semiHidden/>
    <w:unhideWhenUsed/>
    <w:rsid w:val="004E7FA9"/>
  </w:style>
  <w:style w:type="numbering" w:customStyle="1" w:styleId="NoList1111">
    <w:name w:val="No List1111"/>
    <w:next w:val="NoList"/>
    <w:semiHidden/>
    <w:rsid w:val="004E7FA9"/>
  </w:style>
  <w:style w:type="table" w:customStyle="1" w:styleId="TableGrid41">
    <w:name w:val="Table Grid41"/>
    <w:basedOn w:val="TableNormal"/>
    <w:next w:val="TableGrid"/>
    <w:uiPriority w:val="39"/>
    <w:rsid w:val="004E7FA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39"/>
    <w:rsid w:val="004E7FA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20">
    <w:name w:val="Mention20"/>
    <w:uiPriority w:val="99"/>
    <w:semiHidden/>
    <w:unhideWhenUsed/>
    <w:rsid w:val="004E7FA9"/>
    <w:rPr>
      <w:color w:val="2B579A"/>
      <w:shd w:val="clear" w:color="auto" w:fill="E6E6E6"/>
    </w:rPr>
  </w:style>
  <w:style w:type="numbering" w:customStyle="1" w:styleId="NoList31">
    <w:name w:val="No List31"/>
    <w:next w:val="NoList"/>
    <w:uiPriority w:val="99"/>
    <w:semiHidden/>
    <w:unhideWhenUsed/>
    <w:rsid w:val="004E7FA9"/>
  </w:style>
  <w:style w:type="table" w:customStyle="1" w:styleId="MediumList2-Accent41">
    <w:name w:val="Medium List 2 - Accent 41"/>
    <w:basedOn w:val="TableNormal"/>
    <w:next w:val="MediumList2-Accent4"/>
    <w:uiPriority w:val="66"/>
    <w:rsid w:val="004E7FA9"/>
    <w:rPr>
      <w:rFonts w:asciiTheme="majorHAnsi" w:eastAsiaTheme="majorEastAsia" w:hAnsiTheme="majorHAnsi" w:cstheme="majorBidi"/>
      <w:color w:val="000000" w:themeColor="text1"/>
      <w:sz w:val="24"/>
      <w:szCs w:val="24"/>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numbering" w:customStyle="1" w:styleId="NoList5">
    <w:name w:val="No List5"/>
    <w:next w:val="NoList"/>
    <w:uiPriority w:val="99"/>
    <w:semiHidden/>
    <w:unhideWhenUsed/>
    <w:rsid w:val="004E7FA9"/>
  </w:style>
  <w:style w:type="numbering" w:customStyle="1" w:styleId="NoList13">
    <w:name w:val="No List13"/>
    <w:next w:val="NoList"/>
    <w:uiPriority w:val="99"/>
    <w:semiHidden/>
    <w:rsid w:val="004E7FA9"/>
  </w:style>
  <w:style w:type="numbering" w:customStyle="1" w:styleId="NoList22">
    <w:name w:val="No List22"/>
    <w:next w:val="NoList"/>
    <w:uiPriority w:val="99"/>
    <w:semiHidden/>
    <w:unhideWhenUsed/>
    <w:rsid w:val="004E7FA9"/>
  </w:style>
  <w:style w:type="numbering" w:customStyle="1" w:styleId="NoList112">
    <w:name w:val="No List112"/>
    <w:next w:val="NoList"/>
    <w:semiHidden/>
    <w:rsid w:val="004E7FA9"/>
  </w:style>
  <w:style w:type="table" w:customStyle="1" w:styleId="TableGrid12">
    <w:name w:val="Table Grid12"/>
    <w:basedOn w:val="TableNormal"/>
    <w:next w:val="TableGrid"/>
    <w:uiPriority w:val="39"/>
    <w:rsid w:val="004E7FA9"/>
    <w:rPr>
      <w:rFonts w:ascii="Times New Roman" w:eastAsia="Times New Roman" w:hAnsi="Times New Roma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4E7FA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39"/>
    <w:rsid w:val="004E7FA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39"/>
    <w:rsid w:val="004E7FA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uiPriority w:val="39"/>
    <w:rsid w:val="004E7FA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2">
    <w:name w:val="No List32"/>
    <w:next w:val="NoList"/>
    <w:uiPriority w:val="99"/>
    <w:semiHidden/>
    <w:unhideWhenUsed/>
    <w:rsid w:val="004E7FA9"/>
  </w:style>
  <w:style w:type="table" w:customStyle="1" w:styleId="MediumList2-Accent42">
    <w:name w:val="Medium List 2 - Accent 42"/>
    <w:basedOn w:val="TableNormal"/>
    <w:next w:val="MediumList2-Accent4"/>
    <w:uiPriority w:val="66"/>
    <w:rsid w:val="004E7FA9"/>
    <w:rPr>
      <w:rFonts w:asciiTheme="majorHAnsi" w:eastAsiaTheme="majorEastAsia" w:hAnsiTheme="majorHAnsi" w:cstheme="majorBidi"/>
      <w:color w:val="000000" w:themeColor="text1"/>
      <w:sz w:val="24"/>
      <w:szCs w:val="24"/>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TableGrid61">
    <w:name w:val="Table Grid61"/>
    <w:basedOn w:val="TableNormal"/>
    <w:next w:val="TableGrid"/>
    <w:uiPriority w:val="59"/>
    <w:rsid w:val="004E7F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next w:val="TableGridLight"/>
    <w:uiPriority w:val="40"/>
    <w:rsid w:val="004E7FA9"/>
    <w:rPr>
      <w:rFonts w:asciiTheme="minorHAnsi" w:eastAsiaTheme="minorHAnsi" w:hAnsiTheme="minorHAnsi" w:cstheme="minorBidi"/>
      <w:sz w:val="22"/>
      <w:szCs w:val="22"/>
      <w:lang w:val="ru-RU"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NoList41">
    <w:name w:val="No List41"/>
    <w:next w:val="NoList"/>
    <w:uiPriority w:val="99"/>
    <w:semiHidden/>
    <w:unhideWhenUsed/>
    <w:rsid w:val="004E7FA9"/>
  </w:style>
  <w:style w:type="table" w:customStyle="1" w:styleId="TableGrid71">
    <w:name w:val="Table Grid71"/>
    <w:basedOn w:val="TableNormal"/>
    <w:next w:val="TableGrid"/>
    <w:uiPriority w:val="39"/>
    <w:rsid w:val="004E7F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NoList"/>
    <w:uiPriority w:val="99"/>
    <w:semiHidden/>
    <w:rsid w:val="004E7FA9"/>
  </w:style>
  <w:style w:type="numbering" w:customStyle="1" w:styleId="NoList211">
    <w:name w:val="No List211"/>
    <w:next w:val="NoList"/>
    <w:uiPriority w:val="99"/>
    <w:semiHidden/>
    <w:unhideWhenUsed/>
    <w:rsid w:val="004E7FA9"/>
  </w:style>
  <w:style w:type="table" w:customStyle="1" w:styleId="TableGrid111">
    <w:name w:val="Table Grid111"/>
    <w:basedOn w:val="TableNormal"/>
    <w:next w:val="TableGrid"/>
    <w:uiPriority w:val="39"/>
    <w:rsid w:val="004E7FA9"/>
    <w:rPr>
      <w:rFonts w:ascii="Times New Roman" w:eastAsia="Times New Roman" w:hAnsi="Times New Roma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39"/>
    <w:rsid w:val="004E7FA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39"/>
    <w:rsid w:val="004E7FA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
    <w:name w:val="Table Grid411"/>
    <w:basedOn w:val="TableNormal"/>
    <w:next w:val="TableGrid"/>
    <w:uiPriority w:val="39"/>
    <w:rsid w:val="004E7FA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
    <w:name w:val="Table Grid511"/>
    <w:basedOn w:val="TableNormal"/>
    <w:next w:val="TableGrid"/>
    <w:uiPriority w:val="39"/>
    <w:rsid w:val="004E7FA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1">
    <w:name w:val="No List311"/>
    <w:next w:val="NoList"/>
    <w:uiPriority w:val="99"/>
    <w:semiHidden/>
    <w:unhideWhenUsed/>
    <w:rsid w:val="004E7FA9"/>
  </w:style>
  <w:style w:type="table" w:customStyle="1" w:styleId="MediumList2-Accent411">
    <w:name w:val="Medium List 2 - Accent 411"/>
    <w:basedOn w:val="TableNormal"/>
    <w:next w:val="MediumList2-Accent4"/>
    <w:uiPriority w:val="66"/>
    <w:rsid w:val="004E7FA9"/>
    <w:rPr>
      <w:rFonts w:asciiTheme="majorHAnsi" w:eastAsiaTheme="majorEastAsia" w:hAnsiTheme="majorHAnsi" w:cstheme="majorBidi"/>
      <w:color w:val="000000" w:themeColor="text1"/>
      <w:sz w:val="24"/>
      <w:szCs w:val="24"/>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Mention3">
    <w:name w:val="Mention3"/>
    <w:uiPriority w:val="99"/>
    <w:semiHidden/>
    <w:unhideWhenUsed/>
    <w:rsid w:val="004E7FA9"/>
    <w:rPr>
      <w:color w:val="2B579A"/>
      <w:shd w:val="clear" w:color="auto" w:fill="E6E6E6"/>
    </w:rPr>
  </w:style>
  <w:style w:type="character" w:customStyle="1" w:styleId="UnresolvedMention2">
    <w:name w:val="Unresolved Mention2"/>
    <w:uiPriority w:val="99"/>
    <w:semiHidden/>
    <w:unhideWhenUsed/>
    <w:rsid w:val="004E7FA9"/>
    <w:rPr>
      <w:color w:val="605E5C"/>
      <w:shd w:val="clear" w:color="auto" w:fill="E1DFDD"/>
    </w:rPr>
  </w:style>
  <w:style w:type="character" w:customStyle="1" w:styleId="UnresolvedMention3">
    <w:name w:val="Unresolved Mention3"/>
    <w:uiPriority w:val="99"/>
    <w:semiHidden/>
    <w:unhideWhenUsed/>
    <w:rsid w:val="00AD416F"/>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
      </w:divsChild>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sChild>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34163184">
      <w:bodyDiv w:val="1"/>
      <w:marLeft w:val="0"/>
      <w:marRight w:val="0"/>
      <w:marTop w:val="0"/>
      <w:marBottom w:val="0"/>
      <w:divBdr>
        <w:top w:val="none" w:sz="0" w:space="0" w:color="auto"/>
        <w:left w:val="none" w:sz="0" w:space="0" w:color="auto"/>
        <w:bottom w:val="none" w:sz="0" w:space="0" w:color="auto"/>
        <w:right w:val="none" w:sz="0" w:space="0" w:color="auto"/>
      </w:divBdr>
    </w:div>
    <w:div w:id="37704355">
      <w:bodyDiv w:val="1"/>
      <w:marLeft w:val="0"/>
      <w:marRight w:val="0"/>
      <w:marTop w:val="0"/>
      <w:marBottom w:val="0"/>
      <w:divBdr>
        <w:top w:val="none" w:sz="0" w:space="0" w:color="auto"/>
        <w:left w:val="none" w:sz="0" w:space="0" w:color="auto"/>
        <w:bottom w:val="none" w:sz="0" w:space="0" w:color="auto"/>
        <w:right w:val="none" w:sz="0" w:space="0" w:color="auto"/>
      </w:divBdr>
    </w:div>
    <w:div w:id="73862000">
      <w:bodyDiv w:val="1"/>
      <w:marLeft w:val="0"/>
      <w:marRight w:val="0"/>
      <w:marTop w:val="0"/>
      <w:marBottom w:val="0"/>
      <w:divBdr>
        <w:top w:val="none" w:sz="0" w:space="0" w:color="auto"/>
        <w:left w:val="none" w:sz="0" w:space="0" w:color="auto"/>
        <w:bottom w:val="none" w:sz="0" w:space="0" w:color="auto"/>
        <w:right w:val="none" w:sz="0" w:space="0" w:color="auto"/>
      </w:divBdr>
    </w:div>
    <w:div w:id="92746878">
      <w:bodyDiv w:val="1"/>
      <w:marLeft w:val="0"/>
      <w:marRight w:val="0"/>
      <w:marTop w:val="0"/>
      <w:marBottom w:val="0"/>
      <w:divBdr>
        <w:top w:val="none" w:sz="0" w:space="0" w:color="auto"/>
        <w:left w:val="none" w:sz="0" w:space="0" w:color="auto"/>
        <w:bottom w:val="none" w:sz="0" w:space="0" w:color="auto"/>
        <w:right w:val="none" w:sz="0" w:space="0" w:color="auto"/>
      </w:divBdr>
    </w:div>
    <w:div w:id="103237673">
      <w:bodyDiv w:val="1"/>
      <w:marLeft w:val="0"/>
      <w:marRight w:val="0"/>
      <w:marTop w:val="0"/>
      <w:marBottom w:val="0"/>
      <w:divBdr>
        <w:top w:val="none" w:sz="0" w:space="0" w:color="auto"/>
        <w:left w:val="none" w:sz="0" w:space="0" w:color="auto"/>
        <w:bottom w:val="none" w:sz="0" w:space="0" w:color="auto"/>
        <w:right w:val="none" w:sz="0" w:space="0" w:color="auto"/>
      </w:divBdr>
    </w:div>
    <w:div w:id="104540175">
      <w:bodyDiv w:val="1"/>
      <w:marLeft w:val="0"/>
      <w:marRight w:val="0"/>
      <w:marTop w:val="0"/>
      <w:marBottom w:val="0"/>
      <w:divBdr>
        <w:top w:val="none" w:sz="0" w:space="0" w:color="auto"/>
        <w:left w:val="none" w:sz="0" w:space="0" w:color="auto"/>
        <w:bottom w:val="none" w:sz="0" w:space="0" w:color="auto"/>
        <w:right w:val="none" w:sz="0" w:space="0" w:color="auto"/>
      </w:divBdr>
      <w:divsChild>
        <w:div w:id="1724863918">
          <w:marLeft w:val="0"/>
          <w:marRight w:val="0"/>
          <w:marTop w:val="0"/>
          <w:marBottom w:val="0"/>
          <w:divBdr>
            <w:top w:val="none" w:sz="0" w:space="0" w:color="auto"/>
            <w:left w:val="none" w:sz="0" w:space="0" w:color="auto"/>
            <w:bottom w:val="none" w:sz="0" w:space="0" w:color="auto"/>
            <w:right w:val="none" w:sz="0" w:space="0" w:color="auto"/>
          </w:divBdr>
          <w:divsChild>
            <w:div w:id="1793597999">
              <w:marLeft w:val="0"/>
              <w:marRight w:val="0"/>
              <w:marTop w:val="0"/>
              <w:marBottom w:val="0"/>
              <w:divBdr>
                <w:top w:val="none" w:sz="0" w:space="0" w:color="auto"/>
                <w:left w:val="none" w:sz="0" w:space="0" w:color="auto"/>
                <w:bottom w:val="none" w:sz="0" w:space="0" w:color="auto"/>
                <w:right w:val="none" w:sz="0" w:space="0" w:color="auto"/>
              </w:divBdr>
              <w:divsChild>
                <w:div w:id="669018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179794">
      <w:bodyDiv w:val="1"/>
      <w:marLeft w:val="0"/>
      <w:marRight w:val="0"/>
      <w:marTop w:val="0"/>
      <w:marBottom w:val="0"/>
      <w:divBdr>
        <w:top w:val="none" w:sz="0" w:space="0" w:color="auto"/>
        <w:left w:val="none" w:sz="0" w:space="0" w:color="auto"/>
        <w:bottom w:val="none" w:sz="0" w:space="0" w:color="auto"/>
        <w:right w:val="none" w:sz="0" w:space="0" w:color="auto"/>
      </w:divBdr>
    </w:div>
    <w:div w:id="137655100">
      <w:bodyDiv w:val="1"/>
      <w:marLeft w:val="0"/>
      <w:marRight w:val="0"/>
      <w:marTop w:val="0"/>
      <w:marBottom w:val="0"/>
      <w:divBdr>
        <w:top w:val="none" w:sz="0" w:space="0" w:color="auto"/>
        <w:left w:val="none" w:sz="0" w:space="0" w:color="auto"/>
        <w:bottom w:val="none" w:sz="0" w:space="0" w:color="auto"/>
        <w:right w:val="none" w:sz="0" w:space="0" w:color="auto"/>
      </w:divBdr>
    </w:div>
    <w:div w:id="148788924">
      <w:bodyDiv w:val="1"/>
      <w:marLeft w:val="0"/>
      <w:marRight w:val="0"/>
      <w:marTop w:val="0"/>
      <w:marBottom w:val="0"/>
      <w:divBdr>
        <w:top w:val="none" w:sz="0" w:space="0" w:color="auto"/>
        <w:left w:val="none" w:sz="0" w:space="0" w:color="auto"/>
        <w:bottom w:val="none" w:sz="0" w:space="0" w:color="auto"/>
        <w:right w:val="none" w:sz="0" w:space="0" w:color="auto"/>
      </w:divBdr>
      <w:divsChild>
        <w:div w:id="359890760">
          <w:marLeft w:val="360"/>
          <w:marRight w:val="0"/>
          <w:marTop w:val="200"/>
          <w:marBottom w:val="0"/>
          <w:divBdr>
            <w:top w:val="none" w:sz="0" w:space="0" w:color="auto"/>
            <w:left w:val="none" w:sz="0" w:space="0" w:color="auto"/>
            <w:bottom w:val="none" w:sz="0" w:space="0" w:color="auto"/>
            <w:right w:val="none" w:sz="0" w:space="0" w:color="auto"/>
          </w:divBdr>
        </w:div>
        <w:div w:id="277105795">
          <w:marLeft w:val="360"/>
          <w:marRight w:val="0"/>
          <w:marTop w:val="200"/>
          <w:marBottom w:val="0"/>
          <w:divBdr>
            <w:top w:val="none" w:sz="0" w:space="0" w:color="auto"/>
            <w:left w:val="none" w:sz="0" w:space="0" w:color="auto"/>
            <w:bottom w:val="none" w:sz="0" w:space="0" w:color="auto"/>
            <w:right w:val="none" w:sz="0" w:space="0" w:color="auto"/>
          </w:divBdr>
        </w:div>
        <w:div w:id="1502234456">
          <w:marLeft w:val="360"/>
          <w:marRight w:val="0"/>
          <w:marTop w:val="200"/>
          <w:marBottom w:val="0"/>
          <w:divBdr>
            <w:top w:val="none" w:sz="0" w:space="0" w:color="auto"/>
            <w:left w:val="none" w:sz="0" w:space="0" w:color="auto"/>
            <w:bottom w:val="none" w:sz="0" w:space="0" w:color="auto"/>
            <w:right w:val="none" w:sz="0" w:space="0" w:color="auto"/>
          </w:divBdr>
        </w:div>
      </w:divsChild>
    </w:div>
    <w:div w:id="151606211">
      <w:bodyDiv w:val="1"/>
      <w:marLeft w:val="0"/>
      <w:marRight w:val="0"/>
      <w:marTop w:val="0"/>
      <w:marBottom w:val="0"/>
      <w:divBdr>
        <w:top w:val="none" w:sz="0" w:space="0" w:color="auto"/>
        <w:left w:val="none" w:sz="0" w:space="0" w:color="auto"/>
        <w:bottom w:val="none" w:sz="0" w:space="0" w:color="auto"/>
        <w:right w:val="none" w:sz="0" w:space="0" w:color="auto"/>
      </w:divBdr>
    </w:div>
    <w:div w:id="154954001">
      <w:bodyDiv w:val="1"/>
      <w:marLeft w:val="0"/>
      <w:marRight w:val="0"/>
      <w:marTop w:val="0"/>
      <w:marBottom w:val="0"/>
      <w:divBdr>
        <w:top w:val="none" w:sz="0" w:space="0" w:color="auto"/>
        <w:left w:val="none" w:sz="0" w:space="0" w:color="auto"/>
        <w:bottom w:val="none" w:sz="0" w:space="0" w:color="auto"/>
        <w:right w:val="none" w:sz="0" w:space="0" w:color="auto"/>
      </w:divBdr>
    </w:div>
    <w:div w:id="159080579">
      <w:bodyDiv w:val="1"/>
      <w:marLeft w:val="0"/>
      <w:marRight w:val="0"/>
      <w:marTop w:val="0"/>
      <w:marBottom w:val="0"/>
      <w:divBdr>
        <w:top w:val="none" w:sz="0" w:space="0" w:color="auto"/>
        <w:left w:val="none" w:sz="0" w:space="0" w:color="auto"/>
        <w:bottom w:val="none" w:sz="0" w:space="0" w:color="auto"/>
        <w:right w:val="none" w:sz="0" w:space="0" w:color="auto"/>
      </w:divBdr>
    </w:div>
    <w:div w:id="167061628">
      <w:bodyDiv w:val="1"/>
      <w:marLeft w:val="0"/>
      <w:marRight w:val="0"/>
      <w:marTop w:val="0"/>
      <w:marBottom w:val="0"/>
      <w:divBdr>
        <w:top w:val="none" w:sz="0" w:space="0" w:color="auto"/>
        <w:left w:val="none" w:sz="0" w:space="0" w:color="auto"/>
        <w:bottom w:val="none" w:sz="0" w:space="0" w:color="auto"/>
        <w:right w:val="none" w:sz="0" w:space="0" w:color="auto"/>
      </w:divBdr>
    </w:div>
    <w:div w:id="173374808">
      <w:bodyDiv w:val="1"/>
      <w:marLeft w:val="0"/>
      <w:marRight w:val="0"/>
      <w:marTop w:val="0"/>
      <w:marBottom w:val="0"/>
      <w:divBdr>
        <w:top w:val="none" w:sz="0" w:space="0" w:color="auto"/>
        <w:left w:val="none" w:sz="0" w:space="0" w:color="auto"/>
        <w:bottom w:val="none" w:sz="0" w:space="0" w:color="auto"/>
        <w:right w:val="none" w:sz="0" w:space="0" w:color="auto"/>
      </w:divBdr>
    </w:div>
    <w:div w:id="226651027">
      <w:bodyDiv w:val="1"/>
      <w:marLeft w:val="0"/>
      <w:marRight w:val="0"/>
      <w:marTop w:val="0"/>
      <w:marBottom w:val="0"/>
      <w:divBdr>
        <w:top w:val="none" w:sz="0" w:space="0" w:color="auto"/>
        <w:left w:val="none" w:sz="0" w:space="0" w:color="auto"/>
        <w:bottom w:val="none" w:sz="0" w:space="0" w:color="auto"/>
        <w:right w:val="none" w:sz="0" w:space="0" w:color="auto"/>
      </w:divBdr>
    </w:div>
    <w:div w:id="235478770">
      <w:bodyDiv w:val="1"/>
      <w:marLeft w:val="0"/>
      <w:marRight w:val="0"/>
      <w:marTop w:val="0"/>
      <w:marBottom w:val="0"/>
      <w:divBdr>
        <w:top w:val="none" w:sz="0" w:space="0" w:color="auto"/>
        <w:left w:val="none" w:sz="0" w:space="0" w:color="auto"/>
        <w:bottom w:val="none" w:sz="0" w:space="0" w:color="auto"/>
        <w:right w:val="none" w:sz="0" w:space="0" w:color="auto"/>
      </w:divBdr>
      <w:divsChild>
        <w:div w:id="720207020">
          <w:marLeft w:val="0"/>
          <w:marRight w:val="0"/>
          <w:marTop w:val="0"/>
          <w:marBottom w:val="326"/>
          <w:divBdr>
            <w:top w:val="none" w:sz="0" w:space="0" w:color="auto"/>
            <w:left w:val="none" w:sz="0" w:space="0" w:color="auto"/>
            <w:bottom w:val="none" w:sz="0" w:space="0" w:color="auto"/>
            <w:right w:val="none" w:sz="0" w:space="0" w:color="auto"/>
          </w:divBdr>
        </w:div>
      </w:divsChild>
    </w:div>
    <w:div w:id="238950778">
      <w:bodyDiv w:val="1"/>
      <w:marLeft w:val="0"/>
      <w:marRight w:val="0"/>
      <w:marTop w:val="0"/>
      <w:marBottom w:val="0"/>
      <w:divBdr>
        <w:top w:val="none" w:sz="0" w:space="0" w:color="auto"/>
        <w:left w:val="none" w:sz="0" w:space="0" w:color="auto"/>
        <w:bottom w:val="none" w:sz="0" w:space="0" w:color="auto"/>
        <w:right w:val="none" w:sz="0" w:space="0" w:color="auto"/>
      </w:divBdr>
    </w:div>
    <w:div w:id="251205500">
      <w:bodyDiv w:val="1"/>
      <w:marLeft w:val="0"/>
      <w:marRight w:val="0"/>
      <w:marTop w:val="0"/>
      <w:marBottom w:val="0"/>
      <w:divBdr>
        <w:top w:val="none" w:sz="0" w:space="0" w:color="auto"/>
        <w:left w:val="none" w:sz="0" w:space="0" w:color="auto"/>
        <w:bottom w:val="none" w:sz="0" w:space="0" w:color="auto"/>
        <w:right w:val="none" w:sz="0" w:space="0" w:color="auto"/>
      </w:divBdr>
    </w:div>
    <w:div w:id="255796688">
      <w:bodyDiv w:val="1"/>
      <w:marLeft w:val="0"/>
      <w:marRight w:val="0"/>
      <w:marTop w:val="0"/>
      <w:marBottom w:val="0"/>
      <w:divBdr>
        <w:top w:val="none" w:sz="0" w:space="0" w:color="auto"/>
        <w:left w:val="none" w:sz="0" w:space="0" w:color="auto"/>
        <w:bottom w:val="none" w:sz="0" w:space="0" w:color="auto"/>
        <w:right w:val="none" w:sz="0" w:space="0" w:color="auto"/>
      </w:divBdr>
    </w:div>
    <w:div w:id="259801023">
      <w:bodyDiv w:val="1"/>
      <w:marLeft w:val="0"/>
      <w:marRight w:val="0"/>
      <w:marTop w:val="0"/>
      <w:marBottom w:val="0"/>
      <w:divBdr>
        <w:top w:val="none" w:sz="0" w:space="0" w:color="auto"/>
        <w:left w:val="none" w:sz="0" w:space="0" w:color="auto"/>
        <w:bottom w:val="none" w:sz="0" w:space="0" w:color="auto"/>
        <w:right w:val="none" w:sz="0" w:space="0" w:color="auto"/>
      </w:divBdr>
    </w:div>
    <w:div w:id="287443649">
      <w:bodyDiv w:val="1"/>
      <w:marLeft w:val="0"/>
      <w:marRight w:val="0"/>
      <w:marTop w:val="0"/>
      <w:marBottom w:val="0"/>
      <w:divBdr>
        <w:top w:val="none" w:sz="0" w:space="0" w:color="auto"/>
        <w:left w:val="none" w:sz="0" w:space="0" w:color="auto"/>
        <w:bottom w:val="none" w:sz="0" w:space="0" w:color="auto"/>
        <w:right w:val="none" w:sz="0" w:space="0" w:color="auto"/>
      </w:divBdr>
    </w:div>
    <w:div w:id="300043828">
      <w:bodyDiv w:val="1"/>
      <w:marLeft w:val="0"/>
      <w:marRight w:val="0"/>
      <w:marTop w:val="0"/>
      <w:marBottom w:val="0"/>
      <w:divBdr>
        <w:top w:val="none" w:sz="0" w:space="0" w:color="auto"/>
        <w:left w:val="none" w:sz="0" w:space="0" w:color="auto"/>
        <w:bottom w:val="none" w:sz="0" w:space="0" w:color="auto"/>
        <w:right w:val="none" w:sz="0" w:space="0" w:color="auto"/>
      </w:divBdr>
    </w:div>
    <w:div w:id="301007021">
      <w:bodyDiv w:val="1"/>
      <w:marLeft w:val="0"/>
      <w:marRight w:val="0"/>
      <w:marTop w:val="0"/>
      <w:marBottom w:val="0"/>
      <w:divBdr>
        <w:top w:val="none" w:sz="0" w:space="0" w:color="auto"/>
        <w:left w:val="none" w:sz="0" w:space="0" w:color="auto"/>
        <w:bottom w:val="none" w:sz="0" w:space="0" w:color="auto"/>
        <w:right w:val="none" w:sz="0" w:space="0" w:color="auto"/>
      </w:divBdr>
    </w:div>
    <w:div w:id="363336824">
      <w:bodyDiv w:val="1"/>
      <w:marLeft w:val="0"/>
      <w:marRight w:val="0"/>
      <w:marTop w:val="0"/>
      <w:marBottom w:val="0"/>
      <w:divBdr>
        <w:top w:val="none" w:sz="0" w:space="0" w:color="auto"/>
        <w:left w:val="none" w:sz="0" w:space="0" w:color="auto"/>
        <w:bottom w:val="none" w:sz="0" w:space="0" w:color="auto"/>
        <w:right w:val="none" w:sz="0" w:space="0" w:color="auto"/>
      </w:divBdr>
      <w:divsChild>
        <w:div w:id="612975257">
          <w:marLeft w:val="0"/>
          <w:marRight w:val="0"/>
          <w:marTop w:val="0"/>
          <w:marBottom w:val="0"/>
          <w:divBdr>
            <w:top w:val="none" w:sz="0" w:space="0" w:color="auto"/>
            <w:left w:val="none" w:sz="0" w:space="0" w:color="auto"/>
            <w:bottom w:val="none" w:sz="0" w:space="0" w:color="auto"/>
            <w:right w:val="none" w:sz="0" w:space="0" w:color="auto"/>
          </w:divBdr>
        </w:div>
      </w:divsChild>
    </w:div>
    <w:div w:id="452408144">
      <w:bodyDiv w:val="1"/>
      <w:marLeft w:val="0"/>
      <w:marRight w:val="0"/>
      <w:marTop w:val="0"/>
      <w:marBottom w:val="0"/>
      <w:divBdr>
        <w:top w:val="none" w:sz="0" w:space="0" w:color="auto"/>
        <w:left w:val="none" w:sz="0" w:space="0" w:color="auto"/>
        <w:bottom w:val="none" w:sz="0" w:space="0" w:color="auto"/>
        <w:right w:val="none" w:sz="0" w:space="0" w:color="auto"/>
      </w:divBdr>
    </w:div>
    <w:div w:id="471141121">
      <w:bodyDiv w:val="1"/>
      <w:marLeft w:val="0"/>
      <w:marRight w:val="0"/>
      <w:marTop w:val="0"/>
      <w:marBottom w:val="0"/>
      <w:divBdr>
        <w:top w:val="none" w:sz="0" w:space="0" w:color="auto"/>
        <w:left w:val="none" w:sz="0" w:space="0" w:color="auto"/>
        <w:bottom w:val="none" w:sz="0" w:space="0" w:color="auto"/>
        <w:right w:val="none" w:sz="0" w:space="0" w:color="auto"/>
      </w:divBdr>
      <w:divsChild>
        <w:div w:id="276106700">
          <w:marLeft w:val="446"/>
          <w:marRight w:val="0"/>
          <w:marTop w:val="0"/>
          <w:marBottom w:val="0"/>
          <w:divBdr>
            <w:top w:val="none" w:sz="0" w:space="0" w:color="auto"/>
            <w:left w:val="none" w:sz="0" w:space="0" w:color="auto"/>
            <w:bottom w:val="none" w:sz="0" w:space="0" w:color="auto"/>
            <w:right w:val="none" w:sz="0" w:space="0" w:color="auto"/>
          </w:divBdr>
        </w:div>
        <w:div w:id="402602391">
          <w:marLeft w:val="446"/>
          <w:marRight w:val="0"/>
          <w:marTop w:val="0"/>
          <w:marBottom w:val="0"/>
          <w:divBdr>
            <w:top w:val="none" w:sz="0" w:space="0" w:color="auto"/>
            <w:left w:val="none" w:sz="0" w:space="0" w:color="auto"/>
            <w:bottom w:val="none" w:sz="0" w:space="0" w:color="auto"/>
            <w:right w:val="none" w:sz="0" w:space="0" w:color="auto"/>
          </w:divBdr>
        </w:div>
        <w:div w:id="980890985">
          <w:marLeft w:val="446"/>
          <w:marRight w:val="0"/>
          <w:marTop w:val="0"/>
          <w:marBottom w:val="0"/>
          <w:divBdr>
            <w:top w:val="none" w:sz="0" w:space="0" w:color="auto"/>
            <w:left w:val="none" w:sz="0" w:space="0" w:color="auto"/>
            <w:bottom w:val="none" w:sz="0" w:space="0" w:color="auto"/>
            <w:right w:val="none" w:sz="0" w:space="0" w:color="auto"/>
          </w:divBdr>
        </w:div>
        <w:div w:id="1566910374">
          <w:marLeft w:val="446"/>
          <w:marRight w:val="0"/>
          <w:marTop w:val="0"/>
          <w:marBottom w:val="0"/>
          <w:divBdr>
            <w:top w:val="none" w:sz="0" w:space="0" w:color="auto"/>
            <w:left w:val="none" w:sz="0" w:space="0" w:color="auto"/>
            <w:bottom w:val="none" w:sz="0" w:space="0" w:color="auto"/>
            <w:right w:val="none" w:sz="0" w:space="0" w:color="auto"/>
          </w:divBdr>
        </w:div>
      </w:divsChild>
    </w:div>
    <w:div w:id="475531819">
      <w:bodyDiv w:val="1"/>
      <w:marLeft w:val="0"/>
      <w:marRight w:val="0"/>
      <w:marTop w:val="0"/>
      <w:marBottom w:val="0"/>
      <w:divBdr>
        <w:top w:val="none" w:sz="0" w:space="0" w:color="auto"/>
        <w:left w:val="none" w:sz="0" w:space="0" w:color="auto"/>
        <w:bottom w:val="none" w:sz="0" w:space="0" w:color="auto"/>
        <w:right w:val="none" w:sz="0" w:space="0" w:color="auto"/>
      </w:divBdr>
    </w:div>
    <w:div w:id="496582801">
      <w:bodyDiv w:val="1"/>
      <w:marLeft w:val="0"/>
      <w:marRight w:val="0"/>
      <w:marTop w:val="0"/>
      <w:marBottom w:val="0"/>
      <w:divBdr>
        <w:top w:val="none" w:sz="0" w:space="0" w:color="auto"/>
        <w:left w:val="none" w:sz="0" w:space="0" w:color="auto"/>
        <w:bottom w:val="none" w:sz="0" w:space="0" w:color="auto"/>
        <w:right w:val="none" w:sz="0" w:space="0" w:color="auto"/>
      </w:divBdr>
      <w:divsChild>
        <w:div w:id="96028367">
          <w:marLeft w:val="0"/>
          <w:marRight w:val="0"/>
          <w:marTop w:val="0"/>
          <w:marBottom w:val="0"/>
          <w:divBdr>
            <w:top w:val="none" w:sz="0" w:space="0" w:color="auto"/>
            <w:left w:val="none" w:sz="0" w:space="0" w:color="auto"/>
            <w:bottom w:val="none" w:sz="0" w:space="0" w:color="auto"/>
            <w:right w:val="none" w:sz="0" w:space="0" w:color="auto"/>
          </w:divBdr>
        </w:div>
        <w:div w:id="910431587">
          <w:marLeft w:val="0"/>
          <w:marRight w:val="0"/>
          <w:marTop w:val="0"/>
          <w:marBottom w:val="0"/>
          <w:divBdr>
            <w:top w:val="none" w:sz="0" w:space="0" w:color="auto"/>
            <w:left w:val="none" w:sz="0" w:space="0" w:color="auto"/>
            <w:bottom w:val="none" w:sz="0" w:space="0" w:color="auto"/>
            <w:right w:val="none" w:sz="0" w:space="0" w:color="auto"/>
          </w:divBdr>
        </w:div>
      </w:divsChild>
    </w:div>
    <w:div w:id="536090833">
      <w:bodyDiv w:val="1"/>
      <w:marLeft w:val="0"/>
      <w:marRight w:val="0"/>
      <w:marTop w:val="0"/>
      <w:marBottom w:val="0"/>
      <w:divBdr>
        <w:top w:val="none" w:sz="0" w:space="0" w:color="auto"/>
        <w:left w:val="none" w:sz="0" w:space="0" w:color="auto"/>
        <w:bottom w:val="none" w:sz="0" w:space="0" w:color="auto"/>
        <w:right w:val="none" w:sz="0" w:space="0" w:color="auto"/>
      </w:divBdr>
    </w:div>
    <w:div w:id="538007893">
      <w:bodyDiv w:val="1"/>
      <w:marLeft w:val="0"/>
      <w:marRight w:val="0"/>
      <w:marTop w:val="0"/>
      <w:marBottom w:val="0"/>
      <w:divBdr>
        <w:top w:val="none" w:sz="0" w:space="0" w:color="auto"/>
        <w:left w:val="none" w:sz="0" w:space="0" w:color="auto"/>
        <w:bottom w:val="none" w:sz="0" w:space="0" w:color="auto"/>
        <w:right w:val="none" w:sz="0" w:space="0" w:color="auto"/>
      </w:divBdr>
    </w:div>
    <w:div w:id="541595640">
      <w:bodyDiv w:val="1"/>
      <w:marLeft w:val="0"/>
      <w:marRight w:val="0"/>
      <w:marTop w:val="0"/>
      <w:marBottom w:val="0"/>
      <w:divBdr>
        <w:top w:val="none" w:sz="0" w:space="0" w:color="auto"/>
        <w:left w:val="none" w:sz="0" w:space="0" w:color="auto"/>
        <w:bottom w:val="none" w:sz="0" w:space="0" w:color="auto"/>
        <w:right w:val="none" w:sz="0" w:space="0" w:color="auto"/>
      </w:divBdr>
    </w:div>
    <w:div w:id="567035553">
      <w:bodyDiv w:val="1"/>
      <w:marLeft w:val="0"/>
      <w:marRight w:val="0"/>
      <w:marTop w:val="0"/>
      <w:marBottom w:val="0"/>
      <w:divBdr>
        <w:top w:val="none" w:sz="0" w:space="0" w:color="auto"/>
        <w:left w:val="none" w:sz="0" w:space="0" w:color="auto"/>
        <w:bottom w:val="none" w:sz="0" w:space="0" w:color="auto"/>
        <w:right w:val="none" w:sz="0" w:space="0" w:color="auto"/>
      </w:divBdr>
    </w:div>
    <w:div w:id="638337560">
      <w:bodyDiv w:val="1"/>
      <w:marLeft w:val="0"/>
      <w:marRight w:val="0"/>
      <w:marTop w:val="0"/>
      <w:marBottom w:val="0"/>
      <w:divBdr>
        <w:top w:val="none" w:sz="0" w:space="0" w:color="auto"/>
        <w:left w:val="none" w:sz="0" w:space="0" w:color="auto"/>
        <w:bottom w:val="none" w:sz="0" w:space="0" w:color="auto"/>
        <w:right w:val="none" w:sz="0" w:space="0" w:color="auto"/>
      </w:divBdr>
      <w:divsChild>
        <w:div w:id="85272079">
          <w:marLeft w:val="0"/>
          <w:marRight w:val="0"/>
          <w:marTop w:val="0"/>
          <w:marBottom w:val="326"/>
          <w:divBdr>
            <w:top w:val="none" w:sz="0" w:space="0" w:color="auto"/>
            <w:left w:val="none" w:sz="0" w:space="0" w:color="auto"/>
            <w:bottom w:val="none" w:sz="0" w:space="0" w:color="auto"/>
            <w:right w:val="none" w:sz="0" w:space="0" w:color="auto"/>
          </w:divBdr>
        </w:div>
      </w:divsChild>
    </w:div>
    <w:div w:id="640964802">
      <w:bodyDiv w:val="1"/>
      <w:marLeft w:val="0"/>
      <w:marRight w:val="0"/>
      <w:marTop w:val="0"/>
      <w:marBottom w:val="0"/>
      <w:divBdr>
        <w:top w:val="none" w:sz="0" w:space="0" w:color="auto"/>
        <w:left w:val="none" w:sz="0" w:space="0" w:color="auto"/>
        <w:bottom w:val="none" w:sz="0" w:space="0" w:color="auto"/>
        <w:right w:val="none" w:sz="0" w:space="0" w:color="auto"/>
      </w:divBdr>
      <w:divsChild>
        <w:div w:id="1991403131">
          <w:marLeft w:val="0"/>
          <w:marRight w:val="0"/>
          <w:marTop w:val="0"/>
          <w:marBottom w:val="326"/>
          <w:divBdr>
            <w:top w:val="none" w:sz="0" w:space="0" w:color="auto"/>
            <w:left w:val="none" w:sz="0" w:space="0" w:color="auto"/>
            <w:bottom w:val="none" w:sz="0" w:space="0" w:color="auto"/>
            <w:right w:val="none" w:sz="0" w:space="0" w:color="auto"/>
          </w:divBdr>
        </w:div>
      </w:divsChild>
    </w:div>
    <w:div w:id="645548015">
      <w:bodyDiv w:val="1"/>
      <w:marLeft w:val="0"/>
      <w:marRight w:val="0"/>
      <w:marTop w:val="0"/>
      <w:marBottom w:val="0"/>
      <w:divBdr>
        <w:top w:val="none" w:sz="0" w:space="0" w:color="auto"/>
        <w:left w:val="none" w:sz="0" w:space="0" w:color="auto"/>
        <w:bottom w:val="none" w:sz="0" w:space="0" w:color="auto"/>
        <w:right w:val="none" w:sz="0" w:space="0" w:color="auto"/>
      </w:divBdr>
    </w:div>
    <w:div w:id="647246645">
      <w:bodyDiv w:val="1"/>
      <w:marLeft w:val="0"/>
      <w:marRight w:val="0"/>
      <w:marTop w:val="0"/>
      <w:marBottom w:val="0"/>
      <w:divBdr>
        <w:top w:val="none" w:sz="0" w:space="0" w:color="auto"/>
        <w:left w:val="none" w:sz="0" w:space="0" w:color="auto"/>
        <w:bottom w:val="none" w:sz="0" w:space="0" w:color="auto"/>
        <w:right w:val="none" w:sz="0" w:space="0" w:color="auto"/>
      </w:divBdr>
    </w:div>
    <w:div w:id="648366553">
      <w:bodyDiv w:val="1"/>
      <w:marLeft w:val="0"/>
      <w:marRight w:val="0"/>
      <w:marTop w:val="0"/>
      <w:marBottom w:val="0"/>
      <w:divBdr>
        <w:top w:val="none" w:sz="0" w:space="0" w:color="auto"/>
        <w:left w:val="none" w:sz="0" w:space="0" w:color="auto"/>
        <w:bottom w:val="none" w:sz="0" w:space="0" w:color="auto"/>
        <w:right w:val="none" w:sz="0" w:space="0" w:color="auto"/>
      </w:divBdr>
    </w:div>
    <w:div w:id="653723425">
      <w:bodyDiv w:val="1"/>
      <w:marLeft w:val="0"/>
      <w:marRight w:val="0"/>
      <w:marTop w:val="0"/>
      <w:marBottom w:val="0"/>
      <w:divBdr>
        <w:top w:val="none" w:sz="0" w:space="0" w:color="auto"/>
        <w:left w:val="none" w:sz="0" w:space="0" w:color="auto"/>
        <w:bottom w:val="none" w:sz="0" w:space="0" w:color="auto"/>
        <w:right w:val="none" w:sz="0" w:space="0" w:color="auto"/>
      </w:divBdr>
    </w:div>
    <w:div w:id="712388232">
      <w:bodyDiv w:val="1"/>
      <w:marLeft w:val="0"/>
      <w:marRight w:val="0"/>
      <w:marTop w:val="0"/>
      <w:marBottom w:val="0"/>
      <w:divBdr>
        <w:top w:val="none" w:sz="0" w:space="0" w:color="auto"/>
        <w:left w:val="none" w:sz="0" w:space="0" w:color="auto"/>
        <w:bottom w:val="none" w:sz="0" w:space="0" w:color="auto"/>
        <w:right w:val="none" w:sz="0" w:space="0" w:color="auto"/>
      </w:divBdr>
    </w:div>
    <w:div w:id="716973235">
      <w:bodyDiv w:val="1"/>
      <w:marLeft w:val="0"/>
      <w:marRight w:val="0"/>
      <w:marTop w:val="0"/>
      <w:marBottom w:val="0"/>
      <w:divBdr>
        <w:top w:val="none" w:sz="0" w:space="0" w:color="auto"/>
        <w:left w:val="none" w:sz="0" w:space="0" w:color="auto"/>
        <w:bottom w:val="none" w:sz="0" w:space="0" w:color="auto"/>
        <w:right w:val="none" w:sz="0" w:space="0" w:color="auto"/>
      </w:divBdr>
    </w:div>
    <w:div w:id="755710535">
      <w:bodyDiv w:val="1"/>
      <w:marLeft w:val="0"/>
      <w:marRight w:val="0"/>
      <w:marTop w:val="0"/>
      <w:marBottom w:val="0"/>
      <w:divBdr>
        <w:top w:val="none" w:sz="0" w:space="0" w:color="auto"/>
        <w:left w:val="none" w:sz="0" w:space="0" w:color="auto"/>
        <w:bottom w:val="none" w:sz="0" w:space="0" w:color="auto"/>
        <w:right w:val="none" w:sz="0" w:space="0" w:color="auto"/>
      </w:divBdr>
    </w:div>
    <w:div w:id="758404727">
      <w:bodyDiv w:val="1"/>
      <w:marLeft w:val="0"/>
      <w:marRight w:val="0"/>
      <w:marTop w:val="0"/>
      <w:marBottom w:val="0"/>
      <w:divBdr>
        <w:top w:val="none" w:sz="0" w:space="0" w:color="auto"/>
        <w:left w:val="none" w:sz="0" w:space="0" w:color="auto"/>
        <w:bottom w:val="none" w:sz="0" w:space="0" w:color="auto"/>
        <w:right w:val="none" w:sz="0" w:space="0" w:color="auto"/>
      </w:divBdr>
    </w:div>
    <w:div w:id="761871919">
      <w:bodyDiv w:val="1"/>
      <w:marLeft w:val="0"/>
      <w:marRight w:val="0"/>
      <w:marTop w:val="0"/>
      <w:marBottom w:val="0"/>
      <w:divBdr>
        <w:top w:val="none" w:sz="0" w:space="0" w:color="auto"/>
        <w:left w:val="none" w:sz="0" w:space="0" w:color="auto"/>
        <w:bottom w:val="none" w:sz="0" w:space="0" w:color="auto"/>
        <w:right w:val="none" w:sz="0" w:space="0" w:color="auto"/>
      </w:divBdr>
    </w:div>
    <w:div w:id="776557048">
      <w:bodyDiv w:val="1"/>
      <w:marLeft w:val="0"/>
      <w:marRight w:val="0"/>
      <w:marTop w:val="0"/>
      <w:marBottom w:val="0"/>
      <w:divBdr>
        <w:top w:val="none" w:sz="0" w:space="0" w:color="auto"/>
        <w:left w:val="none" w:sz="0" w:space="0" w:color="auto"/>
        <w:bottom w:val="none" w:sz="0" w:space="0" w:color="auto"/>
        <w:right w:val="none" w:sz="0" w:space="0" w:color="auto"/>
      </w:divBdr>
    </w:div>
    <w:div w:id="778834862">
      <w:bodyDiv w:val="1"/>
      <w:marLeft w:val="0"/>
      <w:marRight w:val="0"/>
      <w:marTop w:val="0"/>
      <w:marBottom w:val="0"/>
      <w:divBdr>
        <w:top w:val="none" w:sz="0" w:space="0" w:color="auto"/>
        <w:left w:val="none" w:sz="0" w:space="0" w:color="auto"/>
        <w:bottom w:val="none" w:sz="0" w:space="0" w:color="auto"/>
        <w:right w:val="none" w:sz="0" w:space="0" w:color="auto"/>
      </w:divBdr>
    </w:div>
    <w:div w:id="782767706">
      <w:bodyDiv w:val="1"/>
      <w:marLeft w:val="0"/>
      <w:marRight w:val="0"/>
      <w:marTop w:val="0"/>
      <w:marBottom w:val="0"/>
      <w:divBdr>
        <w:top w:val="none" w:sz="0" w:space="0" w:color="auto"/>
        <w:left w:val="none" w:sz="0" w:space="0" w:color="auto"/>
        <w:bottom w:val="none" w:sz="0" w:space="0" w:color="auto"/>
        <w:right w:val="none" w:sz="0" w:space="0" w:color="auto"/>
      </w:divBdr>
    </w:div>
    <w:div w:id="794253648">
      <w:bodyDiv w:val="1"/>
      <w:marLeft w:val="0"/>
      <w:marRight w:val="0"/>
      <w:marTop w:val="0"/>
      <w:marBottom w:val="0"/>
      <w:divBdr>
        <w:top w:val="none" w:sz="0" w:space="0" w:color="auto"/>
        <w:left w:val="none" w:sz="0" w:space="0" w:color="auto"/>
        <w:bottom w:val="none" w:sz="0" w:space="0" w:color="auto"/>
        <w:right w:val="none" w:sz="0" w:space="0" w:color="auto"/>
      </w:divBdr>
    </w:div>
    <w:div w:id="820462788">
      <w:bodyDiv w:val="1"/>
      <w:marLeft w:val="0"/>
      <w:marRight w:val="0"/>
      <w:marTop w:val="0"/>
      <w:marBottom w:val="0"/>
      <w:divBdr>
        <w:top w:val="none" w:sz="0" w:space="0" w:color="auto"/>
        <w:left w:val="none" w:sz="0" w:space="0" w:color="auto"/>
        <w:bottom w:val="none" w:sz="0" w:space="0" w:color="auto"/>
        <w:right w:val="none" w:sz="0" w:space="0" w:color="auto"/>
      </w:divBdr>
      <w:divsChild>
        <w:div w:id="1862706">
          <w:marLeft w:val="0"/>
          <w:marRight w:val="0"/>
          <w:marTop w:val="77"/>
          <w:marBottom w:val="0"/>
          <w:divBdr>
            <w:top w:val="none" w:sz="0" w:space="0" w:color="auto"/>
            <w:left w:val="none" w:sz="0" w:space="0" w:color="auto"/>
            <w:bottom w:val="none" w:sz="0" w:space="0" w:color="auto"/>
            <w:right w:val="none" w:sz="0" w:space="0" w:color="auto"/>
          </w:divBdr>
        </w:div>
        <w:div w:id="18817870">
          <w:marLeft w:val="0"/>
          <w:marRight w:val="0"/>
          <w:marTop w:val="77"/>
          <w:marBottom w:val="0"/>
          <w:divBdr>
            <w:top w:val="none" w:sz="0" w:space="0" w:color="auto"/>
            <w:left w:val="none" w:sz="0" w:space="0" w:color="auto"/>
            <w:bottom w:val="none" w:sz="0" w:space="0" w:color="auto"/>
            <w:right w:val="none" w:sz="0" w:space="0" w:color="auto"/>
          </w:divBdr>
        </w:div>
        <w:div w:id="42951994">
          <w:marLeft w:val="0"/>
          <w:marRight w:val="0"/>
          <w:marTop w:val="77"/>
          <w:marBottom w:val="0"/>
          <w:divBdr>
            <w:top w:val="none" w:sz="0" w:space="0" w:color="auto"/>
            <w:left w:val="none" w:sz="0" w:space="0" w:color="auto"/>
            <w:bottom w:val="none" w:sz="0" w:space="0" w:color="auto"/>
            <w:right w:val="none" w:sz="0" w:space="0" w:color="auto"/>
          </w:divBdr>
        </w:div>
        <w:div w:id="46269441">
          <w:marLeft w:val="0"/>
          <w:marRight w:val="0"/>
          <w:marTop w:val="77"/>
          <w:marBottom w:val="0"/>
          <w:divBdr>
            <w:top w:val="none" w:sz="0" w:space="0" w:color="auto"/>
            <w:left w:val="none" w:sz="0" w:space="0" w:color="auto"/>
            <w:bottom w:val="none" w:sz="0" w:space="0" w:color="auto"/>
            <w:right w:val="none" w:sz="0" w:space="0" w:color="auto"/>
          </w:divBdr>
        </w:div>
        <w:div w:id="247083944">
          <w:marLeft w:val="0"/>
          <w:marRight w:val="0"/>
          <w:marTop w:val="77"/>
          <w:marBottom w:val="0"/>
          <w:divBdr>
            <w:top w:val="none" w:sz="0" w:space="0" w:color="auto"/>
            <w:left w:val="none" w:sz="0" w:space="0" w:color="auto"/>
            <w:bottom w:val="none" w:sz="0" w:space="0" w:color="auto"/>
            <w:right w:val="none" w:sz="0" w:space="0" w:color="auto"/>
          </w:divBdr>
        </w:div>
        <w:div w:id="253320122">
          <w:marLeft w:val="0"/>
          <w:marRight w:val="0"/>
          <w:marTop w:val="77"/>
          <w:marBottom w:val="0"/>
          <w:divBdr>
            <w:top w:val="none" w:sz="0" w:space="0" w:color="auto"/>
            <w:left w:val="none" w:sz="0" w:space="0" w:color="auto"/>
            <w:bottom w:val="none" w:sz="0" w:space="0" w:color="auto"/>
            <w:right w:val="none" w:sz="0" w:space="0" w:color="auto"/>
          </w:divBdr>
        </w:div>
        <w:div w:id="287398702">
          <w:marLeft w:val="0"/>
          <w:marRight w:val="0"/>
          <w:marTop w:val="77"/>
          <w:marBottom w:val="0"/>
          <w:divBdr>
            <w:top w:val="none" w:sz="0" w:space="0" w:color="auto"/>
            <w:left w:val="none" w:sz="0" w:space="0" w:color="auto"/>
            <w:bottom w:val="none" w:sz="0" w:space="0" w:color="auto"/>
            <w:right w:val="none" w:sz="0" w:space="0" w:color="auto"/>
          </w:divBdr>
        </w:div>
        <w:div w:id="375466505">
          <w:marLeft w:val="0"/>
          <w:marRight w:val="0"/>
          <w:marTop w:val="77"/>
          <w:marBottom w:val="0"/>
          <w:divBdr>
            <w:top w:val="none" w:sz="0" w:space="0" w:color="auto"/>
            <w:left w:val="none" w:sz="0" w:space="0" w:color="auto"/>
            <w:bottom w:val="none" w:sz="0" w:space="0" w:color="auto"/>
            <w:right w:val="none" w:sz="0" w:space="0" w:color="auto"/>
          </w:divBdr>
        </w:div>
        <w:div w:id="545142906">
          <w:marLeft w:val="0"/>
          <w:marRight w:val="0"/>
          <w:marTop w:val="77"/>
          <w:marBottom w:val="0"/>
          <w:divBdr>
            <w:top w:val="none" w:sz="0" w:space="0" w:color="auto"/>
            <w:left w:val="none" w:sz="0" w:space="0" w:color="auto"/>
            <w:bottom w:val="none" w:sz="0" w:space="0" w:color="auto"/>
            <w:right w:val="none" w:sz="0" w:space="0" w:color="auto"/>
          </w:divBdr>
        </w:div>
        <w:div w:id="565996709">
          <w:marLeft w:val="0"/>
          <w:marRight w:val="0"/>
          <w:marTop w:val="77"/>
          <w:marBottom w:val="0"/>
          <w:divBdr>
            <w:top w:val="none" w:sz="0" w:space="0" w:color="auto"/>
            <w:left w:val="none" w:sz="0" w:space="0" w:color="auto"/>
            <w:bottom w:val="none" w:sz="0" w:space="0" w:color="auto"/>
            <w:right w:val="none" w:sz="0" w:space="0" w:color="auto"/>
          </w:divBdr>
        </w:div>
        <w:div w:id="570431907">
          <w:marLeft w:val="0"/>
          <w:marRight w:val="0"/>
          <w:marTop w:val="77"/>
          <w:marBottom w:val="0"/>
          <w:divBdr>
            <w:top w:val="none" w:sz="0" w:space="0" w:color="auto"/>
            <w:left w:val="none" w:sz="0" w:space="0" w:color="auto"/>
            <w:bottom w:val="none" w:sz="0" w:space="0" w:color="auto"/>
            <w:right w:val="none" w:sz="0" w:space="0" w:color="auto"/>
          </w:divBdr>
        </w:div>
        <w:div w:id="591815486">
          <w:marLeft w:val="0"/>
          <w:marRight w:val="0"/>
          <w:marTop w:val="77"/>
          <w:marBottom w:val="0"/>
          <w:divBdr>
            <w:top w:val="none" w:sz="0" w:space="0" w:color="auto"/>
            <w:left w:val="none" w:sz="0" w:space="0" w:color="auto"/>
            <w:bottom w:val="none" w:sz="0" w:space="0" w:color="auto"/>
            <w:right w:val="none" w:sz="0" w:space="0" w:color="auto"/>
          </w:divBdr>
        </w:div>
        <w:div w:id="706760376">
          <w:marLeft w:val="0"/>
          <w:marRight w:val="0"/>
          <w:marTop w:val="77"/>
          <w:marBottom w:val="0"/>
          <w:divBdr>
            <w:top w:val="none" w:sz="0" w:space="0" w:color="auto"/>
            <w:left w:val="none" w:sz="0" w:space="0" w:color="auto"/>
            <w:bottom w:val="none" w:sz="0" w:space="0" w:color="auto"/>
            <w:right w:val="none" w:sz="0" w:space="0" w:color="auto"/>
          </w:divBdr>
        </w:div>
        <w:div w:id="814565160">
          <w:marLeft w:val="0"/>
          <w:marRight w:val="0"/>
          <w:marTop w:val="77"/>
          <w:marBottom w:val="0"/>
          <w:divBdr>
            <w:top w:val="none" w:sz="0" w:space="0" w:color="auto"/>
            <w:left w:val="none" w:sz="0" w:space="0" w:color="auto"/>
            <w:bottom w:val="none" w:sz="0" w:space="0" w:color="auto"/>
            <w:right w:val="none" w:sz="0" w:space="0" w:color="auto"/>
          </w:divBdr>
        </w:div>
        <w:div w:id="964509765">
          <w:marLeft w:val="0"/>
          <w:marRight w:val="0"/>
          <w:marTop w:val="77"/>
          <w:marBottom w:val="0"/>
          <w:divBdr>
            <w:top w:val="none" w:sz="0" w:space="0" w:color="auto"/>
            <w:left w:val="none" w:sz="0" w:space="0" w:color="auto"/>
            <w:bottom w:val="none" w:sz="0" w:space="0" w:color="auto"/>
            <w:right w:val="none" w:sz="0" w:space="0" w:color="auto"/>
          </w:divBdr>
        </w:div>
        <w:div w:id="1066342660">
          <w:marLeft w:val="0"/>
          <w:marRight w:val="0"/>
          <w:marTop w:val="77"/>
          <w:marBottom w:val="0"/>
          <w:divBdr>
            <w:top w:val="none" w:sz="0" w:space="0" w:color="auto"/>
            <w:left w:val="none" w:sz="0" w:space="0" w:color="auto"/>
            <w:bottom w:val="none" w:sz="0" w:space="0" w:color="auto"/>
            <w:right w:val="none" w:sz="0" w:space="0" w:color="auto"/>
          </w:divBdr>
        </w:div>
        <w:div w:id="1210607413">
          <w:marLeft w:val="0"/>
          <w:marRight w:val="0"/>
          <w:marTop w:val="77"/>
          <w:marBottom w:val="0"/>
          <w:divBdr>
            <w:top w:val="none" w:sz="0" w:space="0" w:color="auto"/>
            <w:left w:val="none" w:sz="0" w:space="0" w:color="auto"/>
            <w:bottom w:val="none" w:sz="0" w:space="0" w:color="auto"/>
            <w:right w:val="none" w:sz="0" w:space="0" w:color="auto"/>
          </w:divBdr>
        </w:div>
        <w:div w:id="1250695589">
          <w:marLeft w:val="0"/>
          <w:marRight w:val="0"/>
          <w:marTop w:val="77"/>
          <w:marBottom w:val="0"/>
          <w:divBdr>
            <w:top w:val="none" w:sz="0" w:space="0" w:color="auto"/>
            <w:left w:val="none" w:sz="0" w:space="0" w:color="auto"/>
            <w:bottom w:val="none" w:sz="0" w:space="0" w:color="auto"/>
            <w:right w:val="none" w:sz="0" w:space="0" w:color="auto"/>
          </w:divBdr>
        </w:div>
        <w:div w:id="1399130559">
          <w:marLeft w:val="0"/>
          <w:marRight w:val="0"/>
          <w:marTop w:val="77"/>
          <w:marBottom w:val="0"/>
          <w:divBdr>
            <w:top w:val="none" w:sz="0" w:space="0" w:color="auto"/>
            <w:left w:val="none" w:sz="0" w:space="0" w:color="auto"/>
            <w:bottom w:val="none" w:sz="0" w:space="0" w:color="auto"/>
            <w:right w:val="none" w:sz="0" w:space="0" w:color="auto"/>
          </w:divBdr>
        </w:div>
        <w:div w:id="1460414549">
          <w:marLeft w:val="0"/>
          <w:marRight w:val="0"/>
          <w:marTop w:val="77"/>
          <w:marBottom w:val="0"/>
          <w:divBdr>
            <w:top w:val="none" w:sz="0" w:space="0" w:color="auto"/>
            <w:left w:val="none" w:sz="0" w:space="0" w:color="auto"/>
            <w:bottom w:val="none" w:sz="0" w:space="0" w:color="auto"/>
            <w:right w:val="none" w:sz="0" w:space="0" w:color="auto"/>
          </w:divBdr>
        </w:div>
        <w:div w:id="1461069198">
          <w:marLeft w:val="0"/>
          <w:marRight w:val="0"/>
          <w:marTop w:val="77"/>
          <w:marBottom w:val="0"/>
          <w:divBdr>
            <w:top w:val="none" w:sz="0" w:space="0" w:color="auto"/>
            <w:left w:val="none" w:sz="0" w:space="0" w:color="auto"/>
            <w:bottom w:val="none" w:sz="0" w:space="0" w:color="auto"/>
            <w:right w:val="none" w:sz="0" w:space="0" w:color="auto"/>
          </w:divBdr>
        </w:div>
        <w:div w:id="1595700393">
          <w:marLeft w:val="0"/>
          <w:marRight w:val="0"/>
          <w:marTop w:val="77"/>
          <w:marBottom w:val="0"/>
          <w:divBdr>
            <w:top w:val="none" w:sz="0" w:space="0" w:color="auto"/>
            <w:left w:val="none" w:sz="0" w:space="0" w:color="auto"/>
            <w:bottom w:val="none" w:sz="0" w:space="0" w:color="auto"/>
            <w:right w:val="none" w:sz="0" w:space="0" w:color="auto"/>
          </w:divBdr>
        </w:div>
        <w:div w:id="1600479340">
          <w:marLeft w:val="0"/>
          <w:marRight w:val="0"/>
          <w:marTop w:val="77"/>
          <w:marBottom w:val="0"/>
          <w:divBdr>
            <w:top w:val="none" w:sz="0" w:space="0" w:color="auto"/>
            <w:left w:val="none" w:sz="0" w:space="0" w:color="auto"/>
            <w:bottom w:val="none" w:sz="0" w:space="0" w:color="auto"/>
            <w:right w:val="none" w:sz="0" w:space="0" w:color="auto"/>
          </w:divBdr>
        </w:div>
        <w:div w:id="1642733307">
          <w:marLeft w:val="0"/>
          <w:marRight w:val="0"/>
          <w:marTop w:val="77"/>
          <w:marBottom w:val="0"/>
          <w:divBdr>
            <w:top w:val="none" w:sz="0" w:space="0" w:color="auto"/>
            <w:left w:val="none" w:sz="0" w:space="0" w:color="auto"/>
            <w:bottom w:val="none" w:sz="0" w:space="0" w:color="auto"/>
            <w:right w:val="none" w:sz="0" w:space="0" w:color="auto"/>
          </w:divBdr>
        </w:div>
        <w:div w:id="1801799363">
          <w:marLeft w:val="0"/>
          <w:marRight w:val="0"/>
          <w:marTop w:val="77"/>
          <w:marBottom w:val="0"/>
          <w:divBdr>
            <w:top w:val="none" w:sz="0" w:space="0" w:color="auto"/>
            <w:left w:val="none" w:sz="0" w:space="0" w:color="auto"/>
            <w:bottom w:val="none" w:sz="0" w:space="0" w:color="auto"/>
            <w:right w:val="none" w:sz="0" w:space="0" w:color="auto"/>
          </w:divBdr>
        </w:div>
        <w:div w:id="1821270670">
          <w:marLeft w:val="0"/>
          <w:marRight w:val="0"/>
          <w:marTop w:val="77"/>
          <w:marBottom w:val="0"/>
          <w:divBdr>
            <w:top w:val="none" w:sz="0" w:space="0" w:color="auto"/>
            <w:left w:val="none" w:sz="0" w:space="0" w:color="auto"/>
            <w:bottom w:val="none" w:sz="0" w:space="0" w:color="auto"/>
            <w:right w:val="none" w:sz="0" w:space="0" w:color="auto"/>
          </w:divBdr>
        </w:div>
        <w:div w:id="1947233439">
          <w:marLeft w:val="0"/>
          <w:marRight w:val="0"/>
          <w:marTop w:val="77"/>
          <w:marBottom w:val="0"/>
          <w:divBdr>
            <w:top w:val="none" w:sz="0" w:space="0" w:color="auto"/>
            <w:left w:val="none" w:sz="0" w:space="0" w:color="auto"/>
            <w:bottom w:val="none" w:sz="0" w:space="0" w:color="auto"/>
            <w:right w:val="none" w:sz="0" w:space="0" w:color="auto"/>
          </w:divBdr>
        </w:div>
        <w:div w:id="1995716799">
          <w:marLeft w:val="0"/>
          <w:marRight w:val="0"/>
          <w:marTop w:val="77"/>
          <w:marBottom w:val="0"/>
          <w:divBdr>
            <w:top w:val="none" w:sz="0" w:space="0" w:color="auto"/>
            <w:left w:val="none" w:sz="0" w:space="0" w:color="auto"/>
            <w:bottom w:val="none" w:sz="0" w:space="0" w:color="auto"/>
            <w:right w:val="none" w:sz="0" w:space="0" w:color="auto"/>
          </w:divBdr>
        </w:div>
      </w:divsChild>
    </w:div>
    <w:div w:id="828595238">
      <w:bodyDiv w:val="1"/>
      <w:marLeft w:val="0"/>
      <w:marRight w:val="0"/>
      <w:marTop w:val="0"/>
      <w:marBottom w:val="0"/>
      <w:divBdr>
        <w:top w:val="none" w:sz="0" w:space="0" w:color="auto"/>
        <w:left w:val="none" w:sz="0" w:space="0" w:color="auto"/>
        <w:bottom w:val="none" w:sz="0" w:space="0" w:color="auto"/>
        <w:right w:val="none" w:sz="0" w:space="0" w:color="auto"/>
      </w:divBdr>
    </w:div>
    <w:div w:id="830221940">
      <w:bodyDiv w:val="1"/>
      <w:marLeft w:val="0"/>
      <w:marRight w:val="0"/>
      <w:marTop w:val="0"/>
      <w:marBottom w:val="0"/>
      <w:divBdr>
        <w:top w:val="none" w:sz="0" w:space="0" w:color="auto"/>
        <w:left w:val="none" w:sz="0" w:space="0" w:color="auto"/>
        <w:bottom w:val="none" w:sz="0" w:space="0" w:color="auto"/>
        <w:right w:val="none" w:sz="0" w:space="0" w:color="auto"/>
      </w:divBdr>
      <w:divsChild>
        <w:div w:id="39012371">
          <w:marLeft w:val="0"/>
          <w:marRight w:val="0"/>
          <w:marTop w:val="77"/>
          <w:marBottom w:val="0"/>
          <w:divBdr>
            <w:top w:val="none" w:sz="0" w:space="0" w:color="auto"/>
            <w:left w:val="none" w:sz="0" w:space="0" w:color="auto"/>
            <w:bottom w:val="none" w:sz="0" w:space="0" w:color="auto"/>
            <w:right w:val="none" w:sz="0" w:space="0" w:color="auto"/>
          </w:divBdr>
        </w:div>
        <w:div w:id="205531433">
          <w:marLeft w:val="0"/>
          <w:marRight w:val="0"/>
          <w:marTop w:val="77"/>
          <w:marBottom w:val="0"/>
          <w:divBdr>
            <w:top w:val="none" w:sz="0" w:space="0" w:color="auto"/>
            <w:left w:val="none" w:sz="0" w:space="0" w:color="auto"/>
            <w:bottom w:val="none" w:sz="0" w:space="0" w:color="auto"/>
            <w:right w:val="none" w:sz="0" w:space="0" w:color="auto"/>
          </w:divBdr>
        </w:div>
        <w:div w:id="239413552">
          <w:marLeft w:val="0"/>
          <w:marRight w:val="0"/>
          <w:marTop w:val="77"/>
          <w:marBottom w:val="0"/>
          <w:divBdr>
            <w:top w:val="none" w:sz="0" w:space="0" w:color="auto"/>
            <w:left w:val="none" w:sz="0" w:space="0" w:color="auto"/>
            <w:bottom w:val="none" w:sz="0" w:space="0" w:color="auto"/>
            <w:right w:val="none" w:sz="0" w:space="0" w:color="auto"/>
          </w:divBdr>
        </w:div>
        <w:div w:id="338387469">
          <w:marLeft w:val="0"/>
          <w:marRight w:val="0"/>
          <w:marTop w:val="77"/>
          <w:marBottom w:val="0"/>
          <w:divBdr>
            <w:top w:val="none" w:sz="0" w:space="0" w:color="auto"/>
            <w:left w:val="none" w:sz="0" w:space="0" w:color="auto"/>
            <w:bottom w:val="none" w:sz="0" w:space="0" w:color="auto"/>
            <w:right w:val="none" w:sz="0" w:space="0" w:color="auto"/>
          </w:divBdr>
        </w:div>
        <w:div w:id="413937195">
          <w:marLeft w:val="0"/>
          <w:marRight w:val="0"/>
          <w:marTop w:val="77"/>
          <w:marBottom w:val="0"/>
          <w:divBdr>
            <w:top w:val="none" w:sz="0" w:space="0" w:color="auto"/>
            <w:left w:val="none" w:sz="0" w:space="0" w:color="auto"/>
            <w:bottom w:val="none" w:sz="0" w:space="0" w:color="auto"/>
            <w:right w:val="none" w:sz="0" w:space="0" w:color="auto"/>
          </w:divBdr>
        </w:div>
        <w:div w:id="454560537">
          <w:marLeft w:val="0"/>
          <w:marRight w:val="0"/>
          <w:marTop w:val="77"/>
          <w:marBottom w:val="0"/>
          <w:divBdr>
            <w:top w:val="none" w:sz="0" w:space="0" w:color="auto"/>
            <w:left w:val="none" w:sz="0" w:space="0" w:color="auto"/>
            <w:bottom w:val="none" w:sz="0" w:space="0" w:color="auto"/>
            <w:right w:val="none" w:sz="0" w:space="0" w:color="auto"/>
          </w:divBdr>
        </w:div>
        <w:div w:id="595407014">
          <w:marLeft w:val="0"/>
          <w:marRight w:val="0"/>
          <w:marTop w:val="77"/>
          <w:marBottom w:val="0"/>
          <w:divBdr>
            <w:top w:val="none" w:sz="0" w:space="0" w:color="auto"/>
            <w:left w:val="none" w:sz="0" w:space="0" w:color="auto"/>
            <w:bottom w:val="none" w:sz="0" w:space="0" w:color="auto"/>
            <w:right w:val="none" w:sz="0" w:space="0" w:color="auto"/>
          </w:divBdr>
        </w:div>
        <w:div w:id="611673165">
          <w:marLeft w:val="0"/>
          <w:marRight w:val="0"/>
          <w:marTop w:val="77"/>
          <w:marBottom w:val="0"/>
          <w:divBdr>
            <w:top w:val="none" w:sz="0" w:space="0" w:color="auto"/>
            <w:left w:val="none" w:sz="0" w:space="0" w:color="auto"/>
            <w:bottom w:val="none" w:sz="0" w:space="0" w:color="auto"/>
            <w:right w:val="none" w:sz="0" w:space="0" w:color="auto"/>
          </w:divBdr>
        </w:div>
        <w:div w:id="622227635">
          <w:marLeft w:val="0"/>
          <w:marRight w:val="0"/>
          <w:marTop w:val="77"/>
          <w:marBottom w:val="0"/>
          <w:divBdr>
            <w:top w:val="none" w:sz="0" w:space="0" w:color="auto"/>
            <w:left w:val="none" w:sz="0" w:space="0" w:color="auto"/>
            <w:bottom w:val="none" w:sz="0" w:space="0" w:color="auto"/>
            <w:right w:val="none" w:sz="0" w:space="0" w:color="auto"/>
          </w:divBdr>
        </w:div>
        <w:div w:id="711080371">
          <w:marLeft w:val="0"/>
          <w:marRight w:val="0"/>
          <w:marTop w:val="77"/>
          <w:marBottom w:val="0"/>
          <w:divBdr>
            <w:top w:val="none" w:sz="0" w:space="0" w:color="auto"/>
            <w:left w:val="none" w:sz="0" w:space="0" w:color="auto"/>
            <w:bottom w:val="none" w:sz="0" w:space="0" w:color="auto"/>
            <w:right w:val="none" w:sz="0" w:space="0" w:color="auto"/>
          </w:divBdr>
        </w:div>
        <w:div w:id="800540430">
          <w:marLeft w:val="0"/>
          <w:marRight w:val="0"/>
          <w:marTop w:val="77"/>
          <w:marBottom w:val="0"/>
          <w:divBdr>
            <w:top w:val="none" w:sz="0" w:space="0" w:color="auto"/>
            <w:left w:val="none" w:sz="0" w:space="0" w:color="auto"/>
            <w:bottom w:val="none" w:sz="0" w:space="0" w:color="auto"/>
            <w:right w:val="none" w:sz="0" w:space="0" w:color="auto"/>
          </w:divBdr>
        </w:div>
        <w:div w:id="828860800">
          <w:marLeft w:val="0"/>
          <w:marRight w:val="0"/>
          <w:marTop w:val="77"/>
          <w:marBottom w:val="0"/>
          <w:divBdr>
            <w:top w:val="none" w:sz="0" w:space="0" w:color="auto"/>
            <w:left w:val="none" w:sz="0" w:space="0" w:color="auto"/>
            <w:bottom w:val="none" w:sz="0" w:space="0" w:color="auto"/>
            <w:right w:val="none" w:sz="0" w:space="0" w:color="auto"/>
          </w:divBdr>
        </w:div>
        <w:div w:id="858860078">
          <w:marLeft w:val="0"/>
          <w:marRight w:val="0"/>
          <w:marTop w:val="77"/>
          <w:marBottom w:val="0"/>
          <w:divBdr>
            <w:top w:val="none" w:sz="0" w:space="0" w:color="auto"/>
            <w:left w:val="none" w:sz="0" w:space="0" w:color="auto"/>
            <w:bottom w:val="none" w:sz="0" w:space="0" w:color="auto"/>
            <w:right w:val="none" w:sz="0" w:space="0" w:color="auto"/>
          </w:divBdr>
        </w:div>
        <w:div w:id="868294985">
          <w:marLeft w:val="0"/>
          <w:marRight w:val="0"/>
          <w:marTop w:val="77"/>
          <w:marBottom w:val="0"/>
          <w:divBdr>
            <w:top w:val="none" w:sz="0" w:space="0" w:color="auto"/>
            <w:left w:val="none" w:sz="0" w:space="0" w:color="auto"/>
            <w:bottom w:val="none" w:sz="0" w:space="0" w:color="auto"/>
            <w:right w:val="none" w:sz="0" w:space="0" w:color="auto"/>
          </w:divBdr>
        </w:div>
        <w:div w:id="912423555">
          <w:marLeft w:val="0"/>
          <w:marRight w:val="0"/>
          <w:marTop w:val="77"/>
          <w:marBottom w:val="0"/>
          <w:divBdr>
            <w:top w:val="none" w:sz="0" w:space="0" w:color="auto"/>
            <w:left w:val="none" w:sz="0" w:space="0" w:color="auto"/>
            <w:bottom w:val="none" w:sz="0" w:space="0" w:color="auto"/>
            <w:right w:val="none" w:sz="0" w:space="0" w:color="auto"/>
          </w:divBdr>
        </w:div>
        <w:div w:id="924415192">
          <w:marLeft w:val="0"/>
          <w:marRight w:val="0"/>
          <w:marTop w:val="77"/>
          <w:marBottom w:val="0"/>
          <w:divBdr>
            <w:top w:val="none" w:sz="0" w:space="0" w:color="auto"/>
            <w:left w:val="none" w:sz="0" w:space="0" w:color="auto"/>
            <w:bottom w:val="none" w:sz="0" w:space="0" w:color="auto"/>
            <w:right w:val="none" w:sz="0" w:space="0" w:color="auto"/>
          </w:divBdr>
        </w:div>
        <w:div w:id="992369512">
          <w:marLeft w:val="0"/>
          <w:marRight w:val="0"/>
          <w:marTop w:val="77"/>
          <w:marBottom w:val="0"/>
          <w:divBdr>
            <w:top w:val="none" w:sz="0" w:space="0" w:color="auto"/>
            <w:left w:val="none" w:sz="0" w:space="0" w:color="auto"/>
            <w:bottom w:val="none" w:sz="0" w:space="0" w:color="auto"/>
            <w:right w:val="none" w:sz="0" w:space="0" w:color="auto"/>
          </w:divBdr>
        </w:div>
        <w:div w:id="1000811561">
          <w:marLeft w:val="0"/>
          <w:marRight w:val="0"/>
          <w:marTop w:val="77"/>
          <w:marBottom w:val="0"/>
          <w:divBdr>
            <w:top w:val="none" w:sz="0" w:space="0" w:color="auto"/>
            <w:left w:val="none" w:sz="0" w:space="0" w:color="auto"/>
            <w:bottom w:val="none" w:sz="0" w:space="0" w:color="auto"/>
            <w:right w:val="none" w:sz="0" w:space="0" w:color="auto"/>
          </w:divBdr>
        </w:div>
        <w:div w:id="1046299460">
          <w:marLeft w:val="0"/>
          <w:marRight w:val="0"/>
          <w:marTop w:val="77"/>
          <w:marBottom w:val="0"/>
          <w:divBdr>
            <w:top w:val="none" w:sz="0" w:space="0" w:color="auto"/>
            <w:left w:val="none" w:sz="0" w:space="0" w:color="auto"/>
            <w:bottom w:val="none" w:sz="0" w:space="0" w:color="auto"/>
            <w:right w:val="none" w:sz="0" w:space="0" w:color="auto"/>
          </w:divBdr>
        </w:div>
        <w:div w:id="1065253494">
          <w:marLeft w:val="0"/>
          <w:marRight w:val="0"/>
          <w:marTop w:val="77"/>
          <w:marBottom w:val="0"/>
          <w:divBdr>
            <w:top w:val="none" w:sz="0" w:space="0" w:color="auto"/>
            <w:left w:val="none" w:sz="0" w:space="0" w:color="auto"/>
            <w:bottom w:val="none" w:sz="0" w:space="0" w:color="auto"/>
            <w:right w:val="none" w:sz="0" w:space="0" w:color="auto"/>
          </w:divBdr>
        </w:div>
        <w:div w:id="1136336305">
          <w:marLeft w:val="0"/>
          <w:marRight w:val="0"/>
          <w:marTop w:val="77"/>
          <w:marBottom w:val="0"/>
          <w:divBdr>
            <w:top w:val="none" w:sz="0" w:space="0" w:color="auto"/>
            <w:left w:val="none" w:sz="0" w:space="0" w:color="auto"/>
            <w:bottom w:val="none" w:sz="0" w:space="0" w:color="auto"/>
            <w:right w:val="none" w:sz="0" w:space="0" w:color="auto"/>
          </w:divBdr>
        </w:div>
        <w:div w:id="1155296362">
          <w:marLeft w:val="0"/>
          <w:marRight w:val="0"/>
          <w:marTop w:val="77"/>
          <w:marBottom w:val="0"/>
          <w:divBdr>
            <w:top w:val="none" w:sz="0" w:space="0" w:color="auto"/>
            <w:left w:val="none" w:sz="0" w:space="0" w:color="auto"/>
            <w:bottom w:val="none" w:sz="0" w:space="0" w:color="auto"/>
            <w:right w:val="none" w:sz="0" w:space="0" w:color="auto"/>
          </w:divBdr>
        </w:div>
        <w:div w:id="1398283160">
          <w:marLeft w:val="0"/>
          <w:marRight w:val="0"/>
          <w:marTop w:val="77"/>
          <w:marBottom w:val="0"/>
          <w:divBdr>
            <w:top w:val="none" w:sz="0" w:space="0" w:color="auto"/>
            <w:left w:val="none" w:sz="0" w:space="0" w:color="auto"/>
            <w:bottom w:val="none" w:sz="0" w:space="0" w:color="auto"/>
            <w:right w:val="none" w:sz="0" w:space="0" w:color="auto"/>
          </w:divBdr>
        </w:div>
        <w:div w:id="1444612794">
          <w:marLeft w:val="0"/>
          <w:marRight w:val="0"/>
          <w:marTop w:val="77"/>
          <w:marBottom w:val="0"/>
          <w:divBdr>
            <w:top w:val="none" w:sz="0" w:space="0" w:color="auto"/>
            <w:left w:val="none" w:sz="0" w:space="0" w:color="auto"/>
            <w:bottom w:val="none" w:sz="0" w:space="0" w:color="auto"/>
            <w:right w:val="none" w:sz="0" w:space="0" w:color="auto"/>
          </w:divBdr>
        </w:div>
        <w:div w:id="1511291965">
          <w:marLeft w:val="0"/>
          <w:marRight w:val="0"/>
          <w:marTop w:val="77"/>
          <w:marBottom w:val="0"/>
          <w:divBdr>
            <w:top w:val="none" w:sz="0" w:space="0" w:color="auto"/>
            <w:left w:val="none" w:sz="0" w:space="0" w:color="auto"/>
            <w:bottom w:val="none" w:sz="0" w:space="0" w:color="auto"/>
            <w:right w:val="none" w:sz="0" w:space="0" w:color="auto"/>
          </w:divBdr>
        </w:div>
        <w:div w:id="1694306683">
          <w:marLeft w:val="0"/>
          <w:marRight w:val="0"/>
          <w:marTop w:val="77"/>
          <w:marBottom w:val="0"/>
          <w:divBdr>
            <w:top w:val="none" w:sz="0" w:space="0" w:color="auto"/>
            <w:left w:val="none" w:sz="0" w:space="0" w:color="auto"/>
            <w:bottom w:val="none" w:sz="0" w:space="0" w:color="auto"/>
            <w:right w:val="none" w:sz="0" w:space="0" w:color="auto"/>
          </w:divBdr>
        </w:div>
        <w:div w:id="1773548902">
          <w:marLeft w:val="0"/>
          <w:marRight w:val="0"/>
          <w:marTop w:val="77"/>
          <w:marBottom w:val="0"/>
          <w:divBdr>
            <w:top w:val="none" w:sz="0" w:space="0" w:color="auto"/>
            <w:left w:val="none" w:sz="0" w:space="0" w:color="auto"/>
            <w:bottom w:val="none" w:sz="0" w:space="0" w:color="auto"/>
            <w:right w:val="none" w:sz="0" w:space="0" w:color="auto"/>
          </w:divBdr>
        </w:div>
        <w:div w:id="2104370774">
          <w:marLeft w:val="0"/>
          <w:marRight w:val="0"/>
          <w:marTop w:val="77"/>
          <w:marBottom w:val="0"/>
          <w:divBdr>
            <w:top w:val="none" w:sz="0" w:space="0" w:color="auto"/>
            <w:left w:val="none" w:sz="0" w:space="0" w:color="auto"/>
            <w:bottom w:val="none" w:sz="0" w:space="0" w:color="auto"/>
            <w:right w:val="none" w:sz="0" w:space="0" w:color="auto"/>
          </w:divBdr>
        </w:div>
      </w:divsChild>
    </w:div>
    <w:div w:id="834144831">
      <w:bodyDiv w:val="1"/>
      <w:marLeft w:val="0"/>
      <w:marRight w:val="0"/>
      <w:marTop w:val="0"/>
      <w:marBottom w:val="0"/>
      <w:divBdr>
        <w:top w:val="none" w:sz="0" w:space="0" w:color="auto"/>
        <w:left w:val="none" w:sz="0" w:space="0" w:color="auto"/>
        <w:bottom w:val="none" w:sz="0" w:space="0" w:color="auto"/>
        <w:right w:val="none" w:sz="0" w:space="0" w:color="auto"/>
      </w:divBdr>
    </w:div>
    <w:div w:id="841891193">
      <w:bodyDiv w:val="1"/>
      <w:marLeft w:val="0"/>
      <w:marRight w:val="0"/>
      <w:marTop w:val="0"/>
      <w:marBottom w:val="0"/>
      <w:divBdr>
        <w:top w:val="none" w:sz="0" w:space="0" w:color="auto"/>
        <w:left w:val="none" w:sz="0" w:space="0" w:color="auto"/>
        <w:bottom w:val="none" w:sz="0" w:space="0" w:color="auto"/>
        <w:right w:val="none" w:sz="0" w:space="0" w:color="auto"/>
      </w:divBdr>
    </w:div>
    <w:div w:id="862859895">
      <w:bodyDiv w:val="1"/>
      <w:marLeft w:val="0"/>
      <w:marRight w:val="0"/>
      <w:marTop w:val="0"/>
      <w:marBottom w:val="0"/>
      <w:divBdr>
        <w:top w:val="none" w:sz="0" w:space="0" w:color="auto"/>
        <w:left w:val="none" w:sz="0" w:space="0" w:color="auto"/>
        <w:bottom w:val="none" w:sz="0" w:space="0" w:color="auto"/>
        <w:right w:val="none" w:sz="0" w:space="0" w:color="auto"/>
      </w:divBdr>
    </w:div>
    <w:div w:id="873931428">
      <w:bodyDiv w:val="1"/>
      <w:marLeft w:val="0"/>
      <w:marRight w:val="0"/>
      <w:marTop w:val="0"/>
      <w:marBottom w:val="0"/>
      <w:divBdr>
        <w:top w:val="none" w:sz="0" w:space="0" w:color="auto"/>
        <w:left w:val="none" w:sz="0" w:space="0" w:color="auto"/>
        <w:bottom w:val="none" w:sz="0" w:space="0" w:color="auto"/>
        <w:right w:val="none" w:sz="0" w:space="0" w:color="auto"/>
      </w:divBdr>
    </w:div>
    <w:div w:id="877546058">
      <w:bodyDiv w:val="1"/>
      <w:marLeft w:val="0"/>
      <w:marRight w:val="0"/>
      <w:marTop w:val="0"/>
      <w:marBottom w:val="0"/>
      <w:divBdr>
        <w:top w:val="none" w:sz="0" w:space="0" w:color="auto"/>
        <w:left w:val="none" w:sz="0" w:space="0" w:color="auto"/>
        <w:bottom w:val="none" w:sz="0" w:space="0" w:color="auto"/>
        <w:right w:val="none" w:sz="0" w:space="0" w:color="auto"/>
      </w:divBdr>
    </w:div>
    <w:div w:id="888955739">
      <w:bodyDiv w:val="1"/>
      <w:marLeft w:val="0"/>
      <w:marRight w:val="0"/>
      <w:marTop w:val="0"/>
      <w:marBottom w:val="0"/>
      <w:divBdr>
        <w:top w:val="none" w:sz="0" w:space="0" w:color="auto"/>
        <w:left w:val="none" w:sz="0" w:space="0" w:color="auto"/>
        <w:bottom w:val="none" w:sz="0" w:space="0" w:color="auto"/>
        <w:right w:val="none" w:sz="0" w:space="0" w:color="auto"/>
      </w:divBdr>
    </w:div>
    <w:div w:id="911424087">
      <w:bodyDiv w:val="1"/>
      <w:marLeft w:val="0"/>
      <w:marRight w:val="0"/>
      <w:marTop w:val="0"/>
      <w:marBottom w:val="0"/>
      <w:divBdr>
        <w:top w:val="none" w:sz="0" w:space="0" w:color="auto"/>
        <w:left w:val="none" w:sz="0" w:space="0" w:color="auto"/>
        <w:bottom w:val="none" w:sz="0" w:space="0" w:color="auto"/>
        <w:right w:val="none" w:sz="0" w:space="0" w:color="auto"/>
      </w:divBdr>
    </w:div>
    <w:div w:id="916787646">
      <w:bodyDiv w:val="1"/>
      <w:marLeft w:val="0"/>
      <w:marRight w:val="0"/>
      <w:marTop w:val="0"/>
      <w:marBottom w:val="0"/>
      <w:divBdr>
        <w:top w:val="none" w:sz="0" w:space="0" w:color="auto"/>
        <w:left w:val="none" w:sz="0" w:space="0" w:color="auto"/>
        <w:bottom w:val="none" w:sz="0" w:space="0" w:color="auto"/>
        <w:right w:val="none" w:sz="0" w:space="0" w:color="auto"/>
      </w:divBdr>
      <w:divsChild>
        <w:div w:id="1708093796">
          <w:marLeft w:val="0"/>
          <w:marRight w:val="0"/>
          <w:marTop w:val="0"/>
          <w:marBottom w:val="326"/>
          <w:divBdr>
            <w:top w:val="none" w:sz="0" w:space="0" w:color="auto"/>
            <w:left w:val="none" w:sz="0" w:space="0" w:color="auto"/>
            <w:bottom w:val="none" w:sz="0" w:space="0" w:color="auto"/>
            <w:right w:val="none" w:sz="0" w:space="0" w:color="auto"/>
          </w:divBdr>
        </w:div>
      </w:divsChild>
    </w:div>
    <w:div w:id="942112759">
      <w:bodyDiv w:val="1"/>
      <w:marLeft w:val="0"/>
      <w:marRight w:val="0"/>
      <w:marTop w:val="0"/>
      <w:marBottom w:val="0"/>
      <w:divBdr>
        <w:top w:val="none" w:sz="0" w:space="0" w:color="auto"/>
        <w:left w:val="none" w:sz="0" w:space="0" w:color="auto"/>
        <w:bottom w:val="none" w:sz="0" w:space="0" w:color="auto"/>
        <w:right w:val="none" w:sz="0" w:space="0" w:color="auto"/>
      </w:divBdr>
    </w:div>
    <w:div w:id="961157481">
      <w:bodyDiv w:val="1"/>
      <w:marLeft w:val="0"/>
      <w:marRight w:val="0"/>
      <w:marTop w:val="0"/>
      <w:marBottom w:val="0"/>
      <w:divBdr>
        <w:top w:val="none" w:sz="0" w:space="0" w:color="auto"/>
        <w:left w:val="none" w:sz="0" w:space="0" w:color="auto"/>
        <w:bottom w:val="none" w:sz="0" w:space="0" w:color="auto"/>
        <w:right w:val="none" w:sz="0" w:space="0" w:color="auto"/>
      </w:divBdr>
    </w:div>
    <w:div w:id="970667850">
      <w:bodyDiv w:val="1"/>
      <w:marLeft w:val="0"/>
      <w:marRight w:val="0"/>
      <w:marTop w:val="0"/>
      <w:marBottom w:val="0"/>
      <w:divBdr>
        <w:top w:val="none" w:sz="0" w:space="0" w:color="auto"/>
        <w:left w:val="none" w:sz="0" w:space="0" w:color="auto"/>
        <w:bottom w:val="none" w:sz="0" w:space="0" w:color="auto"/>
        <w:right w:val="none" w:sz="0" w:space="0" w:color="auto"/>
      </w:divBdr>
    </w:div>
    <w:div w:id="977222725">
      <w:bodyDiv w:val="1"/>
      <w:marLeft w:val="0"/>
      <w:marRight w:val="0"/>
      <w:marTop w:val="0"/>
      <w:marBottom w:val="0"/>
      <w:divBdr>
        <w:top w:val="none" w:sz="0" w:space="0" w:color="auto"/>
        <w:left w:val="none" w:sz="0" w:space="0" w:color="auto"/>
        <w:bottom w:val="none" w:sz="0" w:space="0" w:color="auto"/>
        <w:right w:val="none" w:sz="0" w:space="0" w:color="auto"/>
      </w:divBdr>
    </w:div>
    <w:div w:id="993533996">
      <w:bodyDiv w:val="1"/>
      <w:marLeft w:val="0"/>
      <w:marRight w:val="0"/>
      <w:marTop w:val="0"/>
      <w:marBottom w:val="0"/>
      <w:divBdr>
        <w:top w:val="none" w:sz="0" w:space="0" w:color="auto"/>
        <w:left w:val="none" w:sz="0" w:space="0" w:color="auto"/>
        <w:bottom w:val="none" w:sz="0" w:space="0" w:color="auto"/>
        <w:right w:val="none" w:sz="0" w:space="0" w:color="auto"/>
      </w:divBdr>
      <w:divsChild>
        <w:div w:id="1574974848">
          <w:marLeft w:val="677"/>
          <w:marRight w:val="0"/>
          <w:marTop w:val="0"/>
          <w:marBottom w:val="0"/>
          <w:divBdr>
            <w:top w:val="none" w:sz="0" w:space="0" w:color="auto"/>
            <w:left w:val="none" w:sz="0" w:space="0" w:color="auto"/>
            <w:bottom w:val="none" w:sz="0" w:space="0" w:color="auto"/>
            <w:right w:val="none" w:sz="0" w:space="0" w:color="auto"/>
          </w:divBdr>
        </w:div>
        <w:div w:id="1707874878">
          <w:marLeft w:val="677"/>
          <w:marRight w:val="0"/>
          <w:marTop w:val="0"/>
          <w:marBottom w:val="0"/>
          <w:divBdr>
            <w:top w:val="none" w:sz="0" w:space="0" w:color="auto"/>
            <w:left w:val="none" w:sz="0" w:space="0" w:color="auto"/>
            <w:bottom w:val="none" w:sz="0" w:space="0" w:color="auto"/>
            <w:right w:val="none" w:sz="0" w:space="0" w:color="auto"/>
          </w:divBdr>
        </w:div>
        <w:div w:id="2131196604">
          <w:marLeft w:val="677"/>
          <w:marRight w:val="0"/>
          <w:marTop w:val="0"/>
          <w:marBottom w:val="0"/>
          <w:divBdr>
            <w:top w:val="none" w:sz="0" w:space="0" w:color="auto"/>
            <w:left w:val="none" w:sz="0" w:space="0" w:color="auto"/>
            <w:bottom w:val="none" w:sz="0" w:space="0" w:color="auto"/>
            <w:right w:val="none" w:sz="0" w:space="0" w:color="auto"/>
          </w:divBdr>
        </w:div>
      </w:divsChild>
    </w:div>
    <w:div w:id="999849443">
      <w:bodyDiv w:val="1"/>
      <w:marLeft w:val="0"/>
      <w:marRight w:val="0"/>
      <w:marTop w:val="0"/>
      <w:marBottom w:val="0"/>
      <w:divBdr>
        <w:top w:val="none" w:sz="0" w:space="0" w:color="auto"/>
        <w:left w:val="none" w:sz="0" w:space="0" w:color="auto"/>
        <w:bottom w:val="none" w:sz="0" w:space="0" w:color="auto"/>
        <w:right w:val="none" w:sz="0" w:space="0" w:color="auto"/>
      </w:divBdr>
    </w:div>
    <w:div w:id="1011645500">
      <w:bodyDiv w:val="1"/>
      <w:marLeft w:val="0"/>
      <w:marRight w:val="0"/>
      <w:marTop w:val="0"/>
      <w:marBottom w:val="0"/>
      <w:divBdr>
        <w:top w:val="none" w:sz="0" w:space="0" w:color="auto"/>
        <w:left w:val="none" w:sz="0" w:space="0" w:color="auto"/>
        <w:bottom w:val="none" w:sz="0" w:space="0" w:color="auto"/>
        <w:right w:val="none" w:sz="0" w:space="0" w:color="auto"/>
      </w:divBdr>
    </w:div>
    <w:div w:id="1012488060">
      <w:bodyDiv w:val="1"/>
      <w:marLeft w:val="0"/>
      <w:marRight w:val="0"/>
      <w:marTop w:val="0"/>
      <w:marBottom w:val="0"/>
      <w:divBdr>
        <w:top w:val="none" w:sz="0" w:space="0" w:color="auto"/>
        <w:left w:val="none" w:sz="0" w:space="0" w:color="auto"/>
        <w:bottom w:val="none" w:sz="0" w:space="0" w:color="auto"/>
        <w:right w:val="none" w:sz="0" w:space="0" w:color="auto"/>
      </w:divBdr>
    </w:div>
    <w:div w:id="1036740486">
      <w:bodyDiv w:val="1"/>
      <w:marLeft w:val="0"/>
      <w:marRight w:val="0"/>
      <w:marTop w:val="0"/>
      <w:marBottom w:val="0"/>
      <w:divBdr>
        <w:top w:val="none" w:sz="0" w:space="0" w:color="auto"/>
        <w:left w:val="none" w:sz="0" w:space="0" w:color="auto"/>
        <w:bottom w:val="none" w:sz="0" w:space="0" w:color="auto"/>
        <w:right w:val="none" w:sz="0" w:space="0" w:color="auto"/>
      </w:divBdr>
    </w:div>
    <w:div w:id="1040544908">
      <w:bodyDiv w:val="1"/>
      <w:marLeft w:val="0"/>
      <w:marRight w:val="0"/>
      <w:marTop w:val="0"/>
      <w:marBottom w:val="0"/>
      <w:divBdr>
        <w:top w:val="none" w:sz="0" w:space="0" w:color="auto"/>
        <w:left w:val="none" w:sz="0" w:space="0" w:color="auto"/>
        <w:bottom w:val="none" w:sz="0" w:space="0" w:color="auto"/>
        <w:right w:val="none" w:sz="0" w:space="0" w:color="auto"/>
      </w:divBdr>
    </w:div>
    <w:div w:id="1047223707">
      <w:bodyDiv w:val="1"/>
      <w:marLeft w:val="0"/>
      <w:marRight w:val="0"/>
      <w:marTop w:val="0"/>
      <w:marBottom w:val="0"/>
      <w:divBdr>
        <w:top w:val="none" w:sz="0" w:space="0" w:color="auto"/>
        <w:left w:val="none" w:sz="0" w:space="0" w:color="auto"/>
        <w:bottom w:val="none" w:sz="0" w:space="0" w:color="auto"/>
        <w:right w:val="none" w:sz="0" w:space="0" w:color="auto"/>
      </w:divBdr>
    </w:div>
    <w:div w:id="1051155061">
      <w:bodyDiv w:val="1"/>
      <w:marLeft w:val="0"/>
      <w:marRight w:val="0"/>
      <w:marTop w:val="0"/>
      <w:marBottom w:val="0"/>
      <w:divBdr>
        <w:top w:val="none" w:sz="0" w:space="0" w:color="auto"/>
        <w:left w:val="none" w:sz="0" w:space="0" w:color="auto"/>
        <w:bottom w:val="none" w:sz="0" w:space="0" w:color="auto"/>
        <w:right w:val="none" w:sz="0" w:space="0" w:color="auto"/>
      </w:divBdr>
    </w:div>
    <w:div w:id="1052660296">
      <w:bodyDiv w:val="1"/>
      <w:marLeft w:val="0"/>
      <w:marRight w:val="0"/>
      <w:marTop w:val="0"/>
      <w:marBottom w:val="0"/>
      <w:divBdr>
        <w:top w:val="none" w:sz="0" w:space="0" w:color="auto"/>
        <w:left w:val="none" w:sz="0" w:space="0" w:color="auto"/>
        <w:bottom w:val="none" w:sz="0" w:space="0" w:color="auto"/>
        <w:right w:val="none" w:sz="0" w:space="0" w:color="auto"/>
      </w:divBdr>
    </w:div>
    <w:div w:id="1066757831">
      <w:bodyDiv w:val="1"/>
      <w:marLeft w:val="0"/>
      <w:marRight w:val="0"/>
      <w:marTop w:val="0"/>
      <w:marBottom w:val="0"/>
      <w:divBdr>
        <w:top w:val="none" w:sz="0" w:space="0" w:color="auto"/>
        <w:left w:val="none" w:sz="0" w:space="0" w:color="auto"/>
        <w:bottom w:val="none" w:sz="0" w:space="0" w:color="auto"/>
        <w:right w:val="none" w:sz="0" w:space="0" w:color="auto"/>
      </w:divBdr>
    </w:div>
    <w:div w:id="1073355019">
      <w:bodyDiv w:val="1"/>
      <w:marLeft w:val="0"/>
      <w:marRight w:val="0"/>
      <w:marTop w:val="0"/>
      <w:marBottom w:val="0"/>
      <w:divBdr>
        <w:top w:val="none" w:sz="0" w:space="0" w:color="auto"/>
        <w:left w:val="none" w:sz="0" w:space="0" w:color="auto"/>
        <w:bottom w:val="none" w:sz="0" w:space="0" w:color="auto"/>
        <w:right w:val="none" w:sz="0" w:space="0" w:color="auto"/>
      </w:divBdr>
    </w:div>
    <w:div w:id="1077939224">
      <w:bodyDiv w:val="1"/>
      <w:marLeft w:val="0"/>
      <w:marRight w:val="0"/>
      <w:marTop w:val="0"/>
      <w:marBottom w:val="0"/>
      <w:divBdr>
        <w:top w:val="none" w:sz="0" w:space="0" w:color="auto"/>
        <w:left w:val="none" w:sz="0" w:space="0" w:color="auto"/>
        <w:bottom w:val="none" w:sz="0" w:space="0" w:color="auto"/>
        <w:right w:val="none" w:sz="0" w:space="0" w:color="auto"/>
      </w:divBdr>
    </w:div>
    <w:div w:id="1124812609">
      <w:bodyDiv w:val="1"/>
      <w:marLeft w:val="0"/>
      <w:marRight w:val="0"/>
      <w:marTop w:val="0"/>
      <w:marBottom w:val="0"/>
      <w:divBdr>
        <w:top w:val="none" w:sz="0" w:space="0" w:color="auto"/>
        <w:left w:val="none" w:sz="0" w:space="0" w:color="auto"/>
        <w:bottom w:val="none" w:sz="0" w:space="0" w:color="auto"/>
        <w:right w:val="none" w:sz="0" w:space="0" w:color="auto"/>
      </w:divBdr>
    </w:div>
    <w:div w:id="1141656109">
      <w:bodyDiv w:val="1"/>
      <w:marLeft w:val="0"/>
      <w:marRight w:val="0"/>
      <w:marTop w:val="0"/>
      <w:marBottom w:val="0"/>
      <w:divBdr>
        <w:top w:val="none" w:sz="0" w:space="0" w:color="auto"/>
        <w:left w:val="none" w:sz="0" w:space="0" w:color="auto"/>
        <w:bottom w:val="none" w:sz="0" w:space="0" w:color="auto"/>
        <w:right w:val="none" w:sz="0" w:space="0" w:color="auto"/>
      </w:divBdr>
    </w:div>
    <w:div w:id="1155336915">
      <w:bodyDiv w:val="1"/>
      <w:marLeft w:val="0"/>
      <w:marRight w:val="0"/>
      <w:marTop w:val="0"/>
      <w:marBottom w:val="0"/>
      <w:divBdr>
        <w:top w:val="none" w:sz="0" w:space="0" w:color="auto"/>
        <w:left w:val="none" w:sz="0" w:space="0" w:color="auto"/>
        <w:bottom w:val="none" w:sz="0" w:space="0" w:color="auto"/>
        <w:right w:val="none" w:sz="0" w:space="0" w:color="auto"/>
      </w:divBdr>
    </w:div>
    <w:div w:id="1159687010">
      <w:bodyDiv w:val="1"/>
      <w:marLeft w:val="0"/>
      <w:marRight w:val="0"/>
      <w:marTop w:val="0"/>
      <w:marBottom w:val="0"/>
      <w:divBdr>
        <w:top w:val="none" w:sz="0" w:space="0" w:color="auto"/>
        <w:left w:val="none" w:sz="0" w:space="0" w:color="auto"/>
        <w:bottom w:val="none" w:sz="0" w:space="0" w:color="auto"/>
        <w:right w:val="none" w:sz="0" w:space="0" w:color="auto"/>
      </w:divBdr>
    </w:div>
    <w:div w:id="1171144443">
      <w:bodyDiv w:val="1"/>
      <w:marLeft w:val="0"/>
      <w:marRight w:val="0"/>
      <w:marTop w:val="0"/>
      <w:marBottom w:val="0"/>
      <w:divBdr>
        <w:top w:val="none" w:sz="0" w:space="0" w:color="auto"/>
        <w:left w:val="none" w:sz="0" w:space="0" w:color="auto"/>
        <w:bottom w:val="none" w:sz="0" w:space="0" w:color="auto"/>
        <w:right w:val="none" w:sz="0" w:space="0" w:color="auto"/>
      </w:divBdr>
      <w:divsChild>
        <w:div w:id="366609737">
          <w:marLeft w:val="0"/>
          <w:marRight w:val="0"/>
          <w:marTop w:val="0"/>
          <w:marBottom w:val="0"/>
          <w:divBdr>
            <w:top w:val="none" w:sz="0" w:space="0" w:color="auto"/>
            <w:left w:val="none" w:sz="0" w:space="0" w:color="auto"/>
            <w:bottom w:val="none" w:sz="0" w:space="0" w:color="auto"/>
            <w:right w:val="none" w:sz="0" w:space="0" w:color="auto"/>
          </w:divBdr>
          <w:divsChild>
            <w:div w:id="139152097">
              <w:marLeft w:val="0"/>
              <w:marRight w:val="0"/>
              <w:marTop w:val="0"/>
              <w:marBottom w:val="0"/>
              <w:divBdr>
                <w:top w:val="none" w:sz="0" w:space="0" w:color="auto"/>
                <w:left w:val="none" w:sz="0" w:space="0" w:color="auto"/>
                <w:bottom w:val="none" w:sz="0" w:space="0" w:color="auto"/>
                <w:right w:val="none" w:sz="0" w:space="0" w:color="auto"/>
              </w:divBdr>
            </w:div>
            <w:div w:id="198592198">
              <w:marLeft w:val="0"/>
              <w:marRight w:val="0"/>
              <w:marTop w:val="0"/>
              <w:marBottom w:val="0"/>
              <w:divBdr>
                <w:top w:val="none" w:sz="0" w:space="0" w:color="auto"/>
                <w:left w:val="none" w:sz="0" w:space="0" w:color="auto"/>
                <w:bottom w:val="none" w:sz="0" w:space="0" w:color="auto"/>
                <w:right w:val="none" w:sz="0" w:space="0" w:color="auto"/>
              </w:divBdr>
            </w:div>
            <w:div w:id="214858676">
              <w:marLeft w:val="0"/>
              <w:marRight w:val="0"/>
              <w:marTop w:val="0"/>
              <w:marBottom w:val="0"/>
              <w:divBdr>
                <w:top w:val="none" w:sz="0" w:space="0" w:color="auto"/>
                <w:left w:val="none" w:sz="0" w:space="0" w:color="auto"/>
                <w:bottom w:val="none" w:sz="0" w:space="0" w:color="auto"/>
                <w:right w:val="none" w:sz="0" w:space="0" w:color="auto"/>
              </w:divBdr>
            </w:div>
            <w:div w:id="1139154884">
              <w:marLeft w:val="0"/>
              <w:marRight w:val="0"/>
              <w:marTop w:val="0"/>
              <w:marBottom w:val="0"/>
              <w:divBdr>
                <w:top w:val="none" w:sz="0" w:space="0" w:color="auto"/>
                <w:left w:val="none" w:sz="0" w:space="0" w:color="auto"/>
                <w:bottom w:val="none" w:sz="0" w:space="0" w:color="auto"/>
                <w:right w:val="none" w:sz="0" w:space="0" w:color="auto"/>
              </w:divBdr>
            </w:div>
            <w:div w:id="1440443583">
              <w:marLeft w:val="0"/>
              <w:marRight w:val="0"/>
              <w:marTop w:val="0"/>
              <w:marBottom w:val="0"/>
              <w:divBdr>
                <w:top w:val="none" w:sz="0" w:space="0" w:color="auto"/>
                <w:left w:val="none" w:sz="0" w:space="0" w:color="auto"/>
                <w:bottom w:val="none" w:sz="0" w:space="0" w:color="auto"/>
                <w:right w:val="none" w:sz="0" w:space="0" w:color="auto"/>
              </w:divBdr>
            </w:div>
            <w:div w:id="1479686707">
              <w:marLeft w:val="0"/>
              <w:marRight w:val="0"/>
              <w:marTop w:val="0"/>
              <w:marBottom w:val="0"/>
              <w:divBdr>
                <w:top w:val="none" w:sz="0" w:space="0" w:color="auto"/>
                <w:left w:val="none" w:sz="0" w:space="0" w:color="auto"/>
                <w:bottom w:val="none" w:sz="0" w:space="0" w:color="auto"/>
                <w:right w:val="none" w:sz="0" w:space="0" w:color="auto"/>
              </w:divBdr>
            </w:div>
            <w:div w:id="1562328638">
              <w:marLeft w:val="0"/>
              <w:marRight w:val="0"/>
              <w:marTop w:val="0"/>
              <w:marBottom w:val="0"/>
              <w:divBdr>
                <w:top w:val="none" w:sz="0" w:space="0" w:color="auto"/>
                <w:left w:val="none" w:sz="0" w:space="0" w:color="auto"/>
                <w:bottom w:val="none" w:sz="0" w:space="0" w:color="auto"/>
                <w:right w:val="none" w:sz="0" w:space="0" w:color="auto"/>
              </w:divBdr>
            </w:div>
            <w:div w:id="1683773467">
              <w:marLeft w:val="0"/>
              <w:marRight w:val="0"/>
              <w:marTop w:val="0"/>
              <w:marBottom w:val="0"/>
              <w:divBdr>
                <w:top w:val="none" w:sz="0" w:space="0" w:color="auto"/>
                <w:left w:val="none" w:sz="0" w:space="0" w:color="auto"/>
                <w:bottom w:val="none" w:sz="0" w:space="0" w:color="auto"/>
                <w:right w:val="none" w:sz="0" w:space="0" w:color="auto"/>
              </w:divBdr>
            </w:div>
            <w:div w:id="2052260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151822">
      <w:bodyDiv w:val="1"/>
      <w:marLeft w:val="0"/>
      <w:marRight w:val="0"/>
      <w:marTop w:val="0"/>
      <w:marBottom w:val="0"/>
      <w:divBdr>
        <w:top w:val="none" w:sz="0" w:space="0" w:color="auto"/>
        <w:left w:val="none" w:sz="0" w:space="0" w:color="auto"/>
        <w:bottom w:val="none" w:sz="0" w:space="0" w:color="auto"/>
        <w:right w:val="none" w:sz="0" w:space="0" w:color="auto"/>
      </w:divBdr>
      <w:divsChild>
        <w:div w:id="1860701443">
          <w:marLeft w:val="0"/>
          <w:marRight w:val="0"/>
          <w:marTop w:val="0"/>
          <w:marBottom w:val="326"/>
          <w:divBdr>
            <w:top w:val="none" w:sz="0" w:space="0" w:color="auto"/>
            <w:left w:val="none" w:sz="0" w:space="0" w:color="auto"/>
            <w:bottom w:val="none" w:sz="0" w:space="0" w:color="auto"/>
            <w:right w:val="none" w:sz="0" w:space="0" w:color="auto"/>
          </w:divBdr>
        </w:div>
      </w:divsChild>
    </w:div>
    <w:div w:id="1225330629">
      <w:bodyDiv w:val="1"/>
      <w:marLeft w:val="0"/>
      <w:marRight w:val="0"/>
      <w:marTop w:val="0"/>
      <w:marBottom w:val="0"/>
      <w:divBdr>
        <w:top w:val="none" w:sz="0" w:space="0" w:color="auto"/>
        <w:left w:val="none" w:sz="0" w:space="0" w:color="auto"/>
        <w:bottom w:val="none" w:sz="0" w:space="0" w:color="auto"/>
        <w:right w:val="none" w:sz="0" w:space="0" w:color="auto"/>
      </w:divBdr>
    </w:div>
    <w:div w:id="1239091469">
      <w:bodyDiv w:val="1"/>
      <w:marLeft w:val="0"/>
      <w:marRight w:val="0"/>
      <w:marTop w:val="0"/>
      <w:marBottom w:val="0"/>
      <w:divBdr>
        <w:top w:val="none" w:sz="0" w:space="0" w:color="auto"/>
        <w:left w:val="none" w:sz="0" w:space="0" w:color="auto"/>
        <w:bottom w:val="none" w:sz="0" w:space="0" w:color="auto"/>
        <w:right w:val="none" w:sz="0" w:space="0" w:color="auto"/>
      </w:divBdr>
    </w:div>
    <w:div w:id="1261061679">
      <w:bodyDiv w:val="1"/>
      <w:marLeft w:val="0"/>
      <w:marRight w:val="0"/>
      <w:marTop w:val="0"/>
      <w:marBottom w:val="0"/>
      <w:divBdr>
        <w:top w:val="none" w:sz="0" w:space="0" w:color="auto"/>
        <w:left w:val="none" w:sz="0" w:space="0" w:color="auto"/>
        <w:bottom w:val="none" w:sz="0" w:space="0" w:color="auto"/>
        <w:right w:val="none" w:sz="0" w:space="0" w:color="auto"/>
      </w:divBdr>
    </w:div>
    <w:div w:id="1268854466">
      <w:bodyDiv w:val="1"/>
      <w:marLeft w:val="0"/>
      <w:marRight w:val="0"/>
      <w:marTop w:val="0"/>
      <w:marBottom w:val="0"/>
      <w:divBdr>
        <w:top w:val="none" w:sz="0" w:space="0" w:color="auto"/>
        <w:left w:val="none" w:sz="0" w:space="0" w:color="auto"/>
        <w:bottom w:val="none" w:sz="0" w:space="0" w:color="auto"/>
        <w:right w:val="none" w:sz="0" w:space="0" w:color="auto"/>
      </w:divBdr>
    </w:div>
    <w:div w:id="1294680514">
      <w:bodyDiv w:val="1"/>
      <w:marLeft w:val="0"/>
      <w:marRight w:val="0"/>
      <w:marTop w:val="0"/>
      <w:marBottom w:val="0"/>
      <w:divBdr>
        <w:top w:val="none" w:sz="0" w:space="0" w:color="auto"/>
        <w:left w:val="none" w:sz="0" w:space="0" w:color="auto"/>
        <w:bottom w:val="none" w:sz="0" w:space="0" w:color="auto"/>
        <w:right w:val="none" w:sz="0" w:space="0" w:color="auto"/>
      </w:divBdr>
    </w:div>
    <w:div w:id="1311136353">
      <w:bodyDiv w:val="1"/>
      <w:marLeft w:val="0"/>
      <w:marRight w:val="0"/>
      <w:marTop w:val="0"/>
      <w:marBottom w:val="0"/>
      <w:divBdr>
        <w:top w:val="none" w:sz="0" w:space="0" w:color="auto"/>
        <w:left w:val="none" w:sz="0" w:space="0" w:color="auto"/>
        <w:bottom w:val="none" w:sz="0" w:space="0" w:color="auto"/>
        <w:right w:val="none" w:sz="0" w:space="0" w:color="auto"/>
      </w:divBdr>
    </w:div>
    <w:div w:id="1314797885">
      <w:bodyDiv w:val="1"/>
      <w:marLeft w:val="0"/>
      <w:marRight w:val="0"/>
      <w:marTop w:val="0"/>
      <w:marBottom w:val="0"/>
      <w:divBdr>
        <w:top w:val="none" w:sz="0" w:space="0" w:color="auto"/>
        <w:left w:val="none" w:sz="0" w:space="0" w:color="auto"/>
        <w:bottom w:val="none" w:sz="0" w:space="0" w:color="auto"/>
        <w:right w:val="none" w:sz="0" w:space="0" w:color="auto"/>
      </w:divBdr>
      <w:divsChild>
        <w:div w:id="1181504747">
          <w:marLeft w:val="0"/>
          <w:marRight w:val="0"/>
          <w:marTop w:val="0"/>
          <w:marBottom w:val="326"/>
          <w:divBdr>
            <w:top w:val="none" w:sz="0" w:space="0" w:color="auto"/>
            <w:left w:val="none" w:sz="0" w:space="0" w:color="auto"/>
            <w:bottom w:val="none" w:sz="0" w:space="0" w:color="auto"/>
            <w:right w:val="none" w:sz="0" w:space="0" w:color="auto"/>
          </w:divBdr>
        </w:div>
      </w:divsChild>
    </w:div>
    <w:div w:id="1322270829">
      <w:bodyDiv w:val="1"/>
      <w:marLeft w:val="0"/>
      <w:marRight w:val="0"/>
      <w:marTop w:val="0"/>
      <w:marBottom w:val="0"/>
      <w:divBdr>
        <w:top w:val="none" w:sz="0" w:space="0" w:color="auto"/>
        <w:left w:val="none" w:sz="0" w:space="0" w:color="auto"/>
        <w:bottom w:val="none" w:sz="0" w:space="0" w:color="auto"/>
        <w:right w:val="none" w:sz="0" w:space="0" w:color="auto"/>
      </w:divBdr>
    </w:div>
    <w:div w:id="1334530910">
      <w:bodyDiv w:val="1"/>
      <w:marLeft w:val="0"/>
      <w:marRight w:val="0"/>
      <w:marTop w:val="0"/>
      <w:marBottom w:val="0"/>
      <w:divBdr>
        <w:top w:val="none" w:sz="0" w:space="0" w:color="auto"/>
        <w:left w:val="none" w:sz="0" w:space="0" w:color="auto"/>
        <w:bottom w:val="none" w:sz="0" w:space="0" w:color="auto"/>
        <w:right w:val="none" w:sz="0" w:space="0" w:color="auto"/>
      </w:divBdr>
    </w:div>
    <w:div w:id="1346207338">
      <w:bodyDiv w:val="1"/>
      <w:marLeft w:val="0"/>
      <w:marRight w:val="0"/>
      <w:marTop w:val="0"/>
      <w:marBottom w:val="0"/>
      <w:divBdr>
        <w:top w:val="none" w:sz="0" w:space="0" w:color="auto"/>
        <w:left w:val="none" w:sz="0" w:space="0" w:color="auto"/>
        <w:bottom w:val="none" w:sz="0" w:space="0" w:color="auto"/>
        <w:right w:val="none" w:sz="0" w:space="0" w:color="auto"/>
      </w:divBdr>
      <w:divsChild>
        <w:div w:id="592518505">
          <w:marLeft w:val="0"/>
          <w:marRight w:val="0"/>
          <w:marTop w:val="0"/>
          <w:marBottom w:val="326"/>
          <w:divBdr>
            <w:top w:val="none" w:sz="0" w:space="0" w:color="auto"/>
            <w:left w:val="none" w:sz="0" w:space="0" w:color="auto"/>
            <w:bottom w:val="none" w:sz="0" w:space="0" w:color="auto"/>
            <w:right w:val="none" w:sz="0" w:space="0" w:color="auto"/>
          </w:divBdr>
        </w:div>
      </w:divsChild>
    </w:div>
    <w:div w:id="1349213658">
      <w:bodyDiv w:val="1"/>
      <w:marLeft w:val="0"/>
      <w:marRight w:val="0"/>
      <w:marTop w:val="0"/>
      <w:marBottom w:val="0"/>
      <w:divBdr>
        <w:top w:val="none" w:sz="0" w:space="0" w:color="auto"/>
        <w:left w:val="none" w:sz="0" w:space="0" w:color="auto"/>
        <w:bottom w:val="none" w:sz="0" w:space="0" w:color="auto"/>
        <w:right w:val="none" w:sz="0" w:space="0" w:color="auto"/>
      </w:divBdr>
      <w:divsChild>
        <w:div w:id="864637056">
          <w:marLeft w:val="0"/>
          <w:marRight w:val="0"/>
          <w:marTop w:val="0"/>
          <w:marBottom w:val="326"/>
          <w:divBdr>
            <w:top w:val="none" w:sz="0" w:space="0" w:color="auto"/>
            <w:left w:val="none" w:sz="0" w:space="0" w:color="auto"/>
            <w:bottom w:val="none" w:sz="0" w:space="0" w:color="auto"/>
            <w:right w:val="none" w:sz="0" w:space="0" w:color="auto"/>
          </w:divBdr>
        </w:div>
      </w:divsChild>
    </w:div>
    <w:div w:id="1393118061">
      <w:bodyDiv w:val="1"/>
      <w:marLeft w:val="204"/>
      <w:marRight w:val="204"/>
      <w:marTop w:val="204"/>
      <w:marBottom w:val="204"/>
      <w:divBdr>
        <w:top w:val="none" w:sz="0" w:space="0" w:color="auto"/>
        <w:left w:val="none" w:sz="0" w:space="0" w:color="auto"/>
        <w:bottom w:val="none" w:sz="0" w:space="0" w:color="auto"/>
        <w:right w:val="none" w:sz="0" w:space="0" w:color="auto"/>
      </w:divBdr>
      <w:divsChild>
        <w:div w:id="1215579280">
          <w:marLeft w:val="0"/>
          <w:marRight w:val="0"/>
          <w:marTop w:val="0"/>
          <w:marBottom w:val="326"/>
          <w:divBdr>
            <w:top w:val="none" w:sz="0" w:space="0" w:color="auto"/>
            <w:left w:val="none" w:sz="0" w:space="0" w:color="auto"/>
            <w:bottom w:val="none" w:sz="0" w:space="0" w:color="auto"/>
            <w:right w:val="none" w:sz="0" w:space="0" w:color="auto"/>
          </w:divBdr>
        </w:div>
      </w:divsChild>
    </w:div>
    <w:div w:id="1396123211">
      <w:bodyDiv w:val="1"/>
      <w:marLeft w:val="0"/>
      <w:marRight w:val="0"/>
      <w:marTop w:val="0"/>
      <w:marBottom w:val="0"/>
      <w:divBdr>
        <w:top w:val="none" w:sz="0" w:space="0" w:color="auto"/>
        <w:left w:val="none" w:sz="0" w:space="0" w:color="auto"/>
        <w:bottom w:val="none" w:sz="0" w:space="0" w:color="auto"/>
        <w:right w:val="none" w:sz="0" w:space="0" w:color="auto"/>
      </w:divBdr>
    </w:div>
    <w:div w:id="1404329505">
      <w:bodyDiv w:val="1"/>
      <w:marLeft w:val="0"/>
      <w:marRight w:val="0"/>
      <w:marTop w:val="0"/>
      <w:marBottom w:val="0"/>
      <w:divBdr>
        <w:top w:val="none" w:sz="0" w:space="0" w:color="auto"/>
        <w:left w:val="none" w:sz="0" w:space="0" w:color="auto"/>
        <w:bottom w:val="none" w:sz="0" w:space="0" w:color="auto"/>
        <w:right w:val="none" w:sz="0" w:space="0" w:color="auto"/>
      </w:divBdr>
    </w:div>
    <w:div w:id="1431699516">
      <w:bodyDiv w:val="1"/>
      <w:marLeft w:val="0"/>
      <w:marRight w:val="0"/>
      <w:marTop w:val="0"/>
      <w:marBottom w:val="0"/>
      <w:divBdr>
        <w:top w:val="none" w:sz="0" w:space="0" w:color="auto"/>
        <w:left w:val="none" w:sz="0" w:space="0" w:color="auto"/>
        <w:bottom w:val="none" w:sz="0" w:space="0" w:color="auto"/>
        <w:right w:val="none" w:sz="0" w:space="0" w:color="auto"/>
      </w:divBdr>
      <w:divsChild>
        <w:div w:id="1893997048">
          <w:marLeft w:val="0"/>
          <w:marRight w:val="0"/>
          <w:marTop w:val="0"/>
          <w:marBottom w:val="326"/>
          <w:divBdr>
            <w:top w:val="none" w:sz="0" w:space="0" w:color="auto"/>
            <w:left w:val="none" w:sz="0" w:space="0" w:color="auto"/>
            <w:bottom w:val="none" w:sz="0" w:space="0" w:color="auto"/>
            <w:right w:val="none" w:sz="0" w:space="0" w:color="auto"/>
          </w:divBdr>
        </w:div>
      </w:divsChild>
    </w:div>
    <w:div w:id="1449616587">
      <w:bodyDiv w:val="1"/>
      <w:marLeft w:val="0"/>
      <w:marRight w:val="0"/>
      <w:marTop w:val="0"/>
      <w:marBottom w:val="0"/>
      <w:divBdr>
        <w:top w:val="none" w:sz="0" w:space="0" w:color="auto"/>
        <w:left w:val="none" w:sz="0" w:space="0" w:color="auto"/>
        <w:bottom w:val="none" w:sz="0" w:space="0" w:color="auto"/>
        <w:right w:val="none" w:sz="0" w:space="0" w:color="auto"/>
      </w:divBdr>
      <w:divsChild>
        <w:div w:id="31199749">
          <w:marLeft w:val="0"/>
          <w:marRight w:val="0"/>
          <w:marTop w:val="0"/>
          <w:marBottom w:val="0"/>
          <w:divBdr>
            <w:top w:val="none" w:sz="0" w:space="0" w:color="auto"/>
            <w:left w:val="none" w:sz="0" w:space="0" w:color="auto"/>
            <w:bottom w:val="none" w:sz="0" w:space="0" w:color="auto"/>
            <w:right w:val="none" w:sz="0" w:space="0" w:color="auto"/>
          </w:divBdr>
        </w:div>
      </w:divsChild>
    </w:div>
    <w:div w:id="1455640787">
      <w:bodyDiv w:val="1"/>
      <w:marLeft w:val="0"/>
      <w:marRight w:val="0"/>
      <w:marTop w:val="0"/>
      <w:marBottom w:val="0"/>
      <w:divBdr>
        <w:top w:val="none" w:sz="0" w:space="0" w:color="auto"/>
        <w:left w:val="none" w:sz="0" w:space="0" w:color="auto"/>
        <w:bottom w:val="none" w:sz="0" w:space="0" w:color="auto"/>
        <w:right w:val="none" w:sz="0" w:space="0" w:color="auto"/>
      </w:divBdr>
    </w:div>
    <w:div w:id="1478768646">
      <w:bodyDiv w:val="1"/>
      <w:marLeft w:val="0"/>
      <w:marRight w:val="0"/>
      <w:marTop w:val="0"/>
      <w:marBottom w:val="0"/>
      <w:divBdr>
        <w:top w:val="none" w:sz="0" w:space="0" w:color="auto"/>
        <w:left w:val="none" w:sz="0" w:space="0" w:color="auto"/>
        <w:bottom w:val="none" w:sz="0" w:space="0" w:color="auto"/>
        <w:right w:val="none" w:sz="0" w:space="0" w:color="auto"/>
      </w:divBdr>
      <w:divsChild>
        <w:div w:id="1953974016">
          <w:marLeft w:val="0"/>
          <w:marRight w:val="0"/>
          <w:marTop w:val="0"/>
          <w:marBottom w:val="326"/>
          <w:divBdr>
            <w:top w:val="none" w:sz="0" w:space="0" w:color="auto"/>
            <w:left w:val="none" w:sz="0" w:space="0" w:color="auto"/>
            <w:bottom w:val="none" w:sz="0" w:space="0" w:color="auto"/>
            <w:right w:val="none" w:sz="0" w:space="0" w:color="auto"/>
          </w:divBdr>
        </w:div>
      </w:divsChild>
    </w:div>
    <w:div w:id="1493790103">
      <w:bodyDiv w:val="1"/>
      <w:marLeft w:val="0"/>
      <w:marRight w:val="0"/>
      <w:marTop w:val="0"/>
      <w:marBottom w:val="0"/>
      <w:divBdr>
        <w:top w:val="none" w:sz="0" w:space="0" w:color="auto"/>
        <w:left w:val="none" w:sz="0" w:space="0" w:color="auto"/>
        <w:bottom w:val="none" w:sz="0" w:space="0" w:color="auto"/>
        <w:right w:val="none" w:sz="0" w:space="0" w:color="auto"/>
      </w:divBdr>
    </w:div>
    <w:div w:id="1515463200">
      <w:bodyDiv w:val="1"/>
      <w:marLeft w:val="0"/>
      <w:marRight w:val="0"/>
      <w:marTop w:val="0"/>
      <w:marBottom w:val="0"/>
      <w:divBdr>
        <w:top w:val="none" w:sz="0" w:space="0" w:color="auto"/>
        <w:left w:val="none" w:sz="0" w:space="0" w:color="auto"/>
        <w:bottom w:val="none" w:sz="0" w:space="0" w:color="auto"/>
        <w:right w:val="none" w:sz="0" w:space="0" w:color="auto"/>
      </w:divBdr>
    </w:div>
    <w:div w:id="1516993088">
      <w:bodyDiv w:val="1"/>
      <w:marLeft w:val="0"/>
      <w:marRight w:val="0"/>
      <w:marTop w:val="0"/>
      <w:marBottom w:val="0"/>
      <w:divBdr>
        <w:top w:val="none" w:sz="0" w:space="0" w:color="auto"/>
        <w:left w:val="none" w:sz="0" w:space="0" w:color="auto"/>
        <w:bottom w:val="none" w:sz="0" w:space="0" w:color="auto"/>
        <w:right w:val="none" w:sz="0" w:space="0" w:color="auto"/>
      </w:divBdr>
    </w:div>
    <w:div w:id="1528179672">
      <w:bodyDiv w:val="1"/>
      <w:marLeft w:val="0"/>
      <w:marRight w:val="0"/>
      <w:marTop w:val="0"/>
      <w:marBottom w:val="0"/>
      <w:divBdr>
        <w:top w:val="none" w:sz="0" w:space="0" w:color="auto"/>
        <w:left w:val="none" w:sz="0" w:space="0" w:color="auto"/>
        <w:bottom w:val="none" w:sz="0" w:space="0" w:color="auto"/>
        <w:right w:val="none" w:sz="0" w:space="0" w:color="auto"/>
      </w:divBdr>
    </w:div>
    <w:div w:id="1530221022">
      <w:bodyDiv w:val="1"/>
      <w:marLeft w:val="0"/>
      <w:marRight w:val="0"/>
      <w:marTop w:val="0"/>
      <w:marBottom w:val="0"/>
      <w:divBdr>
        <w:top w:val="none" w:sz="0" w:space="0" w:color="auto"/>
        <w:left w:val="none" w:sz="0" w:space="0" w:color="auto"/>
        <w:bottom w:val="none" w:sz="0" w:space="0" w:color="auto"/>
        <w:right w:val="none" w:sz="0" w:space="0" w:color="auto"/>
      </w:divBdr>
      <w:divsChild>
        <w:div w:id="1295915232">
          <w:marLeft w:val="0"/>
          <w:marRight w:val="0"/>
          <w:marTop w:val="0"/>
          <w:marBottom w:val="326"/>
          <w:divBdr>
            <w:top w:val="none" w:sz="0" w:space="0" w:color="auto"/>
            <w:left w:val="none" w:sz="0" w:space="0" w:color="auto"/>
            <w:bottom w:val="none" w:sz="0" w:space="0" w:color="auto"/>
            <w:right w:val="none" w:sz="0" w:space="0" w:color="auto"/>
          </w:divBdr>
        </w:div>
      </w:divsChild>
    </w:div>
    <w:div w:id="1558122405">
      <w:bodyDiv w:val="1"/>
      <w:marLeft w:val="0"/>
      <w:marRight w:val="0"/>
      <w:marTop w:val="0"/>
      <w:marBottom w:val="0"/>
      <w:divBdr>
        <w:top w:val="none" w:sz="0" w:space="0" w:color="auto"/>
        <w:left w:val="none" w:sz="0" w:space="0" w:color="auto"/>
        <w:bottom w:val="none" w:sz="0" w:space="0" w:color="auto"/>
        <w:right w:val="none" w:sz="0" w:space="0" w:color="auto"/>
      </w:divBdr>
      <w:divsChild>
        <w:div w:id="1414281262">
          <w:marLeft w:val="0"/>
          <w:marRight w:val="0"/>
          <w:marTop w:val="0"/>
          <w:marBottom w:val="0"/>
          <w:divBdr>
            <w:top w:val="none" w:sz="0" w:space="0" w:color="auto"/>
            <w:left w:val="none" w:sz="0" w:space="0" w:color="auto"/>
            <w:bottom w:val="none" w:sz="0" w:space="0" w:color="auto"/>
            <w:right w:val="none" w:sz="0" w:space="0" w:color="auto"/>
          </w:divBdr>
        </w:div>
      </w:divsChild>
    </w:div>
    <w:div w:id="1564684182">
      <w:bodyDiv w:val="1"/>
      <w:marLeft w:val="0"/>
      <w:marRight w:val="0"/>
      <w:marTop w:val="0"/>
      <w:marBottom w:val="0"/>
      <w:divBdr>
        <w:top w:val="none" w:sz="0" w:space="0" w:color="auto"/>
        <w:left w:val="none" w:sz="0" w:space="0" w:color="auto"/>
        <w:bottom w:val="none" w:sz="0" w:space="0" w:color="auto"/>
        <w:right w:val="none" w:sz="0" w:space="0" w:color="auto"/>
      </w:divBdr>
    </w:div>
    <w:div w:id="1603807236">
      <w:bodyDiv w:val="1"/>
      <w:marLeft w:val="0"/>
      <w:marRight w:val="0"/>
      <w:marTop w:val="0"/>
      <w:marBottom w:val="0"/>
      <w:divBdr>
        <w:top w:val="none" w:sz="0" w:space="0" w:color="auto"/>
        <w:left w:val="none" w:sz="0" w:space="0" w:color="auto"/>
        <w:bottom w:val="none" w:sz="0" w:space="0" w:color="auto"/>
        <w:right w:val="none" w:sz="0" w:space="0" w:color="auto"/>
      </w:divBdr>
    </w:div>
    <w:div w:id="1610158108">
      <w:bodyDiv w:val="1"/>
      <w:marLeft w:val="0"/>
      <w:marRight w:val="0"/>
      <w:marTop w:val="0"/>
      <w:marBottom w:val="0"/>
      <w:divBdr>
        <w:top w:val="none" w:sz="0" w:space="0" w:color="auto"/>
        <w:left w:val="none" w:sz="0" w:space="0" w:color="auto"/>
        <w:bottom w:val="none" w:sz="0" w:space="0" w:color="auto"/>
        <w:right w:val="none" w:sz="0" w:space="0" w:color="auto"/>
      </w:divBdr>
      <w:divsChild>
        <w:div w:id="1745830899">
          <w:marLeft w:val="0"/>
          <w:marRight w:val="0"/>
          <w:marTop w:val="0"/>
          <w:marBottom w:val="326"/>
          <w:divBdr>
            <w:top w:val="none" w:sz="0" w:space="0" w:color="auto"/>
            <w:left w:val="none" w:sz="0" w:space="0" w:color="auto"/>
            <w:bottom w:val="none" w:sz="0" w:space="0" w:color="auto"/>
            <w:right w:val="none" w:sz="0" w:space="0" w:color="auto"/>
          </w:divBdr>
        </w:div>
      </w:divsChild>
    </w:div>
    <w:div w:id="1618677159">
      <w:bodyDiv w:val="1"/>
      <w:marLeft w:val="0"/>
      <w:marRight w:val="0"/>
      <w:marTop w:val="0"/>
      <w:marBottom w:val="0"/>
      <w:divBdr>
        <w:top w:val="none" w:sz="0" w:space="0" w:color="auto"/>
        <w:left w:val="none" w:sz="0" w:space="0" w:color="auto"/>
        <w:bottom w:val="none" w:sz="0" w:space="0" w:color="auto"/>
        <w:right w:val="none" w:sz="0" w:space="0" w:color="auto"/>
      </w:divBdr>
    </w:div>
    <w:div w:id="1624656953">
      <w:bodyDiv w:val="1"/>
      <w:marLeft w:val="0"/>
      <w:marRight w:val="0"/>
      <w:marTop w:val="0"/>
      <w:marBottom w:val="0"/>
      <w:divBdr>
        <w:top w:val="none" w:sz="0" w:space="0" w:color="auto"/>
        <w:left w:val="none" w:sz="0" w:space="0" w:color="auto"/>
        <w:bottom w:val="none" w:sz="0" w:space="0" w:color="auto"/>
        <w:right w:val="none" w:sz="0" w:space="0" w:color="auto"/>
      </w:divBdr>
    </w:div>
    <w:div w:id="1633515365">
      <w:bodyDiv w:val="1"/>
      <w:marLeft w:val="0"/>
      <w:marRight w:val="0"/>
      <w:marTop w:val="0"/>
      <w:marBottom w:val="0"/>
      <w:divBdr>
        <w:top w:val="none" w:sz="0" w:space="0" w:color="auto"/>
        <w:left w:val="none" w:sz="0" w:space="0" w:color="auto"/>
        <w:bottom w:val="none" w:sz="0" w:space="0" w:color="auto"/>
        <w:right w:val="none" w:sz="0" w:space="0" w:color="auto"/>
      </w:divBdr>
    </w:div>
    <w:div w:id="1665477790">
      <w:bodyDiv w:val="1"/>
      <w:marLeft w:val="0"/>
      <w:marRight w:val="0"/>
      <w:marTop w:val="0"/>
      <w:marBottom w:val="0"/>
      <w:divBdr>
        <w:top w:val="none" w:sz="0" w:space="0" w:color="auto"/>
        <w:left w:val="none" w:sz="0" w:space="0" w:color="auto"/>
        <w:bottom w:val="none" w:sz="0" w:space="0" w:color="auto"/>
        <w:right w:val="none" w:sz="0" w:space="0" w:color="auto"/>
      </w:divBdr>
    </w:div>
    <w:div w:id="1679766790">
      <w:bodyDiv w:val="1"/>
      <w:marLeft w:val="0"/>
      <w:marRight w:val="0"/>
      <w:marTop w:val="0"/>
      <w:marBottom w:val="0"/>
      <w:divBdr>
        <w:top w:val="none" w:sz="0" w:space="0" w:color="auto"/>
        <w:left w:val="none" w:sz="0" w:space="0" w:color="auto"/>
        <w:bottom w:val="none" w:sz="0" w:space="0" w:color="auto"/>
        <w:right w:val="none" w:sz="0" w:space="0" w:color="auto"/>
      </w:divBdr>
    </w:div>
    <w:div w:id="1680429390">
      <w:bodyDiv w:val="1"/>
      <w:marLeft w:val="0"/>
      <w:marRight w:val="0"/>
      <w:marTop w:val="0"/>
      <w:marBottom w:val="0"/>
      <w:divBdr>
        <w:top w:val="none" w:sz="0" w:space="0" w:color="auto"/>
        <w:left w:val="none" w:sz="0" w:space="0" w:color="auto"/>
        <w:bottom w:val="none" w:sz="0" w:space="0" w:color="auto"/>
        <w:right w:val="none" w:sz="0" w:space="0" w:color="auto"/>
      </w:divBdr>
    </w:div>
    <w:div w:id="1681394804">
      <w:bodyDiv w:val="1"/>
      <w:marLeft w:val="0"/>
      <w:marRight w:val="0"/>
      <w:marTop w:val="0"/>
      <w:marBottom w:val="0"/>
      <w:divBdr>
        <w:top w:val="none" w:sz="0" w:space="0" w:color="auto"/>
        <w:left w:val="none" w:sz="0" w:space="0" w:color="auto"/>
        <w:bottom w:val="none" w:sz="0" w:space="0" w:color="auto"/>
        <w:right w:val="none" w:sz="0" w:space="0" w:color="auto"/>
      </w:divBdr>
    </w:div>
    <w:div w:id="1684822682">
      <w:bodyDiv w:val="1"/>
      <w:marLeft w:val="0"/>
      <w:marRight w:val="0"/>
      <w:marTop w:val="0"/>
      <w:marBottom w:val="0"/>
      <w:divBdr>
        <w:top w:val="none" w:sz="0" w:space="0" w:color="auto"/>
        <w:left w:val="none" w:sz="0" w:space="0" w:color="auto"/>
        <w:bottom w:val="none" w:sz="0" w:space="0" w:color="auto"/>
        <w:right w:val="none" w:sz="0" w:space="0" w:color="auto"/>
      </w:divBdr>
    </w:div>
    <w:div w:id="1703286832">
      <w:bodyDiv w:val="1"/>
      <w:marLeft w:val="0"/>
      <w:marRight w:val="0"/>
      <w:marTop w:val="0"/>
      <w:marBottom w:val="0"/>
      <w:divBdr>
        <w:top w:val="none" w:sz="0" w:space="0" w:color="auto"/>
        <w:left w:val="none" w:sz="0" w:space="0" w:color="auto"/>
        <w:bottom w:val="none" w:sz="0" w:space="0" w:color="auto"/>
        <w:right w:val="none" w:sz="0" w:space="0" w:color="auto"/>
      </w:divBdr>
      <w:divsChild>
        <w:div w:id="199166534">
          <w:marLeft w:val="547"/>
          <w:marRight w:val="0"/>
          <w:marTop w:val="0"/>
          <w:marBottom w:val="0"/>
          <w:divBdr>
            <w:top w:val="none" w:sz="0" w:space="0" w:color="auto"/>
            <w:left w:val="none" w:sz="0" w:space="0" w:color="auto"/>
            <w:bottom w:val="none" w:sz="0" w:space="0" w:color="auto"/>
            <w:right w:val="none" w:sz="0" w:space="0" w:color="auto"/>
          </w:divBdr>
        </w:div>
        <w:div w:id="541751993">
          <w:marLeft w:val="547"/>
          <w:marRight w:val="0"/>
          <w:marTop w:val="0"/>
          <w:marBottom w:val="0"/>
          <w:divBdr>
            <w:top w:val="none" w:sz="0" w:space="0" w:color="auto"/>
            <w:left w:val="none" w:sz="0" w:space="0" w:color="auto"/>
            <w:bottom w:val="none" w:sz="0" w:space="0" w:color="auto"/>
            <w:right w:val="none" w:sz="0" w:space="0" w:color="auto"/>
          </w:divBdr>
        </w:div>
        <w:div w:id="751393917">
          <w:marLeft w:val="547"/>
          <w:marRight w:val="0"/>
          <w:marTop w:val="0"/>
          <w:marBottom w:val="0"/>
          <w:divBdr>
            <w:top w:val="none" w:sz="0" w:space="0" w:color="auto"/>
            <w:left w:val="none" w:sz="0" w:space="0" w:color="auto"/>
            <w:bottom w:val="none" w:sz="0" w:space="0" w:color="auto"/>
            <w:right w:val="none" w:sz="0" w:space="0" w:color="auto"/>
          </w:divBdr>
        </w:div>
        <w:div w:id="1254044808">
          <w:marLeft w:val="547"/>
          <w:marRight w:val="0"/>
          <w:marTop w:val="0"/>
          <w:marBottom w:val="0"/>
          <w:divBdr>
            <w:top w:val="none" w:sz="0" w:space="0" w:color="auto"/>
            <w:left w:val="none" w:sz="0" w:space="0" w:color="auto"/>
            <w:bottom w:val="none" w:sz="0" w:space="0" w:color="auto"/>
            <w:right w:val="none" w:sz="0" w:space="0" w:color="auto"/>
          </w:divBdr>
        </w:div>
        <w:div w:id="1476334152">
          <w:marLeft w:val="547"/>
          <w:marRight w:val="0"/>
          <w:marTop w:val="0"/>
          <w:marBottom w:val="0"/>
          <w:divBdr>
            <w:top w:val="none" w:sz="0" w:space="0" w:color="auto"/>
            <w:left w:val="none" w:sz="0" w:space="0" w:color="auto"/>
            <w:bottom w:val="none" w:sz="0" w:space="0" w:color="auto"/>
            <w:right w:val="none" w:sz="0" w:space="0" w:color="auto"/>
          </w:divBdr>
        </w:div>
        <w:div w:id="1630359685">
          <w:marLeft w:val="547"/>
          <w:marRight w:val="0"/>
          <w:marTop w:val="0"/>
          <w:marBottom w:val="0"/>
          <w:divBdr>
            <w:top w:val="none" w:sz="0" w:space="0" w:color="auto"/>
            <w:left w:val="none" w:sz="0" w:space="0" w:color="auto"/>
            <w:bottom w:val="none" w:sz="0" w:space="0" w:color="auto"/>
            <w:right w:val="none" w:sz="0" w:space="0" w:color="auto"/>
          </w:divBdr>
        </w:div>
      </w:divsChild>
    </w:div>
    <w:div w:id="1717316690">
      <w:bodyDiv w:val="1"/>
      <w:marLeft w:val="0"/>
      <w:marRight w:val="0"/>
      <w:marTop w:val="0"/>
      <w:marBottom w:val="0"/>
      <w:divBdr>
        <w:top w:val="none" w:sz="0" w:space="0" w:color="auto"/>
        <w:left w:val="none" w:sz="0" w:space="0" w:color="auto"/>
        <w:bottom w:val="none" w:sz="0" w:space="0" w:color="auto"/>
        <w:right w:val="none" w:sz="0" w:space="0" w:color="auto"/>
      </w:divBdr>
    </w:div>
    <w:div w:id="1727949751">
      <w:bodyDiv w:val="1"/>
      <w:marLeft w:val="0"/>
      <w:marRight w:val="0"/>
      <w:marTop w:val="0"/>
      <w:marBottom w:val="0"/>
      <w:divBdr>
        <w:top w:val="none" w:sz="0" w:space="0" w:color="auto"/>
        <w:left w:val="none" w:sz="0" w:space="0" w:color="auto"/>
        <w:bottom w:val="none" w:sz="0" w:space="0" w:color="auto"/>
        <w:right w:val="none" w:sz="0" w:space="0" w:color="auto"/>
      </w:divBdr>
    </w:div>
    <w:div w:id="1746415178">
      <w:bodyDiv w:val="1"/>
      <w:marLeft w:val="0"/>
      <w:marRight w:val="0"/>
      <w:marTop w:val="0"/>
      <w:marBottom w:val="0"/>
      <w:divBdr>
        <w:top w:val="none" w:sz="0" w:space="0" w:color="auto"/>
        <w:left w:val="none" w:sz="0" w:space="0" w:color="auto"/>
        <w:bottom w:val="none" w:sz="0" w:space="0" w:color="auto"/>
        <w:right w:val="none" w:sz="0" w:space="0" w:color="auto"/>
      </w:divBdr>
      <w:divsChild>
        <w:div w:id="2017613302">
          <w:marLeft w:val="0"/>
          <w:marRight w:val="0"/>
          <w:marTop w:val="0"/>
          <w:marBottom w:val="0"/>
          <w:divBdr>
            <w:top w:val="none" w:sz="0" w:space="0" w:color="auto"/>
            <w:left w:val="none" w:sz="0" w:space="0" w:color="auto"/>
            <w:bottom w:val="none" w:sz="0" w:space="0" w:color="auto"/>
            <w:right w:val="none" w:sz="0" w:space="0" w:color="auto"/>
          </w:divBdr>
        </w:div>
      </w:divsChild>
    </w:div>
    <w:div w:id="1748304789">
      <w:bodyDiv w:val="1"/>
      <w:marLeft w:val="0"/>
      <w:marRight w:val="0"/>
      <w:marTop w:val="0"/>
      <w:marBottom w:val="0"/>
      <w:divBdr>
        <w:top w:val="none" w:sz="0" w:space="0" w:color="auto"/>
        <w:left w:val="none" w:sz="0" w:space="0" w:color="auto"/>
        <w:bottom w:val="none" w:sz="0" w:space="0" w:color="auto"/>
        <w:right w:val="none" w:sz="0" w:space="0" w:color="auto"/>
      </w:divBdr>
      <w:divsChild>
        <w:div w:id="170605561">
          <w:marLeft w:val="0"/>
          <w:marRight w:val="0"/>
          <w:marTop w:val="0"/>
          <w:marBottom w:val="0"/>
          <w:divBdr>
            <w:top w:val="none" w:sz="0" w:space="0" w:color="auto"/>
            <w:left w:val="none" w:sz="0" w:space="0" w:color="auto"/>
            <w:bottom w:val="none" w:sz="0" w:space="0" w:color="auto"/>
            <w:right w:val="none" w:sz="0" w:space="0" w:color="auto"/>
          </w:divBdr>
          <w:divsChild>
            <w:div w:id="1652902053">
              <w:marLeft w:val="0"/>
              <w:marRight w:val="0"/>
              <w:marTop w:val="0"/>
              <w:marBottom w:val="0"/>
              <w:divBdr>
                <w:top w:val="single" w:sz="6" w:space="0" w:color="C0C0C0"/>
                <w:left w:val="single" w:sz="6" w:space="0" w:color="C0C0C0"/>
                <w:bottom w:val="single" w:sz="6" w:space="0" w:color="C0C0C0"/>
                <w:right w:val="single" w:sz="6" w:space="0" w:color="C0C0C0"/>
              </w:divBdr>
            </w:div>
          </w:divsChild>
        </w:div>
      </w:divsChild>
    </w:div>
    <w:div w:id="1757752072">
      <w:bodyDiv w:val="1"/>
      <w:marLeft w:val="0"/>
      <w:marRight w:val="0"/>
      <w:marTop w:val="0"/>
      <w:marBottom w:val="0"/>
      <w:divBdr>
        <w:top w:val="none" w:sz="0" w:space="0" w:color="auto"/>
        <w:left w:val="none" w:sz="0" w:space="0" w:color="auto"/>
        <w:bottom w:val="none" w:sz="0" w:space="0" w:color="auto"/>
        <w:right w:val="none" w:sz="0" w:space="0" w:color="auto"/>
      </w:divBdr>
    </w:div>
    <w:div w:id="1764641833">
      <w:bodyDiv w:val="1"/>
      <w:marLeft w:val="0"/>
      <w:marRight w:val="0"/>
      <w:marTop w:val="0"/>
      <w:marBottom w:val="0"/>
      <w:divBdr>
        <w:top w:val="none" w:sz="0" w:space="0" w:color="auto"/>
        <w:left w:val="none" w:sz="0" w:space="0" w:color="auto"/>
        <w:bottom w:val="none" w:sz="0" w:space="0" w:color="auto"/>
        <w:right w:val="none" w:sz="0" w:space="0" w:color="auto"/>
      </w:divBdr>
      <w:divsChild>
        <w:div w:id="33847110">
          <w:marLeft w:val="0"/>
          <w:marRight w:val="0"/>
          <w:marTop w:val="0"/>
          <w:marBottom w:val="0"/>
          <w:divBdr>
            <w:top w:val="none" w:sz="0" w:space="0" w:color="auto"/>
            <w:left w:val="none" w:sz="0" w:space="0" w:color="auto"/>
            <w:bottom w:val="none" w:sz="0" w:space="0" w:color="auto"/>
            <w:right w:val="none" w:sz="0" w:space="0" w:color="auto"/>
          </w:divBdr>
        </w:div>
      </w:divsChild>
    </w:div>
    <w:div w:id="1773233987">
      <w:bodyDiv w:val="1"/>
      <w:marLeft w:val="0"/>
      <w:marRight w:val="0"/>
      <w:marTop w:val="0"/>
      <w:marBottom w:val="0"/>
      <w:divBdr>
        <w:top w:val="none" w:sz="0" w:space="0" w:color="auto"/>
        <w:left w:val="none" w:sz="0" w:space="0" w:color="auto"/>
        <w:bottom w:val="none" w:sz="0" w:space="0" w:color="auto"/>
        <w:right w:val="none" w:sz="0" w:space="0" w:color="auto"/>
      </w:divBdr>
      <w:divsChild>
        <w:div w:id="951866070">
          <w:marLeft w:val="0"/>
          <w:marRight w:val="0"/>
          <w:marTop w:val="0"/>
          <w:marBottom w:val="326"/>
          <w:divBdr>
            <w:top w:val="none" w:sz="0" w:space="0" w:color="auto"/>
            <w:left w:val="none" w:sz="0" w:space="0" w:color="auto"/>
            <w:bottom w:val="none" w:sz="0" w:space="0" w:color="auto"/>
            <w:right w:val="none" w:sz="0" w:space="0" w:color="auto"/>
          </w:divBdr>
          <w:divsChild>
            <w:div w:id="70084646">
              <w:blockQuote w:val="1"/>
              <w:marLeft w:val="720"/>
              <w:marRight w:val="720"/>
              <w:marTop w:val="100"/>
              <w:marBottom w:val="100"/>
              <w:divBdr>
                <w:top w:val="none" w:sz="0" w:space="0" w:color="auto"/>
                <w:left w:val="none" w:sz="0" w:space="0" w:color="auto"/>
                <w:bottom w:val="none" w:sz="0" w:space="0" w:color="auto"/>
                <w:right w:val="none" w:sz="0" w:space="0" w:color="auto"/>
              </w:divBdr>
            </w:div>
            <w:div w:id="128323559">
              <w:blockQuote w:val="1"/>
              <w:marLeft w:val="720"/>
              <w:marRight w:val="720"/>
              <w:marTop w:val="100"/>
              <w:marBottom w:val="100"/>
              <w:divBdr>
                <w:top w:val="none" w:sz="0" w:space="0" w:color="auto"/>
                <w:left w:val="none" w:sz="0" w:space="0" w:color="auto"/>
                <w:bottom w:val="none" w:sz="0" w:space="0" w:color="auto"/>
                <w:right w:val="none" w:sz="0" w:space="0" w:color="auto"/>
              </w:divBdr>
            </w:div>
            <w:div w:id="9972717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778717030">
      <w:bodyDiv w:val="1"/>
      <w:marLeft w:val="0"/>
      <w:marRight w:val="0"/>
      <w:marTop w:val="0"/>
      <w:marBottom w:val="0"/>
      <w:divBdr>
        <w:top w:val="none" w:sz="0" w:space="0" w:color="auto"/>
        <w:left w:val="none" w:sz="0" w:space="0" w:color="auto"/>
        <w:bottom w:val="none" w:sz="0" w:space="0" w:color="auto"/>
        <w:right w:val="none" w:sz="0" w:space="0" w:color="auto"/>
      </w:divBdr>
    </w:div>
    <w:div w:id="1799177773">
      <w:bodyDiv w:val="1"/>
      <w:marLeft w:val="0"/>
      <w:marRight w:val="0"/>
      <w:marTop w:val="0"/>
      <w:marBottom w:val="0"/>
      <w:divBdr>
        <w:top w:val="none" w:sz="0" w:space="0" w:color="auto"/>
        <w:left w:val="none" w:sz="0" w:space="0" w:color="auto"/>
        <w:bottom w:val="none" w:sz="0" w:space="0" w:color="auto"/>
        <w:right w:val="none" w:sz="0" w:space="0" w:color="auto"/>
      </w:divBdr>
    </w:div>
    <w:div w:id="1810974027">
      <w:bodyDiv w:val="1"/>
      <w:marLeft w:val="0"/>
      <w:marRight w:val="0"/>
      <w:marTop w:val="0"/>
      <w:marBottom w:val="0"/>
      <w:divBdr>
        <w:top w:val="none" w:sz="0" w:space="0" w:color="auto"/>
        <w:left w:val="none" w:sz="0" w:space="0" w:color="auto"/>
        <w:bottom w:val="none" w:sz="0" w:space="0" w:color="auto"/>
        <w:right w:val="none" w:sz="0" w:space="0" w:color="auto"/>
      </w:divBdr>
    </w:div>
    <w:div w:id="1811170631">
      <w:bodyDiv w:val="1"/>
      <w:marLeft w:val="0"/>
      <w:marRight w:val="0"/>
      <w:marTop w:val="0"/>
      <w:marBottom w:val="0"/>
      <w:divBdr>
        <w:top w:val="none" w:sz="0" w:space="0" w:color="auto"/>
        <w:left w:val="none" w:sz="0" w:space="0" w:color="auto"/>
        <w:bottom w:val="none" w:sz="0" w:space="0" w:color="auto"/>
        <w:right w:val="none" w:sz="0" w:space="0" w:color="auto"/>
      </w:divBdr>
    </w:div>
    <w:div w:id="1811899637">
      <w:bodyDiv w:val="1"/>
      <w:marLeft w:val="0"/>
      <w:marRight w:val="0"/>
      <w:marTop w:val="0"/>
      <w:marBottom w:val="0"/>
      <w:divBdr>
        <w:top w:val="none" w:sz="0" w:space="0" w:color="auto"/>
        <w:left w:val="none" w:sz="0" w:space="0" w:color="auto"/>
        <w:bottom w:val="none" w:sz="0" w:space="0" w:color="auto"/>
        <w:right w:val="none" w:sz="0" w:space="0" w:color="auto"/>
      </w:divBdr>
    </w:div>
    <w:div w:id="1832064381">
      <w:bodyDiv w:val="1"/>
      <w:marLeft w:val="0"/>
      <w:marRight w:val="0"/>
      <w:marTop w:val="0"/>
      <w:marBottom w:val="0"/>
      <w:divBdr>
        <w:top w:val="none" w:sz="0" w:space="0" w:color="auto"/>
        <w:left w:val="none" w:sz="0" w:space="0" w:color="auto"/>
        <w:bottom w:val="none" w:sz="0" w:space="0" w:color="auto"/>
        <w:right w:val="none" w:sz="0" w:space="0" w:color="auto"/>
      </w:divBdr>
    </w:div>
    <w:div w:id="1835073939">
      <w:bodyDiv w:val="1"/>
      <w:marLeft w:val="0"/>
      <w:marRight w:val="0"/>
      <w:marTop w:val="0"/>
      <w:marBottom w:val="0"/>
      <w:divBdr>
        <w:top w:val="none" w:sz="0" w:space="0" w:color="auto"/>
        <w:left w:val="none" w:sz="0" w:space="0" w:color="auto"/>
        <w:bottom w:val="none" w:sz="0" w:space="0" w:color="auto"/>
        <w:right w:val="none" w:sz="0" w:space="0" w:color="auto"/>
      </w:divBdr>
    </w:div>
    <w:div w:id="1858348991">
      <w:bodyDiv w:val="1"/>
      <w:marLeft w:val="0"/>
      <w:marRight w:val="0"/>
      <w:marTop w:val="0"/>
      <w:marBottom w:val="0"/>
      <w:divBdr>
        <w:top w:val="none" w:sz="0" w:space="0" w:color="auto"/>
        <w:left w:val="none" w:sz="0" w:space="0" w:color="auto"/>
        <w:bottom w:val="none" w:sz="0" w:space="0" w:color="auto"/>
        <w:right w:val="none" w:sz="0" w:space="0" w:color="auto"/>
      </w:divBdr>
    </w:div>
    <w:div w:id="1863396988">
      <w:bodyDiv w:val="1"/>
      <w:marLeft w:val="0"/>
      <w:marRight w:val="0"/>
      <w:marTop w:val="0"/>
      <w:marBottom w:val="0"/>
      <w:divBdr>
        <w:top w:val="none" w:sz="0" w:space="0" w:color="auto"/>
        <w:left w:val="none" w:sz="0" w:space="0" w:color="auto"/>
        <w:bottom w:val="none" w:sz="0" w:space="0" w:color="auto"/>
        <w:right w:val="none" w:sz="0" w:space="0" w:color="auto"/>
      </w:divBdr>
    </w:div>
    <w:div w:id="1870141628">
      <w:bodyDiv w:val="1"/>
      <w:marLeft w:val="0"/>
      <w:marRight w:val="0"/>
      <w:marTop w:val="0"/>
      <w:marBottom w:val="0"/>
      <w:divBdr>
        <w:top w:val="none" w:sz="0" w:space="0" w:color="auto"/>
        <w:left w:val="none" w:sz="0" w:space="0" w:color="auto"/>
        <w:bottom w:val="none" w:sz="0" w:space="0" w:color="auto"/>
        <w:right w:val="none" w:sz="0" w:space="0" w:color="auto"/>
      </w:divBdr>
      <w:divsChild>
        <w:div w:id="180045999">
          <w:marLeft w:val="0"/>
          <w:marRight w:val="0"/>
          <w:marTop w:val="0"/>
          <w:marBottom w:val="326"/>
          <w:divBdr>
            <w:top w:val="none" w:sz="0" w:space="0" w:color="auto"/>
            <w:left w:val="none" w:sz="0" w:space="0" w:color="auto"/>
            <w:bottom w:val="none" w:sz="0" w:space="0" w:color="auto"/>
            <w:right w:val="none" w:sz="0" w:space="0" w:color="auto"/>
          </w:divBdr>
        </w:div>
      </w:divsChild>
    </w:div>
    <w:div w:id="1893152811">
      <w:bodyDiv w:val="1"/>
      <w:marLeft w:val="0"/>
      <w:marRight w:val="0"/>
      <w:marTop w:val="0"/>
      <w:marBottom w:val="0"/>
      <w:divBdr>
        <w:top w:val="none" w:sz="0" w:space="0" w:color="auto"/>
        <w:left w:val="none" w:sz="0" w:space="0" w:color="auto"/>
        <w:bottom w:val="none" w:sz="0" w:space="0" w:color="auto"/>
        <w:right w:val="none" w:sz="0" w:space="0" w:color="auto"/>
      </w:divBdr>
    </w:div>
    <w:div w:id="1900045067">
      <w:bodyDiv w:val="1"/>
      <w:marLeft w:val="0"/>
      <w:marRight w:val="0"/>
      <w:marTop w:val="0"/>
      <w:marBottom w:val="0"/>
      <w:divBdr>
        <w:top w:val="none" w:sz="0" w:space="0" w:color="auto"/>
        <w:left w:val="none" w:sz="0" w:space="0" w:color="auto"/>
        <w:bottom w:val="none" w:sz="0" w:space="0" w:color="auto"/>
        <w:right w:val="none" w:sz="0" w:space="0" w:color="auto"/>
      </w:divBdr>
    </w:div>
    <w:div w:id="1913808346">
      <w:bodyDiv w:val="1"/>
      <w:marLeft w:val="0"/>
      <w:marRight w:val="0"/>
      <w:marTop w:val="0"/>
      <w:marBottom w:val="0"/>
      <w:divBdr>
        <w:top w:val="none" w:sz="0" w:space="0" w:color="auto"/>
        <w:left w:val="none" w:sz="0" w:space="0" w:color="auto"/>
        <w:bottom w:val="none" w:sz="0" w:space="0" w:color="auto"/>
        <w:right w:val="none" w:sz="0" w:space="0" w:color="auto"/>
      </w:divBdr>
    </w:div>
    <w:div w:id="1926916597">
      <w:bodyDiv w:val="1"/>
      <w:marLeft w:val="0"/>
      <w:marRight w:val="0"/>
      <w:marTop w:val="0"/>
      <w:marBottom w:val="0"/>
      <w:divBdr>
        <w:top w:val="none" w:sz="0" w:space="0" w:color="auto"/>
        <w:left w:val="none" w:sz="0" w:space="0" w:color="auto"/>
        <w:bottom w:val="none" w:sz="0" w:space="0" w:color="auto"/>
        <w:right w:val="none" w:sz="0" w:space="0" w:color="auto"/>
      </w:divBdr>
    </w:div>
    <w:div w:id="1929270291">
      <w:bodyDiv w:val="1"/>
      <w:marLeft w:val="0"/>
      <w:marRight w:val="0"/>
      <w:marTop w:val="0"/>
      <w:marBottom w:val="0"/>
      <w:divBdr>
        <w:top w:val="none" w:sz="0" w:space="0" w:color="auto"/>
        <w:left w:val="none" w:sz="0" w:space="0" w:color="auto"/>
        <w:bottom w:val="none" w:sz="0" w:space="0" w:color="auto"/>
        <w:right w:val="none" w:sz="0" w:space="0" w:color="auto"/>
      </w:divBdr>
    </w:div>
    <w:div w:id="1931347663">
      <w:bodyDiv w:val="1"/>
      <w:marLeft w:val="0"/>
      <w:marRight w:val="0"/>
      <w:marTop w:val="0"/>
      <w:marBottom w:val="0"/>
      <w:divBdr>
        <w:top w:val="none" w:sz="0" w:space="0" w:color="auto"/>
        <w:left w:val="none" w:sz="0" w:space="0" w:color="auto"/>
        <w:bottom w:val="none" w:sz="0" w:space="0" w:color="auto"/>
        <w:right w:val="none" w:sz="0" w:space="0" w:color="auto"/>
      </w:divBdr>
    </w:div>
    <w:div w:id="1957634333">
      <w:bodyDiv w:val="1"/>
      <w:marLeft w:val="0"/>
      <w:marRight w:val="0"/>
      <w:marTop w:val="0"/>
      <w:marBottom w:val="0"/>
      <w:divBdr>
        <w:top w:val="none" w:sz="0" w:space="0" w:color="auto"/>
        <w:left w:val="none" w:sz="0" w:space="0" w:color="auto"/>
        <w:bottom w:val="none" w:sz="0" w:space="0" w:color="auto"/>
        <w:right w:val="none" w:sz="0" w:space="0" w:color="auto"/>
      </w:divBdr>
    </w:div>
    <w:div w:id="1961036242">
      <w:bodyDiv w:val="1"/>
      <w:marLeft w:val="0"/>
      <w:marRight w:val="0"/>
      <w:marTop w:val="0"/>
      <w:marBottom w:val="0"/>
      <w:divBdr>
        <w:top w:val="none" w:sz="0" w:space="0" w:color="auto"/>
        <w:left w:val="none" w:sz="0" w:space="0" w:color="auto"/>
        <w:bottom w:val="none" w:sz="0" w:space="0" w:color="auto"/>
        <w:right w:val="none" w:sz="0" w:space="0" w:color="auto"/>
      </w:divBdr>
      <w:divsChild>
        <w:div w:id="1065178494">
          <w:marLeft w:val="0"/>
          <w:marRight w:val="0"/>
          <w:marTop w:val="0"/>
          <w:marBottom w:val="326"/>
          <w:divBdr>
            <w:top w:val="none" w:sz="0" w:space="0" w:color="auto"/>
            <w:left w:val="none" w:sz="0" w:space="0" w:color="auto"/>
            <w:bottom w:val="none" w:sz="0" w:space="0" w:color="auto"/>
            <w:right w:val="none" w:sz="0" w:space="0" w:color="auto"/>
          </w:divBdr>
        </w:div>
      </w:divsChild>
    </w:div>
    <w:div w:id="1972857935">
      <w:bodyDiv w:val="1"/>
      <w:marLeft w:val="0"/>
      <w:marRight w:val="0"/>
      <w:marTop w:val="0"/>
      <w:marBottom w:val="0"/>
      <w:divBdr>
        <w:top w:val="none" w:sz="0" w:space="0" w:color="auto"/>
        <w:left w:val="none" w:sz="0" w:space="0" w:color="auto"/>
        <w:bottom w:val="none" w:sz="0" w:space="0" w:color="auto"/>
        <w:right w:val="none" w:sz="0" w:space="0" w:color="auto"/>
      </w:divBdr>
    </w:div>
    <w:div w:id="1975597366">
      <w:bodyDiv w:val="1"/>
      <w:marLeft w:val="0"/>
      <w:marRight w:val="0"/>
      <w:marTop w:val="0"/>
      <w:marBottom w:val="0"/>
      <w:divBdr>
        <w:top w:val="none" w:sz="0" w:space="0" w:color="auto"/>
        <w:left w:val="none" w:sz="0" w:space="0" w:color="auto"/>
        <w:bottom w:val="none" w:sz="0" w:space="0" w:color="auto"/>
        <w:right w:val="none" w:sz="0" w:space="0" w:color="auto"/>
      </w:divBdr>
    </w:div>
    <w:div w:id="2013682470">
      <w:bodyDiv w:val="1"/>
      <w:marLeft w:val="0"/>
      <w:marRight w:val="0"/>
      <w:marTop w:val="0"/>
      <w:marBottom w:val="0"/>
      <w:divBdr>
        <w:top w:val="none" w:sz="0" w:space="0" w:color="auto"/>
        <w:left w:val="none" w:sz="0" w:space="0" w:color="auto"/>
        <w:bottom w:val="none" w:sz="0" w:space="0" w:color="auto"/>
        <w:right w:val="none" w:sz="0" w:space="0" w:color="auto"/>
      </w:divBdr>
    </w:div>
    <w:div w:id="2027904812">
      <w:bodyDiv w:val="1"/>
      <w:marLeft w:val="0"/>
      <w:marRight w:val="0"/>
      <w:marTop w:val="0"/>
      <w:marBottom w:val="0"/>
      <w:divBdr>
        <w:top w:val="none" w:sz="0" w:space="0" w:color="auto"/>
        <w:left w:val="none" w:sz="0" w:space="0" w:color="auto"/>
        <w:bottom w:val="none" w:sz="0" w:space="0" w:color="auto"/>
        <w:right w:val="none" w:sz="0" w:space="0" w:color="auto"/>
      </w:divBdr>
    </w:div>
    <w:div w:id="2062365202">
      <w:bodyDiv w:val="1"/>
      <w:marLeft w:val="0"/>
      <w:marRight w:val="0"/>
      <w:marTop w:val="0"/>
      <w:marBottom w:val="0"/>
      <w:divBdr>
        <w:top w:val="none" w:sz="0" w:space="0" w:color="auto"/>
        <w:left w:val="none" w:sz="0" w:space="0" w:color="auto"/>
        <w:bottom w:val="none" w:sz="0" w:space="0" w:color="auto"/>
        <w:right w:val="none" w:sz="0" w:space="0" w:color="auto"/>
      </w:divBdr>
      <w:divsChild>
        <w:div w:id="1390032749">
          <w:marLeft w:val="0"/>
          <w:marRight w:val="0"/>
          <w:marTop w:val="0"/>
          <w:marBottom w:val="0"/>
          <w:divBdr>
            <w:top w:val="none" w:sz="0" w:space="0" w:color="auto"/>
            <w:left w:val="none" w:sz="0" w:space="0" w:color="auto"/>
            <w:bottom w:val="none" w:sz="0" w:space="0" w:color="auto"/>
            <w:right w:val="none" w:sz="0" w:space="0" w:color="auto"/>
          </w:divBdr>
          <w:divsChild>
            <w:div w:id="1283540849">
              <w:marLeft w:val="0"/>
              <w:marRight w:val="0"/>
              <w:marTop w:val="0"/>
              <w:marBottom w:val="0"/>
              <w:divBdr>
                <w:top w:val="none" w:sz="0" w:space="0" w:color="auto"/>
                <w:left w:val="none" w:sz="0" w:space="0" w:color="auto"/>
                <w:bottom w:val="none" w:sz="0" w:space="0" w:color="auto"/>
                <w:right w:val="none" w:sz="0" w:space="0" w:color="auto"/>
              </w:divBdr>
              <w:divsChild>
                <w:div w:id="504782336">
                  <w:marLeft w:val="0"/>
                  <w:marRight w:val="0"/>
                  <w:marTop w:val="0"/>
                  <w:marBottom w:val="0"/>
                  <w:divBdr>
                    <w:top w:val="none" w:sz="0" w:space="0" w:color="auto"/>
                    <w:left w:val="none" w:sz="0" w:space="0" w:color="auto"/>
                    <w:bottom w:val="none" w:sz="0" w:space="0" w:color="auto"/>
                    <w:right w:val="none" w:sz="0" w:space="0" w:color="auto"/>
                  </w:divBdr>
                  <w:divsChild>
                    <w:div w:id="1749379914">
                      <w:marLeft w:val="0"/>
                      <w:marRight w:val="0"/>
                      <w:marTop w:val="0"/>
                      <w:marBottom w:val="0"/>
                      <w:divBdr>
                        <w:top w:val="none" w:sz="0" w:space="0" w:color="auto"/>
                        <w:left w:val="none" w:sz="0" w:space="0" w:color="auto"/>
                        <w:bottom w:val="none" w:sz="0" w:space="0" w:color="auto"/>
                        <w:right w:val="none" w:sz="0" w:space="0" w:color="auto"/>
                      </w:divBdr>
                      <w:divsChild>
                        <w:div w:id="1587575669">
                          <w:marLeft w:val="0"/>
                          <w:marRight w:val="0"/>
                          <w:marTop w:val="0"/>
                          <w:marBottom w:val="0"/>
                          <w:divBdr>
                            <w:top w:val="none" w:sz="0" w:space="0" w:color="auto"/>
                            <w:left w:val="none" w:sz="0" w:space="0" w:color="auto"/>
                            <w:bottom w:val="none" w:sz="0" w:space="0" w:color="auto"/>
                            <w:right w:val="none" w:sz="0" w:space="0" w:color="auto"/>
                          </w:divBdr>
                          <w:divsChild>
                            <w:div w:id="294064575">
                              <w:marLeft w:val="0"/>
                              <w:marRight w:val="0"/>
                              <w:marTop w:val="0"/>
                              <w:marBottom w:val="225"/>
                              <w:divBdr>
                                <w:top w:val="none" w:sz="0" w:space="0" w:color="auto"/>
                                <w:left w:val="none" w:sz="0" w:space="0" w:color="auto"/>
                                <w:bottom w:val="none" w:sz="0" w:space="0" w:color="auto"/>
                                <w:right w:val="none" w:sz="0" w:space="0" w:color="auto"/>
                              </w:divBdr>
                              <w:divsChild>
                                <w:div w:id="117364002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6103718">
      <w:bodyDiv w:val="1"/>
      <w:marLeft w:val="0"/>
      <w:marRight w:val="0"/>
      <w:marTop w:val="0"/>
      <w:marBottom w:val="0"/>
      <w:divBdr>
        <w:top w:val="none" w:sz="0" w:space="0" w:color="auto"/>
        <w:left w:val="none" w:sz="0" w:space="0" w:color="auto"/>
        <w:bottom w:val="none" w:sz="0" w:space="0" w:color="auto"/>
        <w:right w:val="none" w:sz="0" w:space="0" w:color="auto"/>
      </w:divBdr>
    </w:div>
    <w:div w:id="2089882644">
      <w:bodyDiv w:val="1"/>
      <w:marLeft w:val="0"/>
      <w:marRight w:val="0"/>
      <w:marTop w:val="0"/>
      <w:marBottom w:val="0"/>
      <w:divBdr>
        <w:top w:val="none" w:sz="0" w:space="0" w:color="auto"/>
        <w:left w:val="none" w:sz="0" w:space="0" w:color="auto"/>
        <w:bottom w:val="none" w:sz="0" w:space="0" w:color="auto"/>
        <w:right w:val="none" w:sz="0" w:space="0" w:color="auto"/>
      </w:divBdr>
    </w:div>
    <w:div w:id="2119250741">
      <w:bodyDiv w:val="1"/>
      <w:marLeft w:val="0"/>
      <w:marRight w:val="0"/>
      <w:marTop w:val="0"/>
      <w:marBottom w:val="0"/>
      <w:divBdr>
        <w:top w:val="none" w:sz="0" w:space="0" w:color="auto"/>
        <w:left w:val="none" w:sz="0" w:space="0" w:color="auto"/>
        <w:bottom w:val="none" w:sz="0" w:space="0" w:color="auto"/>
        <w:right w:val="none" w:sz="0" w:space="0" w:color="auto"/>
      </w:divBdr>
    </w:div>
    <w:div w:id="2121023372">
      <w:bodyDiv w:val="1"/>
      <w:marLeft w:val="0"/>
      <w:marRight w:val="0"/>
      <w:marTop w:val="0"/>
      <w:marBottom w:val="0"/>
      <w:divBdr>
        <w:top w:val="none" w:sz="0" w:space="0" w:color="auto"/>
        <w:left w:val="none" w:sz="0" w:space="0" w:color="auto"/>
        <w:bottom w:val="none" w:sz="0" w:space="0" w:color="auto"/>
        <w:right w:val="none" w:sz="0" w:space="0" w:color="auto"/>
      </w:divBdr>
    </w:div>
    <w:div w:id="2135361587">
      <w:bodyDiv w:val="1"/>
      <w:marLeft w:val="0"/>
      <w:marRight w:val="0"/>
      <w:marTop w:val="0"/>
      <w:marBottom w:val="0"/>
      <w:divBdr>
        <w:top w:val="none" w:sz="0" w:space="0" w:color="auto"/>
        <w:left w:val="none" w:sz="0" w:space="0" w:color="auto"/>
        <w:bottom w:val="none" w:sz="0" w:space="0" w:color="auto"/>
        <w:right w:val="none" w:sz="0" w:space="0" w:color="auto"/>
      </w:divBdr>
      <w:divsChild>
        <w:div w:id="2129083656">
          <w:marLeft w:val="0"/>
          <w:marRight w:val="0"/>
          <w:marTop w:val="0"/>
          <w:marBottom w:val="326"/>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s://www.thegef.org/sites/default/files/council-meeting-documents/EN_GEF.C.54.11.Rev_.02_Results.pdf" TargetMode="External"/><Relationship Id="rId26" Type="http://schemas.openxmlformats.org/officeDocument/2006/relationships/hyperlink" Target="https://www.thegef.org/sites/default/files/documents/Results_Guidelines.pdf" TargetMode="External"/><Relationship Id="rId39" Type="http://schemas.openxmlformats.org/officeDocument/2006/relationships/hyperlink" Target="http://prirodainfo.me/Izvjestaji/PoVrstiZasticenogPodrucja" TargetMode="External"/><Relationship Id="rId21" Type="http://schemas.openxmlformats.org/officeDocument/2006/relationships/hyperlink" Target="http://www.undp.org/content/undp/en/home/operations/accountability/programme_and_operationspoliciesandprocedures.html" TargetMode="External"/><Relationship Id="rId34" Type="http://schemas.openxmlformats.org/officeDocument/2006/relationships/hyperlink" Target="http://www.un.org/sc/committees/1267/aq_sanctions_list.shtml" TargetMode="External"/><Relationship Id="rId42" Type="http://schemas.openxmlformats.org/officeDocument/2006/relationships/hyperlink" Target="https://sustainability-leaders.com/hotel-villa-orange-frankfurt-sustainability-strategy/" TargetMode="External"/><Relationship Id="rId47" Type="http://schemas.openxmlformats.org/officeDocument/2006/relationships/image" Target="media/image7.png"/><Relationship Id="rId50" Type="http://schemas.openxmlformats.org/officeDocument/2006/relationships/customXml" Target="../customXml/item7.xml"/><Relationship Id="rId7" Type="http://schemas.openxmlformats.org/officeDocument/2006/relationships/numbering" Target="numbering.xml"/><Relationship Id="rId29" Type="http://schemas.openxmlformats.org/officeDocument/2006/relationships/header" Target="header1.xml"/><Relationship Id="rId16" Type="http://schemas.openxmlformats.org/officeDocument/2006/relationships/hyperlink" Target="http://www.nssd2030.gov.me/" TargetMode="External"/><Relationship Id="rId11" Type="http://schemas.openxmlformats.org/officeDocument/2006/relationships/footnotes" Target="footnotes.xml"/><Relationship Id="rId24" Type="http://schemas.openxmlformats.org/officeDocument/2006/relationships/hyperlink" Target="https://www.thegef.org/sites/default/files/council-meeting-documents/EN_GEF.ME_C56_02_GEF_Evaluation_Policy_May_2019_0.pdf" TargetMode="External"/><Relationship Id="rId32" Type="http://schemas.openxmlformats.org/officeDocument/2006/relationships/image" Target="media/image6.emf"/><Relationship Id="rId37" Type="http://schemas.openxmlformats.org/officeDocument/2006/relationships/hyperlink" Target="https://intranet.undp.org/unit/bpps/DI/SES_Toolkit" TargetMode="External"/><Relationship Id="rId40" Type="http://schemas.openxmlformats.org/officeDocument/2006/relationships/hyperlink" Target="https://rsis.ramsar.org/ris/2399" TargetMode="External"/><Relationship Id="rId45" Type="http://schemas.openxmlformats.org/officeDocument/2006/relationships/hyperlink" Target="file:///C:/Users/Viktor/Desktop/%20Travelife%20" TargetMode="External"/><Relationship Id="rId1" Type="http://schemas.openxmlformats.org/officeDocument/2006/relationships/customXml" Target="../customXml/item1.xml"/><Relationship Id="rId5" Type="http://schemas.openxmlformats.org/officeDocument/2006/relationships/customXml" Target="../customXml/item5.xml"/><Relationship Id="rId15" Type="http://schemas.openxmlformats.org/officeDocument/2006/relationships/image" Target="media/image3.jpeg"/><Relationship Id="rId23" Type="http://schemas.openxmlformats.org/officeDocument/2006/relationships/hyperlink" Target="https://www.thegef.org/sites/default/files/council-meeting-documents/GEF-C.56-03%2C%20Policy%20on%20Monitoring.pdf" TargetMode="External"/><Relationship Id="rId28" Type="http://schemas.openxmlformats.org/officeDocument/2006/relationships/hyperlink" Target="http://web.undp.org/evaluation/guidance.shtml" TargetMode="External"/><Relationship Id="rId36" Type="http://schemas.openxmlformats.org/officeDocument/2006/relationships/hyperlink" Target="http://www.undp.org/content/undp/en/home/librarypage/operations1/undp-social-and-environmental-screening-procedure.html" TargetMode="External"/><Relationship Id="rId49"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footer" Target="footer1.xml"/><Relationship Id="rId31" Type="http://schemas.openxmlformats.org/officeDocument/2006/relationships/image" Target="media/image5.emf"/><Relationship Id="rId44" Type="http://schemas.openxmlformats.org/officeDocument/2006/relationships/hyperlink" Target="https://emea01.safelinks.protection.outlook.com/?url=http%3A%2F%2Fwww.lowcarbonmne.me%2Fen%2Fmedia-center%2Fnews%2Fizuzetan-odziv-za-ekolosku-sertifikaciju-budva-dobija-10-hotela-sa-ekoloskim-sertifikatom&amp;data=02%7C01%7Cradica.zekovic%40undp.org%7C69c826d72bfe4e2a77d708d6a3cbd930%7Cb3e5db5e2944483799f57488ace54319%7C0%7C0%7C636876493248128410&amp;sdata=78w8n%2FOr52OUlMuEFw6iQk9GA9vIgDoT%2Fz28cCMo1mg%3D&amp;reserved=0"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hyperlink" Target="http://www.undp.org/content/undp/en/home/operations/accountability/evaluation/evaluation_policyofundp.html" TargetMode="External"/><Relationship Id="rId27" Type="http://schemas.openxmlformats.org/officeDocument/2006/relationships/hyperlink" Target="http://web.undp.org/evaluation/guidance.shtml" TargetMode="External"/><Relationship Id="rId30" Type="http://schemas.openxmlformats.org/officeDocument/2006/relationships/image" Target="media/image4.emf"/><Relationship Id="rId35" Type="http://schemas.openxmlformats.org/officeDocument/2006/relationships/footer" Target="footer3.xml"/><Relationship Id="rId43" Type="http://schemas.openxmlformats.org/officeDocument/2006/relationships/hyperlink" Target="https://www.slovenia.info/en/business/green-scheme-of-slovenian-tourism" TargetMode="External"/><Relationship Id="rId48" Type="http://schemas.openxmlformats.org/officeDocument/2006/relationships/fontTable" Target="fontTable.xml"/><Relationship Id="rId8" Type="http://schemas.openxmlformats.org/officeDocument/2006/relationships/styles" Target="style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s://ec.europa.eu/agriculture/sites/agriculture/files/direct-support/direct-payments/docs/direct-payments-schemes_en.pdf" TargetMode="External"/><Relationship Id="rId25" Type="http://schemas.openxmlformats.org/officeDocument/2006/relationships/hyperlink" Target="https://www.thegef.org/documents/policies-guidelines" TargetMode="External"/><Relationship Id="rId33" Type="http://schemas.openxmlformats.org/officeDocument/2006/relationships/hyperlink" Target="https://www.undp.org/content/dam/montenegro/docs/legalfrmw/MNE%20SBAA.pdf" TargetMode="External"/><Relationship Id="rId38" Type="http://schemas.openxmlformats.org/officeDocument/2006/relationships/hyperlink" Target="http://www.undp.org/content/undp/en/home/librarypage/operations1/undp-social-and-environmental-screening-procedure.html" TargetMode="External"/><Relationship Id="rId46" Type="http://schemas.openxmlformats.org/officeDocument/2006/relationships/hyperlink" Target="file:///C:/Users/Viktor/Desktop/EU%20Ecolabel" TargetMode="External"/><Relationship Id="rId20" Type="http://schemas.openxmlformats.org/officeDocument/2006/relationships/footer" Target="footer2.xml"/><Relationship Id="rId41" Type="http://schemas.openxmlformats.org/officeDocument/2006/relationships/hyperlink" Target="https://sustainability-leaders.com/tag/green-key-interviews/"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s://www.cbd.int/tourism/doc/tourism-manual-2015-en.pdf" TargetMode="External"/><Relationship Id="rId18" Type="http://schemas.openxmlformats.org/officeDocument/2006/relationships/hyperlink" Target="https://www.blueflag.global/all-bf-sites" TargetMode="External"/><Relationship Id="rId26" Type="http://schemas.openxmlformats.org/officeDocument/2006/relationships/hyperlink" Target="https://greenglobe.com/europe/" TargetMode="External"/><Relationship Id="rId39" Type="http://schemas.openxmlformats.org/officeDocument/2006/relationships/hyperlink" Target="https://www.me.undp.org/content/montenegro/en/home/projects/TCNT.html" TargetMode="External"/><Relationship Id="rId21" Type="http://schemas.openxmlformats.org/officeDocument/2006/relationships/hyperlink" Target="https://ec.europa.eu/environment/ecolabel/" TargetMode="External"/><Relationship Id="rId34" Type="http://schemas.openxmlformats.org/officeDocument/2006/relationships/hyperlink" Target="https://www.europarc.org/wp-content/uploads/2020/01/EUROPARC-Membership-fees-and-regulations-2020-2021.pdf" TargetMode="External"/><Relationship Id="rId42" Type="http://schemas.openxmlformats.org/officeDocument/2006/relationships/hyperlink" Target="https://www.tourcert.org/en/community/3etravel-ltd/" TargetMode="External"/><Relationship Id="rId47" Type="http://schemas.openxmlformats.org/officeDocument/2006/relationships/hyperlink" Target="https://ec.europa.eu/environment/integration/research/newsalert/pdf/AES_impacts_on_agricultural_environment_57si_en.pdf" TargetMode="External"/><Relationship Id="rId7" Type="http://schemas.openxmlformats.org/officeDocument/2006/relationships/hyperlink" Target="https://ec.europa.eu/environment/ecolabel/" TargetMode="External"/><Relationship Id="rId2" Type="http://schemas.openxmlformats.org/officeDocument/2006/relationships/hyperlink" Target="https://panorama.solutions/en" TargetMode="External"/><Relationship Id="rId16" Type="http://schemas.openxmlformats.org/officeDocument/2006/relationships/hyperlink" Target="https://greenglobe.com/europe/" TargetMode="External"/><Relationship Id="rId29" Type="http://schemas.openxmlformats.org/officeDocument/2006/relationships/hyperlink" Target="http://collection.greendestinations.org" TargetMode="External"/><Relationship Id="rId1" Type="http://schemas.openxmlformats.org/officeDocument/2006/relationships/hyperlink" Target="mailto:https://www.thegef.org/sites/default/files/publications/GEF_MainstreamingBiod_11.28.16.pdf" TargetMode="External"/><Relationship Id="rId6" Type="http://schemas.openxmlformats.org/officeDocument/2006/relationships/hyperlink" Target="https://ec.europa.eu/docsroom/documents/21749" TargetMode="External"/><Relationship Id="rId11" Type="http://schemas.openxmlformats.org/officeDocument/2006/relationships/hyperlink" Target="https://destinet.eu/resources/tools/certification-quickfinder" TargetMode="External"/><Relationship Id="rId24" Type="http://schemas.openxmlformats.org/officeDocument/2006/relationships/hyperlink" Target="https://www.travelife.org/Hotels/prices.asp" TargetMode="External"/><Relationship Id="rId32" Type="http://schemas.openxmlformats.org/officeDocument/2006/relationships/hyperlink" Target="https://eur-lex.europa.eu/legal-content/EN/TXT/PDF/?uri=CELEX:32013D0131&amp;from=EN" TargetMode="External"/><Relationship Id="rId37" Type="http://schemas.openxmlformats.org/officeDocument/2006/relationships/hyperlink" Target="https://www.slovenia.info/en/business/about-slovenian-tourist-board" TargetMode="External"/><Relationship Id="rId40" Type="http://schemas.openxmlformats.org/officeDocument/2006/relationships/hyperlink" Target="https://link.springer.com/chapter/10.1007/978-3-030-32902-0_8" TargetMode="External"/><Relationship Id="rId45" Type="http://schemas.openxmlformats.org/officeDocument/2006/relationships/hyperlink" Target="https://ec.europa.eu/environment/iczm/pdf/tcca_en.pdf" TargetMode="External"/><Relationship Id="rId5" Type="http://schemas.openxmlformats.org/officeDocument/2006/relationships/hyperlink" Target="https://www.cbd.int/development/doc/cbd-good-practice-guide-tourism-booklet-web-en.pdf" TargetMode="External"/><Relationship Id="rId15" Type="http://schemas.openxmlformats.org/officeDocument/2006/relationships/hyperlink" Target="http://ec.europa.eu/ecat/hotels/en/list" TargetMode="External"/><Relationship Id="rId23" Type="http://schemas.openxmlformats.org/officeDocument/2006/relationships/hyperlink" Target="https://www.travelife.org/Hotels/What_is_TL.asp?p=2" TargetMode="External"/><Relationship Id="rId28" Type="http://schemas.openxmlformats.org/officeDocument/2006/relationships/hyperlink" Target="https://www.blueflag.global/all-bf-sites" TargetMode="External"/><Relationship Id="rId36" Type="http://schemas.openxmlformats.org/officeDocument/2006/relationships/hyperlink" Target="http://dalmatia-green.com/dalmatia-green-certificate/" TargetMode="External"/><Relationship Id="rId10" Type="http://schemas.openxmlformats.org/officeDocument/2006/relationships/hyperlink" Target="https://destinet.eu/who-who/civil-society-ngos/ecotrans/publications/" TargetMode="External"/><Relationship Id="rId19" Type="http://schemas.openxmlformats.org/officeDocument/2006/relationships/hyperlink" Target="http://collection.greendestinations.org" TargetMode="External"/><Relationship Id="rId31" Type="http://schemas.openxmlformats.org/officeDocument/2006/relationships/hyperlink" Target="https://eur-lex.europa.eu/legal-content/EN/TXT/PDF/?uri=CELEX:32013D0131&amp;from=EN" TargetMode="External"/><Relationship Id="rId44" Type="http://schemas.openxmlformats.org/officeDocument/2006/relationships/hyperlink" Target="https://waytomonte.com/en/n-1191-v-etom-godu-30-plazej-v-cernogorii-polucili-goluboj-flag" TargetMode="External"/><Relationship Id="rId4" Type="http://schemas.openxmlformats.org/officeDocument/2006/relationships/hyperlink" Target="https://popp.undp.org/_layouts/15/WopiFrame.aspx?sourcedoc=/UNDP_POPP_DOCUMENT_LIBRARY/Public/PPM_Project%20Management_Closing.docx&amp;action=default" TargetMode="External"/><Relationship Id="rId9" Type="http://schemas.openxmlformats.org/officeDocument/2006/relationships/hyperlink" Target="https://www.cbd.int/tourism/doc/tourism-manual-2015-en.pdf" TargetMode="External"/><Relationship Id="rId14" Type="http://schemas.openxmlformats.org/officeDocument/2006/relationships/hyperlink" Target="https://www.cbd.int/tourism/doc/tourism-manual-2015-en.pdf" TargetMode="External"/><Relationship Id="rId22" Type="http://schemas.openxmlformats.org/officeDocument/2006/relationships/hyperlink" Target="https://ec.europa.eu/environment/ecolabel/how-to-apply-for-eu-ecolabel.html" TargetMode="External"/><Relationship Id="rId27" Type="http://schemas.openxmlformats.org/officeDocument/2006/relationships/hyperlink" Target="https://www.tourcert.org/en/community/3etravel-ltd/" TargetMode="External"/><Relationship Id="rId30" Type="http://schemas.openxmlformats.org/officeDocument/2006/relationships/hyperlink" Target="https://greendestinations.org/wp-content/uploads/2020/03/ENG_Guide-for-Destinations.pdf" TargetMode="External"/><Relationship Id="rId35" Type="http://schemas.openxmlformats.org/officeDocument/2006/relationships/hyperlink" Target="https://mint.gov.hr/UserDocsImages//AA_2018_c-dokumenti/akcijski%20planovi//002_160715_akc_p_zelen.pdf" TargetMode="External"/><Relationship Id="rId43" Type="http://schemas.openxmlformats.org/officeDocument/2006/relationships/hyperlink" Target="https://www.blueflag.global/all-bf-sites" TargetMode="External"/><Relationship Id="rId8" Type="http://schemas.openxmlformats.org/officeDocument/2006/relationships/hyperlink" Target="https://ec.europa.eu/environment/ecolabel/documents/ecat_user_manual/en.pdf" TargetMode="External"/><Relationship Id="rId3" Type="http://schemas.openxmlformats.org/officeDocument/2006/relationships/hyperlink" Target="https://www.thegef.org/gef/policies_guidelines" TargetMode="External"/><Relationship Id="rId12" Type="http://schemas.openxmlformats.org/officeDocument/2006/relationships/hyperlink" Target="http://www.ecotourism-network.eu" TargetMode="External"/><Relationship Id="rId17" Type="http://schemas.openxmlformats.org/officeDocument/2006/relationships/hyperlink" Target="https://www.tourcert.org/en/community/3etravel-ltd/" TargetMode="External"/><Relationship Id="rId25" Type="http://schemas.openxmlformats.org/officeDocument/2006/relationships/hyperlink" Target="https://www.greenkey.global" TargetMode="External"/><Relationship Id="rId33" Type="http://schemas.openxmlformats.org/officeDocument/2006/relationships/hyperlink" Target="https://www.europarc.org/sustainable-tourism/network-sustainable-destinations/" TargetMode="External"/><Relationship Id="rId38" Type="http://schemas.openxmlformats.org/officeDocument/2006/relationships/hyperlink" Target="https://www.me.undp.org/content/montenegro/en/home/projects/TCNT.html" TargetMode="External"/><Relationship Id="rId46" Type="http://schemas.openxmlformats.org/officeDocument/2006/relationships/hyperlink" Target="http://eur-lex.europa.eu/legal-content/EN/AUTO/?uri=celex:32007R1234" TargetMode="External"/><Relationship Id="rId20" Type="http://schemas.openxmlformats.org/officeDocument/2006/relationships/hyperlink" Target="https://www.europarc.org/sustainable-tourism/network-sustainable-destinations/" TargetMode="External"/><Relationship Id="rId41" Type="http://schemas.openxmlformats.org/officeDocument/2006/relationships/hyperlink" Target="http://ec.europa.eu/ecat/hotels/en/li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OfficeCountry xmlns="d9cf0e28-81d2-4dc7-8b10-820d80ed680d" xsi:nil="true"/>
    <DocumentStatus xmlns="d9cf0e28-81d2-4dc7-8b10-820d80ed680d">Approved</DocumentStatus>
    <DocCoverageEndDate xmlns="d9cf0e28-81d2-4dc7-8b10-820d80ed680d">2026-12-31T05:00:00+00:00</DocCoverageEndDate>
    <FunctionalArea xmlns="d9cf0e28-81d2-4dc7-8b10-820d80ed680d">Programme and Project</FunctionalArea>
    <FileNameDescription xmlns="d9cf0e28-81d2-4dc7-8b10-820d80ed680d" xsi:nil="true"/>
    <ProjectNumber xmlns="d9cf0e28-81d2-4dc7-8b10-820d80ed680d">00117706</ProjectNumber>
    <DocumentType xmlns="d9cf0e28-81d2-4dc7-8b10-820d80ed680d">Prodoc</DocumentType>
    <Language xmlns="d9cf0e28-81d2-4dc7-8b10-820d80ed680d">English</Language>
    <AuthorName xmlns="d9cf0e28-81d2-4dc7-8b10-820d80ed680d">UNDP</AuthorName>
    <DocumentCategory xmlns="d9cf0e28-81d2-4dc7-8b10-820d80ed680d">Project</DocumentCategory>
    <OperatingUnit xmlns="d9cf0e28-81d2-4dc7-8b10-820d80ed680d">MNE</OperatingUnit>
    <lcf76f155ced4ddcb4097134ff3c332f xmlns="d9cf0e28-81d2-4dc7-8b10-820d80ed680d">
      <Terms xmlns="http://schemas.microsoft.com/office/infopath/2007/PartnerControls"/>
    </lcf76f155ced4ddcb4097134ff3c332f>
    <FocusArea xmlns="d9cf0e28-81d2-4dc7-8b10-820d80ed680d">Environment and Energy</FocusArea>
    <DocCoverageStartDate xmlns="d9cf0e28-81d2-4dc7-8b10-820d80ed680d">2022-01-01T05:00:00+00:00</DocCoverageStartDate>
    <FileClassificationMode xmlns="d9cf0e28-81d2-4dc7-8b10-820d80ed680d">Public</FileClassificationMode>
    <OutputNumber xmlns="d9cf0e28-81d2-4dc7-8b10-820d80ed680d">00114485</OutputNumber>
  </documentManagement>
</p:properties>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ct:contentTypeSchema xmlns:ct="http://schemas.microsoft.com/office/2006/metadata/contentType" xmlns:ma="http://schemas.microsoft.com/office/2006/metadata/properties/metaAttributes" ct:_="" ma:_="" ma:contentTypeName="UNDP Programme Document" ma:contentTypeID="0x010100F075C04BA242A84ABD3293E3AD35CDA400AB50428DC784B44FAACCAA5FAE40C0590045B5E632B552204ABF0E616DD66BDA0F" ma:contentTypeVersion="68" ma:contentTypeDescription="" ma:contentTypeScope="" ma:versionID="98a2a926c0ddbb94e71f9f6a9ecbb44b">
  <xsd:schema xmlns:xsd="http://www.w3.org/2001/XMLSchema" xmlns:xs="http://www.w3.org/2001/XMLSchema" xmlns:p="http://schemas.microsoft.com/office/2006/metadata/properties" xmlns:ns1="http://schemas.microsoft.com/sharepoint/v3" xmlns:ns2="http://schemas.microsoft.com/sharepoint/v3/fields" xmlns:ns3="1ed4137b-41b2-488b-8250-6d369ec27664" xmlns:ns4="f1161f5b-24a3-4c2d-bc81-44cb9325e8ee" targetNamespace="http://schemas.microsoft.com/office/2006/metadata/properties" ma:root="true" ma:fieldsID="5f047298656ed9b1950efe6f2c9bc131" ns1:_="" ns2:_="" ns3:_="" ns4:_="">
    <xsd:import namespace="http://schemas.microsoft.com/sharepoint/v3"/>
    <xsd:import namespace="http://schemas.microsoft.com/sharepoint/v3/fields"/>
    <xsd:import namespace="1ed4137b-41b2-488b-8250-6d369ec27664"/>
    <xsd:import namespace="f1161f5b-24a3-4c2d-bc81-44cb9325e8ee"/>
    <xsd:element name="properties">
      <xsd:complexType>
        <xsd:sequence>
          <xsd:element name="documentManagement">
            <xsd:complexType>
              <xsd:all>
                <xsd:element ref="ns3:UndpClassificationLevel" minOccurs="0"/>
                <xsd:element ref="ns4:UNDPPOPPFunctionalArea" minOccurs="0"/>
                <xsd:element ref="ns3:UndpProjectNo"/>
                <xsd:element ref="ns4:Outcome1" minOccurs="0"/>
                <xsd:element ref="ns3:UndpDocStatus" minOccurs="0"/>
                <xsd:element ref="ns3:UndpOUCode" minOccurs="0"/>
                <xsd:element ref="ns3:UndpDocFormat" minOccurs="0"/>
                <xsd:element ref="ns3:UndpDocID" minOccurs="0"/>
                <xsd:element ref="ns4:PDC_x0020_Document_x0020_Category" minOccurs="0"/>
                <xsd:element ref="ns4:UNDPPublishedDate" minOccurs="0"/>
                <xsd:element ref="ns4:UNDPSummary" minOccurs="0"/>
                <xsd:element ref="ns3:TaxCatchAll" minOccurs="0"/>
                <xsd:element ref="ns3:TaxCatchAllLabel" minOccurs="0"/>
                <xsd:element ref="ns3:UndpDocTypeMMTaxHTField0" minOccurs="0"/>
                <xsd:element ref="ns3:UNDPCountryTaxHTField0" minOccurs="0"/>
                <xsd:element ref="ns3:UNDPDocumentCategoryTaxHTField0" minOccurs="0"/>
                <xsd:element ref="ns3:b6db62fdefd74bd188b0c1cc54de5bcf" minOccurs="0"/>
                <xsd:element ref="ns3:UN_x0020_LanguagesTaxHTField0" minOccurs="0"/>
                <xsd:element ref="ns3:c4e2ab2cc9354bbf9064eeb465a566ea" minOccurs="0"/>
                <xsd:element ref="ns3:UNDPFocusAreasTaxHTField0" minOccurs="0"/>
                <xsd:element ref="ns4:o4086b1782a74105bb5269035bccc8e9" minOccurs="0"/>
                <xsd:element ref="ns4:Project_x0020_Number" minOccurs="0"/>
                <xsd:element ref="ns4:idff2b682fce4d0680503cd9036a3260" minOccurs="0"/>
                <xsd:element ref="ns3:UndpIsTemplate" minOccurs="0"/>
                <xsd:element ref="ns4:gc6531b704974d528487414686b72f6f" minOccurs="0"/>
                <xsd:element ref="ns4:Project_x0020_Manager" minOccurs="0"/>
                <xsd:element ref="ns2:_Publisher" minOccurs="0"/>
                <xsd:element ref="ns4:_dlc_DocId" minOccurs="0"/>
                <xsd:element ref="ns4:_dlc_DocIdUrl" minOccurs="0"/>
                <xsd:element ref="ns4:_dlc_DocIdPersistId" minOccurs="0"/>
                <xsd:element ref="ns4:Document_x0020_Coverage_x0020_Period_x0020_Start_x0020_Date" minOccurs="0"/>
                <xsd:element ref="ns4:Document_x0020_Coverage_x0020_Period_x0020_End_x0020_Date"/>
                <xsd:element ref="ns1:RatedBy" minOccurs="0"/>
                <xsd:element ref="ns1:Ratings" minOccurs="0"/>
                <xsd:element ref="ns1:LikesCount" minOccurs="0"/>
                <xsd:element ref="ns1:Liked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atedBy" ma:index="52" nillable="true" ma:displayName="Rated By" ma:description="Users rated the item."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53" nillable="true" ma:displayName="User ratings" ma:description="User ratings for the item" ma:hidden="true" ma:internalName="Ratings">
      <xsd:simpleType>
        <xsd:restriction base="dms:Note"/>
      </xsd:simpleType>
    </xsd:element>
    <xsd:element name="LikesCount" ma:index="54" nillable="true" ma:displayName="Number of Likes" ma:internalName="LikesCount">
      <xsd:simpleType>
        <xsd:restriction base="dms:Unknown"/>
      </xsd:simpleType>
    </xsd:element>
    <xsd:element name="LikedBy" ma:index="55" nillable="true" ma:displayName="Liked By"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Publisher" ma:index="46" nillable="true" ma:displayName="Publisher" ma:description="The person who published the document" ma:hidden="true" ma:internalName="_Publish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ed4137b-41b2-488b-8250-6d369ec27664" elementFormDefault="qualified">
    <xsd:import namespace="http://schemas.microsoft.com/office/2006/documentManagement/types"/>
    <xsd:import namespace="http://schemas.microsoft.com/office/infopath/2007/PartnerControls"/>
    <xsd:element name="UndpClassificationLevel" ma:index="4" nillable="true" ma:displayName="Classification Level" ma:default="Internal Use Only" ma:description="re: UNDP Information Classification &amp; Handling Standard" ma:format="Dropdown" ma:internalName="UndpClassificationLevel">
      <xsd:simpleType>
        <xsd:restriction base="dms:Choice">
          <xsd:enumeration value="Internal Use Only"/>
          <xsd:enumeration value="Confidential"/>
          <xsd:enumeration value="Highly Confidential"/>
          <xsd:enumeration value="Public"/>
        </xsd:restriction>
      </xsd:simpleType>
    </xsd:element>
    <xsd:element name="UndpProjectNo" ma:index="8" ma:displayName="Project No" ma:description="If applicable, the Atlas Project Number that this document relates to." ma:internalName="UndpProjectNo" ma:readOnly="false">
      <xsd:simpleType>
        <xsd:restriction base="dms:Text">
          <xsd:maxLength value="12"/>
        </xsd:restriction>
      </xsd:simpleType>
    </xsd:element>
    <xsd:element name="UndpDocStatus" ma:index="10" nillable="true" ma:displayName="Document Status" ma:default="Draft" ma:description="The status of the document" ma:format="Dropdown" ma:internalName="UndpDocStatus">
      <xsd:simpleType>
        <xsd:restriction base="dms:Choice">
          <xsd:enumeration value="Draft"/>
          <xsd:enumeration value="Reviewed"/>
          <xsd:enumeration value="Approved"/>
          <xsd:enumeration value="Not Approved"/>
          <xsd:enumeration value="Final"/>
          <xsd:enumeration value="Expired"/>
        </xsd:restriction>
      </xsd:simpleType>
    </xsd:element>
    <xsd:element name="UndpOUCode" ma:index="11" nillable="true" ma:displayName="Unit Code" ma:description="The Atlas Unit Code of the authoring Unit" ma:format="Dropdown" ma:internalName="UndpOUCode">
      <xsd:simpleType>
        <xsd:restriction base="dms:Choice">
          <xsd:enumeration value="ABW"/>
          <xsd:enumeration value="AFG"/>
          <xsd:enumeration value="AGO"/>
          <xsd:enumeration value="AIA"/>
          <xsd:enumeration value="ALB"/>
          <xsd:enumeration value="ANT"/>
          <xsd:enumeration value="ARE"/>
          <xsd:enumeration value="ARG"/>
          <xsd:enumeration value="ARM"/>
          <xsd:enumeration value="ATG"/>
          <xsd:enumeration value="AZE"/>
          <xsd:enumeration value="BDI"/>
          <xsd:enumeration value="BEN"/>
          <xsd:enumeration value="BFA"/>
          <xsd:enumeration value="BGD"/>
          <xsd:enumeration value="BGR"/>
          <xsd:enumeration value="BHR"/>
          <xsd:enumeration value="BHS"/>
          <xsd:enumeration value="BIH"/>
          <xsd:enumeration value="BLR"/>
          <xsd:enumeration value="BLZ"/>
          <xsd:enumeration value="BMU"/>
          <xsd:enumeration value="BOL"/>
          <xsd:enumeration value="BRA"/>
          <xsd:enumeration value="BRB"/>
          <xsd:enumeration value="BRC"/>
          <xsd:enumeration value="BTN"/>
          <xsd:enumeration value="BWA"/>
          <xsd:enumeration value="CAF"/>
          <xsd:enumeration value="CHL"/>
          <xsd:enumeration value="CHN"/>
          <xsd:enumeration value="CIV"/>
          <xsd:enumeration value="CMR"/>
          <xsd:enumeration value="COD"/>
          <xsd:enumeration value="COG"/>
          <xsd:enumeration value="COK"/>
          <xsd:enumeration value="COL"/>
          <xsd:enumeration value="COM"/>
          <xsd:enumeration value="CPV"/>
          <xsd:enumeration value="CRC"/>
          <xsd:enumeration value="CRI"/>
          <xsd:enumeration value="CUB"/>
          <xsd:enumeration value="CUR"/>
          <xsd:enumeration value="CYM"/>
          <xsd:enumeration value="CYP"/>
          <xsd:enumeration value="DJI"/>
          <xsd:enumeration value="DMA"/>
          <xsd:enumeration value="DOM"/>
          <xsd:enumeration value="DZA"/>
          <xsd:enumeration value="ECU"/>
          <xsd:enumeration value="EGY"/>
          <xsd:enumeration value="ERI"/>
          <xsd:enumeration value="ETH"/>
          <xsd:enumeration value="FJI"/>
          <xsd:enumeration value="FSM"/>
          <xsd:enumeration value="GAB"/>
          <xsd:enumeration value="GEO"/>
          <xsd:enumeration value="GHA"/>
          <xsd:enumeration value="GIN"/>
          <xsd:enumeration value="GMB"/>
          <xsd:enumeration value="GNB"/>
          <xsd:enumeration value="GNQ"/>
          <xsd:enumeration value="GRD"/>
          <xsd:enumeration value="GTM"/>
          <xsd:enumeration value="GUY"/>
          <xsd:enumeration value="HND"/>
          <xsd:enumeration value="HRV"/>
          <xsd:enumeration value="HTI"/>
          <xsd:enumeration value="IDN"/>
          <xsd:enumeration value="IND"/>
          <xsd:enumeration value="IRN"/>
          <xsd:enumeration value="IRQ"/>
          <xsd:enumeration value="JAM"/>
          <xsd:enumeration value="JOR"/>
          <xsd:enumeration value="KAZ"/>
          <xsd:enumeration value="KEN"/>
          <xsd:enumeration value="KGZ"/>
          <xsd:enumeration value="KHM"/>
          <xsd:enumeration value="KIR"/>
          <xsd:enumeration value="KNA"/>
          <xsd:enumeration value="KOR"/>
          <xsd:enumeration value="KOS"/>
          <xsd:enumeration value="KWT"/>
          <xsd:enumeration value="LAO"/>
          <xsd:enumeration value="LBN"/>
          <xsd:enumeration value="LBR"/>
          <xsd:enumeration value="LBY"/>
          <xsd:enumeration value="LCA"/>
          <xsd:enumeration value="LKA"/>
          <xsd:enumeration value="LSO"/>
          <xsd:enumeration value="LTU"/>
          <xsd:enumeration value="LVA"/>
          <xsd:enumeration value="MAR"/>
          <xsd:enumeration value="MDA"/>
          <xsd:enumeration value="MDG"/>
          <xsd:enumeration value="MDV"/>
          <xsd:enumeration value="MEX"/>
          <xsd:enumeration value="MHL"/>
          <xsd:enumeration value="MKD"/>
          <xsd:enumeration value="MLI"/>
          <xsd:enumeration value="MMR"/>
          <xsd:enumeration value="MNE"/>
          <xsd:enumeration value="MNG"/>
          <xsd:enumeration value="MOZ"/>
          <xsd:enumeration value="MRT"/>
          <xsd:enumeration value="MSR"/>
          <xsd:enumeration value="MUS"/>
          <xsd:enumeration value="MWI"/>
          <xsd:enumeration value="MYS"/>
          <xsd:enumeration value="NAM"/>
          <xsd:enumeration value="NER"/>
          <xsd:enumeration value="NGA"/>
          <xsd:enumeration value="NIC"/>
          <xsd:enumeration value="NIU"/>
          <xsd:enumeration value="NPL"/>
          <xsd:enumeration value="NRU"/>
          <xsd:enumeration value="PAK"/>
          <xsd:enumeration value="PAL"/>
          <xsd:enumeration value="PAN"/>
          <xsd:enumeration value="PER"/>
          <xsd:enumeration value="PHL"/>
          <xsd:enumeration value="PLW"/>
          <xsd:enumeration value="PNG"/>
          <xsd:enumeration value="POL"/>
          <xsd:enumeration value="PRK"/>
          <xsd:enumeration value="PRY"/>
          <xsd:enumeration value="PSC"/>
          <xsd:enumeration value="QAT"/>
          <xsd:enumeration value="R11"/>
          <xsd:enumeration value="R12"/>
          <xsd:enumeration value="R44"/>
          <xsd:enumeration value="R45"/>
          <xsd:enumeration value="R46"/>
          <xsd:enumeration value="R47"/>
          <xsd:enumeration value="RJB"/>
          <xsd:enumeration value="ROU"/>
          <xsd:enumeration value="RUS"/>
          <xsd:enumeration value="RWA"/>
          <xsd:enumeration value="SAU"/>
          <xsd:enumeration value="SDN"/>
          <xsd:enumeration value="SEN"/>
          <xsd:enumeration value="SLB"/>
          <xsd:enumeration value="SLE"/>
          <xsd:enumeration value="SLV"/>
          <xsd:enumeration value="SOM"/>
          <xsd:enumeration value="SRB"/>
          <xsd:enumeration value="SSD"/>
          <xsd:enumeration value="STP"/>
          <xsd:enumeration value="SUR"/>
          <xsd:enumeration value="SVK"/>
          <xsd:enumeration value="SWZ"/>
          <xsd:enumeration value="SYC"/>
          <xsd:enumeration value="SYR"/>
          <xsd:enumeration value="TCA"/>
          <xsd:enumeration value="TCD"/>
          <xsd:enumeration value="TGO"/>
          <xsd:enumeration value="THA"/>
          <xsd:enumeration value="TJK"/>
          <xsd:enumeration value="TKL"/>
          <xsd:enumeration value="TKM"/>
          <xsd:enumeration value="TLS"/>
          <xsd:enumeration value="TON"/>
          <xsd:enumeration value="TTO"/>
          <xsd:enumeration value="TUN"/>
          <xsd:enumeration value="TUR"/>
          <xsd:enumeration value="TUV"/>
          <xsd:enumeration value="TZA"/>
          <xsd:enumeration value="UGA"/>
          <xsd:enumeration value="UKR"/>
          <xsd:enumeration value="UNV"/>
          <xsd:enumeration value="URY"/>
          <xsd:enumeration value="UZB"/>
          <xsd:enumeration value="VCT"/>
          <xsd:enumeration value="VEN"/>
          <xsd:enumeration value="VGB"/>
          <xsd:enumeration value="VNM"/>
          <xsd:enumeration value="VUT"/>
          <xsd:enumeration value="WSM"/>
          <xsd:enumeration value="YEM"/>
          <xsd:enumeration value="ZAF"/>
          <xsd:enumeration value="ZMB"/>
          <xsd:enumeration value="ZWE"/>
          <xsd:enumeration value="H01"/>
          <xsd:enumeration value="H02"/>
          <xsd:enumeration value="H03"/>
          <xsd:enumeration value="H04"/>
          <xsd:enumeration value="H05"/>
          <xsd:enumeration value="H10"/>
          <xsd:enumeration value="H11"/>
          <xsd:enumeration value="H13"/>
          <xsd:enumeration value="H13"/>
          <xsd:enumeration value="H14"/>
          <xsd:enumeration value="H15"/>
          <xsd:enumeration value="H17"/>
          <xsd:enumeration value="H18"/>
          <xsd:enumeration value="H19"/>
          <xsd:enumeration value="H20"/>
          <xsd:enumeration value="H21"/>
          <xsd:enumeration value="H22"/>
          <xsd:enumeration value="H23"/>
          <xsd:enumeration value="H24"/>
          <xsd:enumeration value="H25"/>
          <xsd:enumeration value="H26"/>
          <xsd:enumeration value="H27"/>
          <xsd:enumeration value="H28"/>
          <xsd:enumeration value="H30"/>
          <xsd:enumeration value="H31"/>
          <xsd:enumeration value="H35"/>
          <xsd:enumeration value="H42"/>
          <xsd:enumeration value="H43"/>
          <xsd:enumeration value="H45"/>
          <xsd:enumeration value="H46"/>
          <xsd:enumeration value="H48"/>
          <xsd:enumeration value="H49"/>
          <xsd:enumeration value="H51"/>
          <xsd:enumeration value="H54"/>
          <xsd:enumeration value="H56"/>
          <xsd:enumeration value="H57"/>
          <xsd:enumeration value="H58"/>
          <xsd:enumeration value="H59"/>
          <xsd:enumeration value="H61"/>
          <xsd:enumeration value="H62"/>
          <xsd:enumeration value="H70"/>
          <xsd:enumeration value="H71"/>
        </xsd:restriction>
      </xsd:simpleType>
    </xsd:element>
    <xsd:element name="UndpDocFormat" ma:index="12" nillable="true" ma:displayName="Document Medium" ma:description="The medium/format from which this document originated (i.e. Fax, Paper, eDocument etc.)" ma:format="Dropdown" ma:internalName="UndpDocFormat">
      <xsd:simpleType>
        <xsd:restriction base="dms:Choice">
          <xsd:enumeration value="E-Document"/>
          <xsd:enumeration value="Letter/Paper"/>
          <xsd:enumeration value="E-Mail"/>
          <xsd:enumeration value="Fax/Telecopy"/>
          <xsd:enumeration value="Audio"/>
          <xsd:enumeration value="Database"/>
          <xsd:enumeration value="Image/Picture"/>
          <xsd:enumeration value="Instant Message"/>
          <xsd:enumeration value="Social Media"/>
        </xsd:restriction>
      </xsd:simpleType>
    </xsd:element>
    <xsd:element name="UndpDocID" ma:index="14" nillable="true" ma:displayName="Doc ID" ma:description="The Unique ID number for this document. Reserve for System Use." ma:internalName="UndpDocID">
      <xsd:simpleType>
        <xsd:restriction base="dms:Text">
          <xsd:maxLength value="35"/>
        </xsd:restriction>
      </xsd:simpleType>
    </xsd:element>
    <xsd:element name="TaxCatchAll" ma:index="23" nillable="true" ma:displayName="Taxonomy Catch All Column" ma:hidden="true" ma:list="{ebf97bad-dcbe-4f0d-9a23-b800605d6ac9}" ma:internalName="TaxCatchAll" ma:showField="CatchAllData" ma:web="f1161f5b-24a3-4c2d-bc81-44cb9325e8ee">
      <xsd:complexType>
        <xsd:complexContent>
          <xsd:extension base="dms:MultiChoiceLookup">
            <xsd:sequence>
              <xsd:element name="Value" type="dms:Lookup" maxOccurs="unbounded" minOccurs="0" nillable="true"/>
            </xsd:sequence>
          </xsd:extension>
        </xsd:complexContent>
      </xsd:complexType>
    </xsd:element>
    <xsd:element name="TaxCatchAllLabel" ma:index="24" nillable="true" ma:displayName="Taxonomy Catch All Column1" ma:hidden="true" ma:list="{ebf97bad-dcbe-4f0d-9a23-b800605d6ac9}" ma:internalName="TaxCatchAllLabel" ma:readOnly="true" ma:showField="CatchAllDataLabel" ma:web="f1161f5b-24a3-4c2d-bc81-44cb9325e8ee">
      <xsd:complexType>
        <xsd:complexContent>
          <xsd:extension base="dms:MultiChoiceLookup">
            <xsd:sequence>
              <xsd:element name="Value" type="dms:Lookup" maxOccurs="unbounded" minOccurs="0" nillable="true"/>
            </xsd:sequence>
          </xsd:extension>
        </xsd:complexContent>
      </xsd:complexType>
    </xsd:element>
    <xsd:element name="UndpDocTypeMMTaxHTField0" ma:index="25" nillable="true" ma:taxonomy="true" ma:internalName="UndpDocTypeMMTaxHTField0" ma:taxonomyFieldName="UndpDocTypeMM" ma:displayName="Document Type" ma:readOnly="false" ma:default="" ma:fieldId="{ef94467a-fb76-4b42-91a0-5b5bdb6c8d34}" ma:sspId="28e6c43a-9e99-4bdd-9574-a0fa4ea3b61e" ma:termSetId="78839492-c939-4403-a05a-dae1049eff08" ma:anchorId="00000000-0000-0000-0000-000000000000" ma:open="false" ma:isKeyword="false">
      <xsd:complexType>
        <xsd:sequence>
          <xsd:element ref="pc:Terms" minOccurs="0" maxOccurs="1"/>
        </xsd:sequence>
      </xsd:complexType>
    </xsd:element>
    <xsd:element name="UNDPCountryTaxHTField0" ma:index="27" nillable="true" ma:taxonomy="true" ma:internalName="UNDPCountryTaxHTField0" ma:taxonomyFieldName="UNDPCountry" ma:displayName="Applies To Unit/Office/Country" ma:default="" ma:fieldId="{81e4cc14-7d66-47aa-92fc-e5e3ceab8cf9}" ma:taxonomyMulti="true" ma:sspId="28e6c43a-9e99-4bdd-9574-a0fa4ea3b61e" ma:termSetId="4c1519d5-5462-432c-ac69-cbad312f38bc" ma:anchorId="00000000-0000-0000-0000-000000000000" ma:open="false" ma:isKeyword="false">
      <xsd:complexType>
        <xsd:sequence>
          <xsd:element ref="pc:Terms" minOccurs="0" maxOccurs="1"/>
        </xsd:sequence>
      </xsd:complexType>
    </xsd:element>
    <xsd:element name="UNDPDocumentCategoryTaxHTField0" ma:index="30" nillable="true" ma:taxonomy="true" ma:internalName="UNDPDocumentCategoryTaxHTField0" ma:taxonomyFieldName="UNDPDocumentCategory" ma:displayName="Document Category" ma:readOnly="false" ma:default="" ma:fieldId="{30683383-b7b1-438d-8f61-9bf6b516a9e8}" ma:sspId="28e6c43a-9e99-4bdd-9574-a0fa4ea3b61e" ma:termSetId="353ae5a2-1c9c-42f6-bb56-cf3ba72fb601" ma:anchorId="00000000-0000-0000-0000-000000000000" ma:open="false" ma:isKeyword="false">
      <xsd:complexType>
        <xsd:sequence>
          <xsd:element ref="pc:Terms" minOccurs="0" maxOccurs="1"/>
        </xsd:sequence>
      </xsd:complexType>
    </xsd:element>
    <xsd:element name="b6db62fdefd74bd188b0c1cc54de5bcf" ma:index="32" nillable="true" ma:taxonomy="true" ma:internalName="b6db62fdefd74bd188b0c1cc54de5bcf" ma:taxonomyFieldName="UndpUnitMM" ma:displayName="Responsible Unit/Office" ma:readOnly="false" ma:default="" ma:fieldId="{b6db62fd-efd7-4bd1-88b0-c1cc54de5bcf}" ma:taxonomyMulti="true" ma:sspId="28e6c43a-9e99-4bdd-9574-a0fa4ea3b61e" ma:termSetId="41041907-3ad1-4549-b766-200fd229bd1c" ma:anchorId="00000000-0000-0000-0000-000000000000" ma:open="false" ma:isKeyword="false">
      <xsd:complexType>
        <xsd:sequence>
          <xsd:element ref="pc:Terms" minOccurs="0" maxOccurs="1"/>
        </xsd:sequence>
      </xsd:complexType>
    </xsd:element>
    <xsd:element name="UN_x0020_LanguagesTaxHTField0" ma:index="33" nillable="true" ma:taxonomy="true" ma:internalName="UN_x0020_LanguagesTaxHTField0" ma:taxonomyFieldName="UN_x0020_Languages" ma:displayName="UN Languages" ma:readOnly="false" ma:default="1;#English|7f98b732-4b5b-4b70-ba90-a0eff09b5d2d" ma:fieldId="{41a2b052-e54a-4bfe-83da-6da45935c81e}" ma:sspId="28e6c43a-9e99-4bdd-9574-a0fa4ea3b61e" ma:termSetId="b4046108-c9b1-4d97-ad16-d3846fb24317" ma:anchorId="45d05d46-9bc9-40df-8618-9658690cf41e" ma:open="false" ma:isKeyword="false">
      <xsd:complexType>
        <xsd:sequence>
          <xsd:element ref="pc:Terms" minOccurs="0" maxOccurs="1"/>
        </xsd:sequence>
      </xsd:complexType>
    </xsd:element>
    <xsd:element name="c4e2ab2cc9354bbf9064eeb465a566ea" ma:index="34" nillable="true" ma:taxonomy="true" ma:internalName="c4e2ab2cc9354bbf9064eeb465a566ea" ma:taxonomyFieldName="eRegFilingCodeMM" ma:displayName="eFiling Code" ma:readOnly="false" ma:default="" ma:fieldId="{c4e2ab2c-c935-4bbf-9064-eeb465a566ea}" ma:sspId="28e6c43a-9e99-4bdd-9574-a0fa4ea3b61e" ma:termSetId="1b29302a-a790-4a29-9296-98192bc3cc74" ma:anchorId="ccbed235-bdac-448a-ab80-b4bb62a8ac5c" ma:open="false" ma:isKeyword="false">
      <xsd:complexType>
        <xsd:sequence>
          <xsd:element ref="pc:Terms" minOccurs="0" maxOccurs="1"/>
        </xsd:sequence>
      </xsd:complexType>
    </xsd:element>
    <xsd:element name="UNDPFocusAreasTaxHTField0" ma:index="35" nillable="true" ma:taxonomy="true" ma:internalName="UNDPFocusAreasTaxHTField0" ma:taxonomyFieldName="UNDPFocusAreas" ma:displayName="Focus Area" ma:readOnly="false" ma:default="" ma:fieldId="{c0f5d6bc-94c2-4efb-8cb3-448ca9792810}" ma:taxonomyMulti="true" ma:sspId="28e6c43a-9e99-4bdd-9574-a0fa4ea3b61e" ma:termSetId="5595b894-23d9-4524-8855-5c6c69b8bcc7" ma:anchorId="00000000-0000-0000-0000-000000000000" ma:open="false" ma:isKeyword="false">
      <xsd:complexType>
        <xsd:sequence>
          <xsd:element ref="pc:Terms" minOccurs="0" maxOccurs="1"/>
        </xsd:sequence>
      </xsd:complexType>
    </xsd:element>
    <xsd:element name="UndpIsTemplate" ma:index="43" nillable="true" ma:displayName="Template" ma:default="No" ma:description="Is this document a template or model upon which other documents should be based?" ma:format="RadioButtons" ma:hidden="true" ma:internalName="UndpIsTemplate" ma:readOnly="false">
      <xsd:simpleType>
        <xsd:restriction base="dms:Choice">
          <xsd:enumeration value="Yes"/>
          <xsd:enumeration value="No"/>
        </xsd:restriction>
      </xsd:simpleType>
    </xsd:element>
  </xsd:schema>
  <xsd:schema xmlns:xsd="http://www.w3.org/2001/XMLSchema" xmlns:xs="http://www.w3.org/2001/XMLSchema" xmlns:dms="http://schemas.microsoft.com/office/2006/documentManagement/types" xmlns:pc="http://schemas.microsoft.com/office/infopath/2007/PartnerControls" targetNamespace="f1161f5b-24a3-4c2d-bc81-44cb9325e8ee" elementFormDefault="qualified">
    <xsd:import namespace="http://schemas.microsoft.com/office/2006/documentManagement/types"/>
    <xsd:import namespace="http://schemas.microsoft.com/office/infopath/2007/PartnerControls"/>
    <xsd:element name="UNDPPOPPFunctionalArea" ma:index="5" nillable="true" ma:displayName="Functional Area" ma:description="The Functional Area (as defined in POPP) of this document" ma:format="Dropdown" ma:internalName="UNDPPOPPFunctionalArea" ma:readOnly="false">
      <xsd:simpleType>
        <xsd:restriction base="dms:Choice">
          <xsd:enumeration value="Administrative Services"/>
          <xsd:enumeration value="Contract and Procurement"/>
          <xsd:enumeration value="Ethics"/>
          <xsd:enumeration value="Financial Resources"/>
          <xsd:enumeration value="Human Resources"/>
          <xsd:enumeration value="Information and Communications Technology"/>
          <xsd:enumeration value="Management of Crisis and Special Development Situations"/>
          <xsd:enumeration value="Partnerships"/>
          <xsd:enumeration value="Programme and Project"/>
          <xsd:enumeration value="Results &amp; Accountability"/>
          <xsd:enumeration value="Prescriptive Content"/>
          <xsd:enumeration value="Security"/>
        </xsd:restriction>
      </xsd:simpleType>
    </xsd:element>
    <xsd:element name="Outcome1" ma:index="9" nillable="true" ma:displayName="Output No" ma:internalName="Outcome1" ma:readOnly="false">
      <xsd:simpleType>
        <xsd:restriction base="dms:Text">
          <xsd:maxLength value="8"/>
        </xsd:restriction>
      </xsd:simpleType>
    </xsd:element>
    <xsd:element name="PDC_x0020_Document_x0020_Category" ma:index="15" nillable="true" ma:displayName="PDC Document Category" ma:default="Project" ma:format="Dropdown" ma:internalName="PDC_x0020_Document_x0020_Category" ma:readOnly="false">
      <xsd:simpleType>
        <xsd:restriction base="dms:Choice">
          <xsd:enumeration value="Project"/>
          <xsd:enumeration value="Proposal"/>
        </xsd:restriction>
      </xsd:simpleType>
    </xsd:element>
    <xsd:element name="UNDPPublishedDate" ma:index="19" nillable="true" ma:displayName="Published Date" ma:description="The date the document was published" ma:format="DateOnly" ma:hidden="true" ma:internalName="UNDPPublishedDate" ma:readOnly="false">
      <xsd:simpleType>
        <xsd:restriction base="dms:DateTime"/>
      </xsd:simpleType>
    </xsd:element>
    <xsd:element name="UNDPSummary" ma:index="21" nillable="true" ma:displayName="Summary" ma:description="A brief description or summary of the document that will displayed in search results." ma:hidden="true" ma:internalName="UNDPSummary" ma:readOnly="false">
      <xsd:simpleType>
        <xsd:restriction base="dms:Note"/>
      </xsd:simpleType>
    </xsd:element>
    <xsd:element name="o4086b1782a74105bb5269035bccc8e9" ma:index="39" nillable="true" ma:taxonomy="true" ma:internalName="o4086b1782a74105bb5269035bccc8e9" ma:taxonomyFieldName="Atlas_x0020_Document_x0020_Status" ma:displayName="PDC Document Status" ma:indexed="true" ma:readOnly="false" ma:default="3;#Draft|148f9654-2d0b-4582-a532-49dea0090e5d" ma:fieldId="{84086b17-82a7-4105-bb52-69035bccc8e9}" ma:sspId="28e6c43a-9e99-4bdd-9574-a0fa4ea3b61e" ma:termSetId="bf88dcc3-e0ff-46aa-9842-84eacace3bd1" ma:anchorId="00000000-0000-0000-0000-000000000000" ma:open="false" ma:isKeyword="false">
      <xsd:complexType>
        <xsd:sequence>
          <xsd:element ref="pc:Terms" minOccurs="0" maxOccurs="1"/>
        </xsd:sequence>
      </xsd:complexType>
    </xsd:element>
    <xsd:element name="Project_x0020_Number" ma:index="40" nillable="true" ma:displayName="Project Number" ma:hidden="true" ma:internalName="Project_x0020_Number" ma:readOnly="false">
      <xsd:simpleType>
        <xsd:restriction base="dms:Text">
          <xsd:maxLength value="8"/>
        </xsd:restriction>
      </xsd:simpleType>
    </xsd:element>
    <xsd:element name="idff2b682fce4d0680503cd9036a3260" ma:index="41" ma:taxonomy="true" ma:internalName="idff2b682fce4d0680503cd9036a3260" ma:taxonomyFieldName="Atlas_x0020_Document_x0020_Type" ma:displayName="PDC Document Type" ma:readOnly="false" ma:default="" ma:fieldId="{2dff2b68-2fce-4d06-8050-3cd9036a3260}" ma:sspId="28e6c43a-9e99-4bdd-9574-a0fa4ea3b61e" ma:termSetId="b24c61c9-da3d-4375-8433-f6bfd3bd2e40" ma:anchorId="00000000-0000-0000-0000-000000000000" ma:open="false" ma:isKeyword="false">
      <xsd:complexType>
        <xsd:sequence>
          <xsd:element ref="pc:Terms" minOccurs="0" maxOccurs="1"/>
        </xsd:sequence>
      </xsd:complexType>
    </xsd:element>
    <xsd:element name="gc6531b704974d528487414686b72f6f" ma:index="44" ma:taxonomy="true" ma:internalName="gc6531b704974d528487414686b72f6f" ma:taxonomyFieldName="Operating_x0020_Unit0" ma:displayName="Operating Unit" ma:readOnly="false" ma:default="" ma:fieldId="{0c6531b7-0497-4d52-8487-414686b72f6f}" ma:sspId="28e6c43a-9e99-4bdd-9574-a0fa4ea3b61e" ma:termSetId="a6d353be-f43c-45cb-b587-bc092d33c36d" ma:anchorId="00000000-0000-0000-0000-000000000000" ma:open="false" ma:isKeyword="false">
      <xsd:complexType>
        <xsd:sequence>
          <xsd:element ref="pc:Terms" minOccurs="0" maxOccurs="1"/>
        </xsd:sequence>
      </xsd:complexType>
    </xsd:element>
    <xsd:element name="Project_x0020_Manager" ma:index="45" nillable="true" ma:displayName="Project Manager" ma:hidden="true" ma:internalName="Project_x0020_Manager" ma:readOnly="false">
      <xsd:simpleType>
        <xsd:restriction base="dms:Text">
          <xsd:maxLength value="50"/>
        </xsd:restriction>
      </xsd:simpleType>
    </xsd:element>
    <xsd:element name="_dlc_DocId" ma:index="47" nillable="true" ma:displayName="Document ID Value" ma:description="The value of the document ID assigned to this item." ma:internalName="_dlc_DocId" ma:readOnly="true">
      <xsd:simpleType>
        <xsd:restriction base="dms:Text"/>
      </xsd:simpleType>
    </xsd:element>
    <xsd:element name="_dlc_DocIdUrl" ma:index="4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9" nillable="true" ma:displayName="Persist ID" ma:description="Keep ID on add." ma:hidden="true" ma:internalName="_dlc_DocIdPersistId" ma:readOnly="true">
      <xsd:simpleType>
        <xsd:restriction base="dms:Boolean"/>
      </xsd:simpleType>
    </xsd:element>
    <xsd:element name="Document_x0020_Coverage_x0020_Period_x0020_Start_x0020_Date" ma:index="50" nillable="true" ma:displayName="Document Coverage Period Start Date" ma:description="The period start date of the document covers or is valid (E.g. project start date specified in a project document, start date of the period covered by a project review report, a donor report, etc.)" ma:format="DateOnly" ma:internalName="Document_x0020_Coverage_x0020_Period_x0020_Start_x0020_Date">
      <xsd:simpleType>
        <xsd:restriction base="dms:DateTime"/>
      </xsd:simpleType>
    </xsd:element>
    <xsd:element name="Document_x0020_Coverage_x0020_Period_x0020_End_x0020_Date" ma:index="51" ma:displayName="Document Coverage Period End Date" ma:description="The period end date of the document covers or is valid (E.g. End date specified in a project document, period end date of review report, signed or published date if period is not relevant, such as MoU or Tender)" ma:format="DateOnly" ma:internalName="Document_x0020_Coverage_x0020_Period_x0020_End_x0020_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hor"/>
        <xsd:element ref="dcterms:created" minOccurs="0" maxOccurs="1"/>
        <xsd:element ref="dc:identifier" minOccurs="0" maxOccurs="1"/>
        <xsd:element name="contentType" minOccurs="0" maxOccurs="1" type="xsd:string" ma:index="29" ma:displayName="Content Type"/>
        <xsd:element ref="dc:title" minOccurs="0" maxOccurs="1" ma:index="1" ma:displayName="Title"/>
        <xsd:element ref="dc:subject" minOccurs="0" maxOccurs="1"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8" ma:contentTypeDescription="Create a new document." ma:contentTypeScope="" ma:versionID="c23ff14c6a1216ca0da59536d6135350">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3fb70f3e30476780b5b1d1f7e2ee4f0b"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ternalName="DocumentType">
      <xsd:simpleType>
        <xsd:restriction base="dms:Text">
          <xsd:maxLength value="255"/>
        </xsd:restriction>
      </xsd:simpleType>
    </xsd:element>
    <xsd:element name="FileClassificationMode" ma:index="10" nillable="true" ma:displayName="FileClassificationMode" ma:format="Dropdown" ma:internalName="FileClassificationMode">
      <xsd:simpleType>
        <xsd:restriction base="dms:Text">
          <xsd:maxLength value="255"/>
        </xsd:restriction>
      </xsd:simpleType>
    </xsd:element>
    <xsd:element name="FileNameDescription" ma:index="11" nillable="true" ma:displayName="FileNameDescription" ma:format="Dropdown"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2FF0125-2555-4A28-8657-9A692B90FC91}">
  <ds:schemaRefs>
    <ds:schemaRef ds:uri="http://schemas.microsoft.com/sharepoint/v3/contenttype/forms"/>
  </ds:schemaRefs>
</ds:datastoreItem>
</file>

<file path=customXml/itemProps2.xml><?xml version="1.0" encoding="utf-8"?>
<ds:datastoreItem xmlns:ds="http://schemas.openxmlformats.org/officeDocument/2006/customXml" ds:itemID="{CF5A803D-B09A-42F1-9392-3A434129C99A}">
  <ds:schemaRefs>
    <ds:schemaRef ds:uri="http://schemas.microsoft.com/sharepoint/events"/>
  </ds:schemaRefs>
</ds:datastoreItem>
</file>

<file path=customXml/itemProps3.xml><?xml version="1.0" encoding="utf-8"?>
<ds:datastoreItem xmlns:ds="http://schemas.openxmlformats.org/officeDocument/2006/customXml" ds:itemID="{BA1282FD-8774-4148-8DF9-ED7FCFF133F1}">
  <ds:schemaRefs>
    <ds:schemaRef ds:uri="http://schemas.microsoft.com/office/2006/metadata/properties"/>
    <ds:schemaRef ds:uri="http://schemas.microsoft.com/office/infopath/2007/PartnerControls"/>
    <ds:schemaRef ds:uri="920e7b4d-81d6-43f1-9e45-b04fd2894143"/>
    <ds:schemaRef ds:uri="05e84800-ff9a-43bb-bb7e-6161dfe90000"/>
  </ds:schemaRefs>
</ds:datastoreItem>
</file>

<file path=customXml/itemProps4.xml><?xml version="1.0" encoding="utf-8"?>
<ds:datastoreItem xmlns:ds="http://schemas.openxmlformats.org/officeDocument/2006/customXml" ds:itemID="{DB775A08-920E-46C7-A0D2-14FAE827D6B3}">
  <ds:schemaRefs>
    <ds:schemaRef ds:uri="http://schemas.microsoft.com/office/2006/metadata/longProperties"/>
  </ds:schemaRefs>
</ds:datastoreItem>
</file>

<file path=customXml/itemProps5.xml><?xml version="1.0" encoding="utf-8"?>
<ds:datastoreItem xmlns:ds="http://schemas.openxmlformats.org/officeDocument/2006/customXml" ds:itemID="{C2BD76A9-5BF0-447C-A96B-F5DC9567F2DC}">
  <ds:schemaRefs>
    <ds:schemaRef ds:uri="http://schemas.openxmlformats.org/officeDocument/2006/bibliography"/>
  </ds:schemaRefs>
</ds:datastoreItem>
</file>

<file path=customXml/itemProps6.xml><?xml version="1.0" encoding="utf-8"?>
<ds:datastoreItem xmlns:ds="http://schemas.openxmlformats.org/officeDocument/2006/customXml" ds:itemID="{E5EE302F-3EA0-4731-99D1-40E62FEF7B24}"/>
</file>

<file path=customXml/itemProps7.xml><?xml version="1.0" encoding="utf-8"?>
<ds:datastoreItem xmlns:ds="http://schemas.openxmlformats.org/officeDocument/2006/customXml" ds:itemID="{935FF0AA-178B-4EDC-A4A4-8EBE6FD41E33}"/>
</file>

<file path=docProps/app.xml><?xml version="1.0" encoding="utf-8"?>
<Properties xmlns="http://schemas.openxmlformats.org/officeDocument/2006/extended-properties" xmlns:vt="http://schemas.openxmlformats.org/officeDocument/2006/docPropsVTypes">
  <Template>Normal</Template>
  <TotalTime>73</TotalTime>
  <Pages>1</Pages>
  <Words>103201</Words>
  <Characters>588251</Characters>
  <Application>Microsoft Office Word</Application>
  <DocSecurity>0</DocSecurity>
  <Lines>4902</Lines>
  <Paragraphs>1380</Paragraphs>
  <ScaleCrop>false</ScaleCrop>
  <HeadingPairs>
    <vt:vector size="2" baseType="variant">
      <vt:variant>
        <vt:lpstr>Title</vt:lpstr>
      </vt:variant>
      <vt:variant>
        <vt:i4>1</vt:i4>
      </vt:variant>
    </vt:vector>
  </HeadingPairs>
  <TitlesOfParts>
    <vt:vector size="1" baseType="lpstr">
      <vt:lpstr>Annotated Project Document Template</vt:lpstr>
    </vt:vector>
  </TitlesOfParts>
  <Company>Microsoft</Company>
  <LinksUpToDate>false</LinksUpToDate>
  <CharactersWithSpaces>690072</CharactersWithSpaces>
  <SharedDoc>false</SharedDoc>
  <HLinks>
    <vt:vector size="450" baseType="variant">
      <vt:variant>
        <vt:i4>4784198</vt:i4>
      </vt:variant>
      <vt:variant>
        <vt:i4>285</vt:i4>
      </vt:variant>
      <vt:variant>
        <vt:i4>0</vt:i4>
      </vt:variant>
      <vt:variant>
        <vt:i4>5</vt:i4>
      </vt:variant>
      <vt:variant>
        <vt:lpwstr>http://www.undp.org/</vt:lpwstr>
      </vt:variant>
      <vt:variant>
        <vt:lpwstr/>
      </vt:variant>
      <vt:variant>
        <vt:i4>18</vt:i4>
      </vt:variant>
      <vt:variant>
        <vt:i4>282</vt:i4>
      </vt:variant>
      <vt:variant>
        <vt:i4>0</vt:i4>
      </vt:variant>
      <vt:variant>
        <vt:i4>5</vt:i4>
      </vt:variant>
      <vt:variant>
        <vt:lpwstr>http://www.un.org/sc/committees/1267/aq_sanctions_list.shtml</vt:lpwstr>
      </vt:variant>
      <vt:variant>
        <vt:lpwstr/>
      </vt:variant>
      <vt:variant>
        <vt:i4>18</vt:i4>
      </vt:variant>
      <vt:variant>
        <vt:i4>279</vt:i4>
      </vt:variant>
      <vt:variant>
        <vt:i4>0</vt:i4>
      </vt:variant>
      <vt:variant>
        <vt:i4>5</vt:i4>
      </vt:variant>
      <vt:variant>
        <vt:lpwstr>http://www.un.org/sc/committees/1267/aq_sanctions_list.shtml</vt:lpwstr>
      </vt:variant>
      <vt:variant>
        <vt:lpwstr/>
      </vt:variant>
      <vt:variant>
        <vt:i4>18</vt:i4>
      </vt:variant>
      <vt:variant>
        <vt:i4>276</vt:i4>
      </vt:variant>
      <vt:variant>
        <vt:i4>0</vt:i4>
      </vt:variant>
      <vt:variant>
        <vt:i4>5</vt:i4>
      </vt:variant>
      <vt:variant>
        <vt:lpwstr>http://www.un.org/sc/committees/1267/aq_sanctions_list.shtml</vt:lpwstr>
      </vt:variant>
      <vt:variant>
        <vt:lpwstr/>
      </vt:variant>
      <vt:variant>
        <vt:i4>18</vt:i4>
      </vt:variant>
      <vt:variant>
        <vt:i4>273</vt:i4>
      </vt:variant>
      <vt:variant>
        <vt:i4>0</vt:i4>
      </vt:variant>
      <vt:variant>
        <vt:i4>5</vt:i4>
      </vt:variant>
      <vt:variant>
        <vt:lpwstr>http://www.un.org/sc/committees/1267/aq_sanctions_list.shtml</vt:lpwstr>
      </vt:variant>
      <vt:variant>
        <vt:lpwstr/>
      </vt:variant>
      <vt:variant>
        <vt:i4>3801137</vt:i4>
      </vt:variant>
      <vt:variant>
        <vt:i4>270</vt:i4>
      </vt:variant>
      <vt:variant>
        <vt:i4>0</vt:i4>
      </vt:variant>
      <vt:variant>
        <vt:i4>5</vt:i4>
      </vt:variant>
      <vt:variant>
        <vt:lpwstr>https://intranet.undp.org/global/documents/ppm/Supplemental.pdf</vt:lpwstr>
      </vt:variant>
      <vt:variant>
        <vt:lpwstr/>
      </vt:variant>
      <vt:variant>
        <vt:i4>3801137</vt:i4>
      </vt:variant>
      <vt:variant>
        <vt:i4>267</vt:i4>
      </vt:variant>
      <vt:variant>
        <vt:i4>0</vt:i4>
      </vt:variant>
      <vt:variant>
        <vt:i4>5</vt:i4>
      </vt:variant>
      <vt:variant>
        <vt:lpwstr>https://intranet.undp.org/global/documents/ppm/Supplemental.pdf</vt:lpwstr>
      </vt:variant>
      <vt:variant>
        <vt:lpwstr/>
      </vt:variant>
      <vt:variant>
        <vt:i4>5505088</vt:i4>
      </vt:variant>
      <vt:variant>
        <vt:i4>264</vt:i4>
      </vt:variant>
      <vt:variant>
        <vt:i4>0</vt:i4>
      </vt:variant>
      <vt:variant>
        <vt:i4>5</vt:i4>
      </vt:variant>
      <vt:variant>
        <vt:lpwstr>http://intra.undp.org/bdp/archive-programming-manual/docs/reference-centre/chapter6/sbaa.pdf</vt:lpwstr>
      </vt:variant>
      <vt:variant>
        <vt:lpwstr/>
      </vt:variant>
      <vt:variant>
        <vt:i4>5505088</vt:i4>
      </vt:variant>
      <vt:variant>
        <vt:i4>261</vt:i4>
      </vt:variant>
      <vt:variant>
        <vt:i4>0</vt:i4>
      </vt:variant>
      <vt:variant>
        <vt:i4>5</vt:i4>
      </vt:variant>
      <vt:variant>
        <vt:lpwstr>http://intra.undp.org/bdp/archive-programming-manual/docs/reference-centre/chapter6/sbaa.pdf</vt:lpwstr>
      </vt:variant>
      <vt:variant>
        <vt:lpwstr/>
      </vt:variant>
      <vt:variant>
        <vt:i4>6422635</vt:i4>
      </vt:variant>
      <vt:variant>
        <vt:i4>252</vt:i4>
      </vt:variant>
      <vt:variant>
        <vt:i4>0</vt:i4>
      </vt:variant>
      <vt:variant>
        <vt:i4>5</vt:i4>
      </vt:variant>
      <vt:variant>
        <vt:lpwstr>http://web.undp.org/evaluation/guidance.shtml</vt:lpwstr>
      </vt:variant>
      <vt:variant>
        <vt:lpwstr>gef</vt:lpwstr>
      </vt:variant>
      <vt:variant>
        <vt:i4>6422635</vt:i4>
      </vt:variant>
      <vt:variant>
        <vt:i4>249</vt:i4>
      </vt:variant>
      <vt:variant>
        <vt:i4>0</vt:i4>
      </vt:variant>
      <vt:variant>
        <vt:i4>5</vt:i4>
      </vt:variant>
      <vt:variant>
        <vt:lpwstr>http://web.undp.org/evaluation/guidance.shtml</vt:lpwstr>
      </vt:variant>
      <vt:variant>
        <vt:lpwstr>gef</vt:lpwstr>
      </vt:variant>
      <vt:variant>
        <vt:i4>1441859</vt:i4>
      </vt:variant>
      <vt:variant>
        <vt:i4>246</vt:i4>
      </vt:variant>
      <vt:variant>
        <vt:i4>0</vt:i4>
      </vt:variant>
      <vt:variant>
        <vt:i4>5</vt:i4>
      </vt:variant>
      <vt:variant>
        <vt:lpwstr>http://www.undp.org/content/undp/en/home/operations/accountability/programme_and_operationspoliciesandprocedures.html</vt:lpwstr>
      </vt:variant>
      <vt:variant>
        <vt:lpwstr/>
      </vt:variant>
      <vt:variant>
        <vt:i4>4521990</vt:i4>
      </vt:variant>
      <vt:variant>
        <vt:i4>243</vt:i4>
      </vt:variant>
      <vt:variant>
        <vt:i4>0</vt:i4>
      </vt:variant>
      <vt:variant>
        <vt:i4>5</vt:i4>
      </vt:variant>
      <vt:variant>
        <vt:lpwstr>http://www.thegef.org/gef/Evaluation Policy 2010</vt:lpwstr>
      </vt:variant>
      <vt:variant>
        <vt:lpwstr/>
      </vt:variant>
      <vt:variant>
        <vt:i4>7995479</vt:i4>
      </vt:variant>
      <vt:variant>
        <vt:i4>240</vt:i4>
      </vt:variant>
      <vt:variant>
        <vt:i4>0</vt:i4>
      </vt:variant>
      <vt:variant>
        <vt:i4>5</vt:i4>
      </vt:variant>
      <vt:variant>
        <vt:lpwstr>http://www.undp.org/content/undp/en/home/operations/accountability/evaluation/evaluation_policyofundp.html</vt:lpwstr>
      </vt:variant>
      <vt:variant>
        <vt:lpwstr/>
      </vt:variant>
      <vt:variant>
        <vt:i4>1441859</vt:i4>
      </vt:variant>
      <vt:variant>
        <vt:i4>237</vt:i4>
      </vt:variant>
      <vt:variant>
        <vt:i4>0</vt:i4>
      </vt:variant>
      <vt:variant>
        <vt:i4>5</vt:i4>
      </vt:variant>
      <vt:variant>
        <vt:lpwstr>http://www.undp.org/content/undp/en/home/operations/accountability/programme_and_operationspoliciesandprocedures.html</vt:lpwstr>
      </vt:variant>
      <vt:variant>
        <vt:lpwstr/>
      </vt:variant>
      <vt:variant>
        <vt:i4>6160460</vt:i4>
      </vt:variant>
      <vt:variant>
        <vt:i4>234</vt:i4>
      </vt:variant>
      <vt:variant>
        <vt:i4>0</vt:i4>
      </vt:variant>
      <vt:variant>
        <vt:i4>5</vt:i4>
      </vt:variant>
      <vt:variant>
        <vt:lpwstr>http://www.undp.org/content/undp/en/home/ourwork/development-impact/south-south-cooperation.html</vt:lpwstr>
      </vt:variant>
      <vt:variant>
        <vt:lpwstr/>
      </vt:variant>
      <vt:variant>
        <vt:i4>7012455</vt:i4>
      </vt:variant>
      <vt:variant>
        <vt:i4>231</vt:i4>
      </vt:variant>
      <vt:variant>
        <vt:i4>0</vt:i4>
      </vt:variant>
      <vt:variant>
        <vt:i4>5</vt:i4>
      </vt:variant>
      <vt:variant>
        <vt:lpwstr>https://intranet.undp.org/unit/bpps/sdev/gef/SitePages/Gender.aspx</vt:lpwstr>
      </vt:variant>
      <vt:variant>
        <vt:lpwstr/>
      </vt:variant>
      <vt:variant>
        <vt:i4>6488073</vt:i4>
      </vt:variant>
      <vt:variant>
        <vt:i4>228</vt:i4>
      </vt:variant>
      <vt:variant>
        <vt:i4>0</vt:i4>
      </vt:variant>
      <vt:variant>
        <vt:i4>5</vt:i4>
      </vt:variant>
      <vt:variant>
        <vt:lpwstr>https://info.undp.org/sites/bpps/SES_Toolkit/SitePages/Stakeholder Engagement and Response Mechanisms.aspx</vt:lpwstr>
      </vt:variant>
      <vt:variant>
        <vt:lpwstr/>
      </vt:variant>
      <vt:variant>
        <vt:i4>4390925</vt:i4>
      </vt:variant>
      <vt:variant>
        <vt:i4>225</vt:i4>
      </vt:variant>
      <vt:variant>
        <vt:i4>0</vt:i4>
      </vt:variant>
      <vt:variant>
        <vt:i4>5</vt:i4>
      </vt:variant>
      <vt:variant>
        <vt:lpwstr>https://www.thegef.org/gef/KM</vt:lpwstr>
      </vt:variant>
      <vt:variant>
        <vt:lpwstr/>
      </vt:variant>
      <vt:variant>
        <vt:i4>1376305</vt:i4>
      </vt:variant>
      <vt:variant>
        <vt:i4>218</vt:i4>
      </vt:variant>
      <vt:variant>
        <vt:i4>0</vt:i4>
      </vt:variant>
      <vt:variant>
        <vt:i4>5</vt:i4>
      </vt:variant>
      <vt:variant>
        <vt:lpwstr/>
      </vt:variant>
      <vt:variant>
        <vt:lpwstr>_Toc487556797</vt:lpwstr>
      </vt:variant>
      <vt:variant>
        <vt:i4>1376305</vt:i4>
      </vt:variant>
      <vt:variant>
        <vt:i4>212</vt:i4>
      </vt:variant>
      <vt:variant>
        <vt:i4>0</vt:i4>
      </vt:variant>
      <vt:variant>
        <vt:i4>5</vt:i4>
      </vt:variant>
      <vt:variant>
        <vt:lpwstr/>
      </vt:variant>
      <vt:variant>
        <vt:lpwstr>_Toc487556796</vt:lpwstr>
      </vt:variant>
      <vt:variant>
        <vt:i4>1376305</vt:i4>
      </vt:variant>
      <vt:variant>
        <vt:i4>206</vt:i4>
      </vt:variant>
      <vt:variant>
        <vt:i4>0</vt:i4>
      </vt:variant>
      <vt:variant>
        <vt:i4>5</vt:i4>
      </vt:variant>
      <vt:variant>
        <vt:lpwstr/>
      </vt:variant>
      <vt:variant>
        <vt:lpwstr>_Toc487556795</vt:lpwstr>
      </vt:variant>
      <vt:variant>
        <vt:i4>1376305</vt:i4>
      </vt:variant>
      <vt:variant>
        <vt:i4>200</vt:i4>
      </vt:variant>
      <vt:variant>
        <vt:i4>0</vt:i4>
      </vt:variant>
      <vt:variant>
        <vt:i4>5</vt:i4>
      </vt:variant>
      <vt:variant>
        <vt:lpwstr/>
      </vt:variant>
      <vt:variant>
        <vt:lpwstr>_Toc487556794</vt:lpwstr>
      </vt:variant>
      <vt:variant>
        <vt:i4>1376305</vt:i4>
      </vt:variant>
      <vt:variant>
        <vt:i4>194</vt:i4>
      </vt:variant>
      <vt:variant>
        <vt:i4>0</vt:i4>
      </vt:variant>
      <vt:variant>
        <vt:i4>5</vt:i4>
      </vt:variant>
      <vt:variant>
        <vt:lpwstr/>
      </vt:variant>
      <vt:variant>
        <vt:lpwstr>_Toc487556793</vt:lpwstr>
      </vt:variant>
      <vt:variant>
        <vt:i4>1376305</vt:i4>
      </vt:variant>
      <vt:variant>
        <vt:i4>188</vt:i4>
      </vt:variant>
      <vt:variant>
        <vt:i4>0</vt:i4>
      </vt:variant>
      <vt:variant>
        <vt:i4>5</vt:i4>
      </vt:variant>
      <vt:variant>
        <vt:lpwstr/>
      </vt:variant>
      <vt:variant>
        <vt:lpwstr>_Toc487556792</vt:lpwstr>
      </vt:variant>
      <vt:variant>
        <vt:i4>1376305</vt:i4>
      </vt:variant>
      <vt:variant>
        <vt:i4>182</vt:i4>
      </vt:variant>
      <vt:variant>
        <vt:i4>0</vt:i4>
      </vt:variant>
      <vt:variant>
        <vt:i4>5</vt:i4>
      </vt:variant>
      <vt:variant>
        <vt:lpwstr/>
      </vt:variant>
      <vt:variant>
        <vt:lpwstr>_Toc487556791</vt:lpwstr>
      </vt:variant>
      <vt:variant>
        <vt:i4>1376305</vt:i4>
      </vt:variant>
      <vt:variant>
        <vt:i4>176</vt:i4>
      </vt:variant>
      <vt:variant>
        <vt:i4>0</vt:i4>
      </vt:variant>
      <vt:variant>
        <vt:i4>5</vt:i4>
      </vt:variant>
      <vt:variant>
        <vt:lpwstr/>
      </vt:variant>
      <vt:variant>
        <vt:lpwstr>_Toc487556790</vt:lpwstr>
      </vt:variant>
      <vt:variant>
        <vt:i4>1310769</vt:i4>
      </vt:variant>
      <vt:variant>
        <vt:i4>170</vt:i4>
      </vt:variant>
      <vt:variant>
        <vt:i4>0</vt:i4>
      </vt:variant>
      <vt:variant>
        <vt:i4>5</vt:i4>
      </vt:variant>
      <vt:variant>
        <vt:lpwstr/>
      </vt:variant>
      <vt:variant>
        <vt:lpwstr>_Toc487556789</vt:lpwstr>
      </vt:variant>
      <vt:variant>
        <vt:i4>1310769</vt:i4>
      </vt:variant>
      <vt:variant>
        <vt:i4>164</vt:i4>
      </vt:variant>
      <vt:variant>
        <vt:i4>0</vt:i4>
      </vt:variant>
      <vt:variant>
        <vt:i4>5</vt:i4>
      </vt:variant>
      <vt:variant>
        <vt:lpwstr/>
      </vt:variant>
      <vt:variant>
        <vt:lpwstr>_Toc487556788</vt:lpwstr>
      </vt:variant>
      <vt:variant>
        <vt:i4>1310769</vt:i4>
      </vt:variant>
      <vt:variant>
        <vt:i4>158</vt:i4>
      </vt:variant>
      <vt:variant>
        <vt:i4>0</vt:i4>
      </vt:variant>
      <vt:variant>
        <vt:i4>5</vt:i4>
      </vt:variant>
      <vt:variant>
        <vt:lpwstr/>
      </vt:variant>
      <vt:variant>
        <vt:lpwstr>_Toc487556787</vt:lpwstr>
      </vt:variant>
      <vt:variant>
        <vt:i4>1310769</vt:i4>
      </vt:variant>
      <vt:variant>
        <vt:i4>152</vt:i4>
      </vt:variant>
      <vt:variant>
        <vt:i4>0</vt:i4>
      </vt:variant>
      <vt:variant>
        <vt:i4>5</vt:i4>
      </vt:variant>
      <vt:variant>
        <vt:lpwstr/>
      </vt:variant>
      <vt:variant>
        <vt:lpwstr>_Toc487556786</vt:lpwstr>
      </vt:variant>
      <vt:variant>
        <vt:i4>1310769</vt:i4>
      </vt:variant>
      <vt:variant>
        <vt:i4>146</vt:i4>
      </vt:variant>
      <vt:variant>
        <vt:i4>0</vt:i4>
      </vt:variant>
      <vt:variant>
        <vt:i4>5</vt:i4>
      </vt:variant>
      <vt:variant>
        <vt:lpwstr/>
      </vt:variant>
      <vt:variant>
        <vt:lpwstr>_Toc487556785</vt:lpwstr>
      </vt:variant>
      <vt:variant>
        <vt:i4>1310769</vt:i4>
      </vt:variant>
      <vt:variant>
        <vt:i4>140</vt:i4>
      </vt:variant>
      <vt:variant>
        <vt:i4>0</vt:i4>
      </vt:variant>
      <vt:variant>
        <vt:i4>5</vt:i4>
      </vt:variant>
      <vt:variant>
        <vt:lpwstr/>
      </vt:variant>
      <vt:variant>
        <vt:lpwstr>_Toc487556784</vt:lpwstr>
      </vt:variant>
      <vt:variant>
        <vt:i4>1310769</vt:i4>
      </vt:variant>
      <vt:variant>
        <vt:i4>134</vt:i4>
      </vt:variant>
      <vt:variant>
        <vt:i4>0</vt:i4>
      </vt:variant>
      <vt:variant>
        <vt:i4>5</vt:i4>
      </vt:variant>
      <vt:variant>
        <vt:lpwstr/>
      </vt:variant>
      <vt:variant>
        <vt:lpwstr>_Toc487556783</vt:lpwstr>
      </vt:variant>
      <vt:variant>
        <vt:i4>1310769</vt:i4>
      </vt:variant>
      <vt:variant>
        <vt:i4>128</vt:i4>
      </vt:variant>
      <vt:variant>
        <vt:i4>0</vt:i4>
      </vt:variant>
      <vt:variant>
        <vt:i4>5</vt:i4>
      </vt:variant>
      <vt:variant>
        <vt:lpwstr/>
      </vt:variant>
      <vt:variant>
        <vt:lpwstr>_Toc487556782</vt:lpwstr>
      </vt:variant>
      <vt:variant>
        <vt:i4>1310769</vt:i4>
      </vt:variant>
      <vt:variant>
        <vt:i4>122</vt:i4>
      </vt:variant>
      <vt:variant>
        <vt:i4>0</vt:i4>
      </vt:variant>
      <vt:variant>
        <vt:i4>5</vt:i4>
      </vt:variant>
      <vt:variant>
        <vt:lpwstr/>
      </vt:variant>
      <vt:variant>
        <vt:lpwstr>_Toc487556781</vt:lpwstr>
      </vt:variant>
      <vt:variant>
        <vt:i4>1310769</vt:i4>
      </vt:variant>
      <vt:variant>
        <vt:i4>116</vt:i4>
      </vt:variant>
      <vt:variant>
        <vt:i4>0</vt:i4>
      </vt:variant>
      <vt:variant>
        <vt:i4>5</vt:i4>
      </vt:variant>
      <vt:variant>
        <vt:lpwstr/>
      </vt:variant>
      <vt:variant>
        <vt:lpwstr>_Toc487556780</vt:lpwstr>
      </vt:variant>
      <vt:variant>
        <vt:i4>1769521</vt:i4>
      </vt:variant>
      <vt:variant>
        <vt:i4>110</vt:i4>
      </vt:variant>
      <vt:variant>
        <vt:i4>0</vt:i4>
      </vt:variant>
      <vt:variant>
        <vt:i4>5</vt:i4>
      </vt:variant>
      <vt:variant>
        <vt:lpwstr/>
      </vt:variant>
      <vt:variant>
        <vt:lpwstr>_Toc487556779</vt:lpwstr>
      </vt:variant>
      <vt:variant>
        <vt:i4>1769521</vt:i4>
      </vt:variant>
      <vt:variant>
        <vt:i4>104</vt:i4>
      </vt:variant>
      <vt:variant>
        <vt:i4>0</vt:i4>
      </vt:variant>
      <vt:variant>
        <vt:i4>5</vt:i4>
      </vt:variant>
      <vt:variant>
        <vt:lpwstr/>
      </vt:variant>
      <vt:variant>
        <vt:lpwstr>_Toc487556778</vt:lpwstr>
      </vt:variant>
      <vt:variant>
        <vt:i4>1769521</vt:i4>
      </vt:variant>
      <vt:variant>
        <vt:i4>98</vt:i4>
      </vt:variant>
      <vt:variant>
        <vt:i4>0</vt:i4>
      </vt:variant>
      <vt:variant>
        <vt:i4>5</vt:i4>
      </vt:variant>
      <vt:variant>
        <vt:lpwstr/>
      </vt:variant>
      <vt:variant>
        <vt:lpwstr>_Toc487556777</vt:lpwstr>
      </vt:variant>
      <vt:variant>
        <vt:i4>1769521</vt:i4>
      </vt:variant>
      <vt:variant>
        <vt:i4>92</vt:i4>
      </vt:variant>
      <vt:variant>
        <vt:i4>0</vt:i4>
      </vt:variant>
      <vt:variant>
        <vt:i4>5</vt:i4>
      </vt:variant>
      <vt:variant>
        <vt:lpwstr/>
      </vt:variant>
      <vt:variant>
        <vt:lpwstr>_Toc487556776</vt:lpwstr>
      </vt:variant>
      <vt:variant>
        <vt:i4>1769521</vt:i4>
      </vt:variant>
      <vt:variant>
        <vt:i4>86</vt:i4>
      </vt:variant>
      <vt:variant>
        <vt:i4>0</vt:i4>
      </vt:variant>
      <vt:variant>
        <vt:i4>5</vt:i4>
      </vt:variant>
      <vt:variant>
        <vt:lpwstr/>
      </vt:variant>
      <vt:variant>
        <vt:lpwstr>_Toc487556775</vt:lpwstr>
      </vt:variant>
      <vt:variant>
        <vt:i4>1835035</vt:i4>
      </vt:variant>
      <vt:variant>
        <vt:i4>81</vt:i4>
      </vt:variant>
      <vt:variant>
        <vt:i4>0</vt:i4>
      </vt:variant>
      <vt:variant>
        <vt:i4>5</vt:i4>
      </vt:variant>
      <vt:variant>
        <vt:lpwstr>https://www.thegef.org/gef/policies_guidelines/project_cancellation</vt:lpwstr>
      </vt:variant>
      <vt:variant>
        <vt:lpwstr/>
      </vt:variant>
      <vt:variant>
        <vt:i4>5439511</vt:i4>
      </vt:variant>
      <vt:variant>
        <vt:i4>78</vt:i4>
      </vt:variant>
      <vt:variant>
        <vt:i4>0</vt:i4>
      </vt:variant>
      <vt:variant>
        <vt:i4>5</vt:i4>
      </vt:variant>
      <vt:variant>
        <vt:lpwstr>https://intranet.undp.org/unit/bpps/sdev/gef/default.aspx</vt:lpwstr>
      </vt:variant>
      <vt:variant>
        <vt:lpwstr/>
      </vt:variant>
      <vt:variant>
        <vt:i4>4718685</vt:i4>
      </vt:variant>
      <vt:variant>
        <vt:i4>75</vt:i4>
      </vt:variant>
      <vt:variant>
        <vt:i4>0</vt:i4>
      </vt:variant>
      <vt:variant>
        <vt:i4>5</vt:i4>
      </vt:variant>
      <vt:variant>
        <vt:lpwstr>http://www.undp.org/content/undp/en/home/operations/social-and-environmental-sustainability-in-undp/SES.html</vt:lpwstr>
      </vt:variant>
      <vt:variant>
        <vt:lpwstr/>
      </vt:variant>
      <vt:variant>
        <vt:i4>3604595</vt:i4>
      </vt:variant>
      <vt:variant>
        <vt:i4>72</vt:i4>
      </vt:variant>
      <vt:variant>
        <vt:i4>0</vt:i4>
      </vt:variant>
      <vt:variant>
        <vt:i4>5</vt:i4>
      </vt:variant>
      <vt:variant>
        <vt:lpwstr>https://info.undp.org/global/popp/ppm/Pages/Defining-a-Project.aspx</vt:lpwstr>
      </vt:variant>
      <vt:variant>
        <vt:lpwstr/>
      </vt:variant>
      <vt:variant>
        <vt:i4>5046281</vt:i4>
      </vt:variant>
      <vt:variant>
        <vt:i4>69</vt:i4>
      </vt:variant>
      <vt:variant>
        <vt:i4>0</vt:i4>
      </vt:variant>
      <vt:variant>
        <vt:i4>5</vt:i4>
      </vt:variant>
      <vt:variant>
        <vt:lpwstr>https://info.undp.org/global/popp/frm/Pages/Direct-Project-Costs.aspx</vt:lpwstr>
      </vt:variant>
      <vt:variant>
        <vt:lpwstr/>
      </vt:variant>
      <vt:variant>
        <vt:i4>8060979</vt:i4>
      </vt:variant>
      <vt:variant>
        <vt:i4>66</vt:i4>
      </vt:variant>
      <vt:variant>
        <vt:i4>0</vt:i4>
      </vt:variant>
      <vt:variant>
        <vt:i4>5</vt:i4>
      </vt:variant>
      <vt:variant>
        <vt:lpwstr>https://intranet.undp.org/unit/office/exo/IRRF/default.aspx</vt:lpwstr>
      </vt:variant>
      <vt:variant>
        <vt:lpwstr/>
      </vt:variant>
      <vt:variant>
        <vt:i4>6553609</vt:i4>
      </vt:variant>
      <vt:variant>
        <vt:i4>63</vt:i4>
      </vt:variant>
      <vt:variant>
        <vt:i4>0</vt:i4>
      </vt:variant>
      <vt:variant>
        <vt:i4>5</vt:i4>
      </vt:variant>
      <vt:variant>
        <vt:lpwstr>https://www.thegef.org/gef/tracking_tools</vt:lpwstr>
      </vt:variant>
      <vt:variant>
        <vt:lpwstr/>
      </vt:variant>
      <vt:variant>
        <vt:i4>65644</vt:i4>
      </vt:variant>
      <vt:variant>
        <vt:i4>60</vt:i4>
      </vt:variant>
      <vt:variant>
        <vt:i4>0</vt:i4>
      </vt:variant>
      <vt:variant>
        <vt:i4>5</vt:i4>
      </vt:variant>
      <vt:variant>
        <vt:lpwstr>https://www.thegef.org/gef/guidelines_templates</vt:lpwstr>
      </vt:variant>
      <vt:variant>
        <vt:lpwstr/>
      </vt:variant>
      <vt:variant>
        <vt:i4>5177411</vt:i4>
      </vt:variant>
      <vt:variant>
        <vt:i4>57</vt:i4>
      </vt:variant>
      <vt:variant>
        <vt:i4>0</vt:i4>
      </vt:variant>
      <vt:variant>
        <vt:i4>5</vt:i4>
      </vt:variant>
      <vt:variant>
        <vt:lpwstr>http://erc.undp.org/</vt:lpwstr>
      </vt:variant>
      <vt:variant>
        <vt:lpwstr/>
      </vt:variant>
      <vt:variant>
        <vt:i4>3604595</vt:i4>
      </vt:variant>
      <vt:variant>
        <vt:i4>54</vt:i4>
      </vt:variant>
      <vt:variant>
        <vt:i4>0</vt:i4>
      </vt:variant>
      <vt:variant>
        <vt:i4>5</vt:i4>
      </vt:variant>
      <vt:variant>
        <vt:lpwstr>https://info.undp.org/global/popp/ppm/Pages/Defining-a-Project.aspx</vt:lpwstr>
      </vt:variant>
      <vt:variant>
        <vt:lpwstr/>
      </vt:variant>
      <vt:variant>
        <vt:i4>917570</vt:i4>
      </vt:variant>
      <vt:variant>
        <vt:i4>51</vt:i4>
      </vt:variant>
      <vt:variant>
        <vt:i4>0</vt:i4>
      </vt:variant>
      <vt:variant>
        <vt:i4>5</vt:i4>
      </vt:variant>
      <vt:variant>
        <vt:lpwstr>https://info.undp.org/global/popp/frm/Pages/direct-agency-implementation.aspx</vt:lpwstr>
      </vt:variant>
      <vt:variant>
        <vt:lpwstr/>
      </vt:variant>
      <vt:variant>
        <vt:i4>852086</vt:i4>
      </vt:variant>
      <vt:variant>
        <vt:i4>48</vt:i4>
      </vt:variant>
      <vt:variant>
        <vt:i4>0</vt:i4>
      </vt:variant>
      <vt:variant>
        <vt:i4>5</vt:i4>
      </vt:variant>
      <vt:variant>
        <vt:lpwstr>https://www.thegef.org/gef/policies_guidelines</vt:lpwstr>
      </vt:variant>
      <vt:variant>
        <vt:lpwstr/>
      </vt:variant>
      <vt:variant>
        <vt:i4>5505096</vt:i4>
      </vt:variant>
      <vt:variant>
        <vt:i4>45</vt:i4>
      </vt:variant>
      <vt:variant>
        <vt:i4>0</vt:i4>
      </vt:variant>
      <vt:variant>
        <vt:i4>5</vt:i4>
      </vt:variant>
      <vt:variant>
        <vt:lpwstr>https://www.thegef.org/gef/sites/thegef.org/files/Gender_Mainstreaming_Policy.pdf</vt:lpwstr>
      </vt:variant>
      <vt:variant>
        <vt:lpwstr/>
      </vt:variant>
      <vt:variant>
        <vt:i4>3866736</vt:i4>
      </vt:variant>
      <vt:variant>
        <vt:i4>42</vt:i4>
      </vt:variant>
      <vt:variant>
        <vt:i4>0</vt:i4>
      </vt:variant>
      <vt:variant>
        <vt:i4>5</vt:i4>
      </vt:variant>
      <vt:variant>
        <vt:lpwstr>http://www.undp.org/content/undp/en/home/librarypage/womens-empowerment/gender-equality-strategy-2014-2017/</vt:lpwstr>
      </vt:variant>
      <vt:variant>
        <vt:lpwstr/>
      </vt:variant>
      <vt:variant>
        <vt:i4>3539014</vt:i4>
      </vt:variant>
      <vt:variant>
        <vt:i4>39</vt:i4>
      </vt:variant>
      <vt:variant>
        <vt:i4>0</vt:i4>
      </vt:variant>
      <vt:variant>
        <vt:i4>5</vt:i4>
      </vt:variant>
      <vt:variant>
        <vt:lpwstr>http://www.undp.org/content/undp/en/home/operations/transparency/information_disclosurepolicy/</vt:lpwstr>
      </vt:variant>
      <vt:variant>
        <vt:lpwstr/>
      </vt:variant>
      <vt:variant>
        <vt:i4>1769560</vt:i4>
      </vt:variant>
      <vt:variant>
        <vt:i4>36</vt:i4>
      </vt:variant>
      <vt:variant>
        <vt:i4>0</vt:i4>
      </vt:variant>
      <vt:variant>
        <vt:i4>5</vt:i4>
      </vt:variant>
      <vt:variant>
        <vt:lpwstr>http://www.undp.org/content/undp/en/home/operations/social-and-environmental-sustainability-in-undp/</vt:lpwstr>
      </vt:variant>
      <vt:variant>
        <vt:lpwstr/>
      </vt:variant>
      <vt:variant>
        <vt:i4>6488153</vt:i4>
      </vt:variant>
      <vt:variant>
        <vt:i4>33</vt:i4>
      </vt:variant>
      <vt:variant>
        <vt:i4>0</vt:i4>
      </vt:variant>
      <vt:variant>
        <vt:i4>5</vt:i4>
      </vt:variant>
      <vt:variant>
        <vt:lpwstr>https://www.thegef.org/gef/sites/thegef.org/files/documents/document/GEF6 Results Framework for GEFTF and LDCF.SCCF_.pdf</vt:lpwstr>
      </vt:variant>
      <vt:variant>
        <vt:lpwstr/>
      </vt:variant>
      <vt:variant>
        <vt:i4>4128875</vt:i4>
      </vt:variant>
      <vt:variant>
        <vt:i4>30</vt:i4>
      </vt:variant>
      <vt:variant>
        <vt:i4>0</vt:i4>
      </vt:variant>
      <vt:variant>
        <vt:i4>5</vt:i4>
      </vt:variant>
      <vt:variant>
        <vt:lpwstr>http://www.undp.org/content/undp/en/home/mdgoverview/post-2015-development-agenda.html</vt:lpwstr>
      </vt:variant>
      <vt:variant>
        <vt:lpwstr/>
      </vt:variant>
      <vt:variant>
        <vt:i4>7995450</vt:i4>
      </vt:variant>
      <vt:variant>
        <vt:i4>27</vt:i4>
      </vt:variant>
      <vt:variant>
        <vt:i4>0</vt:i4>
      </vt:variant>
      <vt:variant>
        <vt:i4>5</vt:i4>
      </vt:variant>
      <vt:variant>
        <vt:lpwstr>http://www.undp.org/content/dam/undp/library/corporate/UNDP_strategic-plan_14-17_v9_web.pdf</vt:lpwstr>
      </vt:variant>
      <vt:variant>
        <vt:lpwstr/>
      </vt:variant>
      <vt:variant>
        <vt:i4>1376269</vt:i4>
      </vt:variant>
      <vt:variant>
        <vt:i4>24</vt:i4>
      </vt:variant>
      <vt:variant>
        <vt:i4>0</vt:i4>
      </vt:variant>
      <vt:variant>
        <vt:i4>5</vt:i4>
      </vt:variant>
      <vt:variant>
        <vt:lpwstr>http://www.adb.org/documents/guidelines-preparing-design-and-monitoring-framework</vt:lpwstr>
      </vt:variant>
      <vt:variant>
        <vt:lpwstr/>
      </vt:variant>
      <vt:variant>
        <vt:i4>2031703</vt:i4>
      </vt:variant>
      <vt:variant>
        <vt:i4>21</vt:i4>
      </vt:variant>
      <vt:variant>
        <vt:i4>0</vt:i4>
      </vt:variant>
      <vt:variant>
        <vt:i4>5</vt:i4>
      </vt:variant>
      <vt:variant>
        <vt:lpwstr>http://siteresources.worldbank.org/EXTEVACAPDEV/Resources/designing_results_framework.pdf</vt:lpwstr>
      </vt:variant>
      <vt:variant>
        <vt:lpwstr/>
      </vt:variant>
      <vt:variant>
        <vt:i4>7209076</vt:i4>
      </vt:variant>
      <vt:variant>
        <vt:i4>18</vt:i4>
      </vt:variant>
      <vt:variant>
        <vt:i4>0</vt:i4>
      </vt:variant>
      <vt:variant>
        <vt:i4>5</vt:i4>
      </vt:variant>
      <vt:variant>
        <vt:lpwstr>http://wbi.worldbank.org/wbi/document/designing-multi-stakeholder-results-framework</vt:lpwstr>
      </vt:variant>
      <vt:variant>
        <vt:lpwstr/>
      </vt:variant>
      <vt:variant>
        <vt:i4>5701655</vt:i4>
      </vt:variant>
      <vt:variant>
        <vt:i4>15</vt:i4>
      </vt:variant>
      <vt:variant>
        <vt:i4>0</vt:i4>
      </vt:variant>
      <vt:variant>
        <vt:i4>5</vt:i4>
      </vt:variant>
      <vt:variant>
        <vt:lpwstr>http://www.undg.org/docs/12316/UNDG-RBM Handbook-2012.pdf</vt:lpwstr>
      </vt:variant>
      <vt:variant>
        <vt:lpwstr/>
      </vt:variant>
      <vt:variant>
        <vt:i4>3145837</vt:i4>
      </vt:variant>
      <vt:variant>
        <vt:i4>12</vt:i4>
      </vt:variant>
      <vt:variant>
        <vt:i4>0</vt:i4>
      </vt:variant>
      <vt:variant>
        <vt:i4>5</vt:i4>
      </vt:variant>
      <vt:variant>
        <vt:lpwstr>http://www.stapgef.org/</vt:lpwstr>
      </vt:variant>
      <vt:variant>
        <vt:lpwstr/>
      </vt:variant>
      <vt:variant>
        <vt:i4>2293804</vt:i4>
      </vt:variant>
      <vt:variant>
        <vt:i4>9</vt:i4>
      </vt:variant>
      <vt:variant>
        <vt:i4>0</vt:i4>
      </vt:variant>
      <vt:variant>
        <vt:i4>5</vt:i4>
      </vt:variant>
      <vt:variant>
        <vt:lpwstr>http://www.thegef.org/gef/OPS5</vt:lpwstr>
      </vt:variant>
      <vt:variant>
        <vt:lpwstr/>
      </vt:variant>
      <vt:variant>
        <vt:i4>4980861</vt:i4>
      </vt:variant>
      <vt:variant>
        <vt:i4>6</vt:i4>
      </vt:variant>
      <vt:variant>
        <vt:i4>0</vt:i4>
      </vt:variant>
      <vt:variant>
        <vt:i4>5</vt:i4>
      </vt:variant>
      <vt:variant>
        <vt:lpwstr>https://www.thegef.org/gef/sites/thegef.org/files/documents/19_EN_GEF.C.47.07_Improving_the_GEF_Project_Cycle.pdf</vt:lpwstr>
      </vt:variant>
      <vt:variant>
        <vt:lpwstr/>
      </vt:variant>
      <vt:variant>
        <vt:i4>7864419</vt:i4>
      </vt:variant>
      <vt:variant>
        <vt:i4>3</vt:i4>
      </vt:variant>
      <vt:variant>
        <vt:i4>0</vt:i4>
      </vt:variant>
      <vt:variant>
        <vt:i4>5</vt:i4>
      </vt:variant>
      <vt:variant>
        <vt:lpwstr>https://info.undp.org/global/popp/ppm/Pages/Project-Management.aspx</vt:lpwstr>
      </vt:variant>
      <vt:variant>
        <vt:lpwstr/>
      </vt:variant>
      <vt:variant>
        <vt:i4>5570560</vt:i4>
      </vt:variant>
      <vt:variant>
        <vt:i4>0</vt:i4>
      </vt:variant>
      <vt:variant>
        <vt:i4>0</vt:i4>
      </vt:variant>
      <vt:variant>
        <vt:i4>5</vt:i4>
      </vt:variant>
      <vt:variant>
        <vt:lpwstr>https://www.thegef.org/about/funding</vt:lpwstr>
      </vt:variant>
      <vt:variant>
        <vt:lpwstr/>
      </vt:variant>
      <vt:variant>
        <vt:i4>6881390</vt:i4>
      </vt:variant>
      <vt:variant>
        <vt:i4>12</vt:i4>
      </vt:variant>
      <vt:variant>
        <vt:i4>0</vt:i4>
      </vt:variant>
      <vt:variant>
        <vt:i4>5</vt:i4>
      </vt:variant>
      <vt:variant>
        <vt:lpwstr>https://popp.undp.org/_layouts/15/WopiFrame.aspx?sourcedoc=/UNDP_POPP_DOCUMENT_LIBRARY/Public/PPM_Project%20Management_Closing.docx&amp;action=default</vt:lpwstr>
      </vt:variant>
      <vt:variant>
        <vt:lpwstr/>
      </vt:variant>
      <vt:variant>
        <vt:i4>6553643</vt:i4>
      </vt:variant>
      <vt:variant>
        <vt:i4>9</vt:i4>
      </vt:variant>
      <vt:variant>
        <vt:i4>0</vt:i4>
      </vt:variant>
      <vt:variant>
        <vt:i4>5</vt:i4>
      </vt:variant>
      <vt:variant>
        <vt:lpwstr>https://info.undp.org/global/popp/ppm/Pages/Closing-a-Project.aspx</vt:lpwstr>
      </vt:variant>
      <vt:variant>
        <vt:lpwstr/>
      </vt:variant>
      <vt:variant>
        <vt:i4>3932266</vt:i4>
      </vt:variant>
      <vt:variant>
        <vt:i4>6</vt:i4>
      </vt:variant>
      <vt:variant>
        <vt:i4>0</vt:i4>
      </vt:variant>
      <vt:variant>
        <vt:i4>5</vt:i4>
      </vt:variant>
      <vt:variant>
        <vt:lpwstr>https://info.undp.org/global/popp/frm/pages/financial-management-and-execution-modalities.aspx</vt:lpwstr>
      </vt:variant>
      <vt:variant>
        <vt:lpwstr/>
      </vt:variant>
      <vt:variant>
        <vt:i4>2818135</vt:i4>
      </vt:variant>
      <vt:variant>
        <vt:i4>3</vt:i4>
      </vt:variant>
      <vt:variant>
        <vt:i4>0</vt:i4>
      </vt:variant>
      <vt:variant>
        <vt:i4>5</vt:i4>
      </vt:variant>
      <vt:variant>
        <vt:lpwstr>https://www.thegef.org/gef/gef_agencies</vt:lpwstr>
      </vt:variant>
      <vt:variant>
        <vt:lpwstr/>
      </vt:variant>
      <vt:variant>
        <vt:i4>852086</vt:i4>
      </vt:variant>
      <vt:variant>
        <vt:i4>0</vt:i4>
      </vt:variant>
      <vt:variant>
        <vt:i4>0</vt:i4>
      </vt:variant>
      <vt:variant>
        <vt:i4>5</vt:i4>
      </vt:variant>
      <vt:variant>
        <vt:lpwstr>https://www.thegef.org/gef/policies_guidelines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Document BD Mainstreaming</dc:title>
  <dc:subject>Project Management</dc:subject>
  <dc:creator/>
  <cp:keywords/>
  <dc:description/>
  <cp:lastModifiedBy>Gulsah Isik</cp:lastModifiedBy>
  <cp:revision>13</cp:revision>
  <cp:lastPrinted>2017-07-11T12:45:00Z</cp:lastPrinted>
  <dcterms:created xsi:type="dcterms:W3CDTF">2021-09-08T15:19:00Z</dcterms:created>
  <dcterms:modified xsi:type="dcterms:W3CDTF">2021-09-10T11:38:00Z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_dlc_DocIdItemGuid">
    <vt:lpwstr>8e91324f-3f77-4f3f-a4d2-4377a1511b3c</vt:lpwstr>
  </property>
  <property fmtid="{D5CDD505-2E9C-101B-9397-08002B2CF9AE}" pid="4" name="_dlc_DocId">
    <vt:lpwstr>KKKATZMDSDUY-340-133</vt:lpwstr>
  </property>
  <property fmtid="{D5CDD505-2E9C-101B-9397-08002B2CF9AE}" pid="5" name="_dlc_DocIdUrl">
    <vt:lpwstr>https://intranet.undp.org/unit/bpps/sdev/gef/_layouts/15/DocIdRedir.aspx?ID=KKKATZMDSDUY-340-133, KKKATZMDSDUY-340-133</vt:lpwstr>
  </property>
  <property fmtid="{D5CDD505-2E9C-101B-9397-08002B2CF9AE}" pid="6" name="Description0">
    <vt:lpwstr/>
  </property>
  <property fmtid="{D5CDD505-2E9C-101B-9397-08002B2CF9AE}" pid="7" name="Category">
    <vt:lpwstr>Concept Design Phase</vt:lpwstr>
  </property>
  <property fmtid="{D5CDD505-2E9C-101B-9397-08002B2CF9AE}" pid="8" name="UNDPCountry">
    <vt:lpwstr>382;#Montenegro|8b7727e3-8816-4c1f-b1a8-c065cddec997</vt:lpwstr>
  </property>
  <property fmtid="{D5CDD505-2E9C-101B-9397-08002B2CF9AE}" pid="9" name="UNDPDocumentCategory">
    <vt:lpwstr/>
  </property>
  <property fmtid="{D5CDD505-2E9C-101B-9397-08002B2CF9AE}" pid="10" name="UN Languages">
    <vt:lpwstr>1;#English|7f98b732-4b5b-4b70-ba90-a0eff09b5d2d</vt:lpwstr>
  </property>
  <property fmtid="{D5CDD505-2E9C-101B-9397-08002B2CF9AE}" pid="11" name="Operating Unit0">
    <vt:lpwstr>163;#MNE|fdbbf937-60ee-4082-af0e-bf2f73fdd213</vt:lpwstr>
  </property>
  <property fmtid="{D5CDD505-2E9C-101B-9397-08002B2CF9AE}" pid="12" name="Atlas Document Status">
    <vt:lpwstr>3;#Draft|148f9654-2d0b-4582-a532-49dea0090e5d</vt:lpwstr>
  </property>
  <property fmtid="{D5CDD505-2E9C-101B-9397-08002B2CF9AE}" pid="13" name="Atlas Document Type">
    <vt:lpwstr>228;#Prodoc|5f41516e-5ee3-43b6-82ea-9b89532838d0</vt:lpwstr>
  </property>
  <property fmtid="{D5CDD505-2E9C-101B-9397-08002B2CF9AE}" pid="14" name="eRegFilingCodeMM">
    <vt:lpwstr/>
  </property>
  <property fmtid="{D5CDD505-2E9C-101B-9397-08002B2CF9AE}" pid="15" name="UndpUnitMM">
    <vt:lpwstr/>
  </property>
  <property fmtid="{D5CDD505-2E9C-101B-9397-08002B2CF9AE}" pid="16" name="UNDPFocusAreas">
    <vt:lpwstr>296;#Environment and Energy|507850c5-118d-4c78-99b1-c760df552b10</vt:lpwstr>
  </property>
  <property fmtid="{D5CDD505-2E9C-101B-9397-08002B2CF9AE}" pid="17" name="UndpDocTypeMM">
    <vt:lpwstr/>
  </property>
  <property fmtid="{D5CDD505-2E9C-101B-9397-08002B2CF9AE}" pid="18" name="Order">
    <vt:r8>14449000</vt:r8>
  </property>
  <property fmtid="{D5CDD505-2E9C-101B-9397-08002B2CF9AE}" pid="19" name="_ExtendedDescription">
    <vt:lpwstr/>
  </property>
  <property fmtid="{D5CDD505-2E9C-101B-9397-08002B2CF9AE}" pid="20" name="MediaServiceImageTags">
    <vt:lpwstr/>
  </property>
</Properties>
</file>